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rPr>
          <w:bdr w:val="single" w:sz="16" w:space="1" w:color="000000"/>
        </w:rPr>
      </w:pPr>
      <w:bookmarkStart w:id="0" w:name="f10q0322_ventouxccmacq.htm"/>
      <w:bookmarkStart w:id="1" w:name="ksf10q0322_ventouxccmacq"/>
      <w:bookmarkEnd w:id="0"/>
      <w:bookmarkEnd w:id="1"/>
      <w:r>
        <w:rPr>
          <w:bdr w:val="single" w:sz="16" w:space="1" w:color="000000"/>
        </w:rPr>
        <w:t> </w:t>
      </w:r>
    </w:p>
    <w:p>
      <w:pPr>
        <w:pStyle w:val="TextBody"/>
        <w:spacing w:before="0" w:after="0"/>
        <w:ind w:left="0" w:right="0" w:hanging="0"/>
        <w:jc w:val="both"/>
        <w:rPr>
          <w:caps w:val="false"/>
          <w:smallCaps w:val="false"/>
        </w:rPr>
      </w:pPr>
      <w:r>
        <w:rPr>
          <w:caps w:val="false"/>
          <w:smallCaps w:val="false"/>
        </w:rPr>
        <w:t> </w:t>
      </w:r>
    </w:p>
    <w:p>
      <w:pPr>
        <w:pStyle w:val="TextBody"/>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spacing w:before="0" w:after="0"/>
        <w:jc w:val="center"/>
        <w:rPr>
          <w:caps w:val="false"/>
          <w:smallCaps w:val="false"/>
        </w:rPr>
      </w:pPr>
      <w:r>
        <w:rPr>
          <w:caps w:val="false"/>
          <w:smallCaps w:val="false"/>
        </w:rPr>
        <w:t> </w:t>
      </w:r>
    </w:p>
    <w:p>
      <w:pPr>
        <w:pStyle w:val="TextBody"/>
        <w:spacing w:before="0" w:after="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FORM 10-Q</w:t>
      </w:r>
    </w:p>
    <w:p>
      <w:pPr>
        <w:pStyle w:val="TextBody"/>
        <w:spacing w:before="0" w:after="0"/>
        <w:jc w:val="center"/>
        <w:rPr>
          <w:caps w:val="false"/>
          <w:smallCaps w:val="false"/>
        </w:rPr>
      </w:pPr>
      <w:r>
        <w:rPr>
          <w:caps w:val="false"/>
          <w:smallCaps w:val="false"/>
        </w:rPr>
        <w:t> </w:t>
      </w:r>
    </w:p>
    <w:p>
      <w:pPr>
        <w:pStyle w:val="TextBody"/>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(MARK ONE)</w:t>
      </w:r>
    </w:p>
    <w:p>
      <w:pPr>
        <w:pStyle w:val="TextBody"/>
        <w:spacing w:before="0" w:after="0"/>
        <w:jc w:val="center"/>
        <w:rPr>
          <w:caps w:val="false"/>
          <w:smallCaps w:val="false"/>
        </w:rPr>
      </w:pPr>
      <w:r>
        <w:rPr>
          <w:caps w:val="false"/>
          <w:smallCaps w:val="false"/>
        </w:rPr>
        <w:t xml:space="preserve">☒ </w:t>
      </w:r>
      <w:r>
        <w:rPr>
          <w:rFonts w:ascii="Times New Roman;Times;Serif" w:hAnsi="Times New Roman;Times;Serif"/>
          <w:b/>
          <w:i w:val="false"/>
          <w:caps w:val="false"/>
          <w:smallCaps w:val="false"/>
          <w:sz w:val="20"/>
        </w:rPr>
        <w:t>QUARTERLY REPORT PURSUANT TO SECTION 13 OR 15(d) OF THE SECURITIES EXCHANGE ACT OF 1934</w:t>
      </w:r>
    </w:p>
    <w:p>
      <w:pPr>
        <w:pStyle w:val="TextBody"/>
        <w:spacing w:before="0" w:after="0"/>
        <w:jc w:val="center"/>
        <w:rPr>
          <w:caps w:val="false"/>
          <w:smallCaps w:val="false"/>
        </w:rPr>
      </w:pPr>
      <w:r>
        <w:rPr>
          <w:caps w:val="false"/>
          <w:smallCaps w:val="false"/>
        </w:rPr>
        <w:t> </w:t>
      </w:r>
    </w:p>
    <w:p>
      <w:pPr>
        <w:pStyle w:val="TextBody"/>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quarterly period ended March 31, 2022</w:t>
      </w:r>
    </w:p>
    <w:p>
      <w:pPr>
        <w:pStyle w:val="TextBody"/>
        <w:spacing w:before="0" w:after="0"/>
        <w:jc w:val="center"/>
        <w:rPr>
          <w:caps w:val="false"/>
          <w:smallCaps w:val="false"/>
        </w:rPr>
      </w:pPr>
      <w:r>
        <w:rPr>
          <w:caps w:val="false"/>
          <w:smallCaps w:val="false"/>
        </w:rPr>
        <w:t> </w:t>
      </w:r>
    </w:p>
    <w:p>
      <w:pPr>
        <w:pStyle w:val="TextBody"/>
        <w:spacing w:before="0" w:after="0"/>
        <w:jc w:val="center"/>
        <w:rPr>
          <w:caps w:val="false"/>
          <w:smallCaps w:val="false"/>
        </w:rPr>
      </w:pPr>
      <w:r>
        <w:rPr>
          <w:caps w:val="false"/>
          <w:smallCaps w:val="false"/>
        </w:rPr>
        <w:t xml:space="preserve">☐ </w:t>
      </w:r>
      <w:r>
        <w:rPr>
          <w:rFonts w:ascii="Times New Roman;Times;Serif" w:hAnsi="Times New Roman;Times;Serif"/>
          <w:b/>
          <w:i w:val="false"/>
          <w:caps w:val="false"/>
          <w:smallCaps w:val="false"/>
          <w:sz w:val="20"/>
        </w:rPr>
        <w:t>TRANSITION REPORT PURSUANT TO SECTION 13 OR 15(d) OF THE SECURITIES EXCHANGE ACT OF 1934</w:t>
      </w:r>
    </w:p>
    <w:p>
      <w:pPr>
        <w:pStyle w:val="TextBody"/>
        <w:spacing w:before="0" w:after="0"/>
        <w:jc w:val="center"/>
        <w:rPr>
          <w:caps w:val="false"/>
          <w:smallCaps w:val="false"/>
        </w:rPr>
      </w:pPr>
      <w:r>
        <w:rPr>
          <w:caps w:val="false"/>
          <w:smallCaps w:val="false"/>
        </w:rPr>
        <w:t> </w:t>
      </w:r>
    </w:p>
    <w:p>
      <w:pPr>
        <w:pStyle w:val="TextBody"/>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For the transition period from          to</w:t>
      </w:r>
      <w:r>
        <w:rPr>
          <w:rFonts w:ascii="Times New Roman;Times;Serif" w:hAnsi="Times New Roman;Times;Serif"/>
          <w:b w:val="false"/>
          <w:i w:val="false"/>
          <w:caps w:val="false"/>
          <w:smallCaps w:val="false"/>
          <w:sz w:val="20"/>
        </w:rPr>
        <w:t>          </w:t>
      </w:r>
    </w:p>
    <w:p>
      <w:pPr>
        <w:pStyle w:val="TextBody"/>
        <w:spacing w:before="0" w:after="0"/>
        <w:jc w:val="center"/>
        <w:rPr>
          <w:caps w:val="false"/>
          <w:smallCaps w:val="false"/>
        </w:rPr>
      </w:pPr>
      <w:r>
        <w:rPr>
          <w:caps w:val="false"/>
          <w:smallCaps w:val="false"/>
        </w:rPr>
        <w:t> </w:t>
      </w:r>
    </w:p>
    <w:p>
      <w:pPr>
        <w:pStyle w:val="TextBody"/>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Commission file number: </w:t>
      </w:r>
      <w:r>
        <w:rPr>
          <w:rFonts w:ascii="Times New Roman;Times;Serif" w:hAnsi="Times New Roman;Times;Serif"/>
          <w:b/>
          <w:i w:val="false"/>
          <w:caps w:val="false"/>
          <w:smallCaps w:val="false"/>
          <w:sz w:val="20"/>
          <w:u w:val="single"/>
        </w:rPr>
        <w:t>001-39830</w:t>
      </w:r>
    </w:p>
    <w:p>
      <w:pPr>
        <w:pStyle w:val="TextBody"/>
        <w:spacing w:before="0" w:after="0"/>
        <w:jc w:val="center"/>
        <w:rPr>
          <w:caps w:val="false"/>
          <w:smallCaps w:val="false"/>
        </w:rPr>
      </w:pPr>
      <w:r>
        <w:rPr>
          <w:caps w:val="false"/>
          <w:smallCaps w:val="false"/>
        </w:rPr>
        <w:t> </w:t>
      </w:r>
    </w:p>
    <w:p>
      <w:pPr>
        <w:pStyle w:val="TextBody"/>
        <w:spacing w:before="0" w:after="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VENTOUX CCM ACQUISITION CORP.</w:t>
      </w:r>
    </w:p>
    <w:p>
      <w:pPr>
        <w:pStyle w:val="TextBody"/>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spacing w:before="0" w:after="0"/>
        <w:ind w:left="0" w:right="0" w:hanging="0"/>
        <w:jc w:val="both"/>
        <w:rPr>
          <w:caps w:val="false"/>
          <w:smallCaps w:val="false"/>
        </w:rPr>
      </w:pPr>
      <w:r>
        <w:rPr>
          <w:caps w:val="false"/>
          <w:smallCaps w:val="false"/>
        </w:rPr>
        <w:t> </w:t>
      </w:r>
    </w:p>
    <w:tbl>
      <w:tblPr>
        <w:tblW w:w="4090" w:type="dxa"/>
        <w:jc w:val="left"/>
        <w:tblInd w:w="0" w:type="dxa"/>
        <w:tblCellMar>
          <w:top w:w="0" w:type="dxa"/>
          <w:left w:w="0" w:type="dxa"/>
          <w:bottom w:w="28" w:type="dxa"/>
          <w:right w:w="0" w:type="dxa"/>
        </w:tblCellMar>
      </w:tblPr>
      <w:tblGrid>
        <w:gridCol w:w="2495"/>
        <w:gridCol w:w="60"/>
        <w:gridCol w:w="1535"/>
      </w:tblGrid>
      <w:tr>
        <w:trPr/>
        <w:tc>
          <w:tcPr>
            <w:tcW w:w="2495" w:type="dxa"/>
            <w:tcBorders>
              <w:bottom w:val="single" w:sz="12" w:space="0" w:color="000000"/>
            </w:tcBorders>
            <w:shd w:fill="auto" w:val="cle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Delaware</w:t>
            </w:r>
          </w:p>
        </w:tc>
        <w:tc>
          <w:tcPr>
            <w:tcW w:w="60" w:type="dxa"/>
            <w:tcBorders/>
            <w:shd w:fill="auto" w:val="clear"/>
            <w:tcMar>
              <w:bottom w:w="0" w:type="dxa"/>
            </w:tcMar>
            <w:vAlign w:val="center"/>
          </w:tcPr>
          <w:p>
            <w:pPr>
              <w:pStyle w:val="TableContents"/>
              <w:spacing w:before="0" w:after="283"/>
              <w:jc w:val="center"/>
              <w:rPr>
                <w:caps w:val="false"/>
                <w:smallCaps w:val="false"/>
              </w:rPr>
            </w:pPr>
            <w:r>
              <w:rPr>
                <w:caps w:val="false"/>
                <w:smallCaps w:val="false"/>
              </w:rPr>
              <w:t> </w:t>
            </w:r>
          </w:p>
        </w:tc>
        <w:tc>
          <w:tcPr>
            <w:tcW w:w="1535" w:type="dxa"/>
            <w:tcBorders>
              <w:bottom w:val="single" w:sz="12" w:space="0" w:color="000000"/>
            </w:tcBorders>
            <w:shd w:fill="auto" w:val="cle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84-2968594</w:t>
            </w:r>
          </w:p>
        </w:tc>
      </w:tr>
      <w:tr>
        <w:trPr/>
        <w:tc>
          <w:tcPr>
            <w:tcW w:w="2495" w:type="dxa"/>
            <w:tcBorders/>
            <w:shd w:fill="auto" w:val="clear"/>
            <w:tcMar>
              <w:bottom w:w="0" w:type="dxa"/>
            </w:tcM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 or other jurisdiction of</w:t>
              <w:br/>
              <w:t>incorporation or organization)</w:t>
            </w:r>
          </w:p>
        </w:tc>
        <w:tc>
          <w:tcPr>
            <w:tcW w:w="60" w:type="dxa"/>
            <w:tcBorders/>
            <w:shd w:fill="auto" w:val="clear"/>
            <w:tcMar>
              <w:bottom w:w="0" w:type="dxa"/>
            </w:tcMar>
            <w:vAlign w:val="center"/>
          </w:tcPr>
          <w:p>
            <w:pPr>
              <w:pStyle w:val="TableContents"/>
              <w:spacing w:before="0" w:after="283"/>
              <w:jc w:val="center"/>
              <w:rPr>
                <w:caps w:val="false"/>
                <w:smallCaps w:val="false"/>
              </w:rPr>
            </w:pPr>
            <w:r>
              <w:rPr>
                <w:caps w:val="false"/>
                <w:smallCaps w:val="false"/>
              </w:rPr>
              <w:t> </w:t>
            </w:r>
          </w:p>
        </w:tc>
        <w:tc>
          <w:tcPr>
            <w:tcW w:w="1535" w:type="dxa"/>
            <w:tcBorders/>
            <w:shd w:fill="auto" w:val="clear"/>
            <w:tcMar>
              <w:bottom w:w="0" w:type="dxa"/>
            </w:tcM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(I.R.S. Employer</w:t>
              <w:br/>
              <w:t>Identification No.)</w:t>
            </w:r>
          </w:p>
        </w:tc>
      </w:tr>
    </w:tbl>
    <w:p>
      <w:pPr>
        <w:pStyle w:val="TextBody"/>
        <w:spacing w:before="0" w:after="0"/>
        <w:ind w:left="0" w:right="0" w:hanging="0"/>
        <w:jc w:val="both"/>
        <w:rPr>
          <w:caps w:val="false"/>
          <w:smallCaps w:val="false"/>
        </w:rPr>
      </w:pPr>
      <w:r>
        <w:rPr>
          <w:caps w:val="false"/>
          <w:smallCaps w:val="false"/>
        </w:rPr>
        <w:t> </w:t>
      </w:r>
    </w:p>
    <w:p>
      <w:pPr>
        <w:pStyle w:val="TextBody"/>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 East Putnam Avenue, Floor 4</w:t>
      </w:r>
    </w:p>
    <w:p>
      <w:pPr>
        <w:pStyle w:val="TextBody"/>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Greenwich, CT</w:t>
      </w:r>
    </w:p>
    <w:p>
      <w:pPr>
        <w:pStyle w:val="TextBody"/>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w:t>
      </w:r>
    </w:p>
    <w:p>
      <w:pPr>
        <w:pStyle w:val="TextBody"/>
        <w:spacing w:before="0" w:after="0"/>
        <w:jc w:val="center"/>
        <w:rPr>
          <w:caps w:val="false"/>
          <w:smallCaps w:val="false"/>
        </w:rPr>
      </w:pPr>
      <w:r>
        <w:rPr>
          <w:caps w:val="false"/>
          <w:smallCaps w:val="false"/>
        </w:rPr>
        <w:t> </w:t>
      </w:r>
    </w:p>
    <w:p>
      <w:pPr>
        <w:pStyle w:val="TextBody"/>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(646) 465-9000</w:t>
      </w:r>
    </w:p>
    <w:p>
      <w:pPr>
        <w:pStyle w:val="TextBody"/>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(Registrant’s telephone number)</w:t>
      </w:r>
    </w:p>
    <w:p>
      <w:pPr>
        <w:pStyle w:val="TextBody"/>
        <w:spacing w:before="0" w:after="0"/>
        <w:jc w:val="center"/>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spacing w:before="0" w:after="0"/>
        <w:ind w:left="0" w:right="0" w:hanging="0"/>
        <w:jc w:val="both"/>
        <w:rPr>
          <w:caps w:val="false"/>
          <w:smallCaps w:val="false"/>
        </w:rPr>
      </w:pPr>
      <w:r>
        <w:rPr>
          <w:caps w:val="false"/>
          <w:smallCaps w:val="false"/>
        </w:rPr>
        <w:t> </w:t>
      </w:r>
    </w:p>
    <w:tbl>
      <w:tblPr>
        <w:tblW w:w="6975" w:type="dxa"/>
        <w:jc w:val="left"/>
        <w:tblInd w:w="0" w:type="dxa"/>
        <w:tblCellMar>
          <w:top w:w="0" w:type="dxa"/>
          <w:left w:w="0" w:type="dxa"/>
          <w:bottom w:w="28" w:type="dxa"/>
          <w:right w:w="0" w:type="dxa"/>
        </w:tblCellMar>
      </w:tblPr>
      <w:tblGrid>
        <w:gridCol w:w="1535"/>
        <w:gridCol w:w="60"/>
        <w:gridCol w:w="1610"/>
        <w:gridCol w:w="60"/>
        <w:gridCol w:w="3710"/>
      </w:tblGrid>
      <w:tr>
        <w:trPr/>
        <w:tc>
          <w:tcPr>
            <w:tcW w:w="1535" w:type="dxa"/>
            <w:tcBorders>
              <w:bottom w:val="single" w:sz="12" w:space="0" w:color="000000"/>
            </w:tcBorders>
            <w:shd w:fill="auto" w:val="cle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Title of each class</w:t>
            </w:r>
          </w:p>
        </w:tc>
        <w:tc>
          <w:tcPr>
            <w:tcW w:w="60" w:type="dxa"/>
            <w:tcBorders/>
            <w:shd w:fill="auto" w:val="clear"/>
            <w:tcMar>
              <w:bottom w:w="0" w:type="dxa"/>
            </w:tcMar>
            <w:vAlign w:val="center"/>
          </w:tcPr>
          <w:p>
            <w:pPr>
              <w:pStyle w:val="TableContents"/>
              <w:spacing w:before="0" w:after="283"/>
              <w:jc w:val="center"/>
              <w:rPr>
                <w:caps w:val="false"/>
                <w:smallCaps w:val="false"/>
              </w:rPr>
            </w:pPr>
            <w:r>
              <w:rPr>
                <w:caps w:val="false"/>
                <w:smallCaps w:val="false"/>
              </w:rPr>
              <w:t> </w:t>
            </w:r>
          </w:p>
        </w:tc>
        <w:tc>
          <w:tcPr>
            <w:tcW w:w="1610" w:type="dxa"/>
            <w:tcBorders>
              <w:bottom w:val="single" w:sz="12" w:space="0" w:color="000000"/>
            </w:tcBorders>
            <w:shd w:fill="auto" w:val="cle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Trading Symbol(s)</w:t>
            </w:r>
          </w:p>
        </w:tc>
        <w:tc>
          <w:tcPr>
            <w:tcW w:w="60" w:type="dxa"/>
            <w:tcBorders/>
            <w:shd w:fill="auto" w:val="clear"/>
            <w:tcMar>
              <w:bottom w:w="0" w:type="dxa"/>
            </w:tcMar>
            <w:vAlign w:val="center"/>
          </w:tcPr>
          <w:p>
            <w:pPr>
              <w:pStyle w:val="TableContents"/>
              <w:spacing w:before="0" w:after="283"/>
              <w:jc w:val="center"/>
              <w:rPr>
                <w:caps w:val="false"/>
                <w:smallCaps w:val="false"/>
              </w:rPr>
            </w:pPr>
            <w:r>
              <w:rPr>
                <w:caps w:val="false"/>
                <w:smallCaps w:val="false"/>
              </w:rPr>
              <w:t> </w:t>
            </w:r>
          </w:p>
        </w:tc>
        <w:tc>
          <w:tcPr>
            <w:tcW w:w="3710" w:type="dxa"/>
            <w:tcBorders>
              <w:bottom w:val="single" w:sz="12" w:space="0" w:color="000000"/>
            </w:tcBorders>
            <w:shd w:fill="auto" w:val="cle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of each exchange on which registered</w:t>
            </w:r>
          </w:p>
        </w:tc>
      </w:tr>
      <w:tr>
        <w:trPr/>
        <w:tc>
          <w:tcPr>
            <w:tcW w:w="1535" w:type="dxa"/>
            <w:tcBorders/>
            <w:shd w:fill="CCEEFF" w:val="clear"/>
            <w:tcMar>
              <w:bottom w:w="0" w:type="dxa"/>
            </w:tcM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Common Stock</w:t>
            </w:r>
          </w:p>
        </w:tc>
        <w:tc>
          <w:tcPr>
            <w:tcW w:w="60" w:type="dxa"/>
            <w:tcBorders/>
            <w:shd w:fill="CCEEFF" w:val="clear"/>
            <w:tcMar>
              <w:bottom w:w="0" w:type="dxa"/>
            </w:tcMar>
            <w:vAlign w:val="center"/>
          </w:tcPr>
          <w:p>
            <w:pPr>
              <w:pStyle w:val="TableContents"/>
              <w:spacing w:before="0" w:after="283"/>
              <w:jc w:val="center"/>
              <w:rPr>
                <w:caps w:val="false"/>
                <w:smallCaps w:val="false"/>
              </w:rPr>
            </w:pPr>
            <w:r>
              <w:rPr>
                <w:caps w:val="false"/>
                <w:smallCaps w:val="false"/>
              </w:rPr>
              <w:t> </w:t>
            </w:r>
          </w:p>
        </w:tc>
        <w:tc>
          <w:tcPr>
            <w:tcW w:w="1610" w:type="dxa"/>
            <w:tcBorders/>
            <w:shd w:fill="CCEEFF" w:val="clear"/>
            <w:tcMar>
              <w:bottom w:w="0" w:type="dxa"/>
            </w:tcM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VTAQ</w:t>
            </w:r>
          </w:p>
        </w:tc>
        <w:tc>
          <w:tcPr>
            <w:tcW w:w="60" w:type="dxa"/>
            <w:tcBorders/>
            <w:shd w:fill="CCEEFF" w:val="clear"/>
            <w:tcMar>
              <w:bottom w:w="0" w:type="dxa"/>
            </w:tcMar>
            <w:vAlign w:val="center"/>
          </w:tcPr>
          <w:p>
            <w:pPr>
              <w:pStyle w:val="TableContents"/>
              <w:spacing w:before="0" w:after="283"/>
              <w:jc w:val="center"/>
              <w:rPr>
                <w:caps w:val="false"/>
                <w:smallCaps w:val="false"/>
              </w:rPr>
            </w:pPr>
            <w:r>
              <w:rPr>
                <w:caps w:val="false"/>
                <w:smallCaps w:val="false"/>
              </w:rPr>
              <w:t> </w:t>
            </w:r>
          </w:p>
        </w:tc>
        <w:tc>
          <w:tcPr>
            <w:tcW w:w="3710" w:type="dxa"/>
            <w:tcBorders/>
            <w:shd w:fill="CCEEFF" w:val="clear"/>
            <w:tcMar>
              <w:bottom w:w="0" w:type="dxa"/>
            </w:tcM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Nasdaq Stock Market LLC</w:t>
            </w:r>
          </w:p>
        </w:tc>
      </w:tr>
      <w:tr>
        <w:trPr/>
        <w:tc>
          <w:tcPr>
            <w:tcW w:w="1535" w:type="dxa"/>
            <w:tcBorders/>
            <w:shd w:fill="auto" w:val="clear"/>
            <w:tcMar>
              <w:bottom w:w="0" w:type="dxa"/>
            </w:tcM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Warrants</w:t>
            </w:r>
          </w:p>
        </w:tc>
        <w:tc>
          <w:tcPr>
            <w:tcW w:w="60" w:type="dxa"/>
            <w:tcBorders/>
            <w:shd w:fill="auto" w:val="clear"/>
            <w:tcMar>
              <w:bottom w:w="0" w:type="dxa"/>
            </w:tcMar>
            <w:vAlign w:val="center"/>
          </w:tcPr>
          <w:p>
            <w:pPr>
              <w:pStyle w:val="TableContents"/>
              <w:spacing w:before="0" w:after="283"/>
              <w:jc w:val="center"/>
              <w:rPr>
                <w:caps w:val="false"/>
                <w:smallCaps w:val="false"/>
              </w:rPr>
            </w:pPr>
            <w:r>
              <w:rPr>
                <w:caps w:val="false"/>
                <w:smallCaps w:val="false"/>
              </w:rPr>
              <w:t> </w:t>
            </w:r>
          </w:p>
        </w:tc>
        <w:tc>
          <w:tcPr>
            <w:tcW w:w="1610" w:type="dxa"/>
            <w:tcBorders/>
            <w:shd w:fill="auto" w:val="clear"/>
            <w:tcMar>
              <w:bottom w:w="0" w:type="dxa"/>
            </w:tcM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VTAQW</w:t>
            </w:r>
          </w:p>
        </w:tc>
        <w:tc>
          <w:tcPr>
            <w:tcW w:w="60" w:type="dxa"/>
            <w:tcBorders/>
            <w:shd w:fill="auto" w:val="clear"/>
            <w:tcMar>
              <w:bottom w:w="0" w:type="dxa"/>
            </w:tcMar>
            <w:vAlign w:val="center"/>
          </w:tcPr>
          <w:p>
            <w:pPr>
              <w:pStyle w:val="TableContents"/>
              <w:spacing w:before="0" w:after="283"/>
              <w:jc w:val="center"/>
              <w:rPr>
                <w:caps w:val="false"/>
                <w:smallCaps w:val="false"/>
              </w:rPr>
            </w:pPr>
            <w:r>
              <w:rPr>
                <w:caps w:val="false"/>
                <w:smallCaps w:val="false"/>
              </w:rPr>
              <w:t> </w:t>
            </w:r>
          </w:p>
        </w:tc>
        <w:tc>
          <w:tcPr>
            <w:tcW w:w="3710" w:type="dxa"/>
            <w:tcBorders/>
            <w:shd w:fill="auto" w:val="clear"/>
            <w:tcMar>
              <w:bottom w:w="0" w:type="dxa"/>
            </w:tcM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Nasdaq Stock Market LLC</w:t>
            </w:r>
          </w:p>
        </w:tc>
      </w:tr>
      <w:tr>
        <w:trPr/>
        <w:tc>
          <w:tcPr>
            <w:tcW w:w="1535" w:type="dxa"/>
            <w:tcBorders/>
            <w:shd w:fill="CCEEFF" w:val="clear"/>
            <w:tcMar>
              <w:bottom w:w="0" w:type="dxa"/>
            </w:tcM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Rights</w:t>
            </w:r>
          </w:p>
        </w:tc>
        <w:tc>
          <w:tcPr>
            <w:tcW w:w="60" w:type="dxa"/>
            <w:tcBorders/>
            <w:shd w:fill="CCEEFF" w:val="clear"/>
            <w:tcMar>
              <w:bottom w:w="0" w:type="dxa"/>
            </w:tcMar>
            <w:vAlign w:val="center"/>
          </w:tcPr>
          <w:p>
            <w:pPr>
              <w:pStyle w:val="TableContents"/>
              <w:spacing w:before="0" w:after="283"/>
              <w:jc w:val="center"/>
              <w:rPr>
                <w:caps w:val="false"/>
                <w:smallCaps w:val="false"/>
              </w:rPr>
            </w:pPr>
            <w:r>
              <w:rPr>
                <w:caps w:val="false"/>
                <w:smallCaps w:val="false"/>
              </w:rPr>
              <w:t> </w:t>
            </w:r>
          </w:p>
        </w:tc>
        <w:tc>
          <w:tcPr>
            <w:tcW w:w="1610" w:type="dxa"/>
            <w:tcBorders/>
            <w:shd w:fill="CCEEFF" w:val="clear"/>
            <w:tcMar>
              <w:bottom w:w="0" w:type="dxa"/>
            </w:tcM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VTAQR</w:t>
            </w:r>
          </w:p>
        </w:tc>
        <w:tc>
          <w:tcPr>
            <w:tcW w:w="60" w:type="dxa"/>
            <w:tcBorders/>
            <w:shd w:fill="CCEEFF" w:val="clear"/>
            <w:tcMar>
              <w:bottom w:w="0" w:type="dxa"/>
            </w:tcMar>
            <w:vAlign w:val="center"/>
          </w:tcPr>
          <w:p>
            <w:pPr>
              <w:pStyle w:val="TableContents"/>
              <w:spacing w:before="0" w:after="283"/>
              <w:jc w:val="center"/>
              <w:rPr>
                <w:caps w:val="false"/>
                <w:smallCaps w:val="false"/>
              </w:rPr>
            </w:pPr>
            <w:r>
              <w:rPr>
                <w:caps w:val="false"/>
                <w:smallCaps w:val="false"/>
              </w:rPr>
              <w:t> </w:t>
            </w:r>
          </w:p>
        </w:tc>
        <w:tc>
          <w:tcPr>
            <w:tcW w:w="3710" w:type="dxa"/>
            <w:tcBorders/>
            <w:shd w:fill="CCEEFF" w:val="clear"/>
            <w:tcMar>
              <w:bottom w:w="0" w:type="dxa"/>
            </w:tcM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Nasdaq Stock Market LLC</w:t>
            </w:r>
          </w:p>
        </w:tc>
      </w:tr>
      <w:tr>
        <w:trPr/>
        <w:tc>
          <w:tcPr>
            <w:tcW w:w="1535" w:type="dxa"/>
            <w:tcBorders/>
            <w:shd w:fill="auto" w:val="clear"/>
            <w:tcMar>
              <w:bottom w:w="0" w:type="dxa"/>
            </w:tcM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Units</w:t>
            </w:r>
          </w:p>
        </w:tc>
        <w:tc>
          <w:tcPr>
            <w:tcW w:w="60" w:type="dxa"/>
            <w:tcBorders/>
            <w:shd w:fill="auto" w:val="clear"/>
            <w:tcMar>
              <w:bottom w:w="0" w:type="dxa"/>
            </w:tcMar>
            <w:vAlign w:val="center"/>
          </w:tcPr>
          <w:p>
            <w:pPr>
              <w:pStyle w:val="TableContents"/>
              <w:spacing w:before="0" w:after="283"/>
              <w:jc w:val="center"/>
              <w:rPr>
                <w:caps w:val="false"/>
                <w:smallCaps w:val="false"/>
              </w:rPr>
            </w:pPr>
            <w:r>
              <w:rPr>
                <w:caps w:val="false"/>
                <w:smallCaps w:val="false"/>
              </w:rPr>
              <w:t> </w:t>
            </w:r>
          </w:p>
        </w:tc>
        <w:tc>
          <w:tcPr>
            <w:tcW w:w="1610" w:type="dxa"/>
            <w:tcBorders/>
            <w:shd w:fill="auto" w:val="clear"/>
            <w:tcMar>
              <w:bottom w:w="0" w:type="dxa"/>
            </w:tcM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VTAQU</w:t>
            </w:r>
          </w:p>
        </w:tc>
        <w:tc>
          <w:tcPr>
            <w:tcW w:w="60" w:type="dxa"/>
            <w:tcBorders/>
            <w:shd w:fill="auto" w:val="clear"/>
            <w:tcMar>
              <w:bottom w:w="0" w:type="dxa"/>
            </w:tcMar>
            <w:vAlign w:val="center"/>
          </w:tcPr>
          <w:p>
            <w:pPr>
              <w:pStyle w:val="TableContents"/>
              <w:spacing w:before="0" w:after="283"/>
              <w:jc w:val="center"/>
              <w:rPr>
                <w:caps w:val="false"/>
                <w:smallCaps w:val="false"/>
              </w:rPr>
            </w:pPr>
            <w:r>
              <w:rPr>
                <w:caps w:val="false"/>
                <w:smallCaps w:val="false"/>
              </w:rPr>
              <w:t> </w:t>
            </w:r>
          </w:p>
        </w:tc>
        <w:tc>
          <w:tcPr>
            <w:tcW w:w="3710" w:type="dxa"/>
            <w:tcBorders/>
            <w:shd w:fill="auto" w:val="clear"/>
            <w:tcMar>
              <w:bottom w:w="0" w:type="dxa"/>
            </w:tcM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Nasdaq Stock Market LLC</w:t>
            </w:r>
          </w:p>
        </w:tc>
      </w:tr>
    </w:tbl>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   No ☐</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spacing w:before="0" w:after="0"/>
        <w:ind w:left="0" w:right="0" w:hanging="0"/>
        <w:jc w:val="both"/>
        <w:rPr>
          <w:caps w:val="false"/>
          <w:smallCaps w:val="false"/>
        </w:rPr>
      </w:pPr>
      <w:r>
        <w:rPr>
          <w:caps w:val="false"/>
          <w:smallCaps w:val="false"/>
        </w:rPr>
        <w:t> </w:t>
      </w:r>
    </w:p>
    <w:tbl>
      <w:tblPr>
        <w:tblW w:w="4535" w:type="dxa"/>
        <w:jc w:val="left"/>
        <w:tblInd w:w="0" w:type="dxa"/>
        <w:tblCellMar>
          <w:top w:w="0" w:type="dxa"/>
          <w:left w:w="0" w:type="dxa"/>
          <w:bottom w:w="0" w:type="dxa"/>
          <w:right w:w="0" w:type="dxa"/>
        </w:tblCellMar>
      </w:tblPr>
      <w:tblGrid>
        <w:gridCol w:w="1835"/>
        <w:gridCol w:w="230"/>
        <w:gridCol w:w="2225"/>
        <w:gridCol w:w="245"/>
      </w:tblGrid>
      <w:tr>
        <w:trPr/>
        <w:tc>
          <w:tcPr>
            <w:tcW w:w="1835"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Large accelerated filer</w:t>
            </w:r>
          </w:p>
        </w:tc>
        <w:tc>
          <w:tcPr>
            <w:tcW w:w="230" w:type="dxa"/>
            <w:tcBorders/>
            <w:shd w:fill="auto" w:val="clear"/>
            <w:vAlign w:val="center"/>
          </w:tcPr>
          <w:p>
            <w:pPr>
              <w:pStyle w:val="TableContents"/>
              <w:spacing w:before="0" w:after="283"/>
              <w:jc w:val="both"/>
              <w:rPr>
                <w:caps w:val="false"/>
                <w:smallCaps w:val="false"/>
              </w:rPr>
            </w:pPr>
            <w:r>
              <w:rPr>
                <w:caps w:val="false"/>
                <w:smallCaps w:val="false"/>
              </w:rPr>
              <w:t>☐</w:t>
            </w:r>
          </w:p>
        </w:tc>
        <w:tc>
          <w:tcPr>
            <w:tcW w:w="2225"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Accelerated filer</w:t>
            </w:r>
          </w:p>
        </w:tc>
        <w:tc>
          <w:tcPr>
            <w:tcW w:w="245" w:type="dxa"/>
            <w:tcBorders/>
            <w:shd w:fill="auto" w:val="clear"/>
            <w:vAlign w:val="center"/>
          </w:tcPr>
          <w:p>
            <w:pPr>
              <w:pStyle w:val="TableContents"/>
              <w:spacing w:before="0" w:after="283"/>
              <w:jc w:val="both"/>
              <w:rPr>
                <w:caps w:val="false"/>
                <w:smallCaps w:val="false"/>
              </w:rPr>
            </w:pPr>
            <w:r>
              <w:rPr>
                <w:caps w:val="false"/>
                <w:smallCaps w:val="false"/>
              </w:rPr>
              <w:t>☐</w:t>
            </w:r>
          </w:p>
        </w:tc>
      </w:tr>
      <w:tr>
        <w:trPr/>
        <w:tc>
          <w:tcPr>
            <w:tcW w:w="1835"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Non-accelerated filer</w:t>
            </w:r>
          </w:p>
        </w:tc>
        <w:tc>
          <w:tcPr>
            <w:tcW w:w="230" w:type="dxa"/>
            <w:tcBorders/>
            <w:shd w:fill="auto" w:val="clear"/>
            <w:vAlign w:val="center"/>
          </w:tcPr>
          <w:p>
            <w:pPr>
              <w:pStyle w:val="TableContents"/>
              <w:spacing w:before="0" w:after="283"/>
              <w:jc w:val="both"/>
              <w:rPr>
                <w:caps w:val="false"/>
                <w:smallCaps w:val="false"/>
              </w:rPr>
            </w:pPr>
            <w:r>
              <w:rPr>
                <w:caps w:val="false"/>
                <w:smallCaps w:val="false"/>
              </w:rPr>
              <w:t>☒</w:t>
            </w:r>
          </w:p>
        </w:tc>
        <w:tc>
          <w:tcPr>
            <w:tcW w:w="2225"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Smaller reporting company</w:t>
            </w:r>
          </w:p>
        </w:tc>
        <w:tc>
          <w:tcPr>
            <w:tcW w:w="245" w:type="dxa"/>
            <w:tcBorders/>
            <w:shd w:fill="auto" w:val="clear"/>
            <w:vAlign w:val="center"/>
          </w:tcPr>
          <w:p>
            <w:pPr>
              <w:pStyle w:val="TableContents"/>
              <w:spacing w:before="0" w:after="283"/>
              <w:jc w:val="both"/>
              <w:rPr>
                <w:caps w:val="false"/>
                <w:smallCaps w:val="false"/>
              </w:rPr>
            </w:pPr>
            <w:r>
              <w:rPr>
                <w:caps w:val="false"/>
                <w:smallCaps w:val="false"/>
              </w:rPr>
              <w:t>☒</w:t>
            </w:r>
          </w:p>
        </w:tc>
      </w:tr>
      <w:tr>
        <w:trPr/>
        <w:tc>
          <w:tcPr>
            <w:tcW w:w="2065" w:type="dxa"/>
            <w:gridSpan w:val="2"/>
            <w:tcBorders/>
            <w:shd w:fill="auto" w:val="clear"/>
            <w:vAlign w:val="center"/>
          </w:tcPr>
          <w:p>
            <w:pPr>
              <w:pStyle w:val="TableContents"/>
              <w:spacing w:before="0" w:after="283"/>
              <w:jc w:val="both"/>
              <w:rPr>
                <w:caps w:val="false"/>
                <w:smallCaps w:val="false"/>
              </w:rPr>
            </w:pPr>
            <w:r>
              <w:rPr>
                <w:caps w:val="false"/>
                <w:smallCaps w:val="false"/>
              </w:rPr>
              <w:t> </w:t>
            </w:r>
          </w:p>
        </w:tc>
        <w:tc>
          <w:tcPr>
            <w:tcW w:w="2225"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Emerging growth company</w:t>
            </w:r>
          </w:p>
        </w:tc>
        <w:tc>
          <w:tcPr>
            <w:tcW w:w="245" w:type="dxa"/>
            <w:tcBorders/>
            <w:shd w:fill="auto" w:val="clear"/>
            <w:vAlign w:val="center"/>
          </w:tcPr>
          <w:p>
            <w:pPr>
              <w:pStyle w:val="TableContents"/>
              <w:spacing w:before="0" w:after="283"/>
              <w:jc w:val="both"/>
              <w:rPr>
                <w:caps w:val="false"/>
                <w:smallCaps w:val="false"/>
              </w:rPr>
            </w:pPr>
            <w:r>
              <w:rPr>
                <w:caps w:val="false"/>
                <w:smallCaps w:val="false"/>
              </w:rPr>
              <w:t>☒</w:t>
            </w:r>
          </w:p>
        </w:tc>
      </w:tr>
    </w:tbl>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 shell company (as defined in Rule 12b-2 of the Exchange Act). Yes ☒   No ☐</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May 13, 2022, there were 21,562,500 shares of common stock, $0.0001 par value, issued and outstanding.</w:t>
      </w:r>
    </w:p>
    <w:p>
      <w:pPr>
        <w:pStyle w:val="TextBody"/>
        <w:spacing w:before="0" w:after="0"/>
        <w:ind w:left="0" w:right="0" w:hanging="0"/>
        <w:jc w:val="both"/>
        <w:rPr>
          <w:caps w:val="false"/>
          <w:smallCaps w:val="false"/>
        </w:rPr>
      </w:pPr>
      <w:r>
        <w:rPr>
          <w:caps w:val="false"/>
          <w:smallCaps w:val="false"/>
        </w:rPr>
        <w:t> </w:t>
      </w:r>
    </w:p>
    <w:p>
      <w:pPr>
        <w:pStyle w:val="TextBody"/>
        <w:rPr>
          <w:bdr w:val="single" w:sz="8" w:space="1" w:color="000000"/>
        </w:rPr>
      </w:pPr>
      <w:r>
        <w:rPr>
          <w:bdr w:val="single" w:sz="8" w:space="1" w:color="000000"/>
        </w:rPr>
        <w:t> </w:t>
      </w:r>
    </w:p>
    <w:p>
      <w:pPr>
        <w:pStyle w:val="TextBody"/>
        <w:spacing w:before="0" w:after="0"/>
        <w:ind w:left="0" w:right="0" w:hanging="0"/>
        <w:jc w:val="both"/>
        <w:rPr>
          <w:caps w:val="false"/>
          <w:smallCaps w:val="false"/>
        </w:rPr>
      </w:pPr>
      <w:r>
        <w:rPr>
          <w:caps w:val="false"/>
          <w:smallCaps w:val="false"/>
        </w:rPr>
        <w:t> </w:t>
      </w:r>
    </w:p>
    <w:p>
      <w:pPr>
        <w:pStyle w:val="TextBody"/>
        <w:spacing w:before="0" w:after="0"/>
        <w:jc w:val="center"/>
        <w:rPr>
          <w:caps w:val="false"/>
          <w:smallCaps w:val="false"/>
          <w:bdr w:val="single" w:sz="12" w:space="1" w:color="000000"/>
        </w:rPr>
      </w:pPr>
      <w:r>
        <w:rPr>
          <w:caps w:val="false"/>
          <w:smallCaps w:val="false"/>
          <w:bdr w:val="single" w:sz="12" w:space="1" w:color="000000"/>
        </w:rPr>
        <w:t> </w:t>
      </w:r>
    </w:p>
    <w:p>
      <w:pPr>
        <w:pStyle w:val="TextBody"/>
        <w:spacing w:before="0" w:after="0"/>
        <w:ind w:left="0" w:right="0" w:hanging="0"/>
        <w:rPr/>
      </w:pPr>
      <w:r>
        <w:rPr/>
        <w:t> </w:t>
      </w:r>
    </w:p>
    <w:p>
      <w:pPr>
        <w:pStyle w:val="TextBody"/>
        <w:spacing w:before="0" w:after="0"/>
        <w:ind w:left="0" w:right="0" w:hanging="0"/>
        <w:jc w:val="both"/>
        <w:rPr>
          <w:caps w:val="false"/>
          <w:smallCaps w:val="false"/>
        </w:rPr>
      </w:pPr>
      <w:r>
        <w:rPr>
          <w:caps w:val="false"/>
          <w:smallCaps w:val="false"/>
        </w:rPr>
        <w:t> </w:t>
      </w:r>
    </w:p>
    <w:p>
      <w:pPr>
        <w:pStyle w:val="TextBody"/>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VENTOUX CCM ACQUISITION CORP.</w:t>
      </w:r>
    </w:p>
    <w:p>
      <w:pPr>
        <w:pStyle w:val="TextBody"/>
        <w:spacing w:before="0" w:after="0"/>
        <w:jc w:val="center"/>
        <w:rPr>
          <w:caps w:val="false"/>
          <w:smallCaps w:val="false"/>
        </w:rPr>
      </w:pPr>
      <w:r>
        <w:rPr>
          <w:caps w:val="false"/>
          <w:smallCaps w:val="false"/>
        </w:rPr>
        <w:t> </w:t>
      </w:r>
    </w:p>
    <w:p>
      <w:pPr>
        <w:pStyle w:val="TextBody"/>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10-Q FOR THE QUARTER ENDED MARCH 31, 2022</w:t>
      </w:r>
    </w:p>
    <w:p>
      <w:pPr>
        <w:pStyle w:val="TextBody"/>
        <w:spacing w:before="0" w:after="0"/>
        <w:jc w:val="center"/>
        <w:rPr>
          <w:caps w:val="false"/>
          <w:smallCaps w:val="false"/>
        </w:rPr>
      </w:pPr>
      <w:r>
        <w:rPr>
          <w:caps w:val="false"/>
          <w:smallCaps w:val="false"/>
        </w:rPr>
        <w:t> </w:t>
      </w:r>
    </w:p>
    <w:p>
      <w:pPr>
        <w:pStyle w:val="TextBody"/>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TABLE OF CONTENTS</w:t>
      </w:r>
    </w:p>
    <w:p>
      <w:pPr>
        <w:pStyle w:val="TextBody"/>
        <w:spacing w:before="0" w:after="0"/>
        <w:ind w:left="0" w:right="0" w:hanging="0"/>
        <w:jc w:val="both"/>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9718"/>
        <w:gridCol w:w="60"/>
        <w:gridCol w:w="427"/>
      </w:tblGrid>
      <w:tr>
        <w:trPr/>
        <w:tc>
          <w:tcPr>
            <w:tcW w:w="9718" w:type="dxa"/>
            <w:tcBorders/>
            <w:shd w:fill="auto" w:val="clear"/>
            <w:vAlign w:val="center"/>
          </w:tcPr>
          <w:p>
            <w:pPr>
              <w:pStyle w:val="TableContents"/>
              <w:spacing w:before="0" w:after="283"/>
              <w:ind w:left="0" w:right="0" w:hanging="180"/>
              <w:jc w:val="both"/>
              <w:rPr>
                <w:caps w:val="false"/>
                <w:smallCaps w:val="false"/>
              </w:rPr>
            </w:pPr>
            <w:r>
              <w:rPr>
                <w:caps w:val="false"/>
                <w:smallCaps w:val="false"/>
              </w:rPr>
              <w:t> </w:t>
            </w:r>
          </w:p>
        </w:tc>
        <w:tc>
          <w:tcPr>
            <w:tcW w:w="60"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427" w:type="dxa"/>
            <w:tcBorders>
              <w:bottom w:val="single" w:sz="12" w:space="0" w:color="000000"/>
            </w:tcBorders>
            <w:shd w:fill="auto" w:val="clear"/>
            <w:tcMar>
              <w:bottom w:w="28" w:type="dxa"/>
            </w:tcMar>
            <w:vAlign w:val="center"/>
          </w:tcPr>
          <w:p>
            <w:pPr>
              <w:pStyle w:val="TableContents"/>
              <w:spacing w:before="0" w:after="283"/>
              <w:ind w:left="0" w:right="0" w:hanging="18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Page</w:t>
            </w:r>
          </w:p>
        </w:tc>
      </w:tr>
      <w:tr>
        <w:trPr/>
        <w:tc>
          <w:tcPr>
            <w:tcW w:w="9718" w:type="dxa"/>
            <w:tcBorders/>
            <w:shd w:fill="CCEEFF" w:val="clear"/>
            <w:vAlign w:val="center"/>
          </w:tcPr>
          <w:p>
            <w:pPr>
              <w:pStyle w:val="TableContents"/>
              <w:spacing w:before="0" w:after="283"/>
              <w:jc w:val="both"/>
              <w:rPr/>
            </w:pPr>
            <w:hyperlink w:anchor="a_001">
              <w:r>
                <w:rPr>
                  <w:rStyle w:val="InternetLink"/>
                  <w:rFonts w:ascii="Times New Roman;Times;Serif" w:hAnsi="Times New Roman;Times;Serif"/>
                  <w:b w:val="false"/>
                  <w:i w:val="false"/>
                  <w:caps w:val="false"/>
                  <w:smallCaps w:val="false"/>
                  <w:sz w:val="20"/>
                </w:rPr>
                <w:t>Part I. Financial Information</w:t>
              </w:r>
            </w:hyperlink>
          </w:p>
        </w:tc>
        <w:tc>
          <w:tcPr>
            <w:tcW w:w="60" w:type="dxa"/>
            <w:tcBorders/>
            <w:shd w:fill="CCEEFF" w:val="clear"/>
            <w:vAlign w:val="center"/>
          </w:tcPr>
          <w:p>
            <w:pPr>
              <w:pStyle w:val="TableContents"/>
              <w:spacing w:before="0" w:after="283"/>
              <w:jc w:val="both"/>
              <w:rPr>
                <w:caps w:val="false"/>
                <w:smallCaps w:val="false"/>
              </w:rPr>
            </w:pPr>
            <w:r>
              <w:rPr>
                <w:caps w:val="false"/>
                <w:smallCaps w:val="false"/>
              </w:rPr>
              <w:t> </w:t>
            </w:r>
          </w:p>
        </w:tc>
        <w:tc>
          <w:tcPr>
            <w:tcW w:w="427" w:type="dxa"/>
            <w:tcBorders/>
            <w:shd w:fill="CCEEFF" w:val="clear"/>
            <w:vAlign w:val="center"/>
          </w:tcPr>
          <w:p>
            <w:pPr>
              <w:pStyle w:val="TableContents"/>
              <w:spacing w:before="0" w:after="283"/>
              <w:ind w:left="0" w:right="0" w:hanging="18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r>
      <w:tr>
        <w:trPr/>
        <w:tc>
          <w:tcPr>
            <w:tcW w:w="9718" w:type="dxa"/>
            <w:tcBorders/>
            <w:shd w:fill="auto" w:val="clear"/>
            <w:vAlign w:val="center"/>
          </w:tcPr>
          <w:p>
            <w:pPr>
              <w:pStyle w:val="TableContents"/>
              <w:spacing w:before="0" w:after="283"/>
              <w:jc w:val="both"/>
              <w:rPr/>
            </w:pPr>
            <w:hyperlink w:anchor="a_002">
              <w:r>
                <w:rPr>
                  <w:rStyle w:val="InternetLink"/>
                  <w:rFonts w:ascii="Times New Roman;Times;Serif" w:hAnsi="Times New Roman;Times;Serif"/>
                  <w:b w:val="false"/>
                  <w:i w:val="false"/>
                  <w:caps w:val="false"/>
                  <w:smallCaps w:val="false"/>
                  <w:sz w:val="20"/>
                </w:rPr>
                <w:t>Item 1. Interim Financial Statements</w:t>
              </w:r>
            </w:hyperlink>
          </w:p>
        </w:tc>
        <w:tc>
          <w:tcPr>
            <w:tcW w:w="60"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427" w:type="dxa"/>
            <w:tcBorders/>
            <w:shd w:fill="auto" w:val="clear"/>
            <w:vAlign w:val="center"/>
          </w:tcPr>
          <w:p>
            <w:pPr>
              <w:pStyle w:val="TableContents"/>
              <w:spacing w:before="0" w:after="283"/>
              <w:ind w:left="0" w:right="0" w:hanging="18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r>
      <w:tr>
        <w:trPr/>
        <w:tc>
          <w:tcPr>
            <w:tcW w:w="9718" w:type="dxa"/>
            <w:tcBorders/>
            <w:shd w:fill="CCEEFF" w:val="clear"/>
            <w:vAlign w:val="center"/>
          </w:tcPr>
          <w:p>
            <w:pPr>
              <w:pStyle w:val="TableContents"/>
              <w:spacing w:before="0" w:after="283"/>
              <w:jc w:val="both"/>
              <w:rPr/>
            </w:pPr>
            <w:hyperlink w:anchor="a_003">
              <w:r>
                <w:rPr>
                  <w:rStyle w:val="InternetLink"/>
                  <w:rFonts w:ascii="Times New Roman;Times;Serif" w:hAnsi="Times New Roman;Times;Serif"/>
                  <w:b w:val="false"/>
                  <w:i w:val="false"/>
                  <w:caps w:val="false"/>
                  <w:smallCaps w:val="false"/>
                  <w:sz w:val="20"/>
                </w:rPr>
                <w:t>Condensed Consolidated Balance Sheets as of March 31, 2022 (Unaudited) and December 31, 2021</w:t>
              </w:r>
            </w:hyperlink>
          </w:p>
        </w:tc>
        <w:tc>
          <w:tcPr>
            <w:tcW w:w="60" w:type="dxa"/>
            <w:tcBorders/>
            <w:shd w:fill="CCEEFF" w:val="clear"/>
            <w:vAlign w:val="center"/>
          </w:tcPr>
          <w:p>
            <w:pPr>
              <w:pStyle w:val="TableContents"/>
              <w:spacing w:before="0" w:after="283"/>
              <w:jc w:val="both"/>
              <w:rPr>
                <w:caps w:val="false"/>
                <w:smallCaps w:val="false"/>
              </w:rPr>
            </w:pPr>
            <w:r>
              <w:rPr>
                <w:caps w:val="false"/>
                <w:smallCaps w:val="false"/>
              </w:rPr>
              <w:t> </w:t>
            </w:r>
          </w:p>
        </w:tc>
        <w:tc>
          <w:tcPr>
            <w:tcW w:w="427" w:type="dxa"/>
            <w:tcBorders/>
            <w:shd w:fill="CCEEFF" w:val="clear"/>
            <w:vAlign w:val="center"/>
          </w:tcPr>
          <w:p>
            <w:pPr>
              <w:pStyle w:val="TableContents"/>
              <w:spacing w:before="0" w:after="283"/>
              <w:ind w:left="0" w:right="0" w:hanging="18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r>
      <w:tr>
        <w:trPr/>
        <w:tc>
          <w:tcPr>
            <w:tcW w:w="9718" w:type="dxa"/>
            <w:tcBorders/>
            <w:shd w:fill="auto" w:val="clear"/>
            <w:vAlign w:val="center"/>
          </w:tcPr>
          <w:p>
            <w:pPr>
              <w:pStyle w:val="TableContents"/>
              <w:spacing w:before="0" w:after="283"/>
              <w:jc w:val="both"/>
              <w:rPr/>
            </w:pPr>
            <w:hyperlink w:anchor="a_004">
              <w:r>
                <w:rPr>
                  <w:rStyle w:val="InternetLink"/>
                  <w:rFonts w:ascii="Times New Roman;Times;Serif" w:hAnsi="Times New Roman;Times;Serif"/>
                  <w:b w:val="false"/>
                  <w:i w:val="false"/>
                  <w:caps w:val="false"/>
                  <w:smallCaps w:val="false"/>
                  <w:sz w:val="20"/>
                </w:rPr>
                <w:t>Condensed Consolidated Statements of Operations for the three months ended March 31, 2022 and 2021 (Unaudited)</w:t>
              </w:r>
            </w:hyperlink>
          </w:p>
        </w:tc>
        <w:tc>
          <w:tcPr>
            <w:tcW w:w="60"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427" w:type="dxa"/>
            <w:tcBorders/>
            <w:shd w:fill="auto" w:val="clear"/>
            <w:vAlign w:val="center"/>
          </w:tcPr>
          <w:p>
            <w:pPr>
              <w:pStyle w:val="TableContents"/>
              <w:spacing w:before="0" w:after="283"/>
              <w:ind w:left="0" w:right="0" w:hanging="18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r>
      <w:tr>
        <w:trPr/>
        <w:tc>
          <w:tcPr>
            <w:tcW w:w="9718" w:type="dxa"/>
            <w:tcBorders/>
            <w:shd w:fill="CCEEFF" w:val="clear"/>
            <w:vAlign w:val="center"/>
          </w:tcPr>
          <w:p>
            <w:pPr>
              <w:pStyle w:val="TableContents"/>
              <w:spacing w:before="0" w:after="283"/>
              <w:jc w:val="both"/>
              <w:rPr/>
            </w:pPr>
            <w:hyperlink w:anchor="a_005">
              <w:r>
                <w:rPr>
                  <w:rStyle w:val="InternetLink"/>
                  <w:rFonts w:ascii="Times New Roman;Times;Serif" w:hAnsi="Times New Roman;Times;Serif"/>
                  <w:b w:val="false"/>
                  <w:i w:val="false"/>
                  <w:caps w:val="false"/>
                  <w:smallCaps w:val="false"/>
                  <w:sz w:val="20"/>
                </w:rPr>
                <w:t>Condensed Consolidated Statements of Changes in Stockholders’ Deficit for the three months ended March 31, 2022 and 2021 (Unaudited)</w:t>
              </w:r>
            </w:hyperlink>
          </w:p>
        </w:tc>
        <w:tc>
          <w:tcPr>
            <w:tcW w:w="60" w:type="dxa"/>
            <w:tcBorders/>
            <w:shd w:fill="CCEEFF" w:val="clear"/>
            <w:vAlign w:val="center"/>
          </w:tcPr>
          <w:p>
            <w:pPr>
              <w:pStyle w:val="TableContents"/>
              <w:spacing w:before="0" w:after="283"/>
              <w:jc w:val="both"/>
              <w:rPr>
                <w:caps w:val="false"/>
                <w:smallCaps w:val="false"/>
              </w:rPr>
            </w:pPr>
            <w:r>
              <w:rPr>
                <w:caps w:val="false"/>
                <w:smallCaps w:val="false"/>
              </w:rPr>
              <w:t> </w:t>
            </w:r>
          </w:p>
        </w:tc>
        <w:tc>
          <w:tcPr>
            <w:tcW w:w="427" w:type="dxa"/>
            <w:tcBorders/>
            <w:shd w:fill="CCEEFF" w:val="clear"/>
            <w:vAlign w:val="center"/>
          </w:tcPr>
          <w:p>
            <w:pPr>
              <w:pStyle w:val="TableContents"/>
              <w:spacing w:before="0" w:after="283"/>
              <w:ind w:left="0" w:right="0" w:hanging="18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r>
      <w:tr>
        <w:trPr/>
        <w:tc>
          <w:tcPr>
            <w:tcW w:w="9718" w:type="dxa"/>
            <w:tcBorders/>
            <w:shd w:fill="auto" w:val="clear"/>
            <w:vAlign w:val="center"/>
          </w:tcPr>
          <w:p>
            <w:pPr>
              <w:pStyle w:val="TableContents"/>
              <w:spacing w:before="0" w:after="283"/>
              <w:jc w:val="both"/>
              <w:rPr/>
            </w:pPr>
            <w:hyperlink w:anchor="a_006">
              <w:r>
                <w:rPr>
                  <w:rStyle w:val="InternetLink"/>
                  <w:rFonts w:ascii="Times New Roman;Times;Serif" w:hAnsi="Times New Roman;Times;Serif"/>
                  <w:b w:val="false"/>
                  <w:i w:val="false"/>
                  <w:caps w:val="false"/>
                  <w:smallCaps w:val="false"/>
                  <w:sz w:val="20"/>
                </w:rPr>
                <w:t>Unaudited Condensed Consolidated Statements of Cash Flows for the three months ended March 31, 2022 and 2021 (Unaudited)</w:t>
              </w:r>
            </w:hyperlink>
          </w:p>
        </w:tc>
        <w:tc>
          <w:tcPr>
            <w:tcW w:w="60"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427" w:type="dxa"/>
            <w:tcBorders/>
            <w:shd w:fill="auto" w:val="clear"/>
            <w:vAlign w:val="center"/>
          </w:tcPr>
          <w:p>
            <w:pPr>
              <w:pStyle w:val="TableContents"/>
              <w:spacing w:before="0" w:after="283"/>
              <w:ind w:left="0" w:right="0" w:hanging="18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r>
      <w:tr>
        <w:trPr/>
        <w:tc>
          <w:tcPr>
            <w:tcW w:w="9718" w:type="dxa"/>
            <w:tcBorders/>
            <w:shd w:fill="CCEEFF" w:val="clear"/>
            <w:vAlign w:val="center"/>
          </w:tcPr>
          <w:p>
            <w:pPr>
              <w:pStyle w:val="TableContents"/>
              <w:spacing w:before="0" w:after="283"/>
              <w:jc w:val="both"/>
              <w:rPr/>
            </w:pPr>
            <w:hyperlink w:anchor="a_007">
              <w:r>
                <w:rPr>
                  <w:rStyle w:val="InternetLink"/>
                  <w:rFonts w:ascii="Times New Roman;Times;Serif" w:hAnsi="Times New Roman;Times;Serif"/>
                  <w:b w:val="false"/>
                  <w:i w:val="false"/>
                  <w:caps w:val="false"/>
                  <w:smallCaps w:val="false"/>
                  <w:sz w:val="20"/>
                </w:rPr>
                <w:t>Notes to Condensed Consolidated Financial Statements (Unaudited)</w:t>
              </w:r>
            </w:hyperlink>
          </w:p>
        </w:tc>
        <w:tc>
          <w:tcPr>
            <w:tcW w:w="60" w:type="dxa"/>
            <w:tcBorders/>
            <w:shd w:fill="CCEEFF" w:val="clear"/>
            <w:vAlign w:val="center"/>
          </w:tcPr>
          <w:p>
            <w:pPr>
              <w:pStyle w:val="TableContents"/>
              <w:spacing w:before="0" w:after="283"/>
              <w:jc w:val="both"/>
              <w:rPr>
                <w:caps w:val="false"/>
                <w:smallCaps w:val="false"/>
              </w:rPr>
            </w:pPr>
            <w:r>
              <w:rPr>
                <w:caps w:val="false"/>
                <w:smallCaps w:val="false"/>
              </w:rPr>
              <w:t> </w:t>
            </w:r>
          </w:p>
        </w:tc>
        <w:tc>
          <w:tcPr>
            <w:tcW w:w="427" w:type="dxa"/>
            <w:tcBorders/>
            <w:shd w:fill="CCEEFF" w:val="clear"/>
            <w:vAlign w:val="center"/>
          </w:tcPr>
          <w:p>
            <w:pPr>
              <w:pStyle w:val="TableContents"/>
              <w:spacing w:before="0" w:after="283"/>
              <w:ind w:left="0" w:right="0" w:hanging="18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r>
      <w:tr>
        <w:trPr/>
        <w:tc>
          <w:tcPr>
            <w:tcW w:w="9718" w:type="dxa"/>
            <w:tcBorders/>
            <w:shd w:fill="auto" w:val="clear"/>
            <w:vAlign w:val="center"/>
          </w:tcPr>
          <w:p>
            <w:pPr>
              <w:pStyle w:val="TableContents"/>
              <w:spacing w:before="0" w:after="283"/>
              <w:jc w:val="both"/>
              <w:rPr/>
            </w:pPr>
            <w:hyperlink w:anchor="a_008">
              <w:r>
                <w:rPr>
                  <w:rStyle w:val="InternetLink"/>
                  <w:rFonts w:ascii="Times New Roman;Times;Serif" w:hAnsi="Times New Roman;Times;Serif"/>
                  <w:b w:val="false"/>
                  <w:i w:val="false"/>
                  <w:caps w:val="false"/>
                  <w:smallCaps w:val="false"/>
                  <w:sz w:val="20"/>
                </w:rPr>
                <w:t>Item 2. Management’s Discussion and Analysis of Financial Condition and Results of Operations</w:t>
              </w:r>
            </w:hyperlink>
          </w:p>
        </w:tc>
        <w:tc>
          <w:tcPr>
            <w:tcW w:w="60"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427" w:type="dxa"/>
            <w:tcBorders/>
            <w:shd w:fill="auto" w:val="clear"/>
            <w:vAlign w:val="center"/>
          </w:tcPr>
          <w:p>
            <w:pPr>
              <w:pStyle w:val="TableContents"/>
              <w:spacing w:before="0" w:after="283"/>
              <w:ind w:left="0" w:right="0" w:hanging="18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w:t>
            </w:r>
          </w:p>
        </w:tc>
      </w:tr>
      <w:tr>
        <w:trPr/>
        <w:tc>
          <w:tcPr>
            <w:tcW w:w="9718" w:type="dxa"/>
            <w:tcBorders/>
            <w:shd w:fill="CCEEFF" w:val="clear"/>
            <w:vAlign w:val="center"/>
          </w:tcPr>
          <w:p>
            <w:pPr>
              <w:pStyle w:val="TableContents"/>
              <w:spacing w:before="0" w:after="283"/>
              <w:jc w:val="both"/>
              <w:rPr/>
            </w:pPr>
            <w:hyperlink w:anchor="a_009">
              <w:r>
                <w:rPr>
                  <w:rStyle w:val="InternetLink"/>
                  <w:rFonts w:ascii="Times New Roman;Times;Serif" w:hAnsi="Times New Roman;Times;Serif"/>
                  <w:b w:val="false"/>
                  <w:i w:val="false"/>
                  <w:caps w:val="false"/>
                  <w:smallCaps w:val="false"/>
                  <w:sz w:val="20"/>
                </w:rPr>
                <w:t>Item 3. Quantitative and Qualitative Disclosures Regarding Market Risk</w:t>
              </w:r>
            </w:hyperlink>
          </w:p>
        </w:tc>
        <w:tc>
          <w:tcPr>
            <w:tcW w:w="60" w:type="dxa"/>
            <w:tcBorders/>
            <w:shd w:fill="CCEEFF" w:val="clear"/>
            <w:vAlign w:val="center"/>
          </w:tcPr>
          <w:p>
            <w:pPr>
              <w:pStyle w:val="TableContents"/>
              <w:spacing w:before="0" w:after="283"/>
              <w:jc w:val="both"/>
              <w:rPr>
                <w:caps w:val="false"/>
                <w:smallCaps w:val="false"/>
              </w:rPr>
            </w:pPr>
            <w:r>
              <w:rPr>
                <w:caps w:val="false"/>
                <w:smallCaps w:val="false"/>
              </w:rPr>
              <w:t> </w:t>
            </w:r>
          </w:p>
        </w:tc>
        <w:tc>
          <w:tcPr>
            <w:tcW w:w="427" w:type="dxa"/>
            <w:tcBorders/>
            <w:shd w:fill="CCEEFF" w:val="clear"/>
            <w:vAlign w:val="center"/>
          </w:tcPr>
          <w:p>
            <w:pPr>
              <w:pStyle w:val="TableContents"/>
              <w:spacing w:before="0" w:after="283"/>
              <w:ind w:left="0" w:right="0" w:hanging="18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w:t>
            </w:r>
          </w:p>
        </w:tc>
      </w:tr>
      <w:tr>
        <w:trPr/>
        <w:tc>
          <w:tcPr>
            <w:tcW w:w="9718" w:type="dxa"/>
            <w:tcBorders/>
            <w:shd w:fill="auto" w:val="clear"/>
            <w:vAlign w:val="center"/>
          </w:tcPr>
          <w:p>
            <w:pPr>
              <w:pStyle w:val="TableContents"/>
              <w:spacing w:before="0" w:after="283"/>
              <w:jc w:val="both"/>
              <w:rPr/>
            </w:pPr>
            <w:hyperlink w:anchor="a_010">
              <w:r>
                <w:rPr>
                  <w:rStyle w:val="InternetLink"/>
                  <w:rFonts w:ascii="Times New Roman;Times;Serif" w:hAnsi="Times New Roman;Times;Serif"/>
                  <w:b w:val="false"/>
                  <w:i w:val="false"/>
                  <w:caps w:val="false"/>
                  <w:smallCaps w:val="false"/>
                  <w:sz w:val="20"/>
                </w:rPr>
                <w:t>Item 4. Controls and Procedures</w:t>
              </w:r>
            </w:hyperlink>
          </w:p>
        </w:tc>
        <w:tc>
          <w:tcPr>
            <w:tcW w:w="60"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427" w:type="dxa"/>
            <w:tcBorders/>
            <w:shd w:fill="auto" w:val="clear"/>
            <w:vAlign w:val="center"/>
          </w:tcPr>
          <w:p>
            <w:pPr>
              <w:pStyle w:val="TableContents"/>
              <w:spacing w:before="0" w:after="283"/>
              <w:ind w:left="0" w:right="0" w:hanging="18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w:t>
            </w:r>
          </w:p>
        </w:tc>
      </w:tr>
      <w:tr>
        <w:trPr/>
        <w:tc>
          <w:tcPr>
            <w:tcW w:w="9718" w:type="dxa"/>
            <w:tcBorders/>
            <w:shd w:fill="CCEEFF" w:val="clear"/>
            <w:vAlign w:val="center"/>
          </w:tcPr>
          <w:p>
            <w:pPr>
              <w:pStyle w:val="TableContents"/>
              <w:spacing w:before="0" w:after="283"/>
              <w:jc w:val="both"/>
              <w:rPr>
                <w:caps w:val="false"/>
                <w:smallCaps w:val="false"/>
              </w:rPr>
            </w:pPr>
            <w:r>
              <w:rPr>
                <w:caps w:val="false"/>
                <w:smallCaps w:val="false"/>
              </w:rPr>
              <w:t> </w:t>
            </w:r>
          </w:p>
        </w:tc>
        <w:tc>
          <w:tcPr>
            <w:tcW w:w="60" w:type="dxa"/>
            <w:tcBorders/>
            <w:shd w:fill="CCEEFF" w:val="clear"/>
            <w:vAlign w:val="center"/>
          </w:tcPr>
          <w:p>
            <w:pPr>
              <w:pStyle w:val="TableContents"/>
              <w:spacing w:before="0" w:after="283"/>
              <w:jc w:val="both"/>
              <w:rPr>
                <w:caps w:val="false"/>
                <w:smallCaps w:val="false"/>
              </w:rPr>
            </w:pPr>
            <w:r>
              <w:rPr>
                <w:caps w:val="false"/>
                <w:smallCaps w:val="false"/>
              </w:rPr>
              <w:t> </w:t>
            </w:r>
          </w:p>
        </w:tc>
        <w:tc>
          <w:tcPr>
            <w:tcW w:w="427" w:type="dxa"/>
            <w:tcBorders/>
            <w:shd w:fill="CCEEFF" w:val="clear"/>
            <w:vAlign w:val="center"/>
          </w:tcPr>
          <w:p>
            <w:pPr>
              <w:pStyle w:val="TableContents"/>
              <w:spacing w:before="0" w:after="283"/>
              <w:ind w:left="0" w:right="0" w:hanging="180"/>
              <w:jc w:val="center"/>
              <w:rPr>
                <w:caps w:val="false"/>
                <w:smallCaps w:val="false"/>
              </w:rPr>
            </w:pPr>
            <w:r>
              <w:rPr>
                <w:caps w:val="false"/>
                <w:smallCaps w:val="false"/>
              </w:rPr>
              <w:t> </w:t>
            </w:r>
          </w:p>
        </w:tc>
      </w:tr>
      <w:tr>
        <w:trPr/>
        <w:tc>
          <w:tcPr>
            <w:tcW w:w="9718" w:type="dxa"/>
            <w:tcBorders/>
            <w:shd w:fill="auto" w:val="clear"/>
            <w:vAlign w:val="center"/>
          </w:tcPr>
          <w:p>
            <w:pPr>
              <w:pStyle w:val="TableContents"/>
              <w:spacing w:before="0" w:after="283"/>
              <w:jc w:val="both"/>
              <w:rPr/>
            </w:pPr>
            <w:hyperlink w:anchor="a_011">
              <w:r>
                <w:rPr>
                  <w:rStyle w:val="InternetLink"/>
                  <w:rFonts w:ascii="Times New Roman;Times;Serif" w:hAnsi="Times New Roman;Times;Serif"/>
                  <w:b w:val="false"/>
                  <w:i w:val="false"/>
                  <w:caps w:val="false"/>
                  <w:smallCaps w:val="false"/>
                  <w:sz w:val="20"/>
                </w:rPr>
                <w:t>Part II. Other Information</w:t>
              </w:r>
            </w:hyperlink>
          </w:p>
        </w:tc>
        <w:tc>
          <w:tcPr>
            <w:tcW w:w="60"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427" w:type="dxa"/>
            <w:tcBorders/>
            <w:shd w:fill="auto" w:val="clear"/>
            <w:vAlign w:val="center"/>
          </w:tcPr>
          <w:p>
            <w:pPr>
              <w:pStyle w:val="TableContents"/>
              <w:spacing w:before="0" w:after="283"/>
              <w:ind w:left="0" w:right="0" w:hanging="18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w:t>
            </w:r>
          </w:p>
        </w:tc>
      </w:tr>
      <w:tr>
        <w:trPr/>
        <w:tc>
          <w:tcPr>
            <w:tcW w:w="9718" w:type="dxa"/>
            <w:tcBorders/>
            <w:shd w:fill="CCEEFF" w:val="clear"/>
            <w:vAlign w:val="center"/>
          </w:tcPr>
          <w:p>
            <w:pPr>
              <w:pStyle w:val="TableContents"/>
              <w:spacing w:before="0" w:after="283"/>
              <w:jc w:val="both"/>
              <w:rPr/>
            </w:pPr>
            <w:hyperlink w:anchor="a_012">
              <w:r>
                <w:rPr>
                  <w:rStyle w:val="InternetLink"/>
                  <w:rFonts w:ascii="Times New Roman;Times;Serif" w:hAnsi="Times New Roman;Times;Serif"/>
                  <w:b w:val="false"/>
                  <w:i w:val="false"/>
                  <w:caps w:val="false"/>
                  <w:smallCaps w:val="false"/>
                  <w:sz w:val="20"/>
                </w:rPr>
                <w:t>Item 1. Legal Proceedings</w:t>
              </w:r>
            </w:hyperlink>
          </w:p>
        </w:tc>
        <w:tc>
          <w:tcPr>
            <w:tcW w:w="60" w:type="dxa"/>
            <w:tcBorders/>
            <w:shd w:fill="CCEEFF" w:val="clear"/>
            <w:vAlign w:val="center"/>
          </w:tcPr>
          <w:p>
            <w:pPr>
              <w:pStyle w:val="TableContents"/>
              <w:spacing w:before="0" w:after="283"/>
              <w:jc w:val="both"/>
              <w:rPr>
                <w:caps w:val="false"/>
                <w:smallCaps w:val="false"/>
              </w:rPr>
            </w:pPr>
            <w:r>
              <w:rPr>
                <w:caps w:val="false"/>
                <w:smallCaps w:val="false"/>
              </w:rPr>
              <w:t> </w:t>
            </w:r>
          </w:p>
        </w:tc>
        <w:tc>
          <w:tcPr>
            <w:tcW w:w="427" w:type="dxa"/>
            <w:tcBorders/>
            <w:shd w:fill="CCEEFF" w:val="clear"/>
            <w:vAlign w:val="center"/>
          </w:tcPr>
          <w:p>
            <w:pPr>
              <w:pStyle w:val="TableContents"/>
              <w:spacing w:before="0" w:after="283"/>
              <w:ind w:left="0" w:right="0" w:hanging="18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w:t>
            </w:r>
          </w:p>
        </w:tc>
      </w:tr>
      <w:tr>
        <w:trPr/>
        <w:tc>
          <w:tcPr>
            <w:tcW w:w="9718" w:type="dxa"/>
            <w:tcBorders/>
            <w:shd w:fill="auto" w:val="clear"/>
            <w:vAlign w:val="center"/>
          </w:tcPr>
          <w:p>
            <w:pPr>
              <w:pStyle w:val="TableContents"/>
              <w:spacing w:before="0" w:after="283"/>
              <w:jc w:val="both"/>
              <w:rPr/>
            </w:pPr>
            <w:hyperlink w:anchor="a_013">
              <w:r>
                <w:rPr>
                  <w:rStyle w:val="InternetLink"/>
                  <w:rFonts w:ascii="Times New Roman;Times;Serif" w:hAnsi="Times New Roman;Times;Serif"/>
                  <w:b w:val="false"/>
                  <w:i w:val="false"/>
                  <w:caps w:val="false"/>
                  <w:smallCaps w:val="false"/>
                  <w:sz w:val="20"/>
                </w:rPr>
                <w:t>Item 1A. Risk Factors</w:t>
              </w:r>
            </w:hyperlink>
          </w:p>
        </w:tc>
        <w:tc>
          <w:tcPr>
            <w:tcW w:w="60"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427" w:type="dxa"/>
            <w:tcBorders/>
            <w:shd w:fill="auto" w:val="clear"/>
            <w:vAlign w:val="center"/>
          </w:tcPr>
          <w:p>
            <w:pPr>
              <w:pStyle w:val="TableContents"/>
              <w:spacing w:before="0" w:after="283"/>
              <w:ind w:left="0" w:right="0" w:hanging="18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w:t>
            </w:r>
          </w:p>
        </w:tc>
      </w:tr>
      <w:tr>
        <w:trPr/>
        <w:tc>
          <w:tcPr>
            <w:tcW w:w="9718" w:type="dxa"/>
            <w:tcBorders/>
            <w:shd w:fill="CCEEFF" w:val="clear"/>
            <w:vAlign w:val="center"/>
          </w:tcPr>
          <w:p>
            <w:pPr>
              <w:pStyle w:val="TableContents"/>
              <w:spacing w:before="0" w:after="283"/>
              <w:jc w:val="both"/>
              <w:rPr/>
            </w:pPr>
            <w:hyperlink w:anchor="a_014">
              <w:r>
                <w:rPr>
                  <w:rStyle w:val="InternetLink"/>
                  <w:rFonts w:ascii="Times New Roman;Times;Serif" w:hAnsi="Times New Roman;Times;Serif"/>
                  <w:b w:val="false"/>
                  <w:i w:val="false"/>
                  <w:caps w:val="false"/>
                  <w:smallCaps w:val="false"/>
                  <w:sz w:val="20"/>
                </w:rPr>
                <w:t>Item 2. Unregistered Sales of Equity Securities and Use of Proceeds</w:t>
              </w:r>
            </w:hyperlink>
          </w:p>
        </w:tc>
        <w:tc>
          <w:tcPr>
            <w:tcW w:w="60" w:type="dxa"/>
            <w:tcBorders/>
            <w:shd w:fill="CCEEFF" w:val="clear"/>
            <w:vAlign w:val="center"/>
          </w:tcPr>
          <w:p>
            <w:pPr>
              <w:pStyle w:val="TableContents"/>
              <w:spacing w:before="0" w:after="283"/>
              <w:jc w:val="both"/>
              <w:rPr>
                <w:caps w:val="false"/>
                <w:smallCaps w:val="false"/>
              </w:rPr>
            </w:pPr>
            <w:r>
              <w:rPr>
                <w:caps w:val="false"/>
                <w:smallCaps w:val="false"/>
              </w:rPr>
              <w:t> </w:t>
            </w:r>
          </w:p>
        </w:tc>
        <w:tc>
          <w:tcPr>
            <w:tcW w:w="427" w:type="dxa"/>
            <w:tcBorders/>
            <w:shd w:fill="CCEEFF" w:val="clear"/>
            <w:vAlign w:val="center"/>
          </w:tcPr>
          <w:p>
            <w:pPr>
              <w:pStyle w:val="TableContents"/>
              <w:spacing w:before="0" w:after="283"/>
              <w:ind w:left="0" w:right="0" w:hanging="18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w:t>
            </w:r>
          </w:p>
        </w:tc>
      </w:tr>
      <w:tr>
        <w:trPr/>
        <w:tc>
          <w:tcPr>
            <w:tcW w:w="9718" w:type="dxa"/>
            <w:tcBorders/>
            <w:shd w:fill="auto" w:val="clear"/>
            <w:vAlign w:val="center"/>
          </w:tcPr>
          <w:p>
            <w:pPr>
              <w:pStyle w:val="TableContents"/>
              <w:spacing w:before="0" w:after="283"/>
              <w:jc w:val="both"/>
              <w:rPr/>
            </w:pPr>
            <w:hyperlink w:anchor="a_015">
              <w:r>
                <w:rPr>
                  <w:rStyle w:val="InternetLink"/>
                  <w:rFonts w:ascii="Times New Roman;Times;Serif" w:hAnsi="Times New Roman;Times;Serif"/>
                  <w:b w:val="false"/>
                  <w:i w:val="false"/>
                  <w:caps w:val="false"/>
                  <w:smallCaps w:val="false"/>
                  <w:sz w:val="20"/>
                </w:rPr>
                <w:t>Item 3. Defaults Upon Senior Securities</w:t>
              </w:r>
            </w:hyperlink>
          </w:p>
        </w:tc>
        <w:tc>
          <w:tcPr>
            <w:tcW w:w="60"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427" w:type="dxa"/>
            <w:tcBorders/>
            <w:shd w:fill="auto" w:val="clear"/>
            <w:vAlign w:val="center"/>
          </w:tcPr>
          <w:p>
            <w:pPr>
              <w:pStyle w:val="TableContents"/>
              <w:spacing w:before="0" w:after="283"/>
              <w:ind w:left="0" w:right="0" w:hanging="18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w:t>
            </w:r>
          </w:p>
        </w:tc>
      </w:tr>
      <w:tr>
        <w:trPr/>
        <w:tc>
          <w:tcPr>
            <w:tcW w:w="9718" w:type="dxa"/>
            <w:tcBorders/>
            <w:shd w:fill="CCEEFF" w:val="clear"/>
            <w:vAlign w:val="center"/>
          </w:tcPr>
          <w:p>
            <w:pPr>
              <w:pStyle w:val="TableContents"/>
              <w:spacing w:before="0" w:after="283"/>
              <w:jc w:val="both"/>
              <w:rPr/>
            </w:pPr>
            <w:hyperlink w:anchor="a_016">
              <w:r>
                <w:rPr>
                  <w:rStyle w:val="InternetLink"/>
                  <w:rFonts w:ascii="Times New Roman;Times;Serif" w:hAnsi="Times New Roman;Times;Serif"/>
                  <w:b w:val="false"/>
                  <w:i w:val="false"/>
                  <w:caps w:val="false"/>
                  <w:smallCaps w:val="false"/>
                  <w:sz w:val="20"/>
                </w:rPr>
                <w:t>Item 4. Mine Safety Disclosures</w:t>
              </w:r>
            </w:hyperlink>
          </w:p>
        </w:tc>
        <w:tc>
          <w:tcPr>
            <w:tcW w:w="60" w:type="dxa"/>
            <w:tcBorders/>
            <w:shd w:fill="CCEEFF" w:val="clear"/>
            <w:vAlign w:val="center"/>
          </w:tcPr>
          <w:p>
            <w:pPr>
              <w:pStyle w:val="TableContents"/>
              <w:spacing w:before="0" w:after="283"/>
              <w:jc w:val="both"/>
              <w:rPr>
                <w:caps w:val="false"/>
                <w:smallCaps w:val="false"/>
              </w:rPr>
            </w:pPr>
            <w:r>
              <w:rPr>
                <w:caps w:val="false"/>
                <w:smallCaps w:val="false"/>
              </w:rPr>
              <w:t> </w:t>
            </w:r>
          </w:p>
        </w:tc>
        <w:tc>
          <w:tcPr>
            <w:tcW w:w="427" w:type="dxa"/>
            <w:tcBorders/>
            <w:shd w:fill="CCEEFF" w:val="clear"/>
            <w:vAlign w:val="center"/>
          </w:tcPr>
          <w:p>
            <w:pPr>
              <w:pStyle w:val="TableContents"/>
              <w:spacing w:before="0" w:after="283"/>
              <w:ind w:left="0" w:right="0" w:hanging="18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w:t>
            </w:r>
          </w:p>
        </w:tc>
      </w:tr>
      <w:tr>
        <w:trPr/>
        <w:tc>
          <w:tcPr>
            <w:tcW w:w="9718" w:type="dxa"/>
            <w:tcBorders/>
            <w:shd w:fill="auto" w:val="clear"/>
            <w:vAlign w:val="center"/>
          </w:tcPr>
          <w:p>
            <w:pPr>
              <w:pStyle w:val="TableContents"/>
              <w:spacing w:before="0" w:after="283"/>
              <w:jc w:val="both"/>
              <w:rPr/>
            </w:pPr>
            <w:hyperlink w:anchor="a_017">
              <w:r>
                <w:rPr>
                  <w:rStyle w:val="InternetLink"/>
                  <w:rFonts w:ascii="Times New Roman;Times;Serif" w:hAnsi="Times New Roman;Times;Serif"/>
                  <w:b w:val="false"/>
                  <w:i w:val="false"/>
                  <w:caps w:val="false"/>
                  <w:smallCaps w:val="false"/>
                  <w:sz w:val="20"/>
                </w:rPr>
                <w:t>Item 5. Other Information</w:t>
              </w:r>
            </w:hyperlink>
          </w:p>
        </w:tc>
        <w:tc>
          <w:tcPr>
            <w:tcW w:w="60"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427" w:type="dxa"/>
            <w:tcBorders/>
            <w:shd w:fill="auto" w:val="clear"/>
            <w:vAlign w:val="center"/>
          </w:tcPr>
          <w:p>
            <w:pPr>
              <w:pStyle w:val="TableContents"/>
              <w:spacing w:before="0" w:after="283"/>
              <w:ind w:left="0" w:right="0" w:hanging="18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w:t>
            </w:r>
          </w:p>
        </w:tc>
      </w:tr>
      <w:tr>
        <w:trPr/>
        <w:tc>
          <w:tcPr>
            <w:tcW w:w="9718" w:type="dxa"/>
            <w:tcBorders/>
            <w:shd w:fill="CCEEFF" w:val="clear"/>
            <w:vAlign w:val="center"/>
          </w:tcPr>
          <w:p>
            <w:pPr>
              <w:pStyle w:val="TableContents"/>
              <w:spacing w:before="0" w:after="283"/>
              <w:jc w:val="both"/>
              <w:rPr/>
            </w:pPr>
            <w:hyperlink w:anchor="a_018">
              <w:r>
                <w:rPr>
                  <w:rStyle w:val="InternetLink"/>
                  <w:rFonts w:ascii="Times New Roman;Times;Serif" w:hAnsi="Times New Roman;Times;Serif"/>
                  <w:b w:val="false"/>
                  <w:i w:val="false"/>
                  <w:caps w:val="false"/>
                  <w:smallCaps w:val="false"/>
                  <w:sz w:val="20"/>
                </w:rPr>
                <w:t>Item 6. Exhibits</w:t>
              </w:r>
            </w:hyperlink>
          </w:p>
        </w:tc>
        <w:tc>
          <w:tcPr>
            <w:tcW w:w="60" w:type="dxa"/>
            <w:tcBorders/>
            <w:shd w:fill="CCEEFF" w:val="clear"/>
            <w:vAlign w:val="center"/>
          </w:tcPr>
          <w:p>
            <w:pPr>
              <w:pStyle w:val="TableContents"/>
              <w:spacing w:before="0" w:after="283"/>
              <w:jc w:val="both"/>
              <w:rPr>
                <w:caps w:val="false"/>
                <w:smallCaps w:val="false"/>
              </w:rPr>
            </w:pPr>
            <w:r>
              <w:rPr>
                <w:caps w:val="false"/>
                <w:smallCaps w:val="false"/>
              </w:rPr>
              <w:t> </w:t>
            </w:r>
          </w:p>
        </w:tc>
        <w:tc>
          <w:tcPr>
            <w:tcW w:w="427" w:type="dxa"/>
            <w:tcBorders/>
            <w:shd w:fill="CCEEFF" w:val="clear"/>
            <w:vAlign w:val="center"/>
          </w:tcPr>
          <w:p>
            <w:pPr>
              <w:pStyle w:val="TableContents"/>
              <w:spacing w:before="0" w:after="283"/>
              <w:ind w:left="0" w:right="0" w:hanging="18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w:t>
            </w:r>
          </w:p>
        </w:tc>
      </w:tr>
      <w:tr>
        <w:trPr/>
        <w:tc>
          <w:tcPr>
            <w:tcW w:w="9718"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60"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427" w:type="dxa"/>
            <w:tcBorders/>
            <w:shd w:fill="auto" w:val="clear"/>
            <w:vAlign w:val="center"/>
          </w:tcPr>
          <w:p>
            <w:pPr>
              <w:pStyle w:val="TableContents"/>
              <w:spacing w:before="0" w:after="283"/>
              <w:ind w:left="0" w:right="0" w:hanging="180"/>
              <w:jc w:val="center"/>
              <w:rPr>
                <w:caps w:val="false"/>
                <w:smallCaps w:val="false"/>
              </w:rPr>
            </w:pPr>
            <w:r>
              <w:rPr>
                <w:caps w:val="false"/>
                <w:smallCaps w:val="false"/>
              </w:rPr>
              <w:t> </w:t>
            </w:r>
          </w:p>
        </w:tc>
      </w:tr>
      <w:tr>
        <w:trPr/>
        <w:tc>
          <w:tcPr>
            <w:tcW w:w="9718" w:type="dxa"/>
            <w:tcBorders/>
            <w:shd w:fill="CCEEFF" w:val="clear"/>
            <w:vAlign w:val="center"/>
          </w:tcPr>
          <w:p>
            <w:pPr>
              <w:pStyle w:val="TableContents"/>
              <w:spacing w:before="0" w:after="283"/>
              <w:jc w:val="both"/>
              <w:rPr/>
            </w:pPr>
            <w:hyperlink w:anchor="a_019">
              <w:r>
                <w:rPr>
                  <w:rStyle w:val="InternetLink"/>
                  <w:rFonts w:ascii="Times New Roman;Times;Serif" w:hAnsi="Times New Roman;Times;Serif"/>
                  <w:b w:val="false"/>
                  <w:i w:val="false"/>
                  <w:caps w:val="false"/>
                  <w:smallCaps w:val="false"/>
                  <w:sz w:val="20"/>
                </w:rPr>
                <w:t>Part III. Signatures</w:t>
              </w:r>
            </w:hyperlink>
          </w:p>
        </w:tc>
        <w:tc>
          <w:tcPr>
            <w:tcW w:w="60" w:type="dxa"/>
            <w:tcBorders/>
            <w:shd w:fill="CCEEFF" w:val="clear"/>
            <w:vAlign w:val="center"/>
          </w:tcPr>
          <w:p>
            <w:pPr>
              <w:pStyle w:val="TableContents"/>
              <w:spacing w:before="0" w:after="283"/>
              <w:jc w:val="both"/>
              <w:rPr>
                <w:caps w:val="false"/>
                <w:smallCaps w:val="false"/>
              </w:rPr>
            </w:pPr>
            <w:r>
              <w:rPr>
                <w:caps w:val="false"/>
                <w:smallCaps w:val="false"/>
              </w:rPr>
              <w:t> </w:t>
            </w:r>
          </w:p>
        </w:tc>
        <w:tc>
          <w:tcPr>
            <w:tcW w:w="427" w:type="dxa"/>
            <w:tcBorders/>
            <w:shd w:fill="CCEEFF" w:val="cle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w:t>
            </w:r>
          </w:p>
        </w:tc>
      </w:tr>
    </w:tbl>
    <w:p>
      <w:pPr>
        <w:pStyle w:val="TextBody"/>
        <w:spacing w:before="0" w:after="0"/>
        <w:ind w:left="0" w:right="0" w:hanging="0"/>
        <w:jc w:val="both"/>
        <w:rPr>
          <w:caps w:val="false"/>
          <w:smallCaps w:val="false"/>
        </w:rPr>
      </w:pPr>
      <w:r>
        <w:rPr>
          <w:caps w:val="false"/>
          <w:smallCaps w:val="false"/>
        </w:rPr>
        <w:t> </w:t>
      </w:r>
    </w:p>
    <w:p>
      <w:pPr>
        <w:pStyle w:val="TextBody"/>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w:t>
      </w:r>
    </w:p>
    <w:p>
      <w:pPr>
        <w:pStyle w:val="TextBody"/>
        <w:spacing w:before="0" w:after="0"/>
        <w:ind w:left="0" w:right="0" w:hanging="0"/>
        <w:rPr/>
      </w:pPr>
      <w:r>
        <w:rPr/>
        <w:t> </w:t>
      </w:r>
    </w:p>
    <w:p>
      <w:pPr>
        <w:pStyle w:val="TextBody"/>
        <w:spacing w:before="0" w:after="0"/>
        <w:ind w:left="0" w:right="0" w:hanging="0"/>
        <w:jc w:val="both"/>
        <w:rPr>
          <w:caps w:val="false"/>
          <w:smallCaps w:val="false"/>
        </w:rPr>
      </w:pPr>
      <w:r>
        <w:rPr>
          <w:caps w:val="false"/>
          <w:smallCaps w:val="false"/>
        </w:rPr>
        <w:t> </w:t>
      </w:r>
    </w:p>
    <w:p>
      <w:pPr>
        <w:pStyle w:val="TextBody"/>
        <w:spacing w:before="0" w:after="0"/>
        <w:jc w:val="center"/>
        <w:rPr>
          <w:rFonts w:ascii="Times New Roman;Times;Serif" w:hAnsi="Times New Roman;Times;Serif"/>
          <w:b/>
          <w:i w:val="false"/>
          <w:caps w:val="false"/>
          <w:smallCaps w:val="false"/>
          <w:sz w:val="20"/>
        </w:rPr>
      </w:pPr>
      <w:bookmarkStart w:id="2" w:name="a_001"/>
      <w:bookmarkEnd w:id="2"/>
      <w:r>
        <w:rPr>
          <w:rFonts w:ascii="Times New Roman;Times;Serif" w:hAnsi="Times New Roman;Times;Serif"/>
          <w:b/>
          <w:i w:val="false"/>
          <w:caps w:val="false"/>
          <w:smallCaps w:val="false"/>
          <w:sz w:val="20"/>
        </w:rPr>
        <w:t>PART I - FINANCIAL INFORMATION</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bookmarkStart w:id="3" w:name="a_002"/>
      <w:bookmarkEnd w:id="3"/>
      <w:r>
        <w:rPr>
          <w:rFonts w:ascii="Times New Roman;Times;Serif" w:hAnsi="Times New Roman;Times;Serif"/>
          <w:b/>
          <w:i w:val="false"/>
          <w:caps w:val="false"/>
          <w:smallCaps w:val="false"/>
          <w:sz w:val="20"/>
        </w:rPr>
        <w:t>Item 1. Interim Financial Statements.</w:t>
      </w:r>
    </w:p>
    <w:p>
      <w:pPr>
        <w:pStyle w:val="TextBody"/>
        <w:spacing w:before="0" w:after="0"/>
        <w:ind w:left="0" w:right="0" w:hanging="0"/>
        <w:jc w:val="both"/>
        <w:rPr>
          <w:caps w:val="false"/>
          <w:smallCaps w:val="false"/>
        </w:rPr>
      </w:pPr>
      <w:r>
        <w:rPr>
          <w:caps w:val="false"/>
          <w:smallCaps w:val="false"/>
        </w:rPr>
        <w:t> </w:t>
      </w:r>
    </w:p>
    <w:p>
      <w:pPr>
        <w:pStyle w:val="TextBody"/>
        <w:spacing w:before="0" w:after="0"/>
        <w:jc w:val="center"/>
        <w:rPr>
          <w:rFonts w:ascii="Times New Roman;Times;Serif" w:hAnsi="Times New Roman;Times;Serif"/>
          <w:b/>
          <w:i w:val="false"/>
          <w:caps w:val="false"/>
          <w:smallCaps w:val="false"/>
          <w:sz w:val="20"/>
        </w:rPr>
      </w:pPr>
      <w:bookmarkStart w:id="4" w:name="a_003"/>
      <w:bookmarkEnd w:id="4"/>
      <w:r>
        <w:rPr>
          <w:rFonts w:ascii="Times New Roman;Times;Serif" w:hAnsi="Times New Roman;Times;Serif"/>
          <w:b/>
          <w:i w:val="false"/>
          <w:caps w:val="false"/>
          <w:smallCaps w:val="false"/>
          <w:sz w:val="20"/>
        </w:rPr>
        <w:t>VENTOUX CCM ACQUISITION CORP.</w:t>
      </w:r>
    </w:p>
    <w:p>
      <w:pPr>
        <w:pStyle w:val="TextBody"/>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CONDENSED CONSOLIDATED BALANCE SHEETS</w:t>
      </w:r>
    </w:p>
    <w:p>
      <w:pPr>
        <w:pStyle w:val="TextBody"/>
        <w:spacing w:before="0" w:after="0"/>
        <w:ind w:left="0" w:right="0" w:hanging="0"/>
        <w:jc w:val="both"/>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7163"/>
        <w:gridCol w:w="60"/>
        <w:gridCol w:w="140"/>
        <w:gridCol w:w="1220"/>
        <w:gridCol w:w="95"/>
        <w:gridCol w:w="60"/>
        <w:gridCol w:w="141"/>
        <w:gridCol w:w="1237"/>
        <w:gridCol w:w="89"/>
      </w:tblGrid>
      <w:tr>
        <w:trPr/>
        <w:tc>
          <w:tcPr>
            <w:tcW w:w="7163"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360" w:type="dxa"/>
            <w:gridSpan w:val="2"/>
            <w:tcBorders/>
            <w:shd w:fill="auto" w:val="clear"/>
            <w:vAlign w:val="center"/>
          </w:tcPr>
          <w:p>
            <w:pPr>
              <w:pStyle w:val="TableContents"/>
              <w:spacing w:before="0" w:after="283"/>
              <w:jc w:val="center"/>
              <w:rPr>
                <w:b/>
              </w:rPr>
            </w:pPr>
            <w:r>
              <w:rPr>
                <w:b/>
              </w:rPr>
              <w:t>March 31,</w:t>
            </w:r>
          </w:p>
        </w:tc>
        <w:tc>
          <w:tcPr>
            <w:tcW w:w="9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378" w:type="dxa"/>
            <w:gridSpan w:val="2"/>
            <w:tcBorders/>
            <w:shd w:fill="auto" w:val="clear"/>
            <w:vAlign w:val="center"/>
          </w:tcPr>
          <w:p>
            <w:pPr>
              <w:pStyle w:val="TableContents"/>
              <w:spacing w:before="0" w:after="283"/>
              <w:jc w:val="center"/>
              <w:rPr>
                <w:b/>
              </w:rPr>
            </w:pPr>
            <w:r>
              <w:rPr>
                <w:b/>
              </w:rPr>
              <w:t>December 31,</w:t>
            </w:r>
          </w:p>
        </w:tc>
        <w:tc>
          <w:tcPr>
            <w:tcW w:w="89" w:type="dxa"/>
            <w:tcBorders/>
            <w:shd w:fill="auto" w:val="clear"/>
            <w:vAlign w:val="center"/>
          </w:tcPr>
          <w:p>
            <w:pPr>
              <w:pStyle w:val="TableContents"/>
              <w:spacing w:before="0" w:after="283"/>
              <w:rPr/>
            </w:pPr>
            <w:r>
              <w:rPr/>
              <w:t> </w:t>
            </w:r>
          </w:p>
        </w:tc>
      </w:tr>
      <w:tr>
        <w:trPr/>
        <w:tc>
          <w:tcPr>
            <w:tcW w:w="7163"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360" w:type="dxa"/>
            <w:gridSpan w:val="2"/>
            <w:tcBorders>
              <w:bottom w:val="single" w:sz="12" w:space="0" w:color="000000"/>
            </w:tcBorders>
            <w:shd w:fill="auto" w:val="clear"/>
            <w:tcMar>
              <w:bottom w:w="28" w:type="dxa"/>
            </w:tcMar>
            <w:vAlign w:val="center"/>
          </w:tcPr>
          <w:p>
            <w:pPr>
              <w:pStyle w:val="TableContents"/>
              <w:spacing w:before="0" w:after="283"/>
              <w:jc w:val="center"/>
              <w:rPr>
                <w:b/>
              </w:rPr>
            </w:pPr>
            <w:r>
              <w:rPr>
                <w:b/>
              </w:rPr>
              <w:t>2022</w:t>
            </w:r>
          </w:p>
        </w:tc>
        <w:tc>
          <w:tcPr>
            <w:tcW w:w="9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378" w:type="dxa"/>
            <w:gridSpan w:val="2"/>
            <w:tcBorders>
              <w:bottom w:val="single" w:sz="12" w:space="0" w:color="000000"/>
            </w:tcBorders>
            <w:shd w:fill="auto" w:val="clear"/>
            <w:tcMar>
              <w:bottom w:w="28" w:type="dxa"/>
            </w:tcMar>
            <w:vAlign w:val="center"/>
          </w:tcPr>
          <w:p>
            <w:pPr>
              <w:pStyle w:val="TableContents"/>
              <w:spacing w:before="0" w:after="283"/>
              <w:jc w:val="center"/>
              <w:rPr>
                <w:b/>
              </w:rPr>
            </w:pPr>
            <w:r>
              <w:rPr>
                <w:b/>
              </w:rPr>
              <w:t>2021</w:t>
            </w:r>
          </w:p>
        </w:tc>
        <w:tc>
          <w:tcPr>
            <w:tcW w:w="89" w:type="dxa"/>
            <w:tcBorders/>
            <w:shd w:fill="auto" w:val="clear"/>
            <w:vAlign w:val="center"/>
          </w:tcPr>
          <w:p>
            <w:pPr>
              <w:pStyle w:val="TableContents"/>
              <w:spacing w:before="0" w:after="283"/>
              <w:rPr/>
            </w:pPr>
            <w:r>
              <w:rPr/>
              <w:t> </w:t>
            </w:r>
          </w:p>
        </w:tc>
      </w:tr>
      <w:tr>
        <w:trPr/>
        <w:tc>
          <w:tcPr>
            <w:tcW w:w="7163"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360" w:type="dxa"/>
            <w:gridSpan w:val="2"/>
            <w:tcBorders/>
            <w:shd w:fill="auto" w:val="clear"/>
            <w:vAlign w:val="center"/>
          </w:tcPr>
          <w:p>
            <w:pPr>
              <w:pStyle w:val="TableContents"/>
              <w:spacing w:before="0" w:after="283"/>
              <w:jc w:val="center"/>
              <w:rPr/>
            </w:pPr>
            <w:r>
              <w:rPr/>
              <w:t>(unaudited)</w:t>
            </w:r>
          </w:p>
        </w:tc>
        <w:tc>
          <w:tcPr>
            <w:tcW w:w="9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378" w:type="dxa"/>
            <w:gridSpan w:val="2"/>
            <w:tcBorders/>
            <w:shd w:fill="auto" w:val="clear"/>
            <w:vAlign w:val="center"/>
          </w:tcPr>
          <w:p>
            <w:pPr>
              <w:pStyle w:val="TableContents"/>
              <w:spacing w:before="0" w:after="283"/>
              <w:jc w:val="center"/>
              <w:rPr/>
            </w:pPr>
            <w:r>
              <w:rPr/>
              <w:t> </w:t>
            </w:r>
          </w:p>
        </w:tc>
        <w:tc>
          <w:tcPr>
            <w:tcW w:w="89" w:type="dxa"/>
            <w:tcBorders/>
            <w:shd w:fill="auto" w:val="clear"/>
            <w:vAlign w:val="center"/>
          </w:tcPr>
          <w:p>
            <w:pPr>
              <w:pStyle w:val="TableContents"/>
              <w:spacing w:before="0" w:after="283"/>
              <w:rPr/>
            </w:pPr>
            <w:r>
              <w:rPr/>
              <w:t> </w:t>
            </w:r>
          </w:p>
        </w:tc>
      </w:tr>
      <w:tr>
        <w:trPr/>
        <w:tc>
          <w:tcPr>
            <w:tcW w:w="7163" w:type="dxa"/>
            <w:tcBorders/>
            <w:shd w:fill="auto" w:val="clear"/>
            <w:vAlign w:val="center"/>
          </w:tcPr>
          <w:p>
            <w:pPr>
              <w:pStyle w:val="TableContents"/>
              <w:spacing w:before="0" w:after="283"/>
              <w:rPr>
                <w:b/>
              </w:rPr>
            </w:pPr>
            <w:r>
              <w:rPr>
                <w:b/>
              </w:rPr>
              <w:t>ASSETS</w:t>
            </w:r>
          </w:p>
        </w:tc>
        <w:tc>
          <w:tcPr>
            <w:tcW w:w="60" w:type="dxa"/>
            <w:tcBorders/>
            <w:shd w:fill="auto" w:val="clear"/>
            <w:vAlign w:val="center"/>
          </w:tcPr>
          <w:p>
            <w:pPr>
              <w:pStyle w:val="TableContents"/>
              <w:spacing w:before="0" w:after="283"/>
              <w:rPr/>
            </w:pPr>
            <w:r>
              <w:rPr/>
              <w:t> </w:t>
            </w:r>
          </w:p>
        </w:tc>
        <w:tc>
          <w:tcPr>
            <w:tcW w:w="1360" w:type="dxa"/>
            <w:gridSpan w:val="2"/>
            <w:tcBorders/>
            <w:shd w:fill="auto" w:val="clear"/>
            <w:vAlign w:val="center"/>
          </w:tcPr>
          <w:p>
            <w:pPr>
              <w:pStyle w:val="TableContents"/>
              <w:spacing w:before="0" w:after="283"/>
              <w:jc w:val="center"/>
              <w:rPr/>
            </w:pPr>
            <w:r>
              <w:rPr/>
              <w:t> </w:t>
            </w:r>
          </w:p>
        </w:tc>
        <w:tc>
          <w:tcPr>
            <w:tcW w:w="9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378" w:type="dxa"/>
            <w:gridSpan w:val="2"/>
            <w:tcBorders/>
            <w:shd w:fill="auto" w:val="clear"/>
            <w:vAlign w:val="center"/>
          </w:tcPr>
          <w:p>
            <w:pPr>
              <w:pStyle w:val="TableContents"/>
              <w:spacing w:before="0" w:after="283"/>
              <w:jc w:val="center"/>
              <w:rPr/>
            </w:pPr>
            <w:r>
              <w:rPr/>
              <w:t> </w:t>
            </w:r>
          </w:p>
        </w:tc>
        <w:tc>
          <w:tcPr>
            <w:tcW w:w="89" w:type="dxa"/>
            <w:tcBorders/>
            <w:shd w:fill="auto" w:val="clear"/>
            <w:vAlign w:val="center"/>
          </w:tcPr>
          <w:p>
            <w:pPr>
              <w:pStyle w:val="TableContents"/>
              <w:spacing w:before="0" w:after="283"/>
              <w:rPr/>
            </w:pPr>
            <w:r>
              <w:rPr/>
              <w:t> </w:t>
            </w:r>
          </w:p>
        </w:tc>
      </w:tr>
      <w:tr>
        <w:trPr/>
        <w:tc>
          <w:tcPr>
            <w:tcW w:w="7163" w:type="dxa"/>
            <w:tcBorders/>
            <w:shd w:fill="auto" w:val="clear"/>
            <w:vAlign w:val="center"/>
          </w:tcPr>
          <w:p>
            <w:pPr>
              <w:pStyle w:val="TableContents"/>
              <w:spacing w:before="0" w:after="283"/>
              <w:rPr/>
            </w:pPr>
            <w:r>
              <w:rPr/>
              <w:t>Current assets</w:t>
            </w:r>
          </w:p>
        </w:tc>
        <w:tc>
          <w:tcPr>
            <w:tcW w:w="60" w:type="dxa"/>
            <w:tcBorders/>
            <w:shd w:fill="auto" w:val="clear"/>
            <w:vAlign w:val="center"/>
          </w:tcPr>
          <w:p>
            <w:pPr>
              <w:pStyle w:val="TableContents"/>
              <w:spacing w:before="0" w:after="283"/>
              <w:rPr/>
            </w:pPr>
            <w:r>
              <w:rPr/>
              <w:t> </w:t>
            </w:r>
          </w:p>
        </w:tc>
        <w:tc>
          <w:tcPr>
            <w:tcW w:w="1360" w:type="dxa"/>
            <w:gridSpan w:val="2"/>
            <w:tcBorders/>
            <w:shd w:fill="auto" w:val="clear"/>
            <w:vAlign w:val="center"/>
          </w:tcPr>
          <w:p>
            <w:pPr>
              <w:pStyle w:val="TableContents"/>
              <w:spacing w:before="0" w:after="283"/>
              <w:jc w:val="right"/>
              <w:rPr/>
            </w:pPr>
            <w:r>
              <w:rPr/>
              <w:t> </w:t>
            </w:r>
          </w:p>
        </w:tc>
        <w:tc>
          <w:tcPr>
            <w:tcW w:w="9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378" w:type="dxa"/>
            <w:gridSpan w:val="2"/>
            <w:tcBorders/>
            <w:shd w:fill="auto" w:val="clear"/>
            <w:vAlign w:val="center"/>
          </w:tcPr>
          <w:p>
            <w:pPr>
              <w:pStyle w:val="TableContents"/>
              <w:spacing w:before="0" w:after="283"/>
              <w:jc w:val="right"/>
              <w:rPr/>
            </w:pPr>
            <w:r>
              <w:rPr/>
              <w:t> </w:t>
            </w:r>
          </w:p>
        </w:tc>
        <w:tc>
          <w:tcPr>
            <w:tcW w:w="89" w:type="dxa"/>
            <w:tcBorders/>
            <w:shd w:fill="auto" w:val="clear"/>
            <w:vAlign w:val="center"/>
          </w:tcPr>
          <w:p>
            <w:pPr>
              <w:pStyle w:val="TableContents"/>
              <w:spacing w:before="0" w:after="283"/>
              <w:ind w:left="0" w:right="0" w:hanging="180"/>
              <w:rPr/>
            </w:pPr>
            <w:r>
              <w:rPr/>
              <w:t> </w:t>
            </w:r>
          </w:p>
        </w:tc>
      </w:tr>
      <w:tr>
        <w:trPr/>
        <w:tc>
          <w:tcPr>
            <w:tcW w:w="7163" w:type="dxa"/>
            <w:tcBorders/>
            <w:shd w:fill="CCEEFF" w:val="clear"/>
            <w:vAlign w:val="center"/>
          </w:tcPr>
          <w:p>
            <w:pPr>
              <w:pStyle w:val="TableContents"/>
              <w:spacing w:before="0" w:after="283"/>
              <w:rPr/>
            </w:pPr>
            <w:r>
              <w:rPr/>
              <w:t>Cash</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w:t>
            </w:r>
          </w:p>
        </w:tc>
        <w:tc>
          <w:tcPr>
            <w:tcW w:w="1220" w:type="dxa"/>
            <w:tcBorders/>
            <w:shd w:fill="CCEEFF" w:val="clear"/>
            <w:vAlign w:val="center"/>
          </w:tcPr>
          <w:p>
            <w:pPr>
              <w:pStyle w:val="TableContents"/>
              <w:spacing w:before="0" w:after="283"/>
              <w:jc w:val="right"/>
              <w:rPr/>
            </w:pPr>
            <w:r>
              <w:rPr/>
              <w:t>259,857</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1" w:type="dxa"/>
            <w:tcBorders/>
            <w:shd w:fill="CCEEFF" w:val="clear"/>
            <w:vAlign w:val="center"/>
          </w:tcPr>
          <w:p>
            <w:pPr>
              <w:pStyle w:val="TableContents"/>
              <w:spacing w:before="0" w:after="283"/>
              <w:jc w:val="left"/>
              <w:rPr/>
            </w:pPr>
            <w:r>
              <w:rPr/>
              <w:t>$</w:t>
            </w:r>
          </w:p>
        </w:tc>
        <w:tc>
          <w:tcPr>
            <w:tcW w:w="1237" w:type="dxa"/>
            <w:tcBorders/>
            <w:shd w:fill="CCEEFF" w:val="clear"/>
            <w:vAlign w:val="center"/>
          </w:tcPr>
          <w:p>
            <w:pPr>
              <w:pStyle w:val="TableContents"/>
              <w:spacing w:before="0" w:after="283"/>
              <w:jc w:val="right"/>
              <w:rPr/>
            </w:pPr>
            <w:r>
              <w:rPr/>
              <w:t>313,158</w:t>
            </w:r>
          </w:p>
        </w:tc>
        <w:tc>
          <w:tcPr>
            <w:tcW w:w="89" w:type="dxa"/>
            <w:tcBorders/>
            <w:shd w:fill="CCEEFF" w:val="clear"/>
            <w:vAlign w:val="center"/>
          </w:tcPr>
          <w:p>
            <w:pPr>
              <w:pStyle w:val="TableContents"/>
              <w:spacing w:before="0" w:after="283"/>
              <w:ind w:left="0" w:right="0" w:hanging="180"/>
              <w:jc w:val="left"/>
              <w:rPr/>
            </w:pPr>
            <w:r>
              <w:rPr/>
              <w:t> </w:t>
            </w:r>
          </w:p>
        </w:tc>
      </w:tr>
      <w:tr>
        <w:trPr/>
        <w:tc>
          <w:tcPr>
            <w:tcW w:w="7163" w:type="dxa"/>
            <w:tcBorders/>
            <w:shd w:fill="auto" w:val="clear"/>
            <w:vAlign w:val="center"/>
          </w:tcPr>
          <w:p>
            <w:pPr>
              <w:pStyle w:val="TableContents"/>
              <w:spacing w:before="0" w:after="283"/>
              <w:jc w:val="left"/>
              <w:rPr/>
            </w:pPr>
            <w:r>
              <w:rPr/>
              <w:t>Prepaid expenses</w:t>
            </w:r>
          </w:p>
        </w:tc>
        <w:tc>
          <w:tcPr>
            <w:tcW w:w="60" w:type="dxa"/>
            <w:tcBorders/>
            <w:shd w:fill="auto" w:val="clear"/>
            <w:vAlign w:val="center"/>
          </w:tcPr>
          <w:p>
            <w:pPr>
              <w:pStyle w:val="TableContents"/>
              <w:spacing w:before="0" w:after="283"/>
              <w:rPr/>
            </w:pPr>
            <w:r>
              <w:rPr/>
              <w:t> </w:t>
            </w:r>
          </w:p>
        </w:tc>
        <w:tc>
          <w:tcPr>
            <w:tcW w:w="140" w:type="dxa"/>
            <w:tcBorders>
              <w:bottom w:val="single" w:sz="12" w:space="0" w:color="000000"/>
            </w:tcBorders>
            <w:shd w:fill="auto" w:val="clear"/>
            <w:tcMar>
              <w:bottom w:w="28" w:type="dxa"/>
            </w:tcMar>
            <w:vAlign w:val="center"/>
          </w:tcPr>
          <w:p>
            <w:pPr>
              <w:pStyle w:val="TableContents"/>
              <w:spacing w:before="0" w:after="283"/>
              <w:jc w:val="left"/>
              <w:rPr/>
            </w:pPr>
            <w:r>
              <w:rPr/>
              <w:t> </w:t>
            </w:r>
          </w:p>
        </w:tc>
        <w:tc>
          <w:tcPr>
            <w:tcW w:w="1220" w:type="dxa"/>
            <w:tcBorders>
              <w:bottom w:val="single" w:sz="12" w:space="0" w:color="000000"/>
            </w:tcBorders>
            <w:shd w:fill="auto" w:val="clear"/>
            <w:tcMar>
              <w:bottom w:w="28" w:type="dxa"/>
            </w:tcMar>
            <w:vAlign w:val="center"/>
          </w:tcPr>
          <w:p>
            <w:pPr>
              <w:pStyle w:val="TableContents"/>
              <w:spacing w:before="0" w:after="283"/>
              <w:jc w:val="right"/>
              <w:rPr/>
            </w:pPr>
            <w:r>
              <w:rPr/>
              <w:t>121,623</w:t>
            </w:r>
          </w:p>
        </w:tc>
        <w:tc>
          <w:tcPr>
            <w:tcW w:w="95"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41" w:type="dxa"/>
            <w:tcBorders>
              <w:bottom w:val="single" w:sz="12" w:space="0" w:color="000000"/>
            </w:tcBorders>
            <w:shd w:fill="auto" w:val="clear"/>
            <w:tcMar>
              <w:bottom w:w="28" w:type="dxa"/>
            </w:tcMar>
            <w:vAlign w:val="center"/>
          </w:tcPr>
          <w:p>
            <w:pPr>
              <w:pStyle w:val="TableContents"/>
              <w:spacing w:before="0" w:after="283"/>
              <w:jc w:val="left"/>
              <w:rPr/>
            </w:pPr>
            <w:r>
              <w:rPr/>
              <w:t> </w:t>
            </w:r>
          </w:p>
        </w:tc>
        <w:tc>
          <w:tcPr>
            <w:tcW w:w="1237" w:type="dxa"/>
            <w:tcBorders>
              <w:bottom w:val="single" w:sz="12" w:space="0" w:color="000000"/>
            </w:tcBorders>
            <w:shd w:fill="auto" w:val="clear"/>
            <w:tcMar>
              <w:bottom w:w="28" w:type="dxa"/>
            </w:tcMar>
            <w:vAlign w:val="center"/>
          </w:tcPr>
          <w:p>
            <w:pPr>
              <w:pStyle w:val="TableContents"/>
              <w:spacing w:before="0" w:after="283"/>
              <w:jc w:val="right"/>
              <w:rPr/>
            </w:pPr>
            <w:r>
              <w:rPr/>
              <w:t>103,996</w:t>
            </w:r>
          </w:p>
        </w:tc>
        <w:tc>
          <w:tcPr>
            <w:tcW w:w="89" w:type="dxa"/>
            <w:tcBorders/>
            <w:shd w:fill="auto" w:val="clear"/>
            <w:vAlign w:val="center"/>
          </w:tcPr>
          <w:p>
            <w:pPr>
              <w:pStyle w:val="TableContents"/>
              <w:spacing w:before="0" w:after="283"/>
              <w:ind w:left="0" w:right="0" w:hanging="180"/>
              <w:jc w:val="left"/>
              <w:rPr/>
            </w:pPr>
            <w:r>
              <w:rPr/>
              <w:t> </w:t>
            </w:r>
          </w:p>
        </w:tc>
      </w:tr>
      <w:tr>
        <w:trPr/>
        <w:tc>
          <w:tcPr>
            <w:tcW w:w="7163" w:type="dxa"/>
            <w:tcBorders/>
            <w:shd w:fill="CCEEFF" w:val="clear"/>
            <w:vAlign w:val="center"/>
          </w:tcPr>
          <w:p>
            <w:pPr>
              <w:pStyle w:val="TableContents"/>
              <w:spacing w:before="0" w:after="283"/>
              <w:jc w:val="left"/>
              <w:rPr/>
            </w:pPr>
            <w:r>
              <w:rPr/>
              <w:t>Total Current Assets</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1220" w:type="dxa"/>
            <w:tcBorders/>
            <w:shd w:fill="CCEEFF" w:val="clear"/>
            <w:vAlign w:val="center"/>
          </w:tcPr>
          <w:p>
            <w:pPr>
              <w:pStyle w:val="TableContents"/>
              <w:spacing w:before="0" w:after="283"/>
              <w:jc w:val="right"/>
              <w:rPr/>
            </w:pPr>
            <w:r>
              <w:rPr/>
              <w:t>381,480</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1" w:type="dxa"/>
            <w:tcBorders/>
            <w:shd w:fill="CCEEFF" w:val="clear"/>
            <w:vAlign w:val="center"/>
          </w:tcPr>
          <w:p>
            <w:pPr>
              <w:pStyle w:val="TableContents"/>
              <w:spacing w:before="0" w:after="283"/>
              <w:jc w:val="left"/>
              <w:rPr/>
            </w:pPr>
            <w:r>
              <w:rPr/>
              <w:t> </w:t>
            </w:r>
          </w:p>
        </w:tc>
        <w:tc>
          <w:tcPr>
            <w:tcW w:w="1237" w:type="dxa"/>
            <w:tcBorders/>
            <w:shd w:fill="CCEEFF" w:val="clear"/>
            <w:vAlign w:val="center"/>
          </w:tcPr>
          <w:p>
            <w:pPr>
              <w:pStyle w:val="TableContents"/>
              <w:spacing w:before="0" w:after="283"/>
              <w:jc w:val="right"/>
              <w:rPr/>
            </w:pPr>
            <w:r>
              <w:rPr/>
              <w:t>417,154</w:t>
            </w:r>
          </w:p>
        </w:tc>
        <w:tc>
          <w:tcPr>
            <w:tcW w:w="89" w:type="dxa"/>
            <w:tcBorders/>
            <w:shd w:fill="CCEEFF" w:val="clear"/>
            <w:vAlign w:val="center"/>
          </w:tcPr>
          <w:p>
            <w:pPr>
              <w:pStyle w:val="TableContents"/>
              <w:spacing w:before="0" w:after="283"/>
              <w:ind w:left="0" w:right="0" w:hanging="180"/>
              <w:jc w:val="left"/>
              <w:rPr/>
            </w:pPr>
            <w:r>
              <w:rPr/>
              <w:t> </w:t>
            </w:r>
          </w:p>
        </w:tc>
      </w:tr>
      <w:tr>
        <w:trPr/>
        <w:tc>
          <w:tcPr>
            <w:tcW w:w="7163"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jc w:val="left"/>
              <w:rPr/>
            </w:pPr>
            <w:r>
              <w:rPr/>
              <w:t> </w:t>
            </w:r>
          </w:p>
        </w:tc>
        <w:tc>
          <w:tcPr>
            <w:tcW w:w="1220" w:type="dxa"/>
            <w:tcBorders/>
            <w:shd w:fill="auto" w:val="clear"/>
            <w:vAlign w:val="center"/>
          </w:tcPr>
          <w:p>
            <w:pPr>
              <w:pStyle w:val="TableContents"/>
              <w:spacing w:before="0" w:after="283"/>
              <w:jc w:val="right"/>
              <w:rPr/>
            </w:pPr>
            <w:r>
              <w:rPr/>
              <w:t> </w:t>
            </w:r>
          </w:p>
        </w:tc>
        <w:tc>
          <w:tcPr>
            <w:tcW w:w="95"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41" w:type="dxa"/>
            <w:tcBorders/>
            <w:shd w:fill="auto" w:val="clear"/>
            <w:vAlign w:val="center"/>
          </w:tcPr>
          <w:p>
            <w:pPr>
              <w:pStyle w:val="TableContents"/>
              <w:spacing w:before="0" w:after="283"/>
              <w:jc w:val="left"/>
              <w:rPr/>
            </w:pPr>
            <w:r>
              <w:rPr/>
              <w:t> </w:t>
            </w:r>
          </w:p>
        </w:tc>
        <w:tc>
          <w:tcPr>
            <w:tcW w:w="1237" w:type="dxa"/>
            <w:tcBorders/>
            <w:shd w:fill="auto" w:val="clear"/>
            <w:vAlign w:val="center"/>
          </w:tcPr>
          <w:p>
            <w:pPr>
              <w:pStyle w:val="TableContents"/>
              <w:spacing w:before="0" w:after="283"/>
              <w:jc w:val="right"/>
              <w:rPr/>
            </w:pPr>
            <w:r>
              <w:rPr/>
              <w:t> </w:t>
            </w:r>
          </w:p>
        </w:tc>
        <w:tc>
          <w:tcPr>
            <w:tcW w:w="89" w:type="dxa"/>
            <w:tcBorders/>
            <w:shd w:fill="auto" w:val="clear"/>
            <w:vAlign w:val="center"/>
          </w:tcPr>
          <w:p>
            <w:pPr>
              <w:pStyle w:val="TableContents"/>
              <w:spacing w:before="0" w:after="283"/>
              <w:ind w:left="0" w:right="0" w:hanging="180"/>
              <w:jc w:val="left"/>
              <w:rPr/>
            </w:pPr>
            <w:r>
              <w:rPr/>
              <w:t> </w:t>
            </w:r>
          </w:p>
        </w:tc>
      </w:tr>
      <w:tr>
        <w:trPr/>
        <w:tc>
          <w:tcPr>
            <w:tcW w:w="7163" w:type="dxa"/>
            <w:tcBorders/>
            <w:shd w:fill="CCEEFF" w:val="clear"/>
            <w:vAlign w:val="center"/>
          </w:tcPr>
          <w:p>
            <w:pPr>
              <w:pStyle w:val="TableContents"/>
              <w:spacing w:before="0" w:after="283"/>
              <w:jc w:val="left"/>
              <w:rPr/>
            </w:pPr>
            <w:r>
              <w:rPr/>
              <w:t>Marketable securities held in Trust Account</w:t>
            </w:r>
          </w:p>
        </w:tc>
        <w:tc>
          <w:tcPr>
            <w:tcW w:w="60" w:type="dxa"/>
            <w:tcBorders/>
            <w:shd w:fill="CCEEFF" w:val="clear"/>
            <w:vAlign w:val="center"/>
          </w:tcPr>
          <w:p>
            <w:pPr>
              <w:pStyle w:val="TableContents"/>
              <w:spacing w:before="0" w:after="283"/>
              <w:rPr/>
            </w:pPr>
            <w:r>
              <w:rPr/>
              <w:t> </w:t>
            </w:r>
          </w:p>
        </w:tc>
        <w:tc>
          <w:tcPr>
            <w:tcW w:w="140" w:type="dxa"/>
            <w:tcBorders>
              <w:bottom w:val="single" w:sz="12" w:space="0" w:color="000000"/>
            </w:tcBorders>
            <w:shd w:fill="CCEEFF" w:val="clear"/>
            <w:tcMar>
              <w:bottom w:w="28" w:type="dxa"/>
            </w:tcMar>
            <w:vAlign w:val="center"/>
          </w:tcPr>
          <w:p>
            <w:pPr>
              <w:pStyle w:val="TableContents"/>
              <w:spacing w:before="0" w:after="283"/>
              <w:jc w:val="left"/>
              <w:rPr/>
            </w:pPr>
            <w:r>
              <w:rPr/>
              <w:t> </w:t>
            </w:r>
          </w:p>
        </w:tc>
        <w:tc>
          <w:tcPr>
            <w:tcW w:w="1220" w:type="dxa"/>
            <w:tcBorders>
              <w:bottom w:val="single" w:sz="12" w:space="0" w:color="000000"/>
            </w:tcBorders>
            <w:shd w:fill="CCEEFF" w:val="clear"/>
            <w:tcMar>
              <w:bottom w:w="28" w:type="dxa"/>
            </w:tcMar>
            <w:vAlign w:val="center"/>
          </w:tcPr>
          <w:p>
            <w:pPr>
              <w:pStyle w:val="TableContents"/>
              <w:spacing w:before="0" w:after="283"/>
              <w:jc w:val="right"/>
              <w:rPr/>
            </w:pPr>
            <w:r>
              <w:rPr/>
              <w:t>176,009,525</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1" w:type="dxa"/>
            <w:tcBorders>
              <w:bottom w:val="single" w:sz="12" w:space="0" w:color="000000"/>
            </w:tcBorders>
            <w:shd w:fill="CCEEFF" w:val="clear"/>
            <w:tcMar>
              <w:bottom w:w="28" w:type="dxa"/>
            </w:tcMar>
            <w:vAlign w:val="center"/>
          </w:tcPr>
          <w:p>
            <w:pPr>
              <w:pStyle w:val="TableContents"/>
              <w:spacing w:before="0" w:after="283"/>
              <w:jc w:val="left"/>
              <w:rPr/>
            </w:pPr>
            <w:r>
              <w:rPr/>
              <w:t> </w:t>
            </w:r>
          </w:p>
        </w:tc>
        <w:tc>
          <w:tcPr>
            <w:tcW w:w="1237" w:type="dxa"/>
            <w:tcBorders>
              <w:bottom w:val="single" w:sz="12" w:space="0" w:color="000000"/>
            </w:tcBorders>
            <w:shd w:fill="CCEEFF" w:val="clear"/>
            <w:tcMar>
              <w:bottom w:w="28" w:type="dxa"/>
            </w:tcMar>
            <w:vAlign w:val="center"/>
          </w:tcPr>
          <w:p>
            <w:pPr>
              <w:pStyle w:val="TableContents"/>
              <w:spacing w:before="0" w:after="283"/>
              <w:jc w:val="right"/>
              <w:rPr/>
            </w:pPr>
            <w:r>
              <w:rPr/>
              <w:t>174,266,206</w:t>
            </w:r>
          </w:p>
        </w:tc>
        <w:tc>
          <w:tcPr>
            <w:tcW w:w="89" w:type="dxa"/>
            <w:tcBorders/>
            <w:shd w:fill="CCEEFF" w:val="clear"/>
            <w:vAlign w:val="center"/>
          </w:tcPr>
          <w:p>
            <w:pPr>
              <w:pStyle w:val="TableContents"/>
              <w:spacing w:before="0" w:after="283"/>
              <w:ind w:left="0" w:right="0" w:hanging="180"/>
              <w:jc w:val="left"/>
              <w:rPr/>
            </w:pPr>
            <w:r>
              <w:rPr/>
              <w:t> </w:t>
            </w:r>
          </w:p>
        </w:tc>
      </w:tr>
      <w:tr>
        <w:trPr/>
        <w:tc>
          <w:tcPr>
            <w:tcW w:w="7163" w:type="dxa"/>
            <w:tcBorders/>
            <w:shd w:fill="auto" w:val="clear"/>
            <w:vAlign w:val="center"/>
          </w:tcPr>
          <w:p>
            <w:pPr>
              <w:pStyle w:val="TableContents"/>
              <w:spacing w:before="0" w:after="283"/>
              <w:jc w:val="left"/>
              <w:rPr>
                <w:b/>
              </w:rPr>
            </w:pPr>
            <w:r>
              <w:rPr>
                <w:b/>
              </w:rPr>
              <w:t>TOTAL ASSETS</w:t>
            </w:r>
          </w:p>
        </w:tc>
        <w:tc>
          <w:tcPr>
            <w:tcW w:w="60" w:type="dxa"/>
            <w:tcBorders/>
            <w:shd w:fill="auto" w:val="clear"/>
            <w:vAlign w:val="center"/>
          </w:tcPr>
          <w:p>
            <w:pPr>
              <w:pStyle w:val="TableContents"/>
              <w:spacing w:before="0" w:after="283"/>
              <w:rPr/>
            </w:pPr>
            <w:r>
              <w:rPr/>
              <w:t> </w:t>
            </w:r>
          </w:p>
        </w:tc>
        <w:tc>
          <w:tcPr>
            <w:tcW w:w="140" w:type="dxa"/>
            <w:tcBorders>
              <w:bottom w:val="double" w:sz="10" w:space="0" w:color="000000"/>
            </w:tcBorders>
            <w:shd w:fill="auto" w:val="clear"/>
            <w:tcMar>
              <w:bottom w:w="28" w:type="dxa"/>
            </w:tcMar>
            <w:vAlign w:val="center"/>
          </w:tcPr>
          <w:p>
            <w:pPr>
              <w:pStyle w:val="TableContents"/>
              <w:spacing w:before="0" w:after="283"/>
              <w:jc w:val="left"/>
              <w:rPr>
                <w:b/>
              </w:rPr>
            </w:pPr>
            <w:r>
              <w:rPr>
                <w:b/>
              </w:rPr>
              <w:t>$</w:t>
            </w:r>
          </w:p>
        </w:tc>
        <w:tc>
          <w:tcPr>
            <w:tcW w:w="1220" w:type="dxa"/>
            <w:tcBorders>
              <w:bottom w:val="double" w:sz="10" w:space="0" w:color="000000"/>
            </w:tcBorders>
            <w:shd w:fill="auto" w:val="clear"/>
            <w:tcMar>
              <w:bottom w:w="28" w:type="dxa"/>
            </w:tcMar>
            <w:vAlign w:val="center"/>
          </w:tcPr>
          <w:p>
            <w:pPr>
              <w:pStyle w:val="TableContents"/>
              <w:spacing w:before="0" w:after="283"/>
              <w:jc w:val="right"/>
              <w:rPr>
                <w:b/>
              </w:rPr>
            </w:pPr>
            <w:r>
              <w:rPr>
                <w:b/>
              </w:rPr>
              <w:t>176,391,005</w:t>
            </w:r>
          </w:p>
        </w:tc>
        <w:tc>
          <w:tcPr>
            <w:tcW w:w="95"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41" w:type="dxa"/>
            <w:tcBorders>
              <w:bottom w:val="double" w:sz="10" w:space="0" w:color="000000"/>
            </w:tcBorders>
            <w:shd w:fill="auto" w:val="clear"/>
            <w:tcMar>
              <w:bottom w:w="28" w:type="dxa"/>
            </w:tcMar>
            <w:vAlign w:val="center"/>
          </w:tcPr>
          <w:p>
            <w:pPr>
              <w:pStyle w:val="TableContents"/>
              <w:spacing w:before="0" w:after="283"/>
              <w:jc w:val="left"/>
              <w:rPr>
                <w:b/>
              </w:rPr>
            </w:pPr>
            <w:r>
              <w:rPr>
                <w:b/>
              </w:rPr>
              <w:t>$</w:t>
            </w:r>
          </w:p>
        </w:tc>
        <w:tc>
          <w:tcPr>
            <w:tcW w:w="1237" w:type="dxa"/>
            <w:tcBorders>
              <w:bottom w:val="double" w:sz="10" w:space="0" w:color="000000"/>
            </w:tcBorders>
            <w:shd w:fill="auto" w:val="clear"/>
            <w:tcMar>
              <w:bottom w:w="28" w:type="dxa"/>
            </w:tcMar>
            <w:vAlign w:val="center"/>
          </w:tcPr>
          <w:p>
            <w:pPr>
              <w:pStyle w:val="TableContents"/>
              <w:spacing w:before="0" w:after="283"/>
              <w:jc w:val="right"/>
              <w:rPr>
                <w:b/>
              </w:rPr>
            </w:pPr>
            <w:r>
              <w:rPr>
                <w:b/>
              </w:rPr>
              <w:t>174,683,360</w:t>
            </w:r>
          </w:p>
        </w:tc>
        <w:tc>
          <w:tcPr>
            <w:tcW w:w="89" w:type="dxa"/>
            <w:tcBorders/>
            <w:shd w:fill="auto" w:val="clear"/>
            <w:vAlign w:val="center"/>
          </w:tcPr>
          <w:p>
            <w:pPr>
              <w:pStyle w:val="TableContents"/>
              <w:spacing w:before="0" w:after="283"/>
              <w:ind w:left="0" w:right="0" w:hanging="180"/>
              <w:jc w:val="left"/>
              <w:rPr/>
            </w:pPr>
            <w:r>
              <w:rPr/>
              <w:t> </w:t>
            </w:r>
          </w:p>
        </w:tc>
      </w:tr>
      <w:tr>
        <w:trPr/>
        <w:tc>
          <w:tcPr>
            <w:tcW w:w="7163"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1220" w:type="dxa"/>
            <w:tcBorders/>
            <w:shd w:fill="CCEEFF" w:val="clear"/>
            <w:vAlign w:val="center"/>
          </w:tcPr>
          <w:p>
            <w:pPr>
              <w:pStyle w:val="TableContents"/>
              <w:spacing w:before="0" w:after="283"/>
              <w:jc w:val="right"/>
              <w:rPr/>
            </w:pPr>
            <w:r>
              <w:rPr/>
              <w:t> </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1" w:type="dxa"/>
            <w:tcBorders/>
            <w:shd w:fill="CCEEFF" w:val="clear"/>
            <w:vAlign w:val="center"/>
          </w:tcPr>
          <w:p>
            <w:pPr>
              <w:pStyle w:val="TableContents"/>
              <w:spacing w:before="0" w:after="283"/>
              <w:jc w:val="left"/>
              <w:rPr/>
            </w:pPr>
            <w:r>
              <w:rPr/>
              <w:t> </w:t>
            </w:r>
          </w:p>
        </w:tc>
        <w:tc>
          <w:tcPr>
            <w:tcW w:w="1237" w:type="dxa"/>
            <w:tcBorders/>
            <w:shd w:fill="CCEEFF" w:val="clear"/>
            <w:vAlign w:val="center"/>
          </w:tcPr>
          <w:p>
            <w:pPr>
              <w:pStyle w:val="TableContents"/>
              <w:spacing w:before="0" w:after="283"/>
              <w:jc w:val="right"/>
              <w:rPr/>
            </w:pPr>
            <w:r>
              <w:rPr/>
              <w:t> </w:t>
            </w:r>
          </w:p>
        </w:tc>
        <w:tc>
          <w:tcPr>
            <w:tcW w:w="89" w:type="dxa"/>
            <w:tcBorders/>
            <w:shd w:fill="CCEEFF" w:val="clear"/>
            <w:vAlign w:val="center"/>
          </w:tcPr>
          <w:p>
            <w:pPr>
              <w:pStyle w:val="TableContents"/>
              <w:spacing w:before="0" w:after="283"/>
              <w:ind w:left="0" w:right="0" w:hanging="180"/>
              <w:jc w:val="left"/>
              <w:rPr/>
            </w:pPr>
            <w:r>
              <w:rPr/>
              <w:t> </w:t>
            </w:r>
          </w:p>
        </w:tc>
      </w:tr>
      <w:tr>
        <w:trPr/>
        <w:tc>
          <w:tcPr>
            <w:tcW w:w="7163" w:type="dxa"/>
            <w:tcBorders/>
            <w:shd w:fill="auto" w:val="clear"/>
            <w:vAlign w:val="center"/>
          </w:tcPr>
          <w:p>
            <w:pPr>
              <w:pStyle w:val="TableContents"/>
              <w:spacing w:before="0" w:after="283"/>
              <w:jc w:val="left"/>
              <w:rPr>
                <w:b/>
              </w:rPr>
            </w:pPr>
            <w:r>
              <w:rPr>
                <w:b/>
              </w:rPr>
              <w:t>LIABILITIES AND STOCKHOLDERS’ DEFICIT</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jc w:val="left"/>
              <w:rPr/>
            </w:pPr>
            <w:r>
              <w:rPr/>
              <w:t> </w:t>
            </w:r>
          </w:p>
        </w:tc>
        <w:tc>
          <w:tcPr>
            <w:tcW w:w="1220" w:type="dxa"/>
            <w:tcBorders/>
            <w:shd w:fill="auto" w:val="clear"/>
            <w:vAlign w:val="center"/>
          </w:tcPr>
          <w:p>
            <w:pPr>
              <w:pStyle w:val="TableContents"/>
              <w:spacing w:before="0" w:after="283"/>
              <w:jc w:val="right"/>
              <w:rPr/>
            </w:pPr>
            <w:r>
              <w:rPr/>
              <w:t> </w:t>
            </w:r>
          </w:p>
        </w:tc>
        <w:tc>
          <w:tcPr>
            <w:tcW w:w="95"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41" w:type="dxa"/>
            <w:tcBorders/>
            <w:shd w:fill="auto" w:val="clear"/>
            <w:vAlign w:val="center"/>
          </w:tcPr>
          <w:p>
            <w:pPr>
              <w:pStyle w:val="TableContents"/>
              <w:spacing w:before="0" w:after="283"/>
              <w:jc w:val="left"/>
              <w:rPr/>
            </w:pPr>
            <w:r>
              <w:rPr/>
              <w:t> </w:t>
            </w:r>
          </w:p>
        </w:tc>
        <w:tc>
          <w:tcPr>
            <w:tcW w:w="1237" w:type="dxa"/>
            <w:tcBorders/>
            <w:shd w:fill="auto" w:val="clear"/>
            <w:vAlign w:val="center"/>
          </w:tcPr>
          <w:p>
            <w:pPr>
              <w:pStyle w:val="TableContents"/>
              <w:spacing w:before="0" w:after="283"/>
              <w:jc w:val="right"/>
              <w:rPr/>
            </w:pPr>
            <w:r>
              <w:rPr/>
              <w:t> </w:t>
            </w:r>
          </w:p>
        </w:tc>
        <w:tc>
          <w:tcPr>
            <w:tcW w:w="89" w:type="dxa"/>
            <w:tcBorders/>
            <w:shd w:fill="auto" w:val="clear"/>
            <w:vAlign w:val="center"/>
          </w:tcPr>
          <w:p>
            <w:pPr>
              <w:pStyle w:val="TableContents"/>
              <w:spacing w:before="0" w:after="283"/>
              <w:ind w:left="0" w:right="0" w:hanging="180"/>
              <w:jc w:val="left"/>
              <w:rPr/>
            </w:pPr>
            <w:r>
              <w:rPr/>
              <w:t> </w:t>
            </w:r>
          </w:p>
        </w:tc>
      </w:tr>
      <w:tr>
        <w:trPr/>
        <w:tc>
          <w:tcPr>
            <w:tcW w:w="7163" w:type="dxa"/>
            <w:tcBorders/>
            <w:shd w:fill="CCEEFF" w:val="clear"/>
            <w:vAlign w:val="center"/>
          </w:tcPr>
          <w:p>
            <w:pPr>
              <w:pStyle w:val="TableContents"/>
              <w:spacing w:before="0" w:after="283"/>
              <w:jc w:val="left"/>
              <w:rPr/>
            </w:pPr>
            <w:r>
              <w:rPr/>
              <w:t>Current liabilities</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1220" w:type="dxa"/>
            <w:tcBorders/>
            <w:shd w:fill="CCEEFF" w:val="clear"/>
            <w:vAlign w:val="center"/>
          </w:tcPr>
          <w:p>
            <w:pPr>
              <w:pStyle w:val="TableContents"/>
              <w:spacing w:before="0" w:after="283"/>
              <w:jc w:val="right"/>
              <w:rPr/>
            </w:pPr>
            <w:r>
              <w:rPr/>
              <w:t> </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1" w:type="dxa"/>
            <w:tcBorders/>
            <w:shd w:fill="CCEEFF" w:val="clear"/>
            <w:vAlign w:val="center"/>
          </w:tcPr>
          <w:p>
            <w:pPr>
              <w:pStyle w:val="TableContents"/>
              <w:spacing w:before="0" w:after="283"/>
              <w:jc w:val="left"/>
              <w:rPr/>
            </w:pPr>
            <w:r>
              <w:rPr/>
              <w:t> </w:t>
            </w:r>
          </w:p>
        </w:tc>
        <w:tc>
          <w:tcPr>
            <w:tcW w:w="1237" w:type="dxa"/>
            <w:tcBorders/>
            <w:shd w:fill="CCEEFF" w:val="clear"/>
            <w:vAlign w:val="center"/>
          </w:tcPr>
          <w:p>
            <w:pPr>
              <w:pStyle w:val="TableContents"/>
              <w:spacing w:before="0" w:after="283"/>
              <w:jc w:val="right"/>
              <w:rPr/>
            </w:pPr>
            <w:r>
              <w:rPr/>
              <w:t> </w:t>
            </w:r>
          </w:p>
        </w:tc>
        <w:tc>
          <w:tcPr>
            <w:tcW w:w="89" w:type="dxa"/>
            <w:tcBorders/>
            <w:shd w:fill="CCEEFF" w:val="clear"/>
            <w:vAlign w:val="center"/>
          </w:tcPr>
          <w:p>
            <w:pPr>
              <w:pStyle w:val="TableContents"/>
              <w:spacing w:before="0" w:after="283"/>
              <w:ind w:left="0" w:right="0" w:hanging="180"/>
              <w:jc w:val="left"/>
              <w:rPr/>
            </w:pPr>
            <w:r>
              <w:rPr/>
              <w:t> </w:t>
            </w:r>
          </w:p>
        </w:tc>
      </w:tr>
      <w:tr>
        <w:trPr/>
        <w:tc>
          <w:tcPr>
            <w:tcW w:w="7163" w:type="dxa"/>
            <w:tcBorders/>
            <w:shd w:fill="auto" w:val="clear"/>
            <w:vAlign w:val="center"/>
          </w:tcPr>
          <w:p>
            <w:pPr>
              <w:pStyle w:val="TableContents"/>
              <w:spacing w:before="0" w:after="283"/>
              <w:jc w:val="left"/>
              <w:rPr/>
            </w:pPr>
            <w:r>
              <w:rPr/>
              <w:t>Accounts payable and accrued expenses</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jc w:val="left"/>
              <w:rPr/>
            </w:pPr>
            <w:r>
              <w:rPr/>
              <w:t>$</w:t>
            </w:r>
          </w:p>
        </w:tc>
        <w:tc>
          <w:tcPr>
            <w:tcW w:w="1220" w:type="dxa"/>
            <w:tcBorders/>
            <w:shd w:fill="auto" w:val="clear"/>
            <w:vAlign w:val="center"/>
          </w:tcPr>
          <w:p>
            <w:pPr>
              <w:pStyle w:val="TableContents"/>
              <w:spacing w:before="0" w:after="283"/>
              <w:jc w:val="right"/>
              <w:rPr/>
            </w:pPr>
            <w:r>
              <w:rPr/>
              <w:t>786,846</w:t>
            </w:r>
          </w:p>
        </w:tc>
        <w:tc>
          <w:tcPr>
            <w:tcW w:w="95"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41" w:type="dxa"/>
            <w:tcBorders/>
            <w:shd w:fill="auto" w:val="clear"/>
            <w:vAlign w:val="center"/>
          </w:tcPr>
          <w:p>
            <w:pPr>
              <w:pStyle w:val="TableContents"/>
              <w:spacing w:before="0" w:after="283"/>
              <w:jc w:val="left"/>
              <w:rPr/>
            </w:pPr>
            <w:r>
              <w:rPr/>
              <w:t>$</w:t>
            </w:r>
          </w:p>
        </w:tc>
        <w:tc>
          <w:tcPr>
            <w:tcW w:w="1237" w:type="dxa"/>
            <w:tcBorders/>
            <w:shd w:fill="auto" w:val="clear"/>
            <w:vAlign w:val="center"/>
          </w:tcPr>
          <w:p>
            <w:pPr>
              <w:pStyle w:val="TableContents"/>
              <w:spacing w:before="0" w:after="283"/>
              <w:jc w:val="right"/>
              <w:rPr/>
            </w:pPr>
            <w:r>
              <w:rPr/>
              <w:t>325,691</w:t>
            </w:r>
          </w:p>
        </w:tc>
        <w:tc>
          <w:tcPr>
            <w:tcW w:w="89" w:type="dxa"/>
            <w:tcBorders/>
            <w:shd w:fill="auto" w:val="clear"/>
            <w:vAlign w:val="center"/>
          </w:tcPr>
          <w:p>
            <w:pPr>
              <w:pStyle w:val="TableContents"/>
              <w:spacing w:before="0" w:after="283"/>
              <w:ind w:left="0" w:right="0" w:hanging="180"/>
              <w:jc w:val="left"/>
              <w:rPr/>
            </w:pPr>
            <w:r>
              <w:rPr/>
              <w:t> </w:t>
            </w:r>
          </w:p>
        </w:tc>
      </w:tr>
      <w:tr>
        <w:trPr/>
        <w:tc>
          <w:tcPr>
            <w:tcW w:w="7163" w:type="dxa"/>
            <w:tcBorders/>
            <w:shd w:fill="CCEEFF" w:val="clear"/>
            <w:vAlign w:val="center"/>
          </w:tcPr>
          <w:p>
            <w:pPr>
              <w:pStyle w:val="TableContents"/>
              <w:spacing w:before="0" w:after="283"/>
              <w:jc w:val="left"/>
              <w:rPr/>
            </w:pPr>
            <w:r>
              <w:rPr/>
              <w:t>Due to related party</w:t>
            </w:r>
          </w:p>
        </w:tc>
        <w:tc>
          <w:tcPr>
            <w:tcW w:w="60" w:type="dxa"/>
            <w:tcBorders/>
            <w:shd w:fill="CCEEFF" w:val="clear"/>
            <w:vAlign w:val="center"/>
          </w:tcPr>
          <w:p>
            <w:pPr>
              <w:pStyle w:val="TableContents"/>
              <w:spacing w:before="0" w:after="283"/>
              <w:rPr/>
            </w:pPr>
            <w:r>
              <w:rPr/>
              <w:t> </w:t>
            </w:r>
          </w:p>
        </w:tc>
        <w:tc>
          <w:tcPr>
            <w:tcW w:w="140" w:type="dxa"/>
            <w:tcBorders>
              <w:bottom w:val="single" w:sz="12" w:space="0" w:color="000000"/>
            </w:tcBorders>
            <w:shd w:fill="CCEEFF" w:val="clear"/>
            <w:tcMar>
              <w:bottom w:w="28" w:type="dxa"/>
            </w:tcMar>
            <w:vAlign w:val="center"/>
          </w:tcPr>
          <w:p>
            <w:pPr>
              <w:pStyle w:val="TableContents"/>
              <w:spacing w:before="0" w:after="283"/>
              <w:jc w:val="left"/>
              <w:rPr/>
            </w:pPr>
            <w:r>
              <w:rPr/>
              <w:t> </w:t>
            </w:r>
          </w:p>
        </w:tc>
        <w:tc>
          <w:tcPr>
            <w:tcW w:w="1220" w:type="dxa"/>
            <w:tcBorders>
              <w:bottom w:val="single" w:sz="12" w:space="0" w:color="000000"/>
            </w:tcBorders>
            <w:shd w:fill="CCEEFF" w:val="clear"/>
            <w:tcMar>
              <w:bottom w:w="28" w:type="dxa"/>
            </w:tcMar>
            <w:vAlign w:val="center"/>
          </w:tcPr>
          <w:p>
            <w:pPr>
              <w:pStyle w:val="TableContents"/>
              <w:spacing w:before="0" w:after="283"/>
              <w:jc w:val="right"/>
              <w:rPr/>
            </w:pPr>
            <w:r>
              <w:rPr/>
              <w:t>155,000</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1" w:type="dxa"/>
            <w:tcBorders>
              <w:bottom w:val="single" w:sz="12" w:space="0" w:color="000000"/>
            </w:tcBorders>
            <w:shd w:fill="CCEEFF" w:val="clear"/>
            <w:tcMar>
              <w:bottom w:w="28" w:type="dxa"/>
            </w:tcMar>
            <w:vAlign w:val="center"/>
          </w:tcPr>
          <w:p>
            <w:pPr>
              <w:pStyle w:val="TableContents"/>
              <w:spacing w:before="0" w:after="283"/>
              <w:jc w:val="left"/>
              <w:rPr/>
            </w:pPr>
            <w:r>
              <w:rPr/>
              <w:t> </w:t>
            </w:r>
          </w:p>
        </w:tc>
        <w:tc>
          <w:tcPr>
            <w:tcW w:w="1237" w:type="dxa"/>
            <w:tcBorders>
              <w:bottom w:val="single" w:sz="12" w:space="0" w:color="000000"/>
            </w:tcBorders>
            <w:shd w:fill="CCEEFF" w:val="clear"/>
            <w:tcMar>
              <w:bottom w:w="28" w:type="dxa"/>
            </w:tcMar>
            <w:vAlign w:val="center"/>
          </w:tcPr>
          <w:p>
            <w:pPr>
              <w:pStyle w:val="TableContents"/>
              <w:spacing w:before="0" w:after="283"/>
              <w:jc w:val="right"/>
              <w:rPr/>
            </w:pPr>
            <w:r>
              <w:rPr/>
              <w:t>120,000</w:t>
            </w:r>
          </w:p>
        </w:tc>
        <w:tc>
          <w:tcPr>
            <w:tcW w:w="89" w:type="dxa"/>
            <w:tcBorders/>
            <w:shd w:fill="CCEEFF" w:val="clear"/>
            <w:vAlign w:val="center"/>
          </w:tcPr>
          <w:p>
            <w:pPr>
              <w:pStyle w:val="TableContents"/>
              <w:spacing w:before="0" w:after="283"/>
              <w:ind w:left="0" w:right="0" w:hanging="180"/>
              <w:jc w:val="left"/>
              <w:rPr/>
            </w:pPr>
            <w:r>
              <w:rPr/>
              <w:t> </w:t>
            </w:r>
          </w:p>
        </w:tc>
      </w:tr>
      <w:tr>
        <w:trPr/>
        <w:tc>
          <w:tcPr>
            <w:tcW w:w="7163" w:type="dxa"/>
            <w:tcBorders/>
            <w:shd w:fill="auto" w:val="clear"/>
            <w:vAlign w:val="center"/>
          </w:tcPr>
          <w:p>
            <w:pPr>
              <w:pStyle w:val="TableContents"/>
              <w:spacing w:before="0" w:after="283"/>
              <w:jc w:val="left"/>
              <w:rPr/>
            </w:pPr>
            <w:r>
              <w:rPr/>
              <w:t>Total Current Liabilities</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jc w:val="left"/>
              <w:rPr/>
            </w:pPr>
            <w:r>
              <w:rPr/>
              <w:t> </w:t>
            </w:r>
          </w:p>
        </w:tc>
        <w:tc>
          <w:tcPr>
            <w:tcW w:w="1220" w:type="dxa"/>
            <w:tcBorders/>
            <w:shd w:fill="auto" w:val="clear"/>
            <w:vAlign w:val="center"/>
          </w:tcPr>
          <w:p>
            <w:pPr>
              <w:pStyle w:val="TableContents"/>
              <w:spacing w:before="0" w:after="283"/>
              <w:jc w:val="right"/>
              <w:rPr/>
            </w:pPr>
            <w:r>
              <w:rPr/>
              <w:t>941,846</w:t>
            </w:r>
          </w:p>
        </w:tc>
        <w:tc>
          <w:tcPr>
            <w:tcW w:w="95"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41" w:type="dxa"/>
            <w:tcBorders/>
            <w:shd w:fill="auto" w:val="clear"/>
            <w:vAlign w:val="center"/>
          </w:tcPr>
          <w:p>
            <w:pPr>
              <w:pStyle w:val="TableContents"/>
              <w:spacing w:before="0" w:after="283"/>
              <w:jc w:val="left"/>
              <w:rPr/>
            </w:pPr>
            <w:r>
              <w:rPr/>
              <w:t> </w:t>
            </w:r>
          </w:p>
        </w:tc>
        <w:tc>
          <w:tcPr>
            <w:tcW w:w="1237" w:type="dxa"/>
            <w:tcBorders/>
            <w:shd w:fill="auto" w:val="clear"/>
            <w:vAlign w:val="center"/>
          </w:tcPr>
          <w:p>
            <w:pPr>
              <w:pStyle w:val="TableContents"/>
              <w:spacing w:before="0" w:after="283"/>
              <w:jc w:val="right"/>
              <w:rPr/>
            </w:pPr>
            <w:r>
              <w:rPr/>
              <w:t>445,691</w:t>
            </w:r>
          </w:p>
        </w:tc>
        <w:tc>
          <w:tcPr>
            <w:tcW w:w="89" w:type="dxa"/>
            <w:tcBorders/>
            <w:shd w:fill="auto" w:val="clear"/>
            <w:vAlign w:val="center"/>
          </w:tcPr>
          <w:p>
            <w:pPr>
              <w:pStyle w:val="TableContents"/>
              <w:spacing w:before="0" w:after="283"/>
              <w:ind w:left="0" w:right="0" w:hanging="180"/>
              <w:jc w:val="left"/>
              <w:rPr/>
            </w:pPr>
            <w:r>
              <w:rPr/>
              <w:t> </w:t>
            </w:r>
          </w:p>
        </w:tc>
      </w:tr>
      <w:tr>
        <w:trPr/>
        <w:tc>
          <w:tcPr>
            <w:tcW w:w="7163"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1220" w:type="dxa"/>
            <w:tcBorders/>
            <w:shd w:fill="CCEEFF" w:val="clear"/>
            <w:vAlign w:val="center"/>
          </w:tcPr>
          <w:p>
            <w:pPr>
              <w:pStyle w:val="TableContents"/>
              <w:spacing w:before="0" w:after="283"/>
              <w:jc w:val="right"/>
              <w:rPr/>
            </w:pPr>
            <w:r>
              <w:rPr/>
              <w:t> </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1" w:type="dxa"/>
            <w:tcBorders/>
            <w:shd w:fill="CCEEFF" w:val="clear"/>
            <w:vAlign w:val="center"/>
          </w:tcPr>
          <w:p>
            <w:pPr>
              <w:pStyle w:val="TableContents"/>
              <w:spacing w:before="0" w:after="283"/>
              <w:jc w:val="left"/>
              <w:rPr/>
            </w:pPr>
            <w:r>
              <w:rPr/>
              <w:t> </w:t>
            </w:r>
          </w:p>
        </w:tc>
        <w:tc>
          <w:tcPr>
            <w:tcW w:w="1237" w:type="dxa"/>
            <w:tcBorders/>
            <w:shd w:fill="CCEEFF" w:val="clear"/>
            <w:vAlign w:val="center"/>
          </w:tcPr>
          <w:p>
            <w:pPr>
              <w:pStyle w:val="TableContents"/>
              <w:spacing w:before="0" w:after="283"/>
              <w:jc w:val="right"/>
              <w:rPr/>
            </w:pPr>
            <w:r>
              <w:rPr/>
              <w:t> </w:t>
            </w:r>
          </w:p>
        </w:tc>
        <w:tc>
          <w:tcPr>
            <w:tcW w:w="89" w:type="dxa"/>
            <w:tcBorders/>
            <w:shd w:fill="CCEEFF" w:val="clear"/>
            <w:vAlign w:val="center"/>
          </w:tcPr>
          <w:p>
            <w:pPr>
              <w:pStyle w:val="TableContents"/>
              <w:spacing w:before="0" w:after="283"/>
              <w:ind w:left="0" w:right="0" w:hanging="180"/>
              <w:jc w:val="left"/>
              <w:rPr/>
            </w:pPr>
            <w:r>
              <w:rPr/>
              <w:t> </w:t>
            </w:r>
          </w:p>
        </w:tc>
      </w:tr>
      <w:tr>
        <w:trPr/>
        <w:tc>
          <w:tcPr>
            <w:tcW w:w="7163" w:type="dxa"/>
            <w:tcBorders/>
            <w:shd w:fill="auto" w:val="clear"/>
            <w:vAlign w:val="center"/>
          </w:tcPr>
          <w:p>
            <w:pPr>
              <w:pStyle w:val="TableContents"/>
              <w:spacing w:before="0" w:after="283"/>
              <w:jc w:val="left"/>
              <w:rPr/>
            </w:pPr>
            <w:r>
              <w:rPr/>
              <w:t>Promissory note – related party</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jc w:val="left"/>
              <w:rPr/>
            </w:pPr>
            <w:r>
              <w:rPr/>
              <w:t> </w:t>
            </w:r>
          </w:p>
        </w:tc>
        <w:tc>
          <w:tcPr>
            <w:tcW w:w="1220" w:type="dxa"/>
            <w:tcBorders/>
            <w:shd w:fill="auto" w:val="clear"/>
            <w:vAlign w:val="center"/>
          </w:tcPr>
          <w:p>
            <w:pPr>
              <w:pStyle w:val="TableContents"/>
              <w:spacing w:before="0" w:after="283"/>
              <w:jc w:val="right"/>
              <w:rPr/>
            </w:pPr>
            <w:r>
              <w:rPr/>
              <w:t>200,000</w:t>
            </w:r>
          </w:p>
        </w:tc>
        <w:tc>
          <w:tcPr>
            <w:tcW w:w="95"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41" w:type="dxa"/>
            <w:tcBorders/>
            <w:shd w:fill="auto" w:val="clear"/>
            <w:vAlign w:val="center"/>
          </w:tcPr>
          <w:p>
            <w:pPr>
              <w:pStyle w:val="TableContents"/>
              <w:spacing w:before="0" w:after="283"/>
              <w:jc w:val="left"/>
              <w:rPr/>
            </w:pPr>
            <w:r>
              <w:rPr/>
              <w:t> </w:t>
            </w:r>
          </w:p>
        </w:tc>
        <w:tc>
          <w:tcPr>
            <w:tcW w:w="1237" w:type="dxa"/>
            <w:tcBorders/>
            <w:shd w:fill="auto" w:val="clear"/>
            <w:vAlign w:val="center"/>
          </w:tcPr>
          <w:p>
            <w:pPr>
              <w:pStyle w:val="TableContents"/>
              <w:spacing w:before="0" w:after="283"/>
              <w:jc w:val="right"/>
              <w:rPr/>
            </w:pPr>
            <w:r>
              <w:rPr/>
              <w:t>—</w:t>
            </w:r>
          </w:p>
        </w:tc>
        <w:tc>
          <w:tcPr>
            <w:tcW w:w="89" w:type="dxa"/>
            <w:tcBorders/>
            <w:shd w:fill="auto" w:val="clear"/>
            <w:vAlign w:val="center"/>
          </w:tcPr>
          <w:p>
            <w:pPr>
              <w:pStyle w:val="TableContents"/>
              <w:spacing w:before="0" w:after="283"/>
              <w:ind w:left="0" w:right="0" w:hanging="180"/>
              <w:jc w:val="left"/>
              <w:rPr/>
            </w:pPr>
            <w:r>
              <w:rPr/>
              <w:t> </w:t>
            </w:r>
          </w:p>
        </w:tc>
      </w:tr>
      <w:tr>
        <w:trPr/>
        <w:tc>
          <w:tcPr>
            <w:tcW w:w="7163" w:type="dxa"/>
            <w:tcBorders/>
            <w:shd w:fill="CCEEFF" w:val="clear"/>
            <w:vAlign w:val="center"/>
          </w:tcPr>
          <w:p>
            <w:pPr>
              <w:pStyle w:val="TableContents"/>
              <w:spacing w:before="0" w:after="283"/>
              <w:jc w:val="left"/>
              <w:rPr/>
            </w:pPr>
            <w:r>
              <w:rPr/>
              <w:t>Related party extension loans</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1220" w:type="dxa"/>
            <w:tcBorders/>
            <w:shd w:fill="CCEEFF" w:val="clear"/>
            <w:vAlign w:val="center"/>
          </w:tcPr>
          <w:p>
            <w:pPr>
              <w:pStyle w:val="TableContents"/>
              <w:spacing w:before="0" w:after="283"/>
              <w:jc w:val="right"/>
              <w:rPr/>
            </w:pPr>
            <w:r>
              <w:rPr/>
              <w:t>1,725,000</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1" w:type="dxa"/>
            <w:tcBorders/>
            <w:shd w:fill="CCEEFF" w:val="clear"/>
            <w:vAlign w:val="center"/>
          </w:tcPr>
          <w:p>
            <w:pPr>
              <w:pStyle w:val="TableContents"/>
              <w:spacing w:before="0" w:after="283"/>
              <w:jc w:val="left"/>
              <w:rPr/>
            </w:pPr>
            <w:r>
              <w:rPr/>
              <w:t> </w:t>
            </w:r>
          </w:p>
        </w:tc>
        <w:tc>
          <w:tcPr>
            <w:tcW w:w="1237" w:type="dxa"/>
            <w:tcBorders/>
            <w:shd w:fill="CCEEFF" w:val="clear"/>
            <w:vAlign w:val="center"/>
          </w:tcPr>
          <w:p>
            <w:pPr>
              <w:pStyle w:val="TableContents"/>
              <w:spacing w:before="0" w:after="283"/>
              <w:jc w:val="right"/>
              <w:rPr/>
            </w:pPr>
            <w:r>
              <w:rPr/>
              <w:t>—</w:t>
            </w:r>
          </w:p>
        </w:tc>
        <w:tc>
          <w:tcPr>
            <w:tcW w:w="89" w:type="dxa"/>
            <w:tcBorders/>
            <w:shd w:fill="CCEEFF" w:val="clear"/>
            <w:vAlign w:val="center"/>
          </w:tcPr>
          <w:p>
            <w:pPr>
              <w:pStyle w:val="TableContents"/>
              <w:spacing w:before="0" w:after="283"/>
              <w:ind w:left="0" w:right="0" w:hanging="180"/>
              <w:jc w:val="left"/>
              <w:rPr/>
            </w:pPr>
            <w:r>
              <w:rPr/>
              <w:t> </w:t>
            </w:r>
          </w:p>
        </w:tc>
      </w:tr>
      <w:tr>
        <w:trPr/>
        <w:tc>
          <w:tcPr>
            <w:tcW w:w="7163" w:type="dxa"/>
            <w:tcBorders/>
            <w:shd w:fill="auto" w:val="clear"/>
            <w:vAlign w:val="center"/>
          </w:tcPr>
          <w:p>
            <w:pPr>
              <w:pStyle w:val="TableContents"/>
              <w:spacing w:before="0" w:after="283"/>
              <w:jc w:val="left"/>
              <w:rPr/>
            </w:pPr>
            <w:r>
              <w:rPr/>
              <w:t>Warrant liabilities</w:t>
            </w:r>
          </w:p>
        </w:tc>
        <w:tc>
          <w:tcPr>
            <w:tcW w:w="60" w:type="dxa"/>
            <w:tcBorders/>
            <w:shd w:fill="auto" w:val="clear"/>
            <w:vAlign w:val="center"/>
          </w:tcPr>
          <w:p>
            <w:pPr>
              <w:pStyle w:val="TableContents"/>
              <w:spacing w:before="0" w:after="283"/>
              <w:rPr/>
            </w:pPr>
            <w:r>
              <w:rPr/>
              <w:t> </w:t>
            </w:r>
          </w:p>
        </w:tc>
        <w:tc>
          <w:tcPr>
            <w:tcW w:w="140" w:type="dxa"/>
            <w:tcBorders>
              <w:bottom w:val="single" w:sz="12" w:space="0" w:color="000000"/>
            </w:tcBorders>
            <w:shd w:fill="auto" w:val="clear"/>
            <w:tcMar>
              <w:bottom w:w="28" w:type="dxa"/>
            </w:tcMar>
            <w:vAlign w:val="center"/>
          </w:tcPr>
          <w:p>
            <w:pPr>
              <w:pStyle w:val="TableContents"/>
              <w:spacing w:before="0" w:after="283"/>
              <w:jc w:val="left"/>
              <w:rPr/>
            </w:pPr>
            <w:r>
              <w:rPr/>
              <w:t> </w:t>
            </w:r>
          </w:p>
        </w:tc>
        <w:tc>
          <w:tcPr>
            <w:tcW w:w="1220" w:type="dxa"/>
            <w:tcBorders>
              <w:bottom w:val="single" w:sz="12" w:space="0" w:color="000000"/>
            </w:tcBorders>
            <w:shd w:fill="auto" w:val="clear"/>
            <w:tcMar>
              <w:bottom w:w="28" w:type="dxa"/>
            </w:tcMar>
            <w:vAlign w:val="center"/>
          </w:tcPr>
          <w:p>
            <w:pPr>
              <w:pStyle w:val="TableContents"/>
              <w:spacing w:before="0" w:after="283"/>
              <w:jc w:val="right"/>
              <w:rPr/>
            </w:pPr>
            <w:r>
              <w:rPr/>
              <w:t>1,535,250</w:t>
            </w:r>
          </w:p>
        </w:tc>
        <w:tc>
          <w:tcPr>
            <w:tcW w:w="95"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41" w:type="dxa"/>
            <w:tcBorders>
              <w:bottom w:val="single" w:sz="12" w:space="0" w:color="000000"/>
            </w:tcBorders>
            <w:shd w:fill="auto" w:val="clear"/>
            <w:tcMar>
              <w:bottom w:w="28" w:type="dxa"/>
            </w:tcMar>
            <w:vAlign w:val="center"/>
          </w:tcPr>
          <w:p>
            <w:pPr>
              <w:pStyle w:val="TableContents"/>
              <w:spacing w:before="0" w:after="283"/>
              <w:jc w:val="left"/>
              <w:rPr/>
            </w:pPr>
            <w:r>
              <w:rPr/>
              <w:t> </w:t>
            </w:r>
          </w:p>
        </w:tc>
        <w:tc>
          <w:tcPr>
            <w:tcW w:w="1237" w:type="dxa"/>
            <w:tcBorders>
              <w:bottom w:val="single" w:sz="12" w:space="0" w:color="000000"/>
            </w:tcBorders>
            <w:shd w:fill="auto" w:val="clear"/>
            <w:tcMar>
              <w:bottom w:w="28" w:type="dxa"/>
            </w:tcMar>
            <w:vAlign w:val="center"/>
          </w:tcPr>
          <w:p>
            <w:pPr>
              <w:pStyle w:val="TableContents"/>
              <w:spacing w:before="0" w:after="283"/>
              <w:jc w:val="right"/>
              <w:rPr/>
            </w:pPr>
            <w:r>
              <w:rPr/>
              <w:t>3,204,000</w:t>
            </w:r>
          </w:p>
        </w:tc>
        <w:tc>
          <w:tcPr>
            <w:tcW w:w="89" w:type="dxa"/>
            <w:tcBorders/>
            <w:shd w:fill="auto" w:val="clear"/>
            <w:vAlign w:val="center"/>
          </w:tcPr>
          <w:p>
            <w:pPr>
              <w:pStyle w:val="TableContents"/>
              <w:spacing w:before="0" w:after="283"/>
              <w:ind w:left="0" w:right="0" w:hanging="180"/>
              <w:jc w:val="left"/>
              <w:rPr/>
            </w:pPr>
            <w:r>
              <w:rPr/>
              <w:t> </w:t>
            </w:r>
          </w:p>
        </w:tc>
      </w:tr>
      <w:tr>
        <w:trPr/>
        <w:tc>
          <w:tcPr>
            <w:tcW w:w="7163" w:type="dxa"/>
            <w:tcBorders/>
            <w:shd w:fill="CCEEFF" w:val="clear"/>
            <w:vAlign w:val="center"/>
          </w:tcPr>
          <w:p>
            <w:pPr>
              <w:pStyle w:val="TableContents"/>
              <w:spacing w:before="0" w:after="283"/>
              <w:jc w:val="left"/>
              <w:rPr>
                <w:b/>
              </w:rPr>
            </w:pPr>
            <w:r>
              <w:rPr>
                <w:b/>
              </w:rPr>
              <w:t>Total Liabilities</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1220" w:type="dxa"/>
            <w:tcBorders/>
            <w:shd w:fill="CCEEFF" w:val="clear"/>
            <w:vAlign w:val="center"/>
          </w:tcPr>
          <w:p>
            <w:pPr>
              <w:pStyle w:val="TableContents"/>
              <w:spacing w:before="0" w:after="283"/>
              <w:jc w:val="right"/>
              <w:rPr>
                <w:b/>
              </w:rPr>
            </w:pPr>
            <w:r>
              <w:rPr>
                <w:b/>
              </w:rPr>
              <w:t>4,402,096</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1" w:type="dxa"/>
            <w:tcBorders/>
            <w:shd w:fill="CCEEFF" w:val="clear"/>
            <w:vAlign w:val="center"/>
          </w:tcPr>
          <w:p>
            <w:pPr>
              <w:pStyle w:val="TableContents"/>
              <w:spacing w:before="0" w:after="283"/>
              <w:jc w:val="left"/>
              <w:rPr/>
            </w:pPr>
            <w:r>
              <w:rPr/>
              <w:t> </w:t>
            </w:r>
          </w:p>
        </w:tc>
        <w:tc>
          <w:tcPr>
            <w:tcW w:w="1237" w:type="dxa"/>
            <w:tcBorders/>
            <w:shd w:fill="CCEEFF" w:val="clear"/>
            <w:vAlign w:val="center"/>
          </w:tcPr>
          <w:p>
            <w:pPr>
              <w:pStyle w:val="TableContents"/>
              <w:spacing w:before="0" w:after="283"/>
              <w:jc w:val="right"/>
              <w:rPr>
                <w:b/>
              </w:rPr>
            </w:pPr>
            <w:r>
              <w:rPr>
                <w:b/>
              </w:rPr>
              <w:t>3,649,691</w:t>
            </w:r>
          </w:p>
        </w:tc>
        <w:tc>
          <w:tcPr>
            <w:tcW w:w="89" w:type="dxa"/>
            <w:tcBorders/>
            <w:shd w:fill="CCEEFF" w:val="clear"/>
            <w:vAlign w:val="center"/>
          </w:tcPr>
          <w:p>
            <w:pPr>
              <w:pStyle w:val="TableContents"/>
              <w:spacing w:before="0" w:after="283"/>
              <w:ind w:left="0" w:right="0" w:hanging="180"/>
              <w:jc w:val="left"/>
              <w:rPr/>
            </w:pPr>
            <w:r>
              <w:rPr/>
              <w:t> </w:t>
            </w:r>
          </w:p>
        </w:tc>
      </w:tr>
      <w:tr>
        <w:trPr/>
        <w:tc>
          <w:tcPr>
            <w:tcW w:w="7163"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jc w:val="left"/>
              <w:rPr/>
            </w:pPr>
            <w:r>
              <w:rPr/>
              <w:t> </w:t>
            </w:r>
          </w:p>
        </w:tc>
        <w:tc>
          <w:tcPr>
            <w:tcW w:w="1220" w:type="dxa"/>
            <w:tcBorders/>
            <w:shd w:fill="auto" w:val="clear"/>
            <w:vAlign w:val="center"/>
          </w:tcPr>
          <w:p>
            <w:pPr>
              <w:pStyle w:val="TableContents"/>
              <w:spacing w:before="0" w:after="283"/>
              <w:jc w:val="right"/>
              <w:rPr/>
            </w:pPr>
            <w:r>
              <w:rPr/>
              <w:t> </w:t>
            </w:r>
          </w:p>
        </w:tc>
        <w:tc>
          <w:tcPr>
            <w:tcW w:w="95"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41" w:type="dxa"/>
            <w:tcBorders/>
            <w:shd w:fill="auto" w:val="clear"/>
            <w:vAlign w:val="center"/>
          </w:tcPr>
          <w:p>
            <w:pPr>
              <w:pStyle w:val="TableContents"/>
              <w:spacing w:before="0" w:after="283"/>
              <w:jc w:val="left"/>
              <w:rPr/>
            </w:pPr>
            <w:r>
              <w:rPr/>
              <w:t> </w:t>
            </w:r>
          </w:p>
        </w:tc>
        <w:tc>
          <w:tcPr>
            <w:tcW w:w="1237" w:type="dxa"/>
            <w:tcBorders/>
            <w:shd w:fill="auto" w:val="clear"/>
            <w:vAlign w:val="center"/>
          </w:tcPr>
          <w:p>
            <w:pPr>
              <w:pStyle w:val="TableContents"/>
              <w:spacing w:before="0" w:after="283"/>
              <w:jc w:val="right"/>
              <w:rPr/>
            </w:pPr>
            <w:r>
              <w:rPr/>
              <w:t> </w:t>
            </w:r>
          </w:p>
        </w:tc>
        <w:tc>
          <w:tcPr>
            <w:tcW w:w="89" w:type="dxa"/>
            <w:tcBorders/>
            <w:shd w:fill="auto" w:val="clear"/>
            <w:vAlign w:val="center"/>
          </w:tcPr>
          <w:p>
            <w:pPr>
              <w:pStyle w:val="TableContents"/>
              <w:spacing w:before="0" w:after="283"/>
              <w:ind w:left="0" w:right="0" w:hanging="180"/>
              <w:jc w:val="left"/>
              <w:rPr/>
            </w:pPr>
            <w:r>
              <w:rPr/>
              <w:t> </w:t>
            </w:r>
          </w:p>
        </w:tc>
      </w:tr>
      <w:tr>
        <w:trPr/>
        <w:tc>
          <w:tcPr>
            <w:tcW w:w="7163" w:type="dxa"/>
            <w:tcBorders/>
            <w:shd w:fill="CCEEFF" w:val="clear"/>
            <w:vAlign w:val="center"/>
          </w:tcPr>
          <w:p>
            <w:pPr>
              <w:pStyle w:val="TableContents"/>
              <w:spacing w:before="0" w:after="283"/>
              <w:jc w:val="left"/>
              <w:rPr>
                <w:b/>
              </w:rPr>
            </w:pPr>
            <w:r>
              <w:rPr>
                <w:b/>
              </w:rPr>
              <w:t>Commitments and Contingencies</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1220" w:type="dxa"/>
            <w:tcBorders/>
            <w:shd w:fill="CCEEFF" w:val="clear"/>
            <w:vAlign w:val="center"/>
          </w:tcPr>
          <w:p>
            <w:pPr>
              <w:pStyle w:val="TableContents"/>
              <w:spacing w:before="0" w:after="0"/>
              <w:jc w:val="right"/>
              <w:rPr/>
            </w:pPr>
            <w:r>
              <w:rPr/>
              <w:t> </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1" w:type="dxa"/>
            <w:tcBorders/>
            <w:shd w:fill="CCEEFF" w:val="clear"/>
            <w:vAlign w:val="center"/>
          </w:tcPr>
          <w:p>
            <w:pPr>
              <w:pStyle w:val="TableContents"/>
              <w:spacing w:before="0" w:after="283"/>
              <w:jc w:val="left"/>
              <w:rPr/>
            </w:pPr>
            <w:r>
              <w:rPr/>
              <w:t> </w:t>
            </w:r>
          </w:p>
        </w:tc>
        <w:tc>
          <w:tcPr>
            <w:tcW w:w="1237" w:type="dxa"/>
            <w:tcBorders/>
            <w:shd w:fill="CCEEFF" w:val="clear"/>
            <w:vAlign w:val="center"/>
          </w:tcPr>
          <w:p>
            <w:pPr>
              <w:pStyle w:val="TableContents"/>
              <w:spacing w:before="0" w:after="0"/>
              <w:jc w:val="right"/>
              <w:rPr/>
            </w:pPr>
            <w:r>
              <w:rPr/>
              <w:t> </w:t>
            </w:r>
          </w:p>
        </w:tc>
        <w:tc>
          <w:tcPr>
            <w:tcW w:w="89" w:type="dxa"/>
            <w:tcBorders/>
            <w:shd w:fill="CCEEFF" w:val="clear"/>
            <w:vAlign w:val="center"/>
          </w:tcPr>
          <w:p>
            <w:pPr>
              <w:pStyle w:val="TableContents"/>
              <w:spacing w:before="0" w:after="283"/>
              <w:ind w:left="0" w:right="0" w:hanging="180"/>
              <w:jc w:val="left"/>
              <w:rPr/>
            </w:pPr>
            <w:r>
              <w:rPr/>
              <w:t> </w:t>
            </w:r>
          </w:p>
        </w:tc>
      </w:tr>
      <w:tr>
        <w:trPr/>
        <w:tc>
          <w:tcPr>
            <w:tcW w:w="7163"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jc w:val="left"/>
              <w:rPr/>
            </w:pPr>
            <w:r>
              <w:rPr/>
              <w:t> </w:t>
            </w:r>
          </w:p>
        </w:tc>
        <w:tc>
          <w:tcPr>
            <w:tcW w:w="1220" w:type="dxa"/>
            <w:tcBorders/>
            <w:shd w:fill="auto" w:val="clear"/>
            <w:vAlign w:val="center"/>
          </w:tcPr>
          <w:p>
            <w:pPr>
              <w:pStyle w:val="TableContents"/>
              <w:spacing w:before="0" w:after="283"/>
              <w:jc w:val="right"/>
              <w:rPr/>
            </w:pPr>
            <w:r>
              <w:rPr/>
              <w:t> </w:t>
            </w:r>
          </w:p>
        </w:tc>
        <w:tc>
          <w:tcPr>
            <w:tcW w:w="95"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41" w:type="dxa"/>
            <w:tcBorders/>
            <w:shd w:fill="auto" w:val="clear"/>
            <w:vAlign w:val="center"/>
          </w:tcPr>
          <w:p>
            <w:pPr>
              <w:pStyle w:val="TableContents"/>
              <w:spacing w:before="0" w:after="283"/>
              <w:jc w:val="left"/>
              <w:rPr/>
            </w:pPr>
            <w:r>
              <w:rPr/>
              <w:t> </w:t>
            </w:r>
          </w:p>
        </w:tc>
        <w:tc>
          <w:tcPr>
            <w:tcW w:w="1237" w:type="dxa"/>
            <w:tcBorders/>
            <w:shd w:fill="auto" w:val="clear"/>
            <w:vAlign w:val="center"/>
          </w:tcPr>
          <w:p>
            <w:pPr>
              <w:pStyle w:val="TableContents"/>
              <w:spacing w:before="0" w:after="283"/>
              <w:jc w:val="right"/>
              <w:rPr/>
            </w:pPr>
            <w:r>
              <w:rPr/>
              <w:t> </w:t>
            </w:r>
          </w:p>
        </w:tc>
        <w:tc>
          <w:tcPr>
            <w:tcW w:w="89" w:type="dxa"/>
            <w:tcBorders/>
            <w:shd w:fill="auto" w:val="clear"/>
            <w:vAlign w:val="center"/>
          </w:tcPr>
          <w:p>
            <w:pPr>
              <w:pStyle w:val="TableContents"/>
              <w:spacing w:before="0" w:after="283"/>
              <w:ind w:left="0" w:right="0" w:hanging="180"/>
              <w:jc w:val="left"/>
              <w:rPr/>
            </w:pPr>
            <w:r>
              <w:rPr/>
              <w:t> </w:t>
            </w:r>
          </w:p>
        </w:tc>
      </w:tr>
      <w:tr>
        <w:trPr/>
        <w:tc>
          <w:tcPr>
            <w:tcW w:w="7163" w:type="dxa"/>
            <w:tcBorders/>
            <w:shd w:fill="CCEEFF" w:val="clear"/>
            <w:vAlign w:val="center"/>
          </w:tcPr>
          <w:p>
            <w:pPr>
              <w:pStyle w:val="TableContents"/>
              <w:spacing w:before="0" w:after="283"/>
              <w:jc w:val="left"/>
              <w:rPr/>
            </w:pPr>
            <w:r>
              <w:rPr/>
              <w:t>Common stock subject to possible redemption 17,250,000 shares at $10.20 and $10.10 per share redemption value as of March 31, 2022 and December 31, 2021, respectively</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1220" w:type="dxa"/>
            <w:tcBorders/>
            <w:shd w:fill="CCEEFF" w:val="clear"/>
            <w:vAlign w:val="center"/>
          </w:tcPr>
          <w:p>
            <w:pPr>
              <w:pStyle w:val="TableContents"/>
              <w:spacing w:before="0" w:after="283"/>
              <w:jc w:val="right"/>
              <w:rPr/>
            </w:pPr>
            <w:r>
              <w:rPr/>
              <w:t>175,950,000</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1" w:type="dxa"/>
            <w:tcBorders/>
            <w:shd w:fill="CCEEFF" w:val="clear"/>
            <w:vAlign w:val="center"/>
          </w:tcPr>
          <w:p>
            <w:pPr>
              <w:pStyle w:val="TableContents"/>
              <w:spacing w:before="0" w:after="283"/>
              <w:jc w:val="left"/>
              <w:rPr/>
            </w:pPr>
            <w:r>
              <w:rPr/>
              <w:t> </w:t>
            </w:r>
          </w:p>
        </w:tc>
        <w:tc>
          <w:tcPr>
            <w:tcW w:w="1237" w:type="dxa"/>
            <w:tcBorders/>
            <w:shd w:fill="CCEEFF" w:val="clear"/>
            <w:vAlign w:val="center"/>
          </w:tcPr>
          <w:p>
            <w:pPr>
              <w:pStyle w:val="TableContents"/>
              <w:spacing w:before="0" w:after="283"/>
              <w:jc w:val="right"/>
              <w:rPr/>
            </w:pPr>
            <w:r>
              <w:rPr/>
              <w:t>174,225,000</w:t>
            </w:r>
          </w:p>
        </w:tc>
        <w:tc>
          <w:tcPr>
            <w:tcW w:w="89" w:type="dxa"/>
            <w:tcBorders/>
            <w:shd w:fill="CCEEFF" w:val="clear"/>
            <w:vAlign w:val="center"/>
          </w:tcPr>
          <w:p>
            <w:pPr>
              <w:pStyle w:val="TableContents"/>
              <w:spacing w:before="0" w:after="283"/>
              <w:ind w:left="0" w:right="0" w:hanging="180"/>
              <w:jc w:val="left"/>
              <w:rPr/>
            </w:pPr>
            <w:r>
              <w:rPr/>
              <w:t> </w:t>
            </w:r>
          </w:p>
        </w:tc>
      </w:tr>
      <w:tr>
        <w:trPr/>
        <w:tc>
          <w:tcPr>
            <w:tcW w:w="7163"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jc w:val="left"/>
              <w:rPr/>
            </w:pPr>
            <w:r>
              <w:rPr/>
              <w:t> </w:t>
            </w:r>
          </w:p>
        </w:tc>
        <w:tc>
          <w:tcPr>
            <w:tcW w:w="1220" w:type="dxa"/>
            <w:tcBorders/>
            <w:shd w:fill="auto" w:val="clear"/>
            <w:vAlign w:val="center"/>
          </w:tcPr>
          <w:p>
            <w:pPr>
              <w:pStyle w:val="TableContents"/>
              <w:spacing w:before="0" w:after="283"/>
              <w:jc w:val="right"/>
              <w:rPr/>
            </w:pPr>
            <w:r>
              <w:rPr/>
              <w:t> </w:t>
            </w:r>
          </w:p>
        </w:tc>
        <w:tc>
          <w:tcPr>
            <w:tcW w:w="95"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41" w:type="dxa"/>
            <w:tcBorders/>
            <w:shd w:fill="auto" w:val="clear"/>
            <w:vAlign w:val="center"/>
          </w:tcPr>
          <w:p>
            <w:pPr>
              <w:pStyle w:val="TableContents"/>
              <w:spacing w:before="0" w:after="283"/>
              <w:jc w:val="left"/>
              <w:rPr/>
            </w:pPr>
            <w:r>
              <w:rPr/>
              <w:t> </w:t>
            </w:r>
          </w:p>
        </w:tc>
        <w:tc>
          <w:tcPr>
            <w:tcW w:w="1237" w:type="dxa"/>
            <w:tcBorders/>
            <w:shd w:fill="auto" w:val="clear"/>
            <w:vAlign w:val="center"/>
          </w:tcPr>
          <w:p>
            <w:pPr>
              <w:pStyle w:val="TableContents"/>
              <w:spacing w:before="0" w:after="283"/>
              <w:jc w:val="right"/>
              <w:rPr/>
            </w:pPr>
            <w:r>
              <w:rPr/>
              <w:t> </w:t>
            </w:r>
          </w:p>
        </w:tc>
        <w:tc>
          <w:tcPr>
            <w:tcW w:w="89" w:type="dxa"/>
            <w:tcBorders/>
            <w:shd w:fill="auto" w:val="clear"/>
            <w:vAlign w:val="center"/>
          </w:tcPr>
          <w:p>
            <w:pPr>
              <w:pStyle w:val="TableContents"/>
              <w:spacing w:before="0" w:after="283"/>
              <w:ind w:left="0" w:right="0" w:hanging="180"/>
              <w:jc w:val="left"/>
              <w:rPr/>
            </w:pPr>
            <w:r>
              <w:rPr/>
              <w:t> </w:t>
            </w:r>
          </w:p>
        </w:tc>
      </w:tr>
      <w:tr>
        <w:trPr/>
        <w:tc>
          <w:tcPr>
            <w:tcW w:w="7163" w:type="dxa"/>
            <w:tcBorders/>
            <w:shd w:fill="CCEEFF" w:val="clear"/>
            <w:vAlign w:val="center"/>
          </w:tcPr>
          <w:p>
            <w:pPr>
              <w:pStyle w:val="TableContents"/>
              <w:spacing w:before="0" w:after="283"/>
              <w:jc w:val="left"/>
              <w:rPr>
                <w:b/>
              </w:rPr>
            </w:pPr>
            <w:r>
              <w:rPr>
                <w:b/>
              </w:rPr>
              <w:t>Stockholders’ Deficit</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1220" w:type="dxa"/>
            <w:tcBorders/>
            <w:shd w:fill="CCEEFF" w:val="clear"/>
            <w:vAlign w:val="center"/>
          </w:tcPr>
          <w:p>
            <w:pPr>
              <w:pStyle w:val="TableContents"/>
              <w:spacing w:before="0" w:after="283"/>
              <w:jc w:val="right"/>
              <w:rPr/>
            </w:pPr>
            <w:r>
              <w:rPr/>
              <w:t> </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1" w:type="dxa"/>
            <w:tcBorders/>
            <w:shd w:fill="CCEEFF" w:val="clear"/>
            <w:vAlign w:val="center"/>
          </w:tcPr>
          <w:p>
            <w:pPr>
              <w:pStyle w:val="TableContents"/>
              <w:spacing w:before="0" w:after="283"/>
              <w:jc w:val="left"/>
              <w:rPr/>
            </w:pPr>
            <w:r>
              <w:rPr/>
              <w:t> </w:t>
            </w:r>
          </w:p>
        </w:tc>
        <w:tc>
          <w:tcPr>
            <w:tcW w:w="1237" w:type="dxa"/>
            <w:tcBorders/>
            <w:shd w:fill="CCEEFF" w:val="clear"/>
            <w:vAlign w:val="center"/>
          </w:tcPr>
          <w:p>
            <w:pPr>
              <w:pStyle w:val="TableContents"/>
              <w:spacing w:before="0" w:after="283"/>
              <w:jc w:val="right"/>
              <w:rPr/>
            </w:pPr>
            <w:r>
              <w:rPr/>
              <w:t> </w:t>
            </w:r>
          </w:p>
        </w:tc>
        <w:tc>
          <w:tcPr>
            <w:tcW w:w="89" w:type="dxa"/>
            <w:tcBorders/>
            <w:shd w:fill="CCEEFF" w:val="clear"/>
            <w:vAlign w:val="center"/>
          </w:tcPr>
          <w:p>
            <w:pPr>
              <w:pStyle w:val="TableContents"/>
              <w:spacing w:before="0" w:after="283"/>
              <w:ind w:left="0" w:right="0" w:hanging="180"/>
              <w:jc w:val="left"/>
              <w:rPr/>
            </w:pPr>
            <w:r>
              <w:rPr/>
              <w:t> </w:t>
            </w:r>
          </w:p>
        </w:tc>
      </w:tr>
      <w:tr>
        <w:trPr/>
        <w:tc>
          <w:tcPr>
            <w:tcW w:w="7163" w:type="dxa"/>
            <w:tcBorders/>
            <w:shd w:fill="auto" w:val="clear"/>
            <w:vAlign w:val="center"/>
          </w:tcPr>
          <w:p>
            <w:pPr>
              <w:pStyle w:val="TableContents"/>
              <w:spacing w:before="0" w:after="283"/>
              <w:jc w:val="left"/>
              <w:rPr/>
            </w:pPr>
            <w:r>
              <w:rPr/>
              <w:t>Preferred stock, $0.0001 par value; 1,000,000 shares authorized; none issued or outstanding</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jc w:val="left"/>
              <w:rPr/>
            </w:pPr>
            <w:r>
              <w:rPr/>
              <w:t> </w:t>
            </w:r>
          </w:p>
        </w:tc>
        <w:tc>
          <w:tcPr>
            <w:tcW w:w="1220" w:type="dxa"/>
            <w:tcBorders/>
            <w:shd w:fill="auto" w:val="clear"/>
            <w:vAlign w:val="center"/>
          </w:tcPr>
          <w:p>
            <w:pPr>
              <w:pStyle w:val="TableContents"/>
              <w:spacing w:before="0" w:after="0"/>
              <w:jc w:val="right"/>
              <w:rPr/>
            </w:pPr>
            <w:r>
              <w:rPr/>
              <w:t>—</w:t>
            </w:r>
          </w:p>
        </w:tc>
        <w:tc>
          <w:tcPr>
            <w:tcW w:w="95"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41" w:type="dxa"/>
            <w:tcBorders/>
            <w:shd w:fill="auto" w:val="clear"/>
            <w:vAlign w:val="center"/>
          </w:tcPr>
          <w:p>
            <w:pPr>
              <w:pStyle w:val="TableContents"/>
              <w:spacing w:before="0" w:after="283"/>
              <w:jc w:val="left"/>
              <w:rPr/>
            </w:pPr>
            <w:r>
              <w:rPr/>
              <w:t> </w:t>
            </w:r>
          </w:p>
        </w:tc>
        <w:tc>
          <w:tcPr>
            <w:tcW w:w="1237" w:type="dxa"/>
            <w:tcBorders/>
            <w:shd w:fill="auto" w:val="clear"/>
            <w:vAlign w:val="center"/>
          </w:tcPr>
          <w:p>
            <w:pPr>
              <w:pStyle w:val="TableContents"/>
              <w:spacing w:before="0" w:after="0"/>
              <w:jc w:val="right"/>
              <w:rPr/>
            </w:pPr>
            <w:r>
              <w:rPr/>
              <w:t>—</w:t>
            </w:r>
          </w:p>
        </w:tc>
        <w:tc>
          <w:tcPr>
            <w:tcW w:w="89" w:type="dxa"/>
            <w:tcBorders/>
            <w:shd w:fill="auto" w:val="clear"/>
            <w:vAlign w:val="center"/>
          </w:tcPr>
          <w:p>
            <w:pPr>
              <w:pStyle w:val="TableContents"/>
              <w:spacing w:before="0" w:after="283"/>
              <w:ind w:left="0" w:right="0" w:hanging="180"/>
              <w:jc w:val="left"/>
              <w:rPr/>
            </w:pPr>
            <w:r>
              <w:rPr/>
              <w:t> </w:t>
            </w:r>
          </w:p>
        </w:tc>
      </w:tr>
      <w:tr>
        <w:trPr/>
        <w:tc>
          <w:tcPr>
            <w:tcW w:w="7163" w:type="dxa"/>
            <w:tcBorders/>
            <w:shd w:fill="CCEEFF" w:val="clear"/>
            <w:vAlign w:val="center"/>
          </w:tcPr>
          <w:p>
            <w:pPr>
              <w:pStyle w:val="TableContents"/>
              <w:spacing w:before="0" w:after="283"/>
              <w:rPr/>
            </w:pPr>
            <w:r>
              <w:rPr/>
              <w:t>Common stock, $0.0001 par value; 50,000,000 shares authorized; 4,312,500 shares issued and outstanding as of March 31, 2022 and December 31, 2021</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1220" w:type="dxa"/>
            <w:tcBorders/>
            <w:shd w:fill="CCEEFF" w:val="clear"/>
            <w:vAlign w:val="center"/>
          </w:tcPr>
          <w:p>
            <w:pPr>
              <w:pStyle w:val="TableContents"/>
              <w:spacing w:before="0" w:after="283"/>
              <w:jc w:val="right"/>
              <w:rPr/>
            </w:pPr>
            <w:r>
              <w:rPr/>
              <w:t>431</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1" w:type="dxa"/>
            <w:tcBorders/>
            <w:shd w:fill="CCEEFF" w:val="clear"/>
            <w:vAlign w:val="center"/>
          </w:tcPr>
          <w:p>
            <w:pPr>
              <w:pStyle w:val="TableContents"/>
              <w:spacing w:before="0" w:after="283"/>
              <w:jc w:val="left"/>
              <w:rPr/>
            </w:pPr>
            <w:r>
              <w:rPr/>
              <w:t> </w:t>
            </w:r>
          </w:p>
        </w:tc>
        <w:tc>
          <w:tcPr>
            <w:tcW w:w="1237" w:type="dxa"/>
            <w:tcBorders/>
            <w:shd w:fill="CCEEFF" w:val="clear"/>
            <w:vAlign w:val="center"/>
          </w:tcPr>
          <w:p>
            <w:pPr>
              <w:pStyle w:val="TableContents"/>
              <w:spacing w:before="0" w:after="283"/>
              <w:jc w:val="right"/>
              <w:rPr/>
            </w:pPr>
            <w:r>
              <w:rPr/>
              <w:t>431</w:t>
            </w:r>
          </w:p>
        </w:tc>
        <w:tc>
          <w:tcPr>
            <w:tcW w:w="89" w:type="dxa"/>
            <w:tcBorders/>
            <w:shd w:fill="CCEEFF" w:val="clear"/>
            <w:vAlign w:val="center"/>
          </w:tcPr>
          <w:p>
            <w:pPr>
              <w:pStyle w:val="TableContents"/>
              <w:spacing w:before="0" w:after="283"/>
              <w:ind w:left="0" w:right="0" w:hanging="180"/>
              <w:jc w:val="left"/>
              <w:rPr/>
            </w:pPr>
            <w:r>
              <w:rPr/>
              <w:t> </w:t>
            </w:r>
          </w:p>
        </w:tc>
      </w:tr>
      <w:tr>
        <w:trPr/>
        <w:tc>
          <w:tcPr>
            <w:tcW w:w="7163" w:type="dxa"/>
            <w:tcBorders/>
            <w:shd w:fill="auto" w:val="clear"/>
            <w:vAlign w:val="center"/>
          </w:tcPr>
          <w:p>
            <w:pPr>
              <w:pStyle w:val="TableContents"/>
              <w:spacing w:before="0" w:after="283"/>
              <w:jc w:val="left"/>
              <w:rPr/>
            </w:pPr>
            <w:r>
              <w:rPr/>
              <w:t>Additional paid-in capital</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jc w:val="left"/>
              <w:rPr/>
            </w:pPr>
            <w:r>
              <w:rPr/>
              <w:t> </w:t>
            </w:r>
          </w:p>
        </w:tc>
        <w:tc>
          <w:tcPr>
            <w:tcW w:w="1220" w:type="dxa"/>
            <w:tcBorders/>
            <w:shd w:fill="auto" w:val="clear"/>
            <w:vAlign w:val="center"/>
          </w:tcPr>
          <w:p>
            <w:pPr>
              <w:pStyle w:val="TableContents"/>
              <w:spacing w:before="0" w:after="0"/>
              <w:jc w:val="right"/>
              <w:rPr/>
            </w:pPr>
            <w:r>
              <w:rPr/>
              <w:t>—</w:t>
            </w:r>
          </w:p>
        </w:tc>
        <w:tc>
          <w:tcPr>
            <w:tcW w:w="95"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41" w:type="dxa"/>
            <w:tcBorders/>
            <w:shd w:fill="auto" w:val="clear"/>
            <w:vAlign w:val="center"/>
          </w:tcPr>
          <w:p>
            <w:pPr>
              <w:pStyle w:val="TableContents"/>
              <w:spacing w:before="0" w:after="283"/>
              <w:jc w:val="left"/>
              <w:rPr/>
            </w:pPr>
            <w:r>
              <w:rPr/>
              <w:t> </w:t>
            </w:r>
          </w:p>
        </w:tc>
        <w:tc>
          <w:tcPr>
            <w:tcW w:w="1237" w:type="dxa"/>
            <w:tcBorders/>
            <w:shd w:fill="auto" w:val="clear"/>
            <w:vAlign w:val="center"/>
          </w:tcPr>
          <w:p>
            <w:pPr>
              <w:pStyle w:val="TableContents"/>
              <w:spacing w:before="0" w:after="0"/>
              <w:jc w:val="right"/>
              <w:rPr/>
            </w:pPr>
            <w:r>
              <w:rPr/>
              <w:t>—</w:t>
            </w:r>
          </w:p>
        </w:tc>
        <w:tc>
          <w:tcPr>
            <w:tcW w:w="89" w:type="dxa"/>
            <w:tcBorders/>
            <w:shd w:fill="auto" w:val="clear"/>
            <w:vAlign w:val="center"/>
          </w:tcPr>
          <w:p>
            <w:pPr>
              <w:pStyle w:val="TableContents"/>
              <w:spacing w:before="0" w:after="283"/>
              <w:ind w:left="0" w:right="0" w:hanging="180"/>
              <w:jc w:val="left"/>
              <w:rPr/>
            </w:pPr>
            <w:r>
              <w:rPr/>
              <w:t> </w:t>
            </w:r>
          </w:p>
        </w:tc>
      </w:tr>
      <w:tr>
        <w:trPr/>
        <w:tc>
          <w:tcPr>
            <w:tcW w:w="7163" w:type="dxa"/>
            <w:tcBorders/>
            <w:shd w:fill="CCEEFF" w:val="clear"/>
            <w:vAlign w:val="center"/>
          </w:tcPr>
          <w:p>
            <w:pPr>
              <w:pStyle w:val="TableContents"/>
              <w:spacing w:before="0" w:after="283"/>
              <w:jc w:val="left"/>
              <w:rPr/>
            </w:pPr>
            <w:r>
              <w:rPr/>
              <w:t>Accumulated deficit</w:t>
            </w:r>
          </w:p>
        </w:tc>
        <w:tc>
          <w:tcPr>
            <w:tcW w:w="60" w:type="dxa"/>
            <w:tcBorders/>
            <w:shd w:fill="CCEEFF" w:val="clear"/>
            <w:vAlign w:val="center"/>
          </w:tcPr>
          <w:p>
            <w:pPr>
              <w:pStyle w:val="TableContents"/>
              <w:spacing w:before="0" w:after="283"/>
              <w:rPr/>
            </w:pPr>
            <w:r>
              <w:rPr/>
              <w:t> </w:t>
            </w:r>
          </w:p>
        </w:tc>
        <w:tc>
          <w:tcPr>
            <w:tcW w:w="140" w:type="dxa"/>
            <w:tcBorders>
              <w:bottom w:val="single" w:sz="12" w:space="0" w:color="000000"/>
            </w:tcBorders>
            <w:shd w:fill="CCEEFF" w:val="clear"/>
            <w:tcMar>
              <w:bottom w:w="28" w:type="dxa"/>
            </w:tcMar>
            <w:vAlign w:val="center"/>
          </w:tcPr>
          <w:p>
            <w:pPr>
              <w:pStyle w:val="TableContents"/>
              <w:spacing w:before="0" w:after="283"/>
              <w:jc w:val="left"/>
              <w:rPr/>
            </w:pPr>
            <w:r>
              <w:rPr/>
              <w:t> </w:t>
            </w:r>
          </w:p>
        </w:tc>
        <w:tc>
          <w:tcPr>
            <w:tcW w:w="1220" w:type="dxa"/>
            <w:tcBorders>
              <w:bottom w:val="single" w:sz="12" w:space="0" w:color="000000"/>
            </w:tcBorders>
            <w:shd w:fill="CCEEFF" w:val="clear"/>
            <w:tcMar>
              <w:bottom w:w="28" w:type="dxa"/>
            </w:tcMar>
            <w:vAlign w:val="center"/>
          </w:tcPr>
          <w:p>
            <w:pPr>
              <w:pStyle w:val="TableContents"/>
              <w:spacing w:before="0" w:after="283"/>
              <w:jc w:val="right"/>
              <w:rPr/>
            </w:pPr>
            <w:r>
              <w:rPr/>
              <w:t>(3,961,522</w:t>
            </w:r>
          </w:p>
        </w:tc>
        <w:tc>
          <w:tcPr>
            <w:tcW w:w="95" w:type="dxa"/>
            <w:tcBorders/>
            <w:shd w:fill="CCEEFF" w:val="clear"/>
            <w:vAlign w:val="center"/>
          </w:tcPr>
          <w:p>
            <w:pPr>
              <w:pStyle w:val="TableContents"/>
              <w:spacing w:before="0" w:after="283"/>
              <w:jc w:val="left"/>
              <w:rPr/>
            </w:pPr>
            <w:r>
              <w:rPr/>
              <w:t>)</w:t>
            </w:r>
          </w:p>
        </w:tc>
        <w:tc>
          <w:tcPr>
            <w:tcW w:w="60" w:type="dxa"/>
            <w:tcBorders/>
            <w:shd w:fill="CCEEFF" w:val="clear"/>
            <w:vAlign w:val="center"/>
          </w:tcPr>
          <w:p>
            <w:pPr>
              <w:pStyle w:val="TableContents"/>
              <w:spacing w:before="0" w:after="283"/>
              <w:rPr/>
            </w:pPr>
            <w:r>
              <w:rPr/>
              <w:t> </w:t>
            </w:r>
          </w:p>
        </w:tc>
        <w:tc>
          <w:tcPr>
            <w:tcW w:w="141" w:type="dxa"/>
            <w:tcBorders>
              <w:bottom w:val="single" w:sz="12" w:space="0" w:color="000000"/>
            </w:tcBorders>
            <w:shd w:fill="CCEEFF" w:val="clear"/>
            <w:tcMar>
              <w:bottom w:w="28" w:type="dxa"/>
            </w:tcMar>
            <w:vAlign w:val="center"/>
          </w:tcPr>
          <w:p>
            <w:pPr>
              <w:pStyle w:val="TableContents"/>
              <w:spacing w:before="0" w:after="283"/>
              <w:jc w:val="left"/>
              <w:rPr/>
            </w:pPr>
            <w:r>
              <w:rPr/>
              <w:t> </w:t>
            </w:r>
          </w:p>
        </w:tc>
        <w:tc>
          <w:tcPr>
            <w:tcW w:w="1237" w:type="dxa"/>
            <w:tcBorders>
              <w:bottom w:val="single" w:sz="12" w:space="0" w:color="000000"/>
            </w:tcBorders>
            <w:shd w:fill="CCEEFF" w:val="clear"/>
            <w:tcMar>
              <w:bottom w:w="28" w:type="dxa"/>
            </w:tcMar>
            <w:vAlign w:val="center"/>
          </w:tcPr>
          <w:p>
            <w:pPr>
              <w:pStyle w:val="TableContents"/>
              <w:spacing w:before="0" w:after="283"/>
              <w:jc w:val="right"/>
              <w:rPr/>
            </w:pPr>
            <w:r>
              <w:rPr/>
              <w:t>(3,191,762</w:t>
            </w:r>
          </w:p>
        </w:tc>
        <w:tc>
          <w:tcPr>
            <w:tcW w:w="89" w:type="dxa"/>
            <w:tcBorders/>
            <w:shd w:fill="CCEEFF" w:val="clear"/>
            <w:vAlign w:val="center"/>
          </w:tcPr>
          <w:p>
            <w:pPr>
              <w:pStyle w:val="TableContents"/>
              <w:spacing w:before="0" w:after="283"/>
              <w:ind w:left="0" w:right="0" w:hanging="180"/>
              <w:jc w:val="left"/>
              <w:rPr/>
            </w:pPr>
            <w:r>
              <w:rPr/>
              <w:t>)</w:t>
            </w:r>
          </w:p>
        </w:tc>
      </w:tr>
      <w:tr>
        <w:trPr/>
        <w:tc>
          <w:tcPr>
            <w:tcW w:w="7163" w:type="dxa"/>
            <w:tcBorders/>
            <w:shd w:fill="auto" w:val="clear"/>
            <w:vAlign w:val="center"/>
          </w:tcPr>
          <w:p>
            <w:pPr>
              <w:pStyle w:val="TableContents"/>
              <w:spacing w:before="0" w:after="283"/>
              <w:jc w:val="left"/>
              <w:rPr>
                <w:b/>
              </w:rPr>
            </w:pPr>
            <w:r>
              <w:rPr>
                <w:b/>
              </w:rPr>
              <w:t>Total Stockholders’ Deficit</w:t>
            </w:r>
          </w:p>
        </w:tc>
        <w:tc>
          <w:tcPr>
            <w:tcW w:w="60" w:type="dxa"/>
            <w:tcBorders/>
            <w:shd w:fill="auto" w:val="clear"/>
            <w:vAlign w:val="center"/>
          </w:tcPr>
          <w:p>
            <w:pPr>
              <w:pStyle w:val="TableContents"/>
              <w:spacing w:before="0" w:after="283"/>
              <w:rPr/>
            </w:pPr>
            <w:r>
              <w:rPr/>
              <w:t> </w:t>
            </w:r>
          </w:p>
        </w:tc>
        <w:tc>
          <w:tcPr>
            <w:tcW w:w="140" w:type="dxa"/>
            <w:tcBorders>
              <w:bottom w:val="single" w:sz="12" w:space="0" w:color="000000"/>
            </w:tcBorders>
            <w:shd w:fill="auto" w:val="clear"/>
            <w:tcMar>
              <w:bottom w:w="28" w:type="dxa"/>
            </w:tcMar>
            <w:vAlign w:val="center"/>
          </w:tcPr>
          <w:p>
            <w:pPr>
              <w:pStyle w:val="TableContents"/>
              <w:spacing w:before="0" w:after="283"/>
              <w:jc w:val="left"/>
              <w:rPr/>
            </w:pPr>
            <w:r>
              <w:rPr/>
              <w:t> </w:t>
            </w:r>
          </w:p>
        </w:tc>
        <w:tc>
          <w:tcPr>
            <w:tcW w:w="1220" w:type="dxa"/>
            <w:tcBorders>
              <w:bottom w:val="single" w:sz="12" w:space="0" w:color="000000"/>
            </w:tcBorders>
            <w:shd w:fill="auto" w:val="clear"/>
            <w:tcMar>
              <w:bottom w:w="28" w:type="dxa"/>
            </w:tcMar>
            <w:vAlign w:val="center"/>
          </w:tcPr>
          <w:p>
            <w:pPr>
              <w:pStyle w:val="TableContents"/>
              <w:spacing w:before="0" w:after="283"/>
              <w:jc w:val="right"/>
              <w:rPr>
                <w:b/>
              </w:rPr>
            </w:pPr>
            <w:r>
              <w:rPr>
                <w:b/>
              </w:rPr>
              <w:t>(3,961,091</w:t>
            </w:r>
          </w:p>
        </w:tc>
        <w:tc>
          <w:tcPr>
            <w:tcW w:w="95" w:type="dxa"/>
            <w:tcBorders/>
            <w:shd w:fill="auto" w:val="clear"/>
            <w:vAlign w:val="center"/>
          </w:tcPr>
          <w:p>
            <w:pPr>
              <w:pStyle w:val="TableContents"/>
              <w:spacing w:before="0" w:after="283"/>
              <w:jc w:val="left"/>
              <w:rPr>
                <w:b/>
              </w:rPr>
            </w:pPr>
            <w:r>
              <w:rPr>
                <w:b/>
              </w:rPr>
              <w:t>)</w:t>
            </w:r>
          </w:p>
        </w:tc>
        <w:tc>
          <w:tcPr>
            <w:tcW w:w="60" w:type="dxa"/>
            <w:tcBorders/>
            <w:shd w:fill="auto" w:val="clear"/>
            <w:vAlign w:val="center"/>
          </w:tcPr>
          <w:p>
            <w:pPr>
              <w:pStyle w:val="TableContents"/>
              <w:spacing w:before="0" w:after="283"/>
              <w:rPr/>
            </w:pPr>
            <w:r>
              <w:rPr/>
              <w:t> </w:t>
            </w:r>
          </w:p>
        </w:tc>
        <w:tc>
          <w:tcPr>
            <w:tcW w:w="141" w:type="dxa"/>
            <w:tcBorders>
              <w:bottom w:val="single" w:sz="12" w:space="0" w:color="000000"/>
            </w:tcBorders>
            <w:shd w:fill="auto" w:val="clear"/>
            <w:tcMar>
              <w:bottom w:w="28" w:type="dxa"/>
            </w:tcMar>
            <w:vAlign w:val="center"/>
          </w:tcPr>
          <w:p>
            <w:pPr>
              <w:pStyle w:val="TableContents"/>
              <w:spacing w:before="0" w:after="283"/>
              <w:jc w:val="left"/>
              <w:rPr/>
            </w:pPr>
            <w:r>
              <w:rPr/>
              <w:t> </w:t>
            </w:r>
          </w:p>
        </w:tc>
        <w:tc>
          <w:tcPr>
            <w:tcW w:w="1237" w:type="dxa"/>
            <w:tcBorders>
              <w:bottom w:val="single" w:sz="12" w:space="0" w:color="000000"/>
            </w:tcBorders>
            <w:shd w:fill="auto" w:val="clear"/>
            <w:tcMar>
              <w:bottom w:w="28" w:type="dxa"/>
            </w:tcMar>
            <w:vAlign w:val="center"/>
          </w:tcPr>
          <w:p>
            <w:pPr>
              <w:pStyle w:val="TableContents"/>
              <w:spacing w:before="0" w:after="283"/>
              <w:jc w:val="right"/>
              <w:rPr>
                <w:b/>
              </w:rPr>
            </w:pPr>
            <w:r>
              <w:rPr>
                <w:b/>
              </w:rPr>
              <w:t>(3,191,331</w:t>
            </w:r>
          </w:p>
        </w:tc>
        <w:tc>
          <w:tcPr>
            <w:tcW w:w="89" w:type="dxa"/>
            <w:tcBorders/>
            <w:shd w:fill="auto" w:val="clear"/>
            <w:vAlign w:val="center"/>
          </w:tcPr>
          <w:p>
            <w:pPr>
              <w:pStyle w:val="TableContents"/>
              <w:spacing w:before="0" w:after="283"/>
              <w:ind w:left="0" w:right="0" w:hanging="180"/>
              <w:jc w:val="left"/>
              <w:rPr>
                <w:b/>
              </w:rPr>
            </w:pPr>
            <w:r>
              <w:rPr>
                <w:b/>
              </w:rPr>
              <w:t>)</w:t>
            </w:r>
          </w:p>
        </w:tc>
      </w:tr>
      <w:tr>
        <w:trPr/>
        <w:tc>
          <w:tcPr>
            <w:tcW w:w="7163" w:type="dxa"/>
            <w:tcBorders/>
            <w:shd w:fill="CCEEFF" w:val="clear"/>
            <w:vAlign w:val="center"/>
          </w:tcPr>
          <w:p>
            <w:pPr>
              <w:pStyle w:val="TableContents"/>
              <w:spacing w:before="0" w:after="283"/>
              <w:jc w:val="left"/>
              <w:rPr>
                <w:b/>
              </w:rPr>
            </w:pPr>
            <w:r>
              <w:rPr>
                <w:b/>
              </w:rPr>
              <w:t>TOTAL LIABILITIES, COMMON STOCK SUBJECT TO POSSIBLE REDEMPTION, AND STOCKHOLDERS’ DEFICIT</w:t>
            </w:r>
          </w:p>
        </w:tc>
        <w:tc>
          <w:tcPr>
            <w:tcW w:w="60" w:type="dxa"/>
            <w:tcBorders/>
            <w:shd w:fill="CCEEFF" w:val="clear"/>
            <w:vAlign w:val="center"/>
          </w:tcPr>
          <w:p>
            <w:pPr>
              <w:pStyle w:val="TableContents"/>
              <w:spacing w:before="0" w:after="283"/>
              <w:rPr/>
            </w:pPr>
            <w:r>
              <w:rPr/>
              <w:t> </w:t>
            </w:r>
          </w:p>
        </w:tc>
        <w:tc>
          <w:tcPr>
            <w:tcW w:w="140" w:type="dxa"/>
            <w:tcBorders>
              <w:bottom w:val="double" w:sz="10" w:space="0" w:color="000000"/>
            </w:tcBorders>
            <w:shd w:fill="CCEEFF" w:val="clear"/>
            <w:tcMar>
              <w:bottom w:w="28" w:type="dxa"/>
            </w:tcMar>
            <w:vAlign w:val="center"/>
          </w:tcPr>
          <w:p>
            <w:pPr>
              <w:pStyle w:val="TableContents"/>
              <w:spacing w:before="0" w:after="283"/>
              <w:jc w:val="left"/>
              <w:rPr>
                <w:b/>
              </w:rPr>
            </w:pPr>
            <w:r>
              <w:rPr>
                <w:b/>
              </w:rPr>
              <w:t>$</w:t>
            </w:r>
          </w:p>
        </w:tc>
        <w:tc>
          <w:tcPr>
            <w:tcW w:w="1220" w:type="dxa"/>
            <w:tcBorders>
              <w:bottom w:val="double" w:sz="10" w:space="0" w:color="000000"/>
            </w:tcBorders>
            <w:shd w:fill="CCEEFF" w:val="clear"/>
            <w:tcMar>
              <w:bottom w:w="28" w:type="dxa"/>
            </w:tcMar>
            <w:vAlign w:val="center"/>
          </w:tcPr>
          <w:p>
            <w:pPr>
              <w:pStyle w:val="TableContents"/>
              <w:spacing w:before="0" w:after="283"/>
              <w:jc w:val="right"/>
              <w:rPr>
                <w:b/>
              </w:rPr>
            </w:pPr>
            <w:r>
              <w:rPr>
                <w:b/>
              </w:rPr>
              <w:t>176,391,005</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1" w:type="dxa"/>
            <w:tcBorders>
              <w:bottom w:val="double" w:sz="10" w:space="0" w:color="000000"/>
            </w:tcBorders>
            <w:shd w:fill="CCEEFF" w:val="clear"/>
            <w:tcMar>
              <w:bottom w:w="28" w:type="dxa"/>
            </w:tcMar>
            <w:vAlign w:val="center"/>
          </w:tcPr>
          <w:p>
            <w:pPr>
              <w:pStyle w:val="TableContents"/>
              <w:spacing w:before="0" w:after="283"/>
              <w:jc w:val="left"/>
              <w:rPr>
                <w:b/>
              </w:rPr>
            </w:pPr>
            <w:r>
              <w:rPr>
                <w:b/>
              </w:rPr>
              <w:t>$</w:t>
            </w:r>
          </w:p>
        </w:tc>
        <w:tc>
          <w:tcPr>
            <w:tcW w:w="1237" w:type="dxa"/>
            <w:tcBorders>
              <w:bottom w:val="double" w:sz="10" w:space="0" w:color="000000"/>
            </w:tcBorders>
            <w:shd w:fill="CCEEFF" w:val="clear"/>
            <w:tcMar>
              <w:bottom w:w="28" w:type="dxa"/>
            </w:tcMar>
            <w:vAlign w:val="center"/>
          </w:tcPr>
          <w:p>
            <w:pPr>
              <w:pStyle w:val="TableContents"/>
              <w:spacing w:before="0" w:after="283"/>
              <w:jc w:val="right"/>
              <w:rPr>
                <w:b/>
              </w:rPr>
            </w:pPr>
            <w:r>
              <w:rPr>
                <w:b/>
              </w:rPr>
              <w:t>174,683,360</w:t>
            </w:r>
          </w:p>
        </w:tc>
        <w:tc>
          <w:tcPr>
            <w:tcW w:w="89" w:type="dxa"/>
            <w:tcBorders/>
            <w:shd w:fill="CCEEFF" w:val="clear"/>
            <w:vAlign w:val="center"/>
          </w:tcPr>
          <w:p>
            <w:pPr>
              <w:pStyle w:val="TableContents"/>
              <w:spacing w:before="0" w:after="283"/>
              <w:jc w:val="left"/>
              <w:rPr/>
            </w:pPr>
            <w:r>
              <w:rPr/>
              <w:t> </w:t>
            </w:r>
          </w:p>
        </w:tc>
      </w:tr>
    </w:tbl>
    <w:p>
      <w:pPr>
        <w:pStyle w:val="TextBody"/>
        <w:spacing w:before="0" w:after="0"/>
        <w:ind w:left="0" w:right="0" w:hanging="0"/>
        <w:jc w:val="both"/>
        <w:rPr>
          <w:caps w:val="false"/>
          <w:smallCaps w:val="false"/>
        </w:rPr>
      </w:pPr>
      <w:r>
        <w:rPr>
          <w:caps w:val="false"/>
          <w:smallCaps w:val="false"/>
        </w:rPr>
        <w:t> </w:t>
      </w:r>
    </w:p>
    <w:p>
      <w:pPr>
        <w:pStyle w:val="TextBody"/>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 unaudited condensed consolidated financial statements.</w:t>
      </w:r>
    </w:p>
    <w:p>
      <w:pPr>
        <w:pStyle w:val="TextBody"/>
        <w:spacing w:before="0" w:after="0"/>
        <w:ind w:left="0" w:right="0" w:hanging="0"/>
        <w:jc w:val="both"/>
        <w:rPr>
          <w:caps w:val="false"/>
          <w:smallCaps w:val="false"/>
        </w:rPr>
      </w:pPr>
      <w:r>
        <w:rPr>
          <w:caps w:val="false"/>
          <w:smallCaps w:val="false"/>
        </w:rPr>
        <w:t> </w:t>
      </w:r>
    </w:p>
    <w:p>
      <w:pPr>
        <w:pStyle w:val="TextBody"/>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spacing w:before="0" w:after="0"/>
        <w:ind w:left="0" w:right="0" w:hanging="0"/>
        <w:rPr/>
      </w:pPr>
      <w:r>
        <w:rPr/>
        <w:t> </w:t>
      </w:r>
    </w:p>
    <w:p>
      <w:pPr>
        <w:pStyle w:val="TextBody"/>
        <w:spacing w:before="0" w:after="0"/>
        <w:ind w:left="0" w:right="0" w:hanging="0"/>
        <w:jc w:val="both"/>
        <w:rPr>
          <w:caps w:val="false"/>
          <w:smallCaps w:val="false"/>
        </w:rPr>
      </w:pPr>
      <w:r>
        <w:rPr>
          <w:caps w:val="false"/>
          <w:smallCaps w:val="false"/>
        </w:rPr>
        <w:t> </w:t>
      </w:r>
    </w:p>
    <w:p>
      <w:pPr>
        <w:pStyle w:val="TextBody"/>
        <w:spacing w:before="0" w:after="0"/>
        <w:jc w:val="center"/>
        <w:rPr>
          <w:rFonts w:ascii="Times New Roman;Times;Serif" w:hAnsi="Times New Roman;Times;Serif"/>
          <w:b/>
          <w:i w:val="false"/>
          <w:caps w:val="false"/>
          <w:smallCaps w:val="false"/>
          <w:sz w:val="20"/>
        </w:rPr>
      </w:pPr>
      <w:bookmarkStart w:id="5" w:name="a_004"/>
      <w:bookmarkEnd w:id="5"/>
      <w:r>
        <w:rPr>
          <w:rFonts w:ascii="Times New Roman;Times;Serif" w:hAnsi="Times New Roman;Times;Serif"/>
          <w:b/>
          <w:i w:val="false"/>
          <w:caps w:val="false"/>
          <w:smallCaps w:val="false"/>
          <w:sz w:val="20"/>
        </w:rPr>
        <w:t>VENTOUX CCM ACQUISITION CORP.</w:t>
      </w:r>
    </w:p>
    <w:p>
      <w:pPr>
        <w:pStyle w:val="TextBody"/>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CONDENSED CONSOLIDATED STATEMENTS OF OPERATIONS</w:t>
      </w:r>
    </w:p>
    <w:p>
      <w:pPr>
        <w:pStyle w:val="TextBody"/>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p>
      <w:pPr>
        <w:pStyle w:val="TextBody"/>
        <w:spacing w:before="0" w:after="0"/>
        <w:ind w:left="0" w:right="0" w:hanging="0"/>
        <w:jc w:val="both"/>
        <w:rPr>
          <w:caps w:val="false"/>
          <w:smallCaps w:val="false"/>
        </w:rPr>
      </w:pPr>
      <w:r>
        <w:rPr>
          <w:caps w:val="false"/>
          <w:smallCaps w:val="false"/>
        </w:rPr>
        <w:t> </w:t>
      </w:r>
    </w:p>
    <w:tbl>
      <w:tblPr>
        <w:tblW w:w="9695" w:type="dxa"/>
        <w:jc w:val="left"/>
        <w:tblInd w:w="0" w:type="dxa"/>
        <w:tblCellMar>
          <w:top w:w="0" w:type="dxa"/>
          <w:left w:w="0" w:type="dxa"/>
          <w:bottom w:w="0" w:type="dxa"/>
          <w:right w:w="0" w:type="dxa"/>
        </w:tblCellMar>
      </w:tblPr>
      <w:tblGrid>
        <w:gridCol w:w="6890"/>
        <w:gridCol w:w="60"/>
        <w:gridCol w:w="140"/>
        <w:gridCol w:w="1100"/>
        <w:gridCol w:w="95"/>
        <w:gridCol w:w="60"/>
        <w:gridCol w:w="140"/>
        <w:gridCol w:w="1100"/>
        <w:gridCol w:w="110"/>
      </w:tblGrid>
      <w:tr>
        <w:trPr/>
        <w:tc>
          <w:tcPr>
            <w:tcW w:w="689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635" w:type="dxa"/>
            <w:gridSpan w:val="6"/>
            <w:tcBorders>
              <w:bottom w:val="single" w:sz="12" w:space="0" w:color="000000"/>
            </w:tcBorders>
            <w:shd w:fill="auto" w:val="clear"/>
            <w:tcMar>
              <w:bottom w:w="28" w:type="dxa"/>
            </w:tcMar>
            <w:vAlign w:val="center"/>
          </w:tcPr>
          <w:p>
            <w:pPr>
              <w:pStyle w:val="TableContents"/>
              <w:spacing w:before="0" w:after="283"/>
              <w:jc w:val="center"/>
              <w:rPr>
                <w:b/>
              </w:rPr>
            </w:pPr>
            <w:r>
              <w:rPr>
                <w:b/>
              </w:rPr>
              <w:t>Three Months Ended</w:t>
              <w:br/>
              <w:t>March 31,</w:t>
            </w:r>
          </w:p>
        </w:tc>
        <w:tc>
          <w:tcPr>
            <w:tcW w:w="110" w:type="dxa"/>
            <w:tcBorders/>
            <w:shd w:fill="auto" w:val="clear"/>
            <w:vAlign w:val="center"/>
          </w:tcPr>
          <w:p>
            <w:pPr>
              <w:pStyle w:val="TableContents"/>
              <w:spacing w:before="0" w:after="283"/>
              <w:rPr/>
            </w:pPr>
            <w:r>
              <w:rPr/>
              <w:t> </w:t>
            </w:r>
          </w:p>
        </w:tc>
      </w:tr>
      <w:tr>
        <w:trPr/>
        <w:tc>
          <w:tcPr>
            <w:tcW w:w="689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240" w:type="dxa"/>
            <w:gridSpan w:val="2"/>
            <w:tcBorders>
              <w:bottom w:val="single" w:sz="12" w:space="0" w:color="000000"/>
            </w:tcBorders>
            <w:shd w:fill="auto" w:val="clear"/>
            <w:tcMar>
              <w:bottom w:w="28" w:type="dxa"/>
            </w:tcMar>
            <w:vAlign w:val="center"/>
          </w:tcPr>
          <w:p>
            <w:pPr>
              <w:pStyle w:val="TableContents"/>
              <w:spacing w:before="0" w:after="283"/>
              <w:jc w:val="center"/>
              <w:rPr>
                <w:b/>
              </w:rPr>
            </w:pPr>
            <w:r>
              <w:rPr>
                <w:b/>
              </w:rPr>
              <w:t>2022</w:t>
            </w:r>
          </w:p>
        </w:tc>
        <w:tc>
          <w:tcPr>
            <w:tcW w:w="9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240" w:type="dxa"/>
            <w:gridSpan w:val="2"/>
            <w:tcBorders>
              <w:bottom w:val="single" w:sz="12" w:space="0" w:color="000000"/>
            </w:tcBorders>
            <w:shd w:fill="auto" w:val="clear"/>
            <w:tcMar>
              <w:bottom w:w="28" w:type="dxa"/>
            </w:tcMar>
            <w:vAlign w:val="center"/>
          </w:tcPr>
          <w:p>
            <w:pPr>
              <w:pStyle w:val="TableContents"/>
              <w:spacing w:before="0" w:after="283"/>
              <w:jc w:val="center"/>
              <w:rPr>
                <w:b/>
              </w:rPr>
            </w:pPr>
            <w:r>
              <w:rPr>
                <w:b/>
              </w:rPr>
              <w:t>2021</w:t>
            </w:r>
          </w:p>
        </w:tc>
        <w:tc>
          <w:tcPr>
            <w:tcW w:w="110" w:type="dxa"/>
            <w:tcBorders/>
            <w:shd w:fill="auto" w:val="clear"/>
            <w:vAlign w:val="center"/>
          </w:tcPr>
          <w:p>
            <w:pPr>
              <w:pStyle w:val="TableContents"/>
              <w:spacing w:before="0" w:after="283"/>
              <w:ind w:left="0" w:right="0" w:hanging="180"/>
              <w:rPr/>
            </w:pPr>
            <w:r>
              <w:rPr/>
              <w:t> </w:t>
            </w:r>
          </w:p>
        </w:tc>
      </w:tr>
      <w:tr>
        <w:trPr/>
        <w:tc>
          <w:tcPr>
            <w:tcW w:w="6890" w:type="dxa"/>
            <w:tcBorders/>
            <w:shd w:fill="CCEEFF" w:val="clear"/>
            <w:vAlign w:val="center"/>
          </w:tcPr>
          <w:p>
            <w:pPr>
              <w:pStyle w:val="TableContents"/>
              <w:spacing w:before="0" w:after="283"/>
              <w:jc w:val="left"/>
              <w:rPr/>
            </w:pPr>
            <w:r>
              <w:rPr/>
              <w:t>General and administrative expenses</w:t>
            </w:r>
          </w:p>
        </w:tc>
        <w:tc>
          <w:tcPr>
            <w:tcW w:w="60" w:type="dxa"/>
            <w:tcBorders/>
            <w:shd w:fill="CCEEFF" w:val="clear"/>
            <w:vAlign w:val="center"/>
          </w:tcPr>
          <w:p>
            <w:pPr>
              <w:pStyle w:val="TableContents"/>
              <w:spacing w:before="0" w:after="283"/>
              <w:rPr/>
            </w:pPr>
            <w:r>
              <w:rPr/>
              <w:t> </w:t>
            </w:r>
          </w:p>
        </w:tc>
        <w:tc>
          <w:tcPr>
            <w:tcW w:w="140" w:type="dxa"/>
            <w:tcBorders>
              <w:bottom w:val="single" w:sz="12" w:space="0" w:color="000000"/>
            </w:tcBorders>
            <w:shd w:fill="CCEEFF" w:val="clear"/>
            <w:tcMar>
              <w:bottom w:w="28" w:type="dxa"/>
            </w:tcMar>
            <w:vAlign w:val="center"/>
          </w:tcPr>
          <w:p>
            <w:pPr>
              <w:pStyle w:val="TableContents"/>
              <w:spacing w:before="0" w:after="283"/>
              <w:jc w:val="left"/>
              <w:rPr/>
            </w:pPr>
            <w:r>
              <w:rPr/>
              <w:t>$</w:t>
            </w:r>
          </w:p>
        </w:tc>
        <w:tc>
          <w:tcPr>
            <w:tcW w:w="1100" w:type="dxa"/>
            <w:tcBorders>
              <w:bottom w:val="single" w:sz="12" w:space="0" w:color="000000"/>
            </w:tcBorders>
            <w:shd w:fill="CCEEFF" w:val="clear"/>
            <w:tcMar>
              <w:bottom w:w="28" w:type="dxa"/>
            </w:tcMar>
            <w:vAlign w:val="center"/>
          </w:tcPr>
          <w:p>
            <w:pPr>
              <w:pStyle w:val="TableContents"/>
              <w:spacing w:before="0" w:after="283"/>
              <w:jc w:val="right"/>
              <w:rPr/>
            </w:pPr>
            <w:r>
              <w:rPr/>
              <w:t>731,829</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0" w:type="dxa"/>
            <w:tcBorders>
              <w:bottom w:val="single" w:sz="12" w:space="0" w:color="000000"/>
            </w:tcBorders>
            <w:shd w:fill="CCEEFF" w:val="clear"/>
            <w:tcMar>
              <w:bottom w:w="28" w:type="dxa"/>
            </w:tcMar>
            <w:vAlign w:val="center"/>
          </w:tcPr>
          <w:p>
            <w:pPr>
              <w:pStyle w:val="TableContents"/>
              <w:spacing w:before="0" w:after="283"/>
              <w:jc w:val="left"/>
              <w:rPr/>
            </w:pPr>
            <w:r>
              <w:rPr/>
              <w:t>$</w:t>
            </w:r>
          </w:p>
        </w:tc>
        <w:tc>
          <w:tcPr>
            <w:tcW w:w="1100" w:type="dxa"/>
            <w:tcBorders>
              <w:bottom w:val="single" w:sz="12" w:space="0" w:color="000000"/>
            </w:tcBorders>
            <w:shd w:fill="CCEEFF" w:val="clear"/>
            <w:tcMar>
              <w:bottom w:w="28" w:type="dxa"/>
            </w:tcMar>
            <w:vAlign w:val="center"/>
          </w:tcPr>
          <w:p>
            <w:pPr>
              <w:pStyle w:val="TableContents"/>
              <w:spacing w:before="0" w:after="283"/>
              <w:jc w:val="right"/>
              <w:rPr/>
            </w:pPr>
            <w:r>
              <w:rPr/>
              <w:t>216,976</w:t>
            </w:r>
          </w:p>
        </w:tc>
        <w:tc>
          <w:tcPr>
            <w:tcW w:w="110" w:type="dxa"/>
            <w:tcBorders/>
            <w:shd w:fill="CCEEFF" w:val="clear"/>
            <w:vAlign w:val="center"/>
          </w:tcPr>
          <w:p>
            <w:pPr>
              <w:pStyle w:val="TableContents"/>
              <w:spacing w:before="0" w:after="283"/>
              <w:ind w:left="0" w:right="0" w:hanging="180"/>
              <w:jc w:val="left"/>
              <w:rPr/>
            </w:pPr>
            <w:r>
              <w:rPr/>
              <w:t> </w:t>
            </w:r>
          </w:p>
        </w:tc>
      </w:tr>
      <w:tr>
        <w:trPr/>
        <w:tc>
          <w:tcPr>
            <w:tcW w:w="6890" w:type="dxa"/>
            <w:tcBorders/>
            <w:shd w:fill="auto" w:val="clear"/>
            <w:vAlign w:val="center"/>
          </w:tcPr>
          <w:p>
            <w:pPr>
              <w:pStyle w:val="TableContents"/>
              <w:spacing w:before="0" w:after="283"/>
              <w:jc w:val="left"/>
              <w:rPr>
                <w:b/>
              </w:rPr>
            </w:pPr>
            <w:r>
              <w:rPr>
                <w:b/>
              </w:rPr>
              <w:t>Loss from operations</w:t>
            </w:r>
          </w:p>
        </w:tc>
        <w:tc>
          <w:tcPr>
            <w:tcW w:w="60" w:type="dxa"/>
            <w:tcBorders/>
            <w:shd w:fill="auto" w:val="clear"/>
            <w:vAlign w:val="center"/>
          </w:tcPr>
          <w:p>
            <w:pPr>
              <w:pStyle w:val="TableContents"/>
              <w:spacing w:before="0" w:after="283"/>
              <w:rPr/>
            </w:pPr>
            <w:r>
              <w:rPr/>
              <w:t> </w:t>
            </w:r>
          </w:p>
        </w:tc>
        <w:tc>
          <w:tcPr>
            <w:tcW w:w="140" w:type="dxa"/>
            <w:tcBorders>
              <w:bottom w:val="single" w:sz="12" w:space="0" w:color="000000"/>
            </w:tcBorders>
            <w:shd w:fill="auto" w:val="clear"/>
            <w:tcMar>
              <w:bottom w:w="28" w:type="dxa"/>
            </w:tcMar>
            <w:vAlign w:val="center"/>
          </w:tcPr>
          <w:p>
            <w:pPr>
              <w:pStyle w:val="TableContents"/>
              <w:spacing w:before="0" w:after="283"/>
              <w:jc w:val="left"/>
              <w:rPr/>
            </w:pPr>
            <w:r>
              <w:rPr/>
              <w:t> </w:t>
            </w:r>
          </w:p>
        </w:tc>
        <w:tc>
          <w:tcPr>
            <w:tcW w:w="1100" w:type="dxa"/>
            <w:tcBorders>
              <w:bottom w:val="single" w:sz="12" w:space="0" w:color="000000"/>
            </w:tcBorders>
            <w:shd w:fill="auto" w:val="clear"/>
            <w:tcMar>
              <w:bottom w:w="28" w:type="dxa"/>
            </w:tcMar>
            <w:vAlign w:val="center"/>
          </w:tcPr>
          <w:p>
            <w:pPr>
              <w:pStyle w:val="TableContents"/>
              <w:spacing w:before="0" w:after="283"/>
              <w:jc w:val="right"/>
              <w:rPr>
                <w:b/>
              </w:rPr>
            </w:pPr>
            <w:r>
              <w:rPr>
                <w:b/>
              </w:rPr>
              <w:t>(731,829</w:t>
            </w:r>
          </w:p>
        </w:tc>
        <w:tc>
          <w:tcPr>
            <w:tcW w:w="95" w:type="dxa"/>
            <w:tcBorders/>
            <w:shd w:fill="auto" w:val="clear"/>
            <w:vAlign w:val="center"/>
          </w:tcPr>
          <w:p>
            <w:pPr>
              <w:pStyle w:val="TableContents"/>
              <w:spacing w:before="0" w:after="283"/>
              <w:jc w:val="left"/>
              <w:rPr>
                <w:b/>
              </w:rPr>
            </w:pPr>
            <w:r>
              <w:rPr>
                <w:b/>
              </w:rPr>
              <w:t>)</w:t>
            </w:r>
          </w:p>
        </w:tc>
        <w:tc>
          <w:tcPr>
            <w:tcW w:w="60" w:type="dxa"/>
            <w:tcBorders/>
            <w:shd w:fill="auto" w:val="clear"/>
            <w:vAlign w:val="center"/>
          </w:tcPr>
          <w:p>
            <w:pPr>
              <w:pStyle w:val="TableContents"/>
              <w:spacing w:before="0" w:after="283"/>
              <w:rPr/>
            </w:pPr>
            <w:r>
              <w:rPr/>
              <w:t> </w:t>
            </w:r>
          </w:p>
        </w:tc>
        <w:tc>
          <w:tcPr>
            <w:tcW w:w="140" w:type="dxa"/>
            <w:tcBorders>
              <w:bottom w:val="single" w:sz="12" w:space="0" w:color="000000"/>
            </w:tcBorders>
            <w:shd w:fill="auto" w:val="clear"/>
            <w:tcMar>
              <w:bottom w:w="28" w:type="dxa"/>
            </w:tcMar>
            <w:vAlign w:val="center"/>
          </w:tcPr>
          <w:p>
            <w:pPr>
              <w:pStyle w:val="TableContents"/>
              <w:spacing w:before="0" w:after="283"/>
              <w:jc w:val="left"/>
              <w:rPr/>
            </w:pPr>
            <w:r>
              <w:rPr/>
              <w:t> </w:t>
            </w:r>
          </w:p>
        </w:tc>
        <w:tc>
          <w:tcPr>
            <w:tcW w:w="1100" w:type="dxa"/>
            <w:tcBorders>
              <w:bottom w:val="single" w:sz="12" w:space="0" w:color="000000"/>
            </w:tcBorders>
            <w:shd w:fill="auto" w:val="clear"/>
            <w:tcMar>
              <w:bottom w:w="28" w:type="dxa"/>
            </w:tcMar>
            <w:vAlign w:val="center"/>
          </w:tcPr>
          <w:p>
            <w:pPr>
              <w:pStyle w:val="TableContents"/>
              <w:spacing w:before="0" w:after="283"/>
              <w:jc w:val="right"/>
              <w:rPr>
                <w:b/>
              </w:rPr>
            </w:pPr>
            <w:r>
              <w:rPr>
                <w:b/>
              </w:rPr>
              <w:t>(216,976</w:t>
            </w:r>
          </w:p>
        </w:tc>
        <w:tc>
          <w:tcPr>
            <w:tcW w:w="110" w:type="dxa"/>
            <w:tcBorders/>
            <w:shd w:fill="auto" w:val="clear"/>
            <w:vAlign w:val="center"/>
          </w:tcPr>
          <w:p>
            <w:pPr>
              <w:pStyle w:val="TableContents"/>
              <w:spacing w:before="0" w:after="283"/>
              <w:ind w:left="0" w:right="0" w:hanging="180"/>
              <w:jc w:val="left"/>
              <w:rPr>
                <w:b/>
              </w:rPr>
            </w:pPr>
            <w:r>
              <w:rPr>
                <w:b/>
              </w:rPr>
              <w:t>)</w:t>
            </w:r>
          </w:p>
        </w:tc>
      </w:tr>
      <w:tr>
        <w:trPr/>
        <w:tc>
          <w:tcPr>
            <w:tcW w:w="689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1100" w:type="dxa"/>
            <w:tcBorders/>
            <w:shd w:fill="CCEEFF" w:val="clear"/>
            <w:vAlign w:val="center"/>
          </w:tcPr>
          <w:p>
            <w:pPr>
              <w:pStyle w:val="TableContents"/>
              <w:spacing w:before="0" w:after="283"/>
              <w:jc w:val="right"/>
              <w:rPr/>
            </w:pPr>
            <w:r>
              <w:rPr/>
              <w:t> </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1100" w:type="dxa"/>
            <w:tcBorders/>
            <w:shd w:fill="CCEEFF" w:val="clear"/>
            <w:vAlign w:val="center"/>
          </w:tcPr>
          <w:p>
            <w:pPr>
              <w:pStyle w:val="TableContents"/>
              <w:spacing w:before="0" w:after="283"/>
              <w:jc w:val="right"/>
              <w:rPr/>
            </w:pPr>
            <w:r>
              <w:rPr/>
              <w:t> </w:t>
            </w:r>
          </w:p>
        </w:tc>
        <w:tc>
          <w:tcPr>
            <w:tcW w:w="110" w:type="dxa"/>
            <w:tcBorders/>
            <w:shd w:fill="CCEEFF" w:val="clear"/>
            <w:vAlign w:val="center"/>
          </w:tcPr>
          <w:p>
            <w:pPr>
              <w:pStyle w:val="TableContents"/>
              <w:spacing w:before="0" w:after="283"/>
              <w:ind w:left="0" w:right="0" w:hanging="180"/>
              <w:jc w:val="left"/>
              <w:rPr/>
            </w:pPr>
            <w:r>
              <w:rPr/>
              <w:t> </w:t>
            </w:r>
          </w:p>
        </w:tc>
      </w:tr>
      <w:tr>
        <w:trPr/>
        <w:tc>
          <w:tcPr>
            <w:tcW w:w="6890" w:type="dxa"/>
            <w:tcBorders/>
            <w:shd w:fill="auto" w:val="clear"/>
            <w:vAlign w:val="center"/>
          </w:tcPr>
          <w:p>
            <w:pPr>
              <w:pStyle w:val="TableContents"/>
              <w:spacing w:before="0" w:after="283"/>
              <w:jc w:val="left"/>
              <w:rPr/>
            </w:pPr>
            <w:r>
              <w:rPr/>
              <w:t>Other income (expense):</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jc w:val="left"/>
              <w:rPr/>
            </w:pPr>
            <w:r>
              <w:rPr/>
              <w:t> </w:t>
            </w:r>
          </w:p>
        </w:tc>
        <w:tc>
          <w:tcPr>
            <w:tcW w:w="1100" w:type="dxa"/>
            <w:tcBorders/>
            <w:shd w:fill="auto" w:val="clear"/>
            <w:vAlign w:val="center"/>
          </w:tcPr>
          <w:p>
            <w:pPr>
              <w:pStyle w:val="TableContents"/>
              <w:spacing w:before="0" w:after="283"/>
              <w:jc w:val="right"/>
              <w:rPr/>
            </w:pPr>
            <w:r>
              <w:rPr/>
              <w:t> </w:t>
            </w:r>
          </w:p>
        </w:tc>
        <w:tc>
          <w:tcPr>
            <w:tcW w:w="95"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jc w:val="left"/>
              <w:rPr/>
            </w:pPr>
            <w:r>
              <w:rPr/>
              <w:t> </w:t>
            </w:r>
          </w:p>
        </w:tc>
        <w:tc>
          <w:tcPr>
            <w:tcW w:w="1100" w:type="dxa"/>
            <w:tcBorders/>
            <w:shd w:fill="auto" w:val="clear"/>
            <w:vAlign w:val="center"/>
          </w:tcPr>
          <w:p>
            <w:pPr>
              <w:pStyle w:val="TableContents"/>
              <w:spacing w:before="0" w:after="283"/>
              <w:jc w:val="right"/>
              <w:rPr/>
            </w:pPr>
            <w:r>
              <w:rPr/>
              <w:t> </w:t>
            </w:r>
          </w:p>
        </w:tc>
        <w:tc>
          <w:tcPr>
            <w:tcW w:w="110" w:type="dxa"/>
            <w:tcBorders/>
            <w:shd w:fill="auto" w:val="clear"/>
            <w:vAlign w:val="center"/>
          </w:tcPr>
          <w:p>
            <w:pPr>
              <w:pStyle w:val="TableContents"/>
              <w:spacing w:before="0" w:after="283"/>
              <w:ind w:left="0" w:right="0" w:hanging="180"/>
              <w:jc w:val="left"/>
              <w:rPr/>
            </w:pPr>
            <w:r>
              <w:rPr/>
              <w:t> </w:t>
            </w:r>
          </w:p>
        </w:tc>
      </w:tr>
      <w:tr>
        <w:trPr/>
        <w:tc>
          <w:tcPr>
            <w:tcW w:w="6890" w:type="dxa"/>
            <w:tcBorders/>
            <w:shd w:fill="CCEEFF" w:val="clear"/>
            <w:vAlign w:val="center"/>
          </w:tcPr>
          <w:p>
            <w:pPr>
              <w:pStyle w:val="TableContents"/>
              <w:spacing w:before="0" w:after="283"/>
              <w:jc w:val="left"/>
              <w:rPr/>
            </w:pPr>
            <w:r>
              <w:rPr/>
              <w:t>Change in fair value of warrant liabilities</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1100" w:type="dxa"/>
            <w:tcBorders/>
            <w:shd w:fill="CCEEFF" w:val="clear"/>
            <w:vAlign w:val="center"/>
          </w:tcPr>
          <w:p>
            <w:pPr>
              <w:pStyle w:val="TableContents"/>
              <w:spacing w:before="0" w:after="283"/>
              <w:jc w:val="right"/>
              <w:rPr/>
            </w:pPr>
            <w:r>
              <w:rPr/>
              <w:t>1,668,750</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1100" w:type="dxa"/>
            <w:tcBorders/>
            <w:shd w:fill="CCEEFF" w:val="clear"/>
            <w:vAlign w:val="center"/>
          </w:tcPr>
          <w:p>
            <w:pPr>
              <w:pStyle w:val="TableContents"/>
              <w:spacing w:before="0" w:after="283"/>
              <w:jc w:val="right"/>
              <w:rPr/>
            </w:pPr>
            <w:r>
              <w:rPr/>
              <w:t>3,818,250</w:t>
            </w:r>
          </w:p>
        </w:tc>
        <w:tc>
          <w:tcPr>
            <w:tcW w:w="110" w:type="dxa"/>
            <w:tcBorders/>
            <w:shd w:fill="CCEEFF" w:val="clear"/>
            <w:vAlign w:val="center"/>
          </w:tcPr>
          <w:p>
            <w:pPr>
              <w:pStyle w:val="TableContents"/>
              <w:spacing w:before="0" w:after="283"/>
              <w:ind w:left="0" w:right="0" w:hanging="180"/>
              <w:jc w:val="left"/>
              <w:rPr/>
            </w:pPr>
            <w:r>
              <w:rPr/>
              <w:t> </w:t>
            </w:r>
          </w:p>
        </w:tc>
      </w:tr>
      <w:tr>
        <w:trPr/>
        <w:tc>
          <w:tcPr>
            <w:tcW w:w="6890" w:type="dxa"/>
            <w:tcBorders/>
            <w:shd w:fill="auto" w:val="clear"/>
            <w:vAlign w:val="center"/>
          </w:tcPr>
          <w:p>
            <w:pPr>
              <w:pStyle w:val="TableContents"/>
              <w:spacing w:before="0" w:after="283"/>
              <w:jc w:val="left"/>
              <w:rPr/>
            </w:pPr>
            <w:r>
              <w:rPr/>
              <w:t>Loss on initial issuance of private warrants</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jc w:val="left"/>
              <w:rPr/>
            </w:pPr>
            <w:r>
              <w:rPr/>
              <w:t> </w:t>
            </w:r>
          </w:p>
        </w:tc>
        <w:tc>
          <w:tcPr>
            <w:tcW w:w="1100" w:type="dxa"/>
            <w:tcBorders/>
            <w:shd w:fill="auto" w:val="clear"/>
            <w:vAlign w:val="center"/>
          </w:tcPr>
          <w:p>
            <w:pPr>
              <w:pStyle w:val="TableContents"/>
              <w:spacing w:before="0" w:after="0"/>
              <w:jc w:val="right"/>
              <w:rPr/>
            </w:pPr>
            <w:r>
              <w:rPr/>
              <w:t>—</w:t>
            </w:r>
          </w:p>
        </w:tc>
        <w:tc>
          <w:tcPr>
            <w:tcW w:w="95"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jc w:val="left"/>
              <w:rPr/>
            </w:pPr>
            <w:r>
              <w:rPr/>
              <w:t> </w:t>
            </w:r>
          </w:p>
        </w:tc>
        <w:tc>
          <w:tcPr>
            <w:tcW w:w="1100" w:type="dxa"/>
            <w:tcBorders/>
            <w:shd w:fill="auto" w:val="clear"/>
            <w:vAlign w:val="center"/>
          </w:tcPr>
          <w:p>
            <w:pPr>
              <w:pStyle w:val="TableContents"/>
              <w:spacing w:before="0" w:after="283"/>
              <w:jc w:val="right"/>
              <w:rPr/>
            </w:pPr>
            <w:r>
              <w:rPr/>
              <w:t>(162,000</w:t>
            </w:r>
          </w:p>
        </w:tc>
        <w:tc>
          <w:tcPr>
            <w:tcW w:w="110" w:type="dxa"/>
            <w:tcBorders/>
            <w:shd w:fill="auto" w:val="clear"/>
            <w:vAlign w:val="center"/>
          </w:tcPr>
          <w:p>
            <w:pPr>
              <w:pStyle w:val="TableContents"/>
              <w:spacing w:before="0" w:after="283"/>
              <w:ind w:left="0" w:right="0" w:hanging="180"/>
              <w:jc w:val="left"/>
              <w:rPr/>
            </w:pPr>
            <w:r>
              <w:rPr/>
              <w:t>)</w:t>
            </w:r>
          </w:p>
        </w:tc>
      </w:tr>
      <w:tr>
        <w:trPr/>
        <w:tc>
          <w:tcPr>
            <w:tcW w:w="6890" w:type="dxa"/>
            <w:tcBorders/>
            <w:shd w:fill="CCEEFF" w:val="clear"/>
            <w:vAlign w:val="center"/>
          </w:tcPr>
          <w:p>
            <w:pPr>
              <w:pStyle w:val="TableContents"/>
              <w:spacing w:before="0" w:after="283"/>
              <w:jc w:val="left"/>
              <w:rPr/>
            </w:pPr>
            <w:r>
              <w:rPr/>
              <w:t>Interest earned on marketable securities held in Trust Account</w:t>
            </w:r>
          </w:p>
        </w:tc>
        <w:tc>
          <w:tcPr>
            <w:tcW w:w="60" w:type="dxa"/>
            <w:tcBorders/>
            <w:shd w:fill="CCEEFF" w:val="clear"/>
            <w:vAlign w:val="center"/>
          </w:tcPr>
          <w:p>
            <w:pPr>
              <w:pStyle w:val="TableContents"/>
              <w:spacing w:before="0" w:after="283"/>
              <w:rPr/>
            </w:pPr>
            <w:r>
              <w:rPr/>
              <w:t> </w:t>
            </w:r>
          </w:p>
        </w:tc>
        <w:tc>
          <w:tcPr>
            <w:tcW w:w="140" w:type="dxa"/>
            <w:tcBorders>
              <w:bottom w:val="single" w:sz="12" w:space="0" w:color="000000"/>
            </w:tcBorders>
            <w:shd w:fill="CCEEFF" w:val="clear"/>
            <w:tcMar>
              <w:bottom w:w="28" w:type="dxa"/>
            </w:tcMar>
            <w:vAlign w:val="center"/>
          </w:tcPr>
          <w:p>
            <w:pPr>
              <w:pStyle w:val="TableContents"/>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spacing w:before="0" w:after="283"/>
              <w:jc w:val="right"/>
              <w:rPr/>
            </w:pPr>
            <w:r>
              <w:rPr/>
              <w:t>18,319</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0" w:type="dxa"/>
            <w:tcBorders>
              <w:bottom w:val="single" w:sz="12" w:space="0" w:color="000000"/>
            </w:tcBorders>
            <w:shd w:fill="CCEEFF" w:val="clear"/>
            <w:tcMar>
              <w:bottom w:w="28" w:type="dxa"/>
            </w:tcMar>
            <w:vAlign w:val="center"/>
          </w:tcPr>
          <w:p>
            <w:pPr>
              <w:pStyle w:val="TableContents"/>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spacing w:before="0" w:after="283"/>
              <w:jc w:val="right"/>
              <w:rPr/>
            </w:pPr>
            <w:r>
              <w:rPr/>
              <w:t>26,175</w:t>
            </w:r>
          </w:p>
        </w:tc>
        <w:tc>
          <w:tcPr>
            <w:tcW w:w="110" w:type="dxa"/>
            <w:tcBorders/>
            <w:shd w:fill="CCEEFF" w:val="clear"/>
            <w:vAlign w:val="center"/>
          </w:tcPr>
          <w:p>
            <w:pPr>
              <w:pStyle w:val="TableContents"/>
              <w:spacing w:before="0" w:after="283"/>
              <w:ind w:left="0" w:right="0" w:hanging="180"/>
              <w:jc w:val="left"/>
              <w:rPr/>
            </w:pPr>
            <w:r>
              <w:rPr/>
              <w:t> </w:t>
            </w:r>
          </w:p>
        </w:tc>
      </w:tr>
      <w:tr>
        <w:trPr/>
        <w:tc>
          <w:tcPr>
            <w:tcW w:w="6890" w:type="dxa"/>
            <w:tcBorders/>
            <w:shd w:fill="auto" w:val="clear"/>
            <w:vAlign w:val="center"/>
          </w:tcPr>
          <w:p>
            <w:pPr>
              <w:pStyle w:val="TableContents"/>
              <w:spacing w:before="0" w:after="283"/>
              <w:jc w:val="left"/>
              <w:rPr/>
            </w:pPr>
            <w:r>
              <w:rPr/>
              <w:t>Total other income, net</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jc w:val="left"/>
              <w:rPr/>
            </w:pPr>
            <w:r>
              <w:rPr/>
              <w:t> </w:t>
            </w:r>
          </w:p>
        </w:tc>
        <w:tc>
          <w:tcPr>
            <w:tcW w:w="1100" w:type="dxa"/>
            <w:tcBorders/>
            <w:shd w:fill="auto" w:val="clear"/>
            <w:vAlign w:val="center"/>
          </w:tcPr>
          <w:p>
            <w:pPr>
              <w:pStyle w:val="TableContents"/>
              <w:spacing w:before="0" w:after="283"/>
              <w:jc w:val="right"/>
              <w:rPr/>
            </w:pPr>
            <w:r>
              <w:rPr/>
              <w:t>1,687,069</w:t>
            </w:r>
          </w:p>
        </w:tc>
        <w:tc>
          <w:tcPr>
            <w:tcW w:w="95"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jc w:val="left"/>
              <w:rPr/>
            </w:pPr>
            <w:r>
              <w:rPr/>
              <w:t> </w:t>
            </w:r>
          </w:p>
        </w:tc>
        <w:tc>
          <w:tcPr>
            <w:tcW w:w="1100" w:type="dxa"/>
            <w:tcBorders/>
            <w:shd w:fill="auto" w:val="clear"/>
            <w:vAlign w:val="center"/>
          </w:tcPr>
          <w:p>
            <w:pPr>
              <w:pStyle w:val="TableContents"/>
              <w:spacing w:before="0" w:after="283"/>
              <w:jc w:val="right"/>
              <w:rPr/>
            </w:pPr>
            <w:r>
              <w:rPr/>
              <w:t>3,682,425</w:t>
            </w:r>
          </w:p>
        </w:tc>
        <w:tc>
          <w:tcPr>
            <w:tcW w:w="110" w:type="dxa"/>
            <w:tcBorders/>
            <w:shd w:fill="auto" w:val="clear"/>
            <w:vAlign w:val="center"/>
          </w:tcPr>
          <w:p>
            <w:pPr>
              <w:pStyle w:val="TableContents"/>
              <w:spacing w:before="0" w:after="283"/>
              <w:ind w:left="0" w:right="0" w:hanging="180"/>
              <w:jc w:val="left"/>
              <w:rPr/>
            </w:pPr>
            <w:r>
              <w:rPr/>
              <w:t> </w:t>
            </w:r>
          </w:p>
        </w:tc>
      </w:tr>
      <w:tr>
        <w:trPr/>
        <w:tc>
          <w:tcPr>
            <w:tcW w:w="689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1100" w:type="dxa"/>
            <w:tcBorders/>
            <w:shd w:fill="CCEEFF" w:val="clear"/>
            <w:vAlign w:val="center"/>
          </w:tcPr>
          <w:p>
            <w:pPr>
              <w:pStyle w:val="TableContents"/>
              <w:spacing w:before="0" w:after="283"/>
              <w:jc w:val="right"/>
              <w:rPr/>
            </w:pPr>
            <w:r>
              <w:rPr/>
              <w:t> </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1100" w:type="dxa"/>
            <w:tcBorders/>
            <w:shd w:fill="CCEEFF" w:val="clear"/>
            <w:vAlign w:val="center"/>
          </w:tcPr>
          <w:p>
            <w:pPr>
              <w:pStyle w:val="TableContents"/>
              <w:spacing w:before="0" w:after="283"/>
              <w:jc w:val="right"/>
              <w:rPr/>
            </w:pPr>
            <w:r>
              <w:rPr/>
              <w:t> </w:t>
            </w:r>
          </w:p>
        </w:tc>
        <w:tc>
          <w:tcPr>
            <w:tcW w:w="110" w:type="dxa"/>
            <w:tcBorders/>
            <w:shd w:fill="CCEEFF" w:val="clear"/>
            <w:vAlign w:val="center"/>
          </w:tcPr>
          <w:p>
            <w:pPr>
              <w:pStyle w:val="TableContents"/>
              <w:spacing w:before="0" w:after="283"/>
              <w:ind w:left="0" w:right="0" w:hanging="180"/>
              <w:jc w:val="left"/>
              <w:rPr/>
            </w:pPr>
            <w:r>
              <w:rPr/>
              <w:t> </w:t>
            </w:r>
          </w:p>
        </w:tc>
      </w:tr>
      <w:tr>
        <w:trPr/>
        <w:tc>
          <w:tcPr>
            <w:tcW w:w="6890" w:type="dxa"/>
            <w:tcBorders/>
            <w:shd w:fill="auto" w:val="clear"/>
            <w:vAlign w:val="center"/>
          </w:tcPr>
          <w:p>
            <w:pPr>
              <w:pStyle w:val="TableContents"/>
              <w:spacing w:before="0" w:after="283"/>
              <w:jc w:val="left"/>
              <w:rPr/>
            </w:pPr>
            <w:r>
              <w:rPr/>
              <w:t>Income before income taxes</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jc w:val="left"/>
              <w:rPr/>
            </w:pPr>
            <w:r>
              <w:rPr/>
              <w:t> </w:t>
            </w:r>
          </w:p>
        </w:tc>
        <w:tc>
          <w:tcPr>
            <w:tcW w:w="1100" w:type="dxa"/>
            <w:tcBorders/>
            <w:shd w:fill="auto" w:val="clear"/>
            <w:vAlign w:val="center"/>
          </w:tcPr>
          <w:p>
            <w:pPr>
              <w:pStyle w:val="TableContents"/>
              <w:spacing w:before="0" w:after="283"/>
              <w:jc w:val="right"/>
              <w:rPr/>
            </w:pPr>
            <w:r>
              <w:rPr/>
              <w:t>955,240</w:t>
            </w:r>
          </w:p>
        </w:tc>
        <w:tc>
          <w:tcPr>
            <w:tcW w:w="95"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jc w:val="left"/>
              <w:rPr/>
            </w:pPr>
            <w:r>
              <w:rPr/>
              <w:t> </w:t>
            </w:r>
          </w:p>
        </w:tc>
        <w:tc>
          <w:tcPr>
            <w:tcW w:w="1100" w:type="dxa"/>
            <w:tcBorders/>
            <w:shd w:fill="auto" w:val="clear"/>
            <w:vAlign w:val="center"/>
          </w:tcPr>
          <w:p>
            <w:pPr>
              <w:pStyle w:val="TableContents"/>
              <w:spacing w:before="0" w:after="283"/>
              <w:jc w:val="right"/>
              <w:rPr/>
            </w:pPr>
            <w:r>
              <w:rPr/>
              <w:t>3,465,449</w:t>
            </w:r>
          </w:p>
        </w:tc>
        <w:tc>
          <w:tcPr>
            <w:tcW w:w="110" w:type="dxa"/>
            <w:tcBorders/>
            <w:shd w:fill="auto" w:val="clear"/>
            <w:vAlign w:val="center"/>
          </w:tcPr>
          <w:p>
            <w:pPr>
              <w:pStyle w:val="TableContents"/>
              <w:spacing w:before="0" w:after="283"/>
              <w:ind w:left="0" w:right="0" w:hanging="180"/>
              <w:jc w:val="left"/>
              <w:rPr/>
            </w:pPr>
            <w:r>
              <w:rPr/>
              <w:t> </w:t>
            </w:r>
          </w:p>
        </w:tc>
      </w:tr>
      <w:tr>
        <w:trPr/>
        <w:tc>
          <w:tcPr>
            <w:tcW w:w="6890" w:type="dxa"/>
            <w:tcBorders/>
            <w:shd w:fill="CCEEFF" w:val="clear"/>
            <w:vAlign w:val="center"/>
          </w:tcPr>
          <w:p>
            <w:pPr>
              <w:pStyle w:val="TableContents"/>
              <w:spacing w:before="0" w:after="283"/>
              <w:jc w:val="left"/>
              <w:rPr/>
            </w:pPr>
            <w:r>
              <w:rPr/>
              <w:t>Provision for income taxes</w:t>
            </w:r>
          </w:p>
        </w:tc>
        <w:tc>
          <w:tcPr>
            <w:tcW w:w="60" w:type="dxa"/>
            <w:tcBorders/>
            <w:shd w:fill="CCEEFF" w:val="clear"/>
            <w:vAlign w:val="center"/>
          </w:tcPr>
          <w:p>
            <w:pPr>
              <w:pStyle w:val="TableContents"/>
              <w:spacing w:before="0" w:after="283"/>
              <w:rPr/>
            </w:pPr>
            <w:r>
              <w:rPr/>
              <w:t> </w:t>
            </w:r>
          </w:p>
        </w:tc>
        <w:tc>
          <w:tcPr>
            <w:tcW w:w="140" w:type="dxa"/>
            <w:tcBorders>
              <w:bottom w:val="single" w:sz="12" w:space="0" w:color="000000"/>
            </w:tcBorders>
            <w:shd w:fill="CCEEFF" w:val="clear"/>
            <w:tcMar>
              <w:bottom w:w="28" w:type="dxa"/>
            </w:tcMar>
            <w:vAlign w:val="center"/>
          </w:tcPr>
          <w:p>
            <w:pPr>
              <w:pStyle w:val="TableContents"/>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spacing w:before="0" w:after="0"/>
              <w:jc w:val="right"/>
              <w:rPr/>
            </w:pPr>
            <w:r>
              <w:rPr/>
              <w:t>—</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0" w:type="dxa"/>
            <w:tcBorders>
              <w:bottom w:val="single" w:sz="12" w:space="0" w:color="000000"/>
            </w:tcBorders>
            <w:shd w:fill="CCEEFF" w:val="clear"/>
            <w:tcMar>
              <w:bottom w:w="28" w:type="dxa"/>
            </w:tcMar>
            <w:vAlign w:val="center"/>
          </w:tcPr>
          <w:p>
            <w:pPr>
              <w:pStyle w:val="TableContents"/>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spacing w:before="0" w:after="283"/>
              <w:jc w:val="right"/>
              <w:rPr/>
            </w:pPr>
            <w:r>
              <w:rPr/>
              <w:t>(4,342</w:t>
            </w:r>
          </w:p>
        </w:tc>
        <w:tc>
          <w:tcPr>
            <w:tcW w:w="110" w:type="dxa"/>
            <w:tcBorders/>
            <w:shd w:fill="CCEEFF" w:val="clear"/>
            <w:vAlign w:val="center"/>
          </w:tcPr>
          <w:p>
            <w:pPr>
              <w:pStyle w:val="TableContents"/>
              <w:spacing w:before="0" w:after="283"/>
              <w:ind w:left="0" w:right="0" w:hanging="180"/>
              <w:jc w:val="left"/>
              <w:rPr/>
            </w:pPr>
            <w:r>
              <w:rPr/>
              <w:t>)</w:t>
            </w:r>
          </w:p>
        </w:tc>
      </w:tr>
      <w:tr>
        <w:trPr/>
        <w:tc>
          <w:tcPr>
            <w:tcW w:w="6890" w:type="dxa"/>
            <w:tcBorders/>
            <w:shd w:fill="auto" w:val="clear"/>
            <w:vAlign w:val="center"/>
          </w:tcPr>
          <w:p>
            <w:pPr>
              <w:pStyle w:val="TableContents"/>
              <w:spacing w:before="0" w:after="283"/>
              <w:jc w:val="left"/>
              <w:rPr>
                <w:b/>
              </w:rPr>
            </w:pPr>
            <w:r>
              <w:rPr>
                <w:b/>
              </w:rPr>
              <w:t>Net income</w:t>
            </w:r>
          </w:p>
        </w:tc>
        <w:tc>
          <w:tcPr>
            <w:tcW w:w="60" w:type="dxa"/>
            <w:tcBorders/>
            <w:shd w:fill="auto" w:val="clear"/>
            <w:vAlign w:val="center"/>
          </w:tcPr>
          <w:p>
            <w:pPr>
              <w:pStyle w:val="TableContents"/>
              <w:spacing w:before="0" w:after="283"/>
              <w:rPr/>
            </w:pPr>
            <w:r>
              <w:rPr/>
              <w:t> </w:t>
            </w:r>
          </w:p>
        </w:tc>
        <w:tc>
          <w:tcPr>
            <w:tcW w:w="140" w:type="dxa"/>
            <w:tcBorders>
              <w:bottom w:val="double" w:sz="10" w:space="0" w:color="000000"/>
            </w:tcBorders>
            <w:shd w:fill="auto" w:val="clear"/>
            <w:tcMar>
              <w:bottom w:w="28" w:type="dxa"/>
            </w:tcMar>
            <w:vAlign w:val="center"/>
          </w:tcPr>
          <w:p>
            <w:pPr>
              <w:pStyle w:val="TableContents"/>
              <w:spacing w:before="0" w:after="283"/>
              <w:jc w:val="left"/>
              <w:rPr>
                <w:b/>
              </w:rPr>
            </w:pPr>
            <w:r>
              <w:rPr>
                <w:b/>
              </w:rPr>
              <w:t>$</w:t>
            </w:r>
          </w:p>
        </w:tc>
        <w:tc>
          <w:tcPr>
            <w:tcW w:w="1100" w:type="dxa"/>
            <w:tcBorders>
              <w:bottom w:val="double" w:sz="10" w:space="0" w:color="000000"/>
            </w:tcBorders>
            <w:shd w:fill="auto" w:val="clear"/>
            <w:tcMar>
              <w:bottom w:w="28" w:type="dxa"/>
            </w:tcMar>
            <w:vAlign w:val="center"/>
          </w:tcPr>
          <w:p>
            <w:pPr>
              <w:pStyle w:val="TableContents"/>
              <w:spacing w:before="0" w:after="283"/>
              <w:jc w:val="right"/>
              <w:rPr>
                <w:b/>
              </w:rPr>
            </w:pPr>
            <w:r>
              <w:rPr>
                <w:b/>
              </w:rPr>
              <w:t>955,240</w:t>
            </w:r>
          </w:p>
        </w:tc>
        <w:tc>
          <w:tcPr>
            <w:tcW w:w="95"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40" w:type="dxa"/>
            <w:tcBorders>
              <w:bottom w:val="double" w:sz="10" w:space="0" w:color="000000"/>
            </w:tcBorders>
            <w:shd w:fill="auto" w:val="clear"/>
            <w:tcMar>
              <w:bottom w:w="28" w:type="dxa"/>
            </w:tcMar>
            <w:vAlign w:val="center"/>
          </w:tcPr>
          <w:p>
            <w:pPr>
              <w:pStyle w:val="TableContents"/>
              <w:spacing w:before="0" w:after="283"/>
              <w:jc w:val="left"/>
              <w:rPr>
                <w:b/>
              </w:rPr>
            </w:pPr>
            <w:r>
              <w:rPr>
                <w:b/>
              </w:rPr>
              <w:t>$</w:t>
            </w:r>
          </w:p>
        </w:tc>
        <w:tc>
          <w:tcPr>
            <w:tcW w:w="1100" w:type="dxa"/>
            <w:tcBorders>
              <w:bottom w:val="double" w:sz="10" w:space="0" w:color="000000"/>
            </w:tcBorders>
            <w:shd w:fill="auto" w:val="clear"/>
            <w:tcMar>
              <w:bottom w:w="28" w:type="dxa"/>
            </w:tcMar>
            <w:vAlign w:val="center"/>
          </w:tcPr>
          <w:p>
            <w:pPr>
              <w:pStyle w:val="TableContents"/>
              <w:spacing w:before="0" w:after="283"/>
              <w:jc w:val="right"/>
              <w:rPr>
                <w:b/>
              </w:rPr>
            </w:pPr>
            <w:r>
              <w:rPr>
                <w:b/>
              </w:rPr>
              <w:t>3,461,107</w:t>
            </w:r>
          </w:p>
        </w:tc>
        <w:tc>
          <w:tcPr>
            <w:tcW w:w="110" w:type="dxa"/>
            <w:tcBorders/>
            <w:shd w:fill="auto" w:val="clear"/>
            <w:vAlign w:val="center"/>
          </w:tcPr>
          <w:p>
            <w:pPr>
              <w:pStyle w:val="TableContents"/>
              <w:spacing w:before="0" w:after="283"/>
              <w:ind w:left="0" w:right="0" w:hanging="180"/>
              <w:jc w:val="left"/>
              <w:rPr/>
            </w:pPr>
            <w:r>
              <w:rPr/>
              <w:t> </w:t>
            </w:r>
          </w:p>
        </w:tc>
      </w:tr>
      <w:tr>
        <w:trPr/>
        <w:tc>
          <w:tcPr>
            <w:tcW w:w="689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1100" w:type="dxa"/>
            <w:tcBorders/>
            <w:shd w:fill="CCEEFF" w:val="clear"/>
            <w:vAlign w:val="center"/>
          </w:tcPr>
          <w:p>
            <w:pPr>
              <w:pStyle w:val="TableContents"/>
              <w:spacing w:before="0" w:after="283"/>
              <w:jc w:val="right"/>
              <w:rPr/>
            </w:pPr>
            <w:r>
              <w:rPr/>
              <w:t> </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1100" w:type="dxa"/>
            <w:tcBorders/>
            <w:shd w:fill="CCEEFF" w:val="clear"/>
            <w:vAlign w:val="center"/>
          </w:tcPr>
          <w:p>
            <w:pPr>
              <w:pStyle w:val="TableContents"/>
              <w:spacing w:before="0" w:after="283"/>
              <w:jc w:val="right"/>
              <w:rPr/>
            </w:pPr>
            <w:r>
              <w:rPr/>
              <w:t> </w:t>
            </w:r>
          </w:p>
        </w:tc>
        <w:tc>
          <w:tcPr>
            <w:tcW w:w="110" w:type="dxa"/>
            <w:tcBorders/>
            <w:shd w:fill="CCEEFF" w:val="clear"/>
            <w:vAlign w:val="center"/>
          </w:tcPr>
          <w:p>
            <w:pPr>
              <w:pStyle w:val="TableContents"/>
              <w:spacing w:before="0" w:after="283"/>
              <w:ind w:left="0" w:right="0" w:hanging="180"/>
              <w:jc w:val="left"/>
              <w:rPr/>
            </w:pPr>
            <w:r>
              <w:rPr/>
              <w:t> </w:t>
            </w:r>
          </w:p>
        </w:tc>
      </w:tr>
      <w:tr>
        <w:trPr/>
        <w:tc>
          <w:tcPr>
            <w:tcW w:w="6890" w:type="dxa"/>
            <w:tcBorders/>
            <w:shd w:fill="auto" w:val="clear"/>
            <w:vAlign w:val="center"/>
          </w:tcPr>
          <w:p>
            <w:pPr>
              <w:pStyle w:val="TableContents"/>
              <w:spacing w:before="0" w:after="283"/>
              <w:jc w:val="left"/>
              <w:rPr/>
            </w:pPr>
            <w:r>
              <w:rPr/>
              <w:t>Basic and diluted weighted average shares outstanding of common stock</w:t>
            </w:r>
          </w:p>
        </w:tc>
        <w:tc>
          <w:tcPr>
            <w:tcW w:w="60" w:type="dxa"/>
            <w:tcBorders/>
            <w:shd w:fill="auto" w:val="clear"/>
            <w:vAlign w:val="center"/>
          </w:tcPr>
          <w:p>
            <w:pPr>
              <w:pStyle w:val="TableContents"/>
              <w:spacing w:before="0" w:after="283"/>
              <w:rPr/>
            </w:pPr>
            <w:r>
              <w:rPr/>
              <w:t> </w:t>
            </w:r>
          </w:p>
        </w:tc>
        <w:tc>
          <w:tcPr>
            <w:tcW w:w="140" w:type="dxa"/>
            <w:tcBorders>
              <w:bottom w:val="double" w:sz="10" w:space="0" w:color="000000"/>
            </w:tcBorders>
            <w:shd w:fill="auto" w:val="clear"/>
            <w:tcMar>
              <w:bottom w:w="28" w:type="dxa"/>
            </w:tcMar>
            <w:vAlign w:val="center"/>
          </w:tcPr>
          <w:p>
            <w:pPr>
              <w:pStyle w:val="TableContents"/>
              <w:spacing w:before="0" w:after="283"/>
              <w:jc w:val="left"/>
              <w:rPr/>
            </w:pPr>
            <w:r>
              <w:rPr/>
              <w:t> </w:t>
            </w:r>
          </w:p>
        </w:tc>
        <w:tc>
          <w:tcPr>
            <w:tcW w:w="1100" w:type="dxa"/>
            <w:tcBorders>
              <w:bottom w:val="double" w:sz="10" w:space="0" w:color="000000"/>
            </w:tcBorders>
            <w:shd w:fill="auto" w:val="clear"/>
            <w:tcMar>
              <w:bottom w:w="28" w:type="dxa"/>
            </w:tcMar>
            <w:vAlign w:val="center"/>
          </w:tcPr>
          <w:p>
            <w:pPr>
              <w:pStyle w:val="TableContents"/>
              <w:spacing w:before="0" w:after="283"/>
              <w:jc w:val="right"/>
              <w:rPr/>
            </w:pPr>
            <w:r>
              <w:rPr/>
              <w:t>21,562,500</w:t>
            </w:r>
          </w:p>
        </w:tc>
        <w:tc>
          <w:tcPr>
            <w:tcW w:w="95"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40" w:type="dxa"/>
            <w:tcBorders>
              <w:bottom w:val="double" w:sz="10" w:space="0" w:color="000000"/>
            </w:tcBorders>
            <w:shd w:fill="auto" w:val="clear"/>
            <w:tcMar>
              <w:bottom w:w="28" w:type="dxa"/>
            </w:tcMar>
            <w:vAlign w:val="center"/>
          </w:tcPr>
          <w:p>
            <w:pPr>
              <w:pStyle w:val="TableContents"/>
              <w:spacing w:before="0" w:after="283"/>
              <w:jc w:val="left"/>
              <w:rPr/>
            </w:pPr>
            <w:r>
              <w:rPr/>
              <w:t> </w:t>
            </w:r>
          </w:p>
        </w:tc>
        <w:tc>
          <w:tcPr>
            <w:tcW w:w="1100" w:type="dxa"/>
            <w:tcBorders>
              <w:bottom w:val="double" w:sz="10" w:space="0" w:color="000000"/>
            </w:tcBorders>
            <w:shd w:fill="auto" w:val="clear"/>
            <w:tcMar>
              <w:bottom w:w="28" w:type="dxa"/>
            </w:tcMar>
            <w:vAlign w:val="center"/>
          </w:tcPr>
          <w:p>
            <w:pPr>
              <w:pStyle w:val="TableContents"/>
              <w:spacing w:before="0" w:after="283"/>
              <w:jc w:val="right"/>
              <w:rPr/>
            </w:pPr>
            <w:r>
              <w:rPr/>
              <w:t>21,437,500</w:t>
            </w:r>
          </w:p>
        </w:tc>
        <w:tc>
          <w:tcPr>
            <w:tcW w:w="110" w:type="dxa"/>
            <w:tcBorders/>
            <w:shd w:fill="auto" w:val="clear"/>
            <w:vAlign w:val="center"/>
          </w:tcPr>
          <w:p>
            <w:pPr>
              <w:pStyle w:val="TableContents"/>
              <w:spacing w:before="0" w:after="283"/>
              <w:ind w:left="0" w:right="0" w:hanging="180"/>
              <w:jc w:val="left"/>
              <w:rPr/>
            </w:pPr>
            <w:r>
              <w:rPr/>
              <w:t> </w:t>
            </w:r>
          </w:p>
        </w:tc>
      </w:tr>
      <w:tr>
        <w:trPr/>
        <w:tc>
          <w:tcPr>
            <w:tcW w:w="689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1100" w:type="dxa"/>
            <w:tcBorders/>
            <w:shd w:fill="CCEEFF" w:val="clear"/>
            <w:vAlign w:val="center"/>
          </w:tcPr>
          <w:p>
            <w:pPr>
              <w:pStyle w:val="TableContents"/>
              <w:spacing w:before="0" w:after="283"/>
              <w:jc w:val="right"/>
              <w:rPr/>
            </w:pPr>
            <w:r>
              <w:rPr/>
              <w:t> </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1100" w:type="dxa"/>
            <w:tcBorders/>
            <w:shd w:fill="CCEEFF" w:val="clear"/>
            <w:vAlign w:val="center"/>
          </w:tcPr>
          <w:p>
            <w:pPr>
              <w:pStyle w:val="TableContents"/>
              <w:spacing w:before="0" w:after="283"/>
              <w:jc w:val="right"/>
              <w:rPr/>
            </w:pPr>
            <w:r>
              <w:rPr/>
              <w:t> </w:t>
            </w:r>
          </w:p>
        </w:tc>
        <w:tc>
          <w:tcPr>
            <w:tcW w:w="110" w:type="dxa"/>
            <w:tcBorders/>
            <w:shd w:fill="CCEEFF" w:val="clear"/>
            <w:vAlign w:val="center"/>
          </w:tcPr>
          <w:p>
            <w:pPr>
              <w:pStyle w:val="TableContents"/>
              <w:spacing w:before="0" w:after="283"/>
              <w:ind w:left="0" w:right="0" w:hanging="180"/>
              <w:jc w:val="left"/>
              <w:rPr/>
            </w:pPr>
            <w:r>
              <w:rPr/>
              <w:t> </w:t>
            </w:r>
          </w:p>
        </w:tc>
      </w:tr>
      <w:tr>
        <w:trPr/>
        <w:tc>
          <w:tcPr>
            <w:tcW w:w="6890" w:type="dxa"/>
            <w:tcBorders/>
            <w:shd w:fill="auto" w:val="clear"/>
            <w:vAlign w:val="center"/>
          </w:tcPr>
          <w:p>
            <w:pPr>
              <w:pStyle w:val="TableContents"/>
              <w:spacing w:before="0" w:after="283"/>
              <w:jc w:val="left"/>
              <w:rPr>
                <w:b/>
              </w:rPr>
            </w:pPr>
            <w:r>
              <w:rPr>
                <w:b/>
              </w:rPr>
              <w:t>Basic and diluted net income per common stock</w:t>
            </w:r>
          </w:p>
        </w:tc>
        <w:tc>
          <w:tcPr>
            <w:tcW w:w="60" w:type="dxa"/>
            <w:tcBorders/>
            <w:shd w:fill="auto" w:val="clear"/>
            <w:vAlign w:val="center"/>
          </w:tcPr>
          <w:p>
            <w:pPr>
              <w:pStyle w:val="TableContents"/>
              <w:spacing w:before="0" w:after="283"/>
              <w:rPr/>
            </w:pPr>
            <w:r>
              <w:rPr/>
              <w:t> </w:t>
            </w:r>
          </w:p>
        </w:tc>
        <w:tc>
          <w:tcPr>
            <w:tcW w:w="140" w:type="dxa"/>
            <w:tcBorders>
              <w:bottom w:val="double" w:sz="10" w:space="0" w:color="000000"/>
            </w:tcBorders>
            <w:shd w:fill="auto" w:val="clear"/>
            <w:tcMar>
              <w:bottom w:w="28" w:type="dxa"/>
            </w:tcMar>
            <w:vAlign w:val="center"/>
          </w:tcPr>
          <w:p>
            <w:pPr>
              <w:pStyle w:val="TableContents"/>
              <w:spacing w:before="0" w:after="283"/>
              <w:jc w:val="left"/>
              <w:rPr>
                <w:b/>
              </w:rPr>
            </w:pPr>
            <w:r>
              <w:rPr>
                <w:b/>
              </w:rPr>
              <w:t>$</w:t>
            </w:r>
          </w:p>
        </w:tc>
        <w:tc>
          <w:tcPr>
            <w:tcW w:w="1100" w:type="dxa"/>
            <w:tcBorders>
              <w:bottom w:val="double" w:sz="10" w:space="0" w:color="000000"/>
            </w:tcBorders>
            <w:shd w:fill="auto" w:val="clear"/>
            <w:tcMar>
              <w:bottom w:w="28" w:type="dxa"/>
            </w:tcMar>
            <w:vAlign w:val="center"/>
          </w:tcPr>
          <w:p>
            <w:pPr>
              <w:pStyle w:val="TableContents"/>
              <w:spacing w:before="0" w:after="283"/>
              <w:jc w:val="right"/>
              <w:rPr>
                <w:b/>
              </w:rPr>
            </w:pPr>
            <w:r>
              <w:rPr>
                <w:b/>
              </w:rPr>
              <w:t>0.04</w:t>
            </w:r>
          </w:p>
        </w:tc>
        <w:tc>
          <w:tcPr>
            <w:tcW w:w="95"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40" w:type="dxa"/>
            <w:tcBorders>
              <w:bottom w:val="double" w:sz="10" w:space="0" w:color="000000"/>
            </w:tcBorders>
            <w:shd w:fill="auto" w:val="clear"/>
            <w:tcMar>
              <w:bottom w:w="28" w:type="dxa"/>
            </w:tcMar>
            <w:vAlign w:val="center"/>
          </w:tcPr>
          <w:p>
            <w:pPr>
              <w:pStyle w:val="TableContents"/>
              <w:spacing w:before="0" w:after="283"/>
              <w:jc w:val="left"/>
              <w:rPr>
                <w:b/>
              </w:rPr>
            </w:pPr>
            <w:r>
              <w:rPr>
                <w:b/>
              </w:rPr>
              <w:t>$</w:t>
            </w:r>
          </w:p>
        </w:tc>
        <w:tc>
          <w:tcPr>
            <w:tcW w:w="1100" w:type="dxa"/>
            <w:tcBorders>
              <w:bottom w:val="double" w:sz="10" w:space="0" w:color="000000"/>
            </w:tcBorders>
            <w:shd w:fill="auto" w:val="clear"/>
            <w:tcMar>
              <w:bottom w:w="28" w:type="dxa"/>
            </w:tcMar>
            <w:vAlign w:val="center"/>
          </w:tcPr>
          <w:p>
            <w:pPr>
              <w:pStyle w:val="TableContents"/>
              <w:spacing w:before="0" w:after="283"/>
              <w:jc w:val="right"/>
              <w:rPr>
                <w:b/>
              </w:rPr>
            </w:pPr>
            <w:r>
              <w:rPr>
                <w:b/>
              </w:rPr>
              <w:t>0.16</w:t>
            </w:r>
          </w:p>
        </w:tc>
        <w:tc>
          <w:tcPr>
            <w:tcW w:w="110" w:type="dxa"/>
            <w:tcBorders/>
            <w:shd w:fill="auto" w:val="clear"/>
            <w:vAlign w:val="center"/>
          </w:tcPr>
          <w:p>
            <w:pPr>
              <w:pStyle w:val="TableContents"/>
              <w:spacing w:before="0" w:after="283"/>
              <w:jc w:val="left"/>
              <w:rPr/>
            </w:pPr>
            <w:r>
              <w:rPr/>
              <w:t> </w:t>
            </w:r>
          </w:p>
        </w:tc>
      </w:tr>
    </w:tbl>
    <w:p>
      <w:pPr>
        <w:pStyle w:val="TextBody"/>
        <w:spacing w:before="0" w:after="0"/>
        <w:ind w:left="0" w:right="0" w:hanging="0"/>
        <w:jc w:val="both"/>
        <w:rPr>
          <w:caps w:val="false"/>
          <w:smallCaps w:val="false"/>
        </w:rPr>
      </w:pPr>
      <w:r>
        <w:rPr>
          <w:caps w:val="false"/>
          <w:smallCaps w:val="false"/>
        </w:rPr>
        <w:t> </w:t>
      </w:r>
    </w:p>
    <w:p>
      <w:pPr>
        <w:pStyle w:val="TextBody"/>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 unaudited condensed consolidated financial statements.</w:t>
      </w:r>
    </w:p>
    <w:p>
      <w:pPr>
        <w:pStyle w:val="TextBody"/>
        <w:spacing w:before="0" w:after="0"/>
        <w:ind w:left="0" w:right="0" w:hanging="0"/>
        <w:jc w:val="both"/>
        <w:rPr>
          <w:caps w:val="false"/>
          <w:smallCaps w:val="false"/>
        </w:rPr>
      </w:pPr>
      <w:r>
        <w:rPr>
          <w:caps w:val="false"/>
          <w:smallCaps w:val="false"/>
        </w:rPr>
        <w:t> </w:t>
      </w:r>
    </w:p>
    <w:p>
      <w:pPr>
        <w:pStyle w:val="TextBody"/>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spacing w:before="0" w:after="0"/>
        <w:ind w:left="0" w:right="0" w:hanging="0"/>
        <w:rPr/>
      </w:pPr>
      <w:r>
        <w:rPr/>
        <w:t> </w:t>
      </w:r>
    </w:p>
    <w:p>
      <w:pPr>
        <w:pStyle w:val="TextBody"/>
        <w:spacing w:before="0" w:after="0"/>
        <w:ind w:left="0" w:right="0" w:hanging="0"/>
        <w:jc w:val="both"/>
        <w:rPr>
          <w:caps w:val="false"/>
          <w:smallCaps w:val="false"/>
        </w:rPr>
      </w:pPr>
      <w:r>
        <w:rPr>
          <w:caps w:val="false"/>
          <w:smallCaps w:val="false"/>
        </w:rPr>
        <w:t> </w:t>
      </w:r>
    </w:p>
    <w:p>
      <w:pPr>
        <w:pStyle w:val="TextBody"/>
        <w:spacing w:before="0" w:after="0"/>
        <w:jc w:val="center"/>
        <w:rPr>
          <w:rFonts w:ascii="Times New Roman;Times;Serif" w:hAnsi="Times New Roman;Times;Serif"/>
          <w:b/>
          <w:i w:val="false"/>
          <w:caps w:val="false"/>
          <w:smallCaps w:val="false"/>
          <w:sz w:val="20"/>
        </w:rPr>
      </w:pPr>
      <w:bookmarkStart w:id="6" w:name="a_005"/>
      <w:bookmarkEnd w:id="6"/>
      <w:r>
        <w:rPr>
          <w:rFonts w:ascii="Times New Roman;Times;Serif" w:hAnsi="Times New Roman;Times;Serif"/>
          <w:b/>
          <w:i w:val="false"/>
          <w:caps w:val="false"/>
          <w:smallCaps w:val="false"/>
          <w:sz w:val="20"/>
        </w:rPr>
        <w:t>VENTOUX CCM ACQUISITION CORP.</w:t>
      </w:r>
    </w:p>
    <w:p>
      <w:pPr>
        <w:pStyle w:val="TextBody"/>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CONDENSED CONSOLIDATED STATEMENTS OF CHANGES IN STOCKHOLDERS’ DEFICIT</w:t>
      </w:r>
    </w:p>
    <w:p>
      <w:pPr>
        <w:pStyle w:val="TextBody"/>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p>
      <w:pPr>
        <w:pStyle w:val="TextBody"/>
        <w:spacing w:before="0" w:after="0"/>
        <w:jc w:val="center"/>
        <w:rPr>
          <w:caps w:val="false"/>
          <w:smallCaps w:val="false"/>
        </w:rPr>
      </w:pPr>
      <w:r>
        <w:rPr>
          <w:caps w:val="false"/>
          <w:smallCaps w:val="false"/>
        </w:rPr>
        <w:t> </w:t>
      </w:r>
    </w:p>
    <w:p>
      <w:pPr>
        <w:pStyle w:val="TextBody"/>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THREE MONTHS ENDED MARCH 31, 2022</w:t>
      </w:r>
    </w:p>
    <w:p>
      <w:pPr>
        <w:pStyle w:val="TextBody"/>
        <w:spacing w:before="0" w:after="0"/>
        <w:ind w:left="0" w:right="0" w:hanging="0"/>
        <w:jc w:val="both"/>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3759"/>
        <w:gridCol w:w="60"/>
        <w:gridCol w:w="60"/>
        <w:gridCol w:w="980"/>
        <w:gridCol w:w="60"/>
        <w:gridCol w:w="60"/>
        <w:gridCol w:w="231"/>
        <w:gridCol w:w="629"/>
        <w:gridCol w:w="60"/>
        <w:gridCol w:w="60"/>
        <w:gridCol w:w="385"/>
        <w:gridCol w:w="715"/>
        <w:gridCol w:w="60"/>
        <w:gridCol w:w="60"/>
        <w:gridCol w:w="160"/>
        <w:gridCol w:w="1210"/>
        <w:gridCol w:w="95"/>
        <w:gridCol w:w="60"/>
        <w:gridCol w:w="161"/>
        <w:gridCol w:w="1229"/>
        <w:gridCol w:w="111"/>
      </w:tblGrid>
      <w:tr>
        <w:trPr/>
        <w:tc>
          <w:tcPr>
            <w:tcW w:w="3759"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020" w:type="dxa"/>
            <w:gridSpan w:val="6"/>
            <w:tcBorders>
              <w:bottom w:val="single" w:sz="12" w:space="0" w:color="000000"/>
            </w:tcBorders>
            <w:shd w:fill="auto" w:val="clear"/>
            <w:tcMar>
              <w:bottom w:w="28" w:type="dxa"/>
            </w:tcMar>
            <w:vAlign w:val="center"/>
          </w:tcPr>
          <w:p>
            <w:pPr>
              <w:pStyle w:val="TableContents"/>
              <w:spacing w:before="0" w:after="283"/>
              <w:jc w:val="center"/>
              <w:rPr>
                <w:b/>
              </w:rPr>
            </w:pPr>
            <w:r>
              <w:rPr>
                <w:b/>
              </w:rPr>
              <w:t>Common Stock</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00" w:type="dxa"/>
            <w:gridSpan w:val="2"/>
            <w:tcBorders>
              <w:bottom w:val="single" w:sz="12" w:space="0" w:color="000000"/>
            </w:tcBorders>
            <w:shd w:fill="auto" w:val="clear"/>
            <w:tcMar>
              <w:bottom w:w="28" w:type="dxa"/>
            </w:tcMar>
            <w:vAlign w:val="center"/>
          </w:tcPr>
          <w:p>
            <w:pPr>
              <w:pStyle w:val="TableContents"/>
              <w:spacing w:before="0" w:after="283"/>
              <w:jc w:val="center"/>
              <w:rPr>
                <w:b/>
              </w:rPr>
            </w:pPr>
            <w:r>
              <w:rPr>
                <w:b/>
              </w:rPr>
              <w:t>Additional</w:t>
              <w:br/>
              <w:t>Paid-in</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370" w:type="dxa"/>
            <w:gridSpan w:val="2"/>
            <w:tcBorders>
              <w:bottom w:val="single" w:sz="12" w:space="0" w:color="000000"/>
            </w:tcBorders>
            <w:shd w:fill="auto" w:val="clear"/>
            <w:tcMar>
              <w:bottom w:w="28" w:type="dxa"/>
            </w:tcMar>
            <w:vAlign w:val="center"/>
          </w:tcPr>
          <w:p>
            <w:pPr>
              <w:pStyle w:val="TableContents"/>
              <w:spacing w:before="0" w:after="283"/>
              <w:jc w:val="center"/>
              <w:rPr>
                <w:b/>
              </w:rPr>
            </w:pPr>
            <w:r>
              <w:rPr>
                <w:b/>
              </w:rPr>
              <w:t>Accumulated</w:t>
            </w:r>
          </w:p>
        </w:tc>
        <w:tc>
          <w:tcPr>
            <w:tcW w:w="9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390" w:type="dxa"/>
            <w:gridSpan w:val="2"/>
            <w:tcBorders>
              <w:bottom w:val="single" w:sz="12" w:space="0" w:color="000000"/>
            </w:tcBorders>
            <w:shd w:fill="auto" w:val="clear"/>
            <w:tcMar>
              <w:bottom w:w="28" w:type="dxa"/>
            </w:tcMar>
            <w:vAlign w:val="center"/>
          </w:tcPr>
          <w:p>
            <w:pPr>
              <w:pStyle w:val="TableContents"/>
              <w:spacing w:before="0" w:after="283"/>
              <w:jc w:val="center"/>
              <w:rPr>
                <w:b/>
              </w:rPr>
            </w:pPr>
            <w:r>
              <w:rPr>
                <w:b/>
              </w:rPr>
              <w:t>Total</w:t>
              <w:br/>
              <w:t>Stockholders’</w:t>
            </w:r>
          </w:p>
        </w:tc>
        <w:tc>
          <w:tcPr>
            <w:tcW w:w="111" w:type="dxa"/>
            <w:tcBorders/>
            <w:shd w:fill="auto" w:val="clear"/>
            <w:vAlign w:val="center"/>
          </w:tcPr>
          <w:p>
            <w:pPr>
              <w:pStyle w:val="TableContents"/>
              <w:spacing w:before="0" w:after="283"/>
              <w:rPr/>
            </w:pPr>
            <w:r>
              <w:rPr/>
              <w:t> </w:t>
            </w:r>
          </w:p>
        </w:tc>
      </w:tr>
      <w:tr>
        <w:trPr/>
        <w:tc>
          <w:tcPr>
            <w:tcW w:w="3759"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040" w:type="dxa"/>
            <w:gridSpan w:val="2"/>
            <w:tcBorders>
              <w:bottom w:val="single" w:sz="12" w:space="0" w:color="000000"/>
            </w:tcBorders>
            <w:shd w:fill="auto" w:val="clear"/>
            <w:tcMar>
              <w:bottom w:w="28" w:type="dxa"/>
            </w:tcMar>
            <w:vAlign w:val="center"/>
          </w:tcPr>
          <w:p>
            <w:pPr>
              <w:pStyle w:val="TableContents"/>
              <w:spacing w:before="0" w:after="283"/>
              <w:jc w:val="center"/>
              <w:rPr>
                <w:b/>
              </w:rPr>
            </w:pPr>
            <w:r>
              <w:rPr>
                <w:b/>
              </w:rPr>
              <w:t>Shares</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60" w:type="dxa"/>
            <w:gridSpan w:val="2"/>
            <w:tcBorders>
              <w:bottom w:val="single" w:sz="12" w:space="0" w:color="000000"/>
            </w:tcBorders>
            <w:shd w:fill="auto" w:val="clear"/>
            <w:tcMar>
              <w:bottom w:w="28" w:type="dxa"/>
            </w:tcMar>
            <w:vAlign w:val="center"/>
          </w:tcPr>
          <w:p>
            <w:pPr>
              <w:pStyle w:val="TableContents"/>
              <w:spacing w:before="0" w:after="283"/>
              <w:jc w:val="center"/>
              <w:rPr>
                <w:b/>
              </w:rPr>
            </w:pPr>
            <w:r>
              <w:rPr>
                <w:b/>
              </w:rPr>
              <w:t>Amount</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00" w:type="dxa"/>
            <w:gridSpan w:val="2"/>
            <w:tcBorders>
              <w:bottom w:val="single" w:sz="12" w:space="0" w:color="000000"/>
            </w:tcBorders>
            <w:shd w:fill="auto" w:val="clear"/>
            <w:tcMar>
              <w:bottom w:w="28" w:type="dxa"/>
            </w:tcMar>
            <w:vAlign w:val="center"/>
          </w:tcPr>
          <w:p>
            <w:pPr>
              <w:pStyle w:val="TableContents"/>
              <w:spacing w:before="0" w:after="283"/>
              <w:jc w:val="center"/>
              <w:rPr>
                <w:b/>
              </w:rPr>
            </w:pPr>
            <w:r>
              <w:rPr>
                <w:b/>
              </w:rPr>
              <w:t>Capital</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370" w:type="dxa"/>
            <w:gridSpan w:val="2"/>
            <w:tcBorders>
              <w:bottom w:val="single" w:sz="12" w:space="0" w:color="000000"/>
            </w:tcBorders>
            <w:shd w:fill="auto" w:val="clear"/>
            <w:tcMar>
              <w:bottom w:w="28" w:type="dxa"/>
            </w:tcMar>
            <w:vAlign w:val="center"/>
          </w:tcPr>
          <w:p>
            <w:pPr>
              <w:pStyle w:val="TableContents"/>
              <w:spacing w:before="0" w:after="283"/>
              <w:jc w:val="center"/>
              <w:rPr>
                <w:b/>
              </w:rPr>
            </w:pPr>
            <w:r>
              <w:rPr>
                <w:b/>
              </w:rPr>
              <w:t>Deficit</w:t>
            </w:r>
          </w:p>
        </w:tc>
        <w:tc>
          <w:tcPr>
            <w:tcW w:w="9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390" w:type="dxa"/>
            <w:gridSpan w:val="2"/>
            <w:tcBorders>
              <w:bottom w:val="single" w:sz="12" w:space="0" w:color="000000"/>
            </w:tcBorders>
            <w:shd w:fill="auto" w:val="clear"/>
            <w:tcMar>
              <w:bottom w:w="28" w:type="dxa"/>
            </w:tcMar>
            <w:vAlign w:val="center"/>
          </w:tcPr>
          <w:p>
            <w:pPr>
              <w:pStyle w:val="TableContents"/>
              <w:spacing w:before="0" w:after="283"/>
              <w:jc w:val="center"/>
              <w:rPr>
                <w:b/>
              </w:rPr>
            </w:pPr>
            <w:r>
              <w:rPr>
                <w:b/>
              </w:rPr>
              <w:t>Deficit</w:t>
            </w:r>
          </w:p>
        </w:tc>
        <w:tc>
          <w:tcPr>
            <w:tcW w:w="111" w:type="dxa"/>
            <w:tcBorders/>
            <w:shd w:fill="auto" w:val="clear"/>
            <w:vAlign w:val="center"/>
          </w:tcPr>
          <w:p>
            <w:pPr>
              <w:pStyle w:val="TableContents"/>
              <w:spacing w:before="0" w:after="283"/>
              <w:ind w:left="0" w:right="0" w:hanging="180"/>
              <w:rPr/>
            </w:pPr>
            <w:r>
              <w:rPr/>
              <w:t> </w:t>
            </w:r>
          </w:p>
        </w:tc>
      </w:tr>
      <w:tr>
        <w:trPr/>
        <w:tc>
          <w:tcPr>
            <w:tcW w:w="3759" w:type="dxa"/>
            <w:tcBorders/>
            <w:shd w:fill="CCEEFF" w:val="clear"/>
            <w:vAlign w:val="center"/>
          </w:tcPr>
          <w:p>
            <w:pPr>
              <w:pStyle w:val="TableContents"/>
              <w:spacing w:before="0" w:after="283"/>
              <w:rPr>
                <w:b/>
              </w:rPr>
            </w:pPr>
            <w:r>
              <w:rPr>
                <w:b/>
              </w:rPr>
              <w:t>Balance – January 1, 2022</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jc w:val="left"/>
              <w:rPr/>
            </w:pPr>
            <w:r>
              <w:rPr/>
              <w:t> </w:t>
            </w:r>
          </w:p>
        </w:tc>
        <w:tc>
          <w:tcPr>
            <w:tcW w:w="980" w:type="dxa"/>
            <w:tcBorders/>
            <w:shd w:fill="CCEEFF" w:val="clear"/>
            <w:vAlign w:val="center"/>
          </w:tcPr>
          <w:p>
            <w:pPr>
              <w:pStyle w:val="TableContents"/>
              <w:spacing w:before="0" w:after="283"/>
              <w:jc w:val="right"/>
              <w:rPr>
                <w:b/>
              </w:rPr>
            </w:pPr>
            <w:r>
              <w:rPr>
                <w:b/>
              </w:rPr>
              <w:t>4,312,500</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231" w:type="dxa"/>
            <w:tcBorders/>
            <w:shd w:fill="CCEEFF" w:val="clear"/>
            <w:vAlign w:val="center"/>
          </w:tcPr>
          <w:p>
            <w:pPr>
              <w:pStyle w:val="TableContents"/>
              <w:spacing w:before="0" w:after="283"/>
              <w:jc w:val="left"/>
              <w:rPr>
                <w:b/>
              </w:rPr>
            </w:pPr>
            <w:r>
              <w:rPr>
                <w:b/>
              </w:rPr>
              <w:t>$</w:t>
            </w:r>
          </w:p>
        </w:tc>
        <w:tc>
          <w:tcPr>
            <w:tcW w:w="629" w:type="dxa"/>
            <w:tcBorders/>
            <w:shd w:fill="CCEEFF" w:val="clear"/>
            <w:vAlign w:val="center"/>
          </w:tcPr>
          <w:p>
            <w:pPr>
              <w:pStyle w:val="TableContents"/>
              <w:spacing w:before="0" w:after="283"/>
              <w:jc w:val="right"/>
              <w:rPr>
                <w:b/>
              </w:rPr>
            </w:pPr>
            <w:r>
              <w:rPr>
                <w:b/>
              </w:rPr>
              <w:t>431</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385" w:type="dxa"/>
            <w:tcBorders/>
            <w:shd w:fill="CCEEFF" w:val="clear"/>
            <w:vAlign w:val="center"/>
          </w:tcPr>
          <w:p>
            <w:pPr>
              <w:pStyle w:val="TableContents"/>
              <w:spacing w:before="0" w:after="283"/>
              <w:jc w:val="left"/>
              <w:rPr/>
            </w:pPr>
            <w:r>
              <w:rPr/>
              <w:t>$</w:t>
            </w:r>
          </w:p>
        </w:tc>
        <w:tc>
          <w:tcPr>
            <w:tcW w:w="715" w:type="dxa"/>
            <w:tcBorders/>
            <w:shd w:fill="CCEEFF" w:val="clear"/>
            <w:vAlign w:val="center"/>
          </w:tcPr>
          <w:p>
            <w:pPr>
              <w:pStyle w:val="TableContents"/>
              <w:spacing w:before="0" w:after="0"/>
              <w:jc w:val="right"/>
              <w:rPr/>
            </w:pPr>
            <w:r>
              <w:rPr/>
              <w:t>—</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60" w:type="dxa"/>
            <w:tcBorders/>
            <w:shd w:fill="CCEEFF" w:val="clear"/>
            <w:vAlign w:val="center"/>
          </w:tcPr>
          <w:p>
            <w:pPr>
              <w:pStyle w:val="TableContents"/>
              <w:spacing w:before="0" w:after="283"/>
              <w:jc w:val="left"/>
              <w:rPr>
                <w:b/>
              </w:rPr>
            </w:pPr>
            <w:r>
              <w:rPr>
                <w:b/>
              </w:rPr>
              <w:t>$</w:t>
            </w:r>
          </w:p>
        </w:tc>
        <w:tc>
          <w:tcPr>
            <w:tcW w:w="1210" w:type="dxa"/>
            <w:tcBorders/>
            <w:shd w:fill="CCEEFF" w:val="clear"/>
            <w:vAlign w:val="center"/>
          </w:tcPr>
          <w:p>
            <w:pPr>
              <w:pStyle w:val="TableContents"/>
              <w:spacing w:before="0" w:after="283"/>
              <w:jc w:val="right"/>
              <w:rPr>
                <w:b/>
              </w:rPr>
            </w:pPr>
            <w:r>
              <w:rPr>
                <w:b/>
              </w:rPr>
              <w:t>(3,191,762</w:t>
            </w:r>
          </w:p>
        </w:tc>
        <w:tc>
          <w:tcPr>
            <w:tcW w:w="95" w:type="dxa"/>
            <w:tcBorders/>
            <w:shd w:fill="CCEEFF" w:val="clear"/>
            <w:vAlign w:val="center"/>
          </w:tcPr>
          <w:p>
            <w:pPr>
              <w:pStyle w:val="TableContents"/>
              <w:spacing w:before="0" w:after="283"/>
              <w:jc w:val="left"/>
              <w:rPr>
                <w:b/>
              </w:rPr>
            </w:pPr>
            <w:r>
              <w:rPr>
                <w:b/>
              </w:rPr>
              <w:t>)</w:t>
            </w:r>
          </w:p>
        </w:tc>
        <w:tc>
          <w:tcPr>
            <w:tcW w:w="60" w:type="dxa"/>
            <w:tcBorders/>
            <w:shd w:fill="CCEEFF" w:val="clear"/>
            <w:vAlign w:val="center"/>
          </w:tcPr>
          <w:p>
            <w:pPr>
              <w:pStyle w:val="TableContents"/>
              <w:spacing w:before="0" w:after="283"/>
              <w:rPr/>
            </w:pPr>
            <w:r>
              <w:rPr/>
              <w:t> </w:t>
            </w:r>
          </w:p>
        </w:tc>
        <w:tc>
          <w:tcPr>
            <w:tcW w:w="161" w:type="dxa"/>
            <w:tcBorders/>
            <w:shd w:fill="CCEEFF" w:val="clear"/>
            <w:vAlign w:val="center"/>
          </w:tcPr>
          <w:p>
            <w:pPr>
              <w:pStyle w:val="TableContents"/>
              <w:spacing w:before="0" w:after="283"/>
              <w:jc w:val="left"/>
              <w:rPr>
                <w:b/>
              </w:rPr>
            </w:pPr>
            <w:r>
              <w:rPr>
                <w:b/>
              </w:rPr>
              <w:t>$</w:t>
            </w:r>
          </w:p>
        </w:tc>
        <w:tc>
          <w:tcPr>
            <w:tcW w:w="1229" w:type="dxa"/>
            <w:tcBorders/>
            <w:shd w:fill="CCEEFF" w:val="clear"/>
            <w:vAlign w:val="center"/>
          </w:tcPr>
          <w:p>
            <w:pPr>
              <w:pStyle w:val="TableContents"/>
              <w:spacing w:before="0" w:after="283"/>
              <w:jc w:val="right"/>
              <w:rPr>
                <w:b/>
              </w:rPr>
            </w:pPr>
            <w:r>
              <w:rPr>
                <w:b/>
              </w:rPr>
              <w:t>(3,191,331</w:t>
            </w:r>
          </w:p>
        </w:tc>
        <w:tc>
          <w:tcPr>
            <w:tcW w:w="111" w:type="dxa"/>
            <w:tcBorders/>
            <w:shd w:fill="CCEEFF" w:val="clear"/>
            <w:vAlign w:val="center"/>
          </w:tcPr>
          <w:p>
            <w:pPr>
              <w:pStyle w:val="TableContents"/>
              <w:spacing w:before="0" w:after="283"/>
              <w:ind w:left="0" w:right="0" w:hanging="180"/>
              <w:jc w:val="left"/>
              <w:rPr>
                <w:b/>
              </w:rPr>
            </w:pPr>
            <w:r>
              <w:rPr>
                <w:b/>
              </w:rPr>
              <w:t>)</w:t>
            </w:r>
          </w:p>
        </w:tc>
      </w:tr>
      <w:tr>
        <w:trPr/>
        <w:tc>
          <w:tcPr>
            <w:tcW w:w="3759"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jc w:val="left"/>
              <w:rPr/>
            </w:pPr>
            <w:r>
              <w:rPr/>
              <w:t> </w:t>
            </w:r>
          </w:p>
        </w:tc>
        <w:tc>
          <w:tcPr>
            <w:tcW w:w="980"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231" w:type="dxa"/>
            <w:tcBorders/>
            <w:shd w:fill="auto" w:val="clear"/>
            <w:vAlign w:val="center"/>
          </w:tcPr>
          <w:p>
            <w:pPr>
              <w:pStyle w:val="TableContents"/>
              <w:spacing w:before="0" w:after="283"/>
              <w:jc w:val="left"/>
              <w:rPr/>
            </w:pPr>
            <w:r>
              <w:rPr/>
              <w:t> </w:t>
            </w:r>
          </w:p>
        </w:tc>
        <w:tc>
          <w:tcPr>
            <w:tcW w:w="629"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385" w:type="dxa"/>
            <w:tcBorders/>
            <w:shd w:fill="auto" w:val="clear"/>
            <w:vAlign w:val="center"/>
          </w:tcPr>
          <w:p>
            <w:pPr>
              <w:pStyle w:val="TableContents"/>
              <w:spacing w:before="0" w:after="283"/>
              <w:jc w:val="left"/>
              <w:rPr/>
            </w:pPr>
            <w:r>
              <w:rPr/>
              <w:t> </w:t>
            </w:r>
          </w:p>
        </w:tc>
        <w:tc>
          <w:tcPr>
            <w:tcW w:w="715"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60" w:type="dxa"/>
            <w:tcBorders/>
            <w:shd w:fill="auto" w:val="clear"/>
            <w:vAlign w:val="center"/>
          </w:tcPr>
          <w:p>
            <w:pPr>
              <w:pStyle w:val="TableContents"/>
              <w:spacing w:before="0" w:after="283"/>
              <w:jc w:val="left"/>
              <w:rPr/>
            </w:pPr>
            <w:r>
              <w:rPr/>
              <w:t> </w:t>
            </w:r>
          </w:p>
        </w:tc>
        <w:tc>
          <w:tcPr>
            <w:tcW w:w="1210" w:type="dxa"/>
            <w:tcBorders/>
            <w:shd w:fill="auto" w:val="clear"/>
            <w:vAlign w:val="center"/>
          </w:tcPr>
          <w:p>
            <w:pPr>
              <w:pStyle w:val="TableContents"/>
              <w:spacing w:before="0" w:after="283"/>
              <w:jc w:val="right"/>
              <w:rPr/>
            </w:pPr>
            <w:r>
              <w:rPr/>
              <w:t> </w:t>
            </w:r>
          </w:p>
        </w:tc>
        <w:tc>
          <w:tcPr>
            <w:tcW w:w="95"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61" w:type="dxa"/>
            <w:tcBorders/>
            <w:shd w:fill="auto" w:val="clear"/>
            <w:vAlign w:val="center"/>
          </w:tcPr>
          <w:p>
            <w:pPr>
              <w:pStyle w:val="TableContents"/>
              <w:spacing w:before="0" w:after="283"/>
              <w:jc w:val="left"/>
              <w:rPr/>
            </w:pPr>
            <w:r>
              <w:rPr/>
              <w:t> </w:t>
            </w:r>
          </w:p>
        </w:tc>
        <w:tc>
          <w:tcPr>
            <w:tcW w:w="1229" w:type="dxa"/>
            <w:tcBorders/>
            <w:shd w:fill="auto" w:val="clear"/>
            <w:vAlign w:val="center"/>
          </w:tcPr>
          <w:p>
            <w:pPr>
              <w:pStyle w:val="TableContents"/>
              <w:spacing w:before="0" w:after="283"/>
              <w:jc w:val="right"/>
              <w:rPr/>
            </w:pPr>
            <w:r>
              <w:rPr/>
              <w:t> </w:t>
            </w:r>
          </w:p>
        </w:tc>
        <w:tc>
          <w:tcPr>
            <w:tcW w:w="111" w:type="dxa"/>
            <w:tcBorders/>
            <w:shd w:fill="auto" w:val="clear"/>
            <w:vAlign w:val="center"/>
          </w:tcPr>
          <w:p>
            <w:pPr>
              <w:pStyle w:val="TableContents"/>
              <w:spacing w:before="0" w:after="283"/>
              <w:ind w:left="0" w:right="0" w:hanging="180"/>
              <w:jc w:val="left"/>
              <w:rPr/>
            </w:pPr>
            <w:r>
              <w:rPr/>
              <w:t> </w:t>
            </w:r>
          </w:p>
        </w:tc>
      </w:tr>
      <w:tr>
        <w:trPr/>
        <w:tc>
          <w:tcPr>
            <w:tcW w:w="3759" w:type="dxa"/>
            <w:tcBorders/>
            <w:shd w:fill="CCEEFF" w:val="clear"/>
            <w:vAlign w:val="center"/>
          </w:tcPr>
          <w:p>
            <w:pPr>
              <w:pStyle w:val="TableContents"/>
              <w:spacing w:before="0" w:after="283"/>
              <w:jc w:val="left"/>
              <w:rPr/>
            </w:pPr>
            <w:r>
              <w:rPr/>
              <w:t>Accretion for common stock to redemption amount</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jc w:val="left"/>
              <w:rPr/>
            </w:pPr>
            <w:r>
              <w:rPr/>
              <w:t> </w:t>
            </w:r>
          </w:p>
        </w:tc>
        <w:tc>
          <w:tcPr>
            <w:tcW w:w="980" w:type="dxa"/>
            <w:tcBorders/>
            <w:shd w:fill="CCEEFF" w:val="clear"/>
            <w:vAlign w:val="center"/>
          </w:tcPr>
          <w:p>
            <w:pPr>
              <w:pStyle w:val="TableContents"/>
              <w:spacing w:before="0" w:after="283"/>
              <w:jc w:val="right"/>
              <w:rPr/>
            </w:pPr>
            <w:r>
              <w:rPr/>
              <w:t>—</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231" w:type="dxa"/>
            <w:tcBorders/>
            <w:shd w:fill="CCEEFF" w:val="clear"/>
            <w:vAlign w:val="center"/>
          </w:tcPr>
          <w:p>
            <w:pPr>
              <w:pStyle w:val="TableContents"/>
              <w:spacing w:before="0" w:after="283"/>
              <w:jc w:val="left"/>
              <w:rPr/>
            </w:pPr>
            <w:r>
              <w:rPr/>
              <w:t> </w:t>
            </w:r>
          </w:p>
        </w:tc>
        <w:tc>
          <w:tcPr>
            <w:tcW w:w="629" w:type="dxa"/>
            <w:tcBorders/>
            <w:shd w:fill="CCEEFF" w:val="clear"/>
            <w:vAlign w:val="center"/>
          </w:tcPr>
          <w:p>
            <w:pPr>
              <w:pStyle w:val="TableContents"/>
              <w:spacing w:before="0" w:after="0"/>
              <w:jc w:val="right"/>
              <w:rPr/>
            </w:pPr>
            <w:r>
              <w:rPr/>
              <w:t>—</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385" w:type="dxa"/>
            <w:tcBorders/>
            <w:shd w:fill="CCEEFF" w:val="clear"/>
            <w:vAlign w:val="center"/>
          </w:tcPr>
          <w:p>
            <w:pPr>
              <w:pStyle w:val="TableContents"/>
              <w:spacing w:before="0" w:after="283"/>
              <w:jc w:val="left"/>
              <w:rPr/>
            </w:pPr>
            <w:r>
              <w:rPr/>
              <w:t> </w:t>
            </w:r>
          </w:p>
        </w:tc>
        <w:tc>
          <w:tcPr>
            <w:tcW w:w="715" w:type="dxa"/>
            <w:tcBorders/>
            <w:shd w:fill="CCEEFF" w:val="clear"/>
            <w:vAlign w:val="center"/>
          </w:tcPr>
          <w:p>
            <w:pPr>
              <w:pStyle w:val="TableContents"/>
              <w:spacing w:before="0" w:after="0"/>
              <w:jc w:val="right"/>
              <w:rPr/>
            </w:pPr>
            <w:r>
              <w:rPr/>
              <w:t>—</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60" w:type="dxa"/>
            <w:tcBorders/>
            <w:shd w:fill="CCEEFF" w:val="clear"/>
            <w:vAlign w:val="center"/>
          </w:tcPr>
          <w:p>
            <w:pPr>
              <w:pStyle w:val="TableContents"/>
              <w:spacing w:before="0" w:after="283"/>
              <w:jc w:val="left"/>
              <w:rPr/>
            </w:pPr>
            <w:r>
              <w:rPr/>
              <w:t> </w:t>
            </w:r>
          </w:p>
        </w:tc>
        <w:tc>
          <w:tcPr>
            <w:tcW w:w="1210" w:type="dxa"/>
            <w:tcBorders/>
            <w:shd w:fill="CCEEFF" w:val="clear"/>
            <w:vAlign w:val="center"/>
          </w:tcPr>
          <w:p>
            <w:pPr>
              <w:pStyle w:val="TableContents"/>
              <w:spacing w:before="0" w:after="283"/>
              <w:jc w:val="right"/>
              <w:rPr/>
            </w:pPr>
            <w:r>
              <w:rPr/>
              <w:t>(1,725,000</w:t>
            </w:r>
          </w:p>
        </w:tc>
        <w:tc>
          <w:tcPr>
            <w:tcW w:w="95" w:type="dxa"/>
            <w:tcBorders/>
            <w:shd w:fill="CCEEFF" w:val="clear"/>
            <w:vAlign w:val="center"/>
          </w:tcPr>
          <w:p>
            <w:pPr>
              <w:pStyle w:val="TableContents"/>
              <w:spacing w:before="0" w:after="283"/>
              <w:jc w:val="left"/>
              <w:rPr/>
            </w:pPr>
            <w:r>
              <w:rPr/>
              <w:t>)</w:t>
            </w:r>
          </w:p>
        </w:tc>
        <w:tc>
          <w:tcPr>
            <w:tcW w:w="60" w:type="dxa"/>
            <w:tcBorders/>
            <w:shd w:fill="CCEEFF" w:val="clear"/>
            <w:vAlign w:val="center"/>
          </w:tcPr>
          <w:p>
            <w:pPr>
              <w:pStyle w:val="TableContents"/>
              <w:spacing w:before="0" w:after="283"/>
              <w:rPr/>
            </w:pPr>
            <w:r>
              <w:rPr/>
              <w:t> </w:t>
            </w:r>
          </w:p>
        </w:tc>
        <w:tc>
          <w:tcPr>
            <w:tcW w:w="161" w:type="dxa"/>
            <w:tcBorders/>
            <w:shd w:fill="CCEEFF" w:val="clear"/>
            <w:vAlign w:val="center"/>
          </w:tcPr>
          <w:p>
            <w:pPr>
              <w:pStyle w:val="TableContents"/>
              <w:spacing w:before="0" w:after="283"/>
              <w:jc w:val="left"/>
              <w:rPr/>
            </w:pPr>
            <w:r>
              <w:rPr/>
              <w:t> </w:t>
            </w:r>
          </w:p>
        </w:tc>
        <w:tc>
          <w:tcPr>
            <w:tcW w:w="1229" w:type="dxa"/>
            <w:tcBorders/>
            <w:shd w:fill="CCEEFF" w:val="clear"/>
            <w:vAlign w:val="center"/>
          </w:tcPr>
          <w:p>
            <w:pPr>
              <w:pStyle w:val="TableContents"/>
              <w:spacing w:before="0" w:after="283"/>
              <w:jc w:val="right"/>
              <w:rPr/>
            </w:pPr>
            <w:r>
              <w:rPr/>
              <w:t>(1,725,000</w:t>
            </w:r>
          </w:p>
        </w:tc>
        <w:tc>
          <w:tcPr>
            <w:tcW w:w="111" w:type="dxa"/>
            <w:tcBorders/>
            <w:shd w:fill="CCEEFF" w:val="clear"/>
            <w:vAlign w:val="center"/>
          </w:tcPr>
          <w:p>
            <w:pPr>
              <w:pStyle w:val="TableContents"/>
              <w:spacing w:before="0" w:after="283"/>
              <w:ind w:left="0" w:right="0" w:hanging="180"/>
              <w:jc w:val="left"/>
              <w:rPr/>
            </w:pPr>
            <w:r>
              <w:rPr/>
              <w:t>)</w:t>
            </w:r>
          </w:p>
        </w:tc>
      </w:tr>
      <w:tr>
        <w:trPr/>
        <w:tc>
          <w:tcPr>
            <w:tcW w:w="3759"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jc w:val="left"/>
              <w:rPr/>
            </w:pPr>
            <w:r>
              <w:rPr/>
              <w:t> </w:t>
            </w:r>
          </w:p>
        </w:tc>
        <w:tc>
          <w:tcPr>
            <w:tcW w:w="980"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231" w:type="dxa"/>
            <w:tcBorders/>
            <w:shd w:fill="auto" w:val="clear"/>
            <w:vAlign w:val="center"/>
          </w:tcPr>
          <w:p>
            <w:pPr>
              <w:pStyle w:val="TableContents"/>
              <w:spacing w:before="0" w:after="283"/>
              <w:jc w:val="left"/>
              <w:rPr/>
            </w:pPr>
            <w:r>
              <w:rPr/>
              <w:t> </w:t>
            </w:r>
          </w:p>
        </w:tc>
        <w:tc>
          <w:tcPr>
            <w:tcW w:w="629"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385" w:type="dxa"/>
            <w:tcBorders/>
            <w:shd w:fill="auto" w:val="clear"/>
            <w:vAlign w:val="center"/>
          </w:tcPr>
          <w:p>
            <w:pPr>
              <w:pStyle w:val="TableContents"/>
              <w:spacing w:before="0" w:after="283"/>
              <w:jc w:val="left"/>
              <w:rPr/>
            </w:pPr>
            <w:r>
              <w:rPr/>
              <w:t> </w:t>
            </w:r>
          </w:p>
        </w:tc>
        <w:tc>
          <w:tcPr>
            <w:tcW w:w="715"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60" w:type="dxa"/>
            <w:tcBorders/>
            <w:shd w:fill="auto" w:val="clear"/>
            <w:vAlign w:val="center"/>
          </w:tcPr>
          <w:p>
            <w:pPr>
              <w:pStyle w:val="TableContents"/>
              <w:spacing w:before="0" w:after="283"/>
              <w:jc w:val="left"/>
              <w:rPr/>
            </w:pPr>
            <w:r>
              <w:rPr/>
              <w:t> </w:t>
            </w:r>
          </w:p>
        </w:tc>
        <w:tc>
          <w:tcPr>
            <w:tcW w:w="1210" w:type="dxa"/>
            <w:tcBorders/>
            <w:shd w:fill="auto" w:val="clear"/>
            <w:vAlign w:val="center"/>
          </w:tcPr>
          <w:p>
            <w:pPr>
              <w:pStyle w:val="TableContents"/>
              <w:spacing w:before="0" w:after="283"/>
              <w:jc w:val="right"/>
              <w:rPr/>
            </w:pPr>
            <w:r>
              <w:rPr/>
              <w:t> </w:t>
            </w:r>
          </w:p>
        </w:tc>
        <w:tc>
          <w:tcPr>
            <w:tcW w:w="95"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61" w:type="dxa"/>
            <w:tcBorders/>
            <w:shd w:fill="auto" w:val="clear"/>
            <w:vAlign w:val="center"/>
          </w:tcPr>
          <w:p>
            <w:pPr>
              <w:pStyle w:val="TableContents"/>
              <w:spacing w:before="0" w:after="283"/>
              <w:jc w:val="left"/>
              <w:rPr/>
            </w:pPr>
            <w:r>
              <w:rPr/>
              <w:t> </w:t>
            </w:r>
          </w:p>
        </w:tc>
        <w:tc>
          <w:tcPr>
            <w:tcW w:w="1229" w:type="dxa"/>
            <w:tcBorders/>
            <w:shd w:fill="auto" w:val="clear"/>
            <w:vAlign w:val="center"/>
          </w:tcPr>
          <w:p>
            <w:pPr>
              <w:pStyle w:val="TableContents"/>
              <w:spacing w:before="0" w:after="283"/>
              <w:jc w:val="right"/>
              <w:rPr/>
            </w:pPr>
            <w:r>
              <w:rPr/>
              <w:t> </w:t>
            </w:r>
          </w:p>
        </w:tc>
        <w:tc>
          <w:tcPr>
            <w:tcW w:w="111" w:type="dxa"/>
            <w:tcBorders/>
            <w:shd w:fill="auto" w:val="clear"/>
            <w:vAlign w:val="center"/>
          </w:tcPr>
          <w:p>
            <w:pPr>
              <w:pStyle w:val="TableContents"/>
              <w:spacing w:before="0" w:after="283"/>
              <w:ind w:left="0" w:right="0" w:hanging="180"/>
              <w:jc w:val="left"/>
              <w:rPr/>
            </w:pPr>
            <w:r>
              <w:rPr/>
              <w:t> </w:t>
            </w:r>
          </w:p>
        </w:tc>
      </w:tr>
      <w:tr>
        <w:trPr/>
        <w:tc>
          <w:tcPr>
            <w:tcW w:w="3759" w:type="dxa"/>
            <w:tcBorders/>
            <w:shd w:fill="CCEEFF" w:val="clear"/>
            <w:vAlign w:val="center"/>
          </w:tcPr>
          <w:p>
            <w:pPr>
              <w:pStyle w:val="TableContents"/>
              <w:spacing w:before="0" w:after="283"/>
              <w:jc w:val="left"/>
              <w:rPr/>
            </w:pPr>
            <w:r>
              <w:rPr/>
              <w:t>Net income</w:t>
            </w:r>
          </w:p>
        </w:tc>
        <w:tc>
          <w:tcPr>
            <w:tcW w:w="60" w:type="dxa"/>
            <w:tcBorders/>
            <w:shd w:fill="CCEEFF" w:val="clear"/>
            <w:vAlign w:val="center"/>
          </w:tcPr>
          <w:p>
            <w:pPr>
              <w:pStyle w:val="TableContents"/>
              <w:spacing w:before="0" w:after="283"/>
              <w:rPr/>
            </w:pPr>
            <w:r>
              <w:rPr/>
              <w:t> </w:t>
            </w:r>
          </w:p>
        </w:tc>
        <w:tc>
          <w:tcPr>
            <w:tcW w:w="60" w:type="dxa"/>
            <w:tcBorders>
              <w:bottom w:val="single" w:sz="12" w:space="0" w:color="000000"/>
            </w:tcBorders>
            <w:shd w:fill="CCEEFF" w:val="clear"/>
            <w:tcMar>
              <w:bottom w:w="28" w:type="dxa"/>
            </w:tcMar>
            <w:vAlign w:val="center"/>
          </w:tcPr>
          <w:p>
            <w:pPr>
              <w:pStyle w:val="TableContents"/>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spacing w:before="0" w:after="283"/>
              <w:jc w:val="right"/>
              <w:rPr/>
            </w:pPr>
            <w:r>
              <w:rPr/>
              <w:t>—</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231" w:type="dxa"/>
            <w:tcBorders>
              <w:bottom w:val="single" w:sz="12" w:space="0" w:color="000000"/>
            </w:tcBorders>
            <w:shd w:fill="CCEEFF" w:val="clear"/>
            <w:tcMar>
              <w:bottom w:w="28" w:type="dxa"/>
            </w:tcMar>
            <w:vAlign w:val="center"/>
          </w:tcPr>
          <w:p>
            <w:pPr>
              <w:pStyle w:val="TableContents"/>
              <w:spacing w:before="0" w:after="283"/>
              <w:jc w:val="left"/>
              <w:rPr/>
            </w:pPr>
            <w:r>
              <w:rPr/>
              <w:t> </w:t>
            </w:r>
          </w:p>
        </w:tc>
        <w:tc>
          <w:tcPr>
            <w:tcW w:w="629" w:type="dxa"/>
            <w:tcBorders>
              <w:bottom w:val="single" w:sz="12" w:space="0" w:color="000000"/>
            </w:tcBorders>
            <w:shd w:fill="CCEEFF" w:val="clear"/>
            <w:tcMar>
              <w:bottom w:w="28" w:type="dxa"/>
            </w:tcMar>
            <w:vAlign w:val="center"/>
          </w:tcPr>
          <w:p>
            <w:pPr>
              <w:pStyle w:val="TableContents"/>
              <w:spacing w:before="0" w:after="0"/>
              <w:jc w:val="right"/>
              <w:rPr/>
            </w:pPr>
            <w:r>
              <w:rPr/>
              <w:t>—</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385" w:type="dxa"/>
            <w:tcBorders>
              <w:bottom w:val="single" w:sz="12" w:space="0" w:color="000000"/>
            </w:tcBorders>
            <w:shd w:fill="CCEEFF" w:val="clear"/>
            <w:tcMar>
              <w:bottom w:w="28" w:type="dxa"/>
            </w:tcMar>
            <w:vAlign w:val="center"/>
          </w:tcPr>
          <w:p>
            <w:pPr>
              <w:pStyle w:val="TableContents"/>
              <w:spacing w:before="0" w:after="283"/>
              <w:jc w:val="left"/>
              <w:rPr/>
            </w:pPr>
            <w:r>
              <w:rPr/>
              <w:t> </w:t>
            </w:r>
          </w:p>
        </w:tc>
        <w:tc>
          <w:tcPr>
            <w:tcW w:w="715" w:type="dxa"/>
            <w:tcBorders>
              <w:bottom w:val="single" w:sz="12" w:space="0" w:color="000000"/>
            </w:tcBorders>
            <w:shd w:fill="CCEEFF" w:val="clear"/>
            <w:tcMar>
              <w:bottom w:w="28" w:type="dxa"/>
            </w:tcMar>
            <w:vAlign w:val="center"/>
          </w:tcPr>
          <w:p>
            <w:pPr>
              <w:pStyle w:val="TableContents"/>
              <w:spacing w:before="0" w:after="0"/>
              <w:jc w:val="right"/>
              <w:rPr/>
            </w:pPr>
            <w:r>
              <w:rPr/>
              <w:t>—</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60" w:type="dxa"/>
            <w:tcBorders>
              <w:bottom w:val="single" w:sz="12" w:space="0" w:color="000000"/>
            </w:tcBorders>
            <w:shd w:fill="CCEEFF" w:val="clear"/>
            <w:tcMar>
              <w:bottom w:w="28" w:type="dxa"/>
            </w:tcMar>
            <w:vAlign w:val="center"/>
          </w:tcPr>
          <w:p>
            <w:pPr>
              <w:pStyle w:val="TableContents"/>
              <w:spacing w:before="0" w:after="283"/>
              <w:jc w:val="left"/>
              <w:rPr/>
            </w:pPr>
            <w:r>
              <w:rPr/>
              <w:t> </w:t>
            </w:r>
          </w:p>
        </w:tc>
        <w:tc>
          <w:tcPr>
            <w:tcW w:w="1210" w:type="dxa"/>
            <w:tcBorders>
              <w:bottom w:val="single" w:sz="12" w:space="0" w:color="000000"/>
            </w:tcBorders>
            <w:shd w:fill="CCEEFF" w:val="clear"/>
            <w:tcMar>
              <w:bottom w:w="28" w:type="dxa"/>
            </w:tcMar>
            <w:vAlign w:val="center"/>
          </w:tcPr>
          <w:p>
            <w:pPr>
              <w:pStyle w:val="TableContents"/>
              <w:spacing w:before="0" w:after="283"/>
              <w:jc w:val="right"/>
              <w:rPr/>
            </w:pPr>
            <w:r>
              <w:rPr/>
              <w:t>955,240</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61" w:type="dxa"/>
            <w:tcBorders>
              <w:bottom w:val="single" w:sz="12" w:space="0" w:color="000000"/>
            </w:tcBorders>
            <w:shd w:fill="CCEEFF" w:val="clear"/>
            <w:tcMar>
              <w:bottom w:w="28" w:type="dxa"/>
            </w:tcMar>
            <w:vAlign w:val="center"/>
          </w:tcPr>
          <w:p>
            <w:pPr>
              <w:pStyle w:val="TableContents"/>
              <w:spacing w:before="0" w:after="283"/>
              <w:jc w:val="left"/>
              <w:rPr/>
            </w:pPr>
            <w:r>
              <w:rPr/>
              <w:t> </w:t>
            </w:r>
          </w:p>
        </w:tc>
        <w:tc>
          <w:tcPr>
            <w:tcW w:w="1229" w:type="dxa"/>
            <w:tcBorders>
              <w:bottom w:val="single" w:sz="12" w:space="0" w:color="000000"/>
            </w:tcBorders>
            <w:shd w:fill="CCEEFF" w:val="clear"/>
            <w:tcMar>
              <w:bottom w:w="28" w:type="dxa"/>
            </w:tcMar>
            <w:vAlign w:val="center"/>
          </w:tcPr>
          <w:p>
            <w:pPr>
              <w:pStyle w:val="TableContents"/>
              <w:spacing w:before="0" w:after="283"/>
              <w:jc w:val="right"/>
              <w:rPr/>
            </w:pPr>
            <w:r>
              <w:rPr/>
              <w:t>955,240</w:t>
            </w:r>
          </w:p>
        </w:tc>
        <w:tc>
          <w:tcPr>
            <w:tcW w:w="111" w:type="dxa"/>
            <w:tcBorders/>
            <w:shd w:fill="CCEEFF" w:val="clear"/>
            <w:vAlign w:val="center"/>
          </w:tcPr>
          <w:p>
            <w:pPr>
              <w:pStyle w:val="TableContents"/>
              <w:spacing w:before="0" w:after="283"/>
              <w:ind w:left="0" w:right="0" w:hanging="180"/>
              <w:jc w:val="left"/>
              <w:rPr/>
            </w:pPr>
            <w:r>
              <w:rPr/>
              <w:t> </w:t>
            </w:r>
          </w:p>
        </w:tc>
      </w:tr>
      <w:tr>
        <w:trPr/>
        <w:tc>
          <w:tcPr>
            <w:tcW w:w="3759"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jc w:val="left"/>
              <w:rPr/>
            </w:pPr>
            <w:r>
              <w:rPr/>
              <w:t> </w:t>
            </w:r>
          </w:p>
        </w:tc>
        <w:tc>
          <w:tcPr>
            <w:tcW w:w="980"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231" w:type="dxa"/>
            <w:tcBorders/>
            <w:shd w:fill="auto" w:val="clear"/>
            <w:vAlign w:val="center"/>
          </w:tcPr>
          <w:p>
            <w:pPr>
              <w:pStyle w:val="TableContents"/>
              <w:spacing w:before="0" w:after="283"/>
              <w:jc w:val="left"/>
              <w:rPr/>
            </w:pPr>
            <w:r>
              <w:rPr/>
              <w:t> </w:t>
            </w:r>
          </w:p>
        </w:tc>
        <w:tc>
          <w:tcPr>
            <w:tcW w:w="629"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385" w:type="dxa"/>
            <w:tcBorders/>
            <w:shd w:fill="auto" w:val="clear"/>
            <w:vAlign w:val="center"/>
          </w:tcPr>
          <w:p>
            <w:pPr>
              <w:pStyle w:val="TableContents"/>
              <w:spacing w:before="0" w:after="283"/>
              <w:jc w:val="left"/>
              <w:rPr/>
            </w:pPr>
            <w:r>
              <w:rPr/>
              <w:t> </w:t>
            </w:r>
          </w:p>
        </w:tc>
        <w:tc>
          <w:tcPr>
            <w:tcW w:w="715"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60" w:type="dxa"/>
            <w:tcBorders/>
            <w:shd w:fill="auto" w:val="clear"/>
            <w:vAlign w:val="center"/>
          </w:tcPr>
          <w:p>
            <w:pPr>
              <w:pStyle w:val="TableContents"/>
              <w:spacing w:before="0" w:after="283"/>
              <w:jc w:val="left"/>
              <w:rPr/>
            </w:pPr>
            <w:r>
              <w:rPr/>
              <w:t> </w:t>
            </w:r>
          </w:p>
        </w:tc>
        <w:tc>
          <w:tcPr>
            <w:tcW w:w="1210" w:type="dxa"/>
            <w:tcBorders/>
            <w:shd w:fill="auto" w:val="clear"/>
            <w:vAlign w:val="center"/>
          </w:tcPr>
          <w:p>
            <w:pPr>
              <w:pStyle w:val="TableContents"/>
              <w:spacing w:before="0" w:after="283"/>
              <w:jc w:val="right"/>
              <w:rPr/>
            </w:pPr>
            <w:r>
              <w:rPr/>
              <w:t> </w:t>
            </w:r>
          </w:p>
        </w:tc>
        <w:tc>
          <w:tcPr>
            <w:tcW w:w="95"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61" w:type="dxa"/>
            <w:tcBorders/>
            <w:shd w:fill="auto" w:val="clear"/>
            <w:vAlign w:val="center"/>
          </w:tcPr>
          <w:p>
            <w:pPr>
              <w:pStyle w:val="TableContents"/>
              <w:spacing w:before="0" w:after="283"/>
              <w:jc w:val="left"/>
              <w:rPr/>
            </w:pPr>
            <w:r>
              <w:rPr/>
              <w:t> </w:t>
            </w:r>
          </w:p>
        </w:tc>
        <w:tc>
          <w:tcPr>
            <w:tcW w:w="1229" w:type="dxa"/>
            <w:tcBorders/>
            <w:shd w:fill="auto" w:val="clear"/>
            <w:vAlign w:val="center"/>
          </w:tcPr>
          <w:p>
            <w:pPr>
              <w:pStyle w:val="TableContents"/>
              <w:spacing w:before="0" w:after="283"/>
              <w:jc w:val="right"/>
              <w:rPr/>
            </w:pPr>
            <w:r>
              <w:rPr/>
              <w:t> </w:t>
            </w:r>
          </w:p>
        </w:tc>
        <w:tc>
          <w:tcPr>
            <w:tcW w:w="111" w:type="dxa"/>
            <w:tcBorders/>
            <w:shd w:fill="auto" w:val="clear"/>
            <w:vAlign w:val="center"/>
          </w:tcPr>
          <w:p>
            <w:pPr>
              <w:pStyle w:val="TableContents"/>
              <w:spacing w:before="0" w:after="283"/>
              <w:ind w:left="0" w:right="0" w:hanging="180"/>
              <w:jc w:val="left"/>
              <w:rPr/>
            </w:pPr>
            <w:r>
              <w:rPr/>
              <w:t> </w:t>
            </w:r>
          </w:p>
        </w:tc>
      </w:tr>
      <w:tr>
        <w:trPr/>
        <w:tc>
          <w:tcPr>
            <w:tcW w:w="3759" w:type="dxa"/>
            <w:tcBorders/>
            <w:shd w:fill="CCEEFF" w:val="clear"/>
            <w:vAlign w:val="center"/>
          </w:tcPr>
          <w:p>
            <w:pPr>
              <w:pStyle w:val="TableContents"/>
              <w:spacing w:before="0" w:after="283"/>
              <w:rPr>
                <w:b/>
              </w:rPr>
            </w:pPr>
            <w:r>
              <w:rPr>
                <w:b/>
              </w:rPr>
              <w:t>Balance – March 31, 2022</w:t>
            </w:r>
          </w:p>
        </w:tc>
        <w:tc>
          <w:tcPr>
            <w:tcW w:w="60" w:type="dxa"/>
            <w:tcBorders/>
            <w:shd w:fill="CCEEFF" w:val="clear"/>
            <w:vAlign w:val="center"/>
          </w:tcPr>
          <w:p>
            <w:pPr>
              <w:pStyle w:val="TableContents"/>
              <w:spacing w:before="0" w:after="283"/>
              <w:rPr/>
            </w:pPr>
            <w:r>
              <w:rPr/>
              <w:t> </w:t>
            </w:r>
          </w:p>
        </w:tc>
        <w:tc>
          <w:tcPr>
            <w:tcW w:w="60" w:type="dxa"/>
            <w:tcBorders>
              <w:bottom w:val="double" w:sz="10" w:space="0" w:color="000000"/>
            </w:tcBorders>
            <w:shd w:fill="CCEEFF" w:val="clear"/>
            <w:tcMar>
              <w:bottom w:w="28" w:type="dxa"/>
            </w:tcMar>
            <w:vAlign w:val="center"/>
          </w:tcPr>
          <w:p>
            <w:pPr>
              <w:pStyle w:val="TableContents"/>
              <w:spacing w:before="0" w:after="283"/>
              <w:jc w:val="left"/>
              <w:rPr/>
            </w:pPr>
            <w:r>
              <w:rPr/>
              <w:t> </w:t>
            </w:r>
          </w:p>
        </w:tc>
        <w:tc>
          <w:tcPr>
            <w:tcW w:w="980" w:type="dxa"/>
            <w:tcBorders>
              <w:bottom w:val="double" w:sz="10" w:space="0" w:color="000000"/>
            </w:tcBorders>
            <w:shd w:fill="CCEEFF" w:val="clear"/>
            <w:tcMar>
              <w:bottom w:w="28" w:type="dxa"/>
            </w:tcMar>
            <w:vAlign w:val="center"/>
          </w:tcPr>
          <w:p>
            <w:pPr>
              <w:pStyle w:val="TableContents"/>
              <w:spacing w:before="0" w:after="283"/>
              <w:jc w:val="right"/>
              <w:rPr>
                <w:b/>
              </w:rPr>
            </w:pPr>
            <w:r>
              <w:rPr>
                <w:b/>
              </w:rPr>
              <w:t>4,312,500</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231" w:type="dxa"/>
            <w:tcBorders>
              <w:bottom w:val="double" w:sz="10" w:space="0" w:color="000000"/>
            </w:tcBorders>
            <w:shd w:fill="CCEEFF" w:val="clear"/>
            <w:tcMar>
              <w:bottom w:w="28" w:type="dxa"/>
            </w:tcMar>
            <w:vAlign w:val="center"/>
          </w:tcPr>
          <w:p>
            <w:pPr>
              <w:pStyle w:val="TableContents"/>
              <w:spacing w:before="0" w:after="283"/>
              <w:jc w:val="left"/>
              <w:rPr>
                <w:b/>
              </w:rPr>
            </w:pPr>
            <w:r>
              <w:rPr>
                <w:b/>
              </w:rPr>
              <w:t>$</w:t>
            </w:r>
          </w:p>
        </w:tc>
        <w:tc>
          <w:tcPr>
            <w:tcW w:w="629" w:type="dxa"/>
            <w:tcBorders>
              <w:bottom w:val="double" w:sz="10" w:space="0" w:color="000000"/>
            </w:tcBorders>
            <w:shd w:fill="CCEEFF" w:val="clear"/>
            <w:tcMar>
              <w:bottom w:w="28" w:type="dxa"/>
            </w:tcMar>
            <w:vAlign w:val="center"/>
          </w:tcPr>
          <w:p>
            <w:pPr>
              <w:pStyle w:val="TableContents"/>
              <w:spacing w:before="0" w:after="283"/>
              <w:jc w:val="right"/>
              <w:rPr>
                <w:b/>
              </w:rPr>
            </w:pPr>
            <w:r>
              <w:rPr>
                <w:b/>
              </w:rPr>
              <w:t>431</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385" w:type="dxa"/>
            <w:tcBorders>
              <w:bottom w:val="double" w:sz="10" w:space="0" w:color="000000"/>
            </w:tcBorders>
            <w:shd w:fill="CCEEFF" w:val="clear"/>
            <w:tcMar>
              <w:bottom w:w="28" w:type="dxa"/>
            </w:tcMar>
            <w:vAlign w:val="center"/>
          </w:tcPr>
          <w:p>
            <w:pPr>
              <w:pStyle w:val="TableContents"/>
              <w:spacing w:before="0" w:after="283"/>
              <w:jc w:val="left"/>
              <w:rPr/>
            </w:pPr>
            <w:r>
              <w:rPr/>
              <w:t>$</w:t>
            </w:r>
          </w:p>
        </w:tc>
        <w:tc>
          <w:tcPr>
            <w:tcW w:w="715" w:type="dxa"/>
            <w:tcBorders>
              <w:bottom w:val="double" w:sz="10" w:space="0" w:color="000000"/>
            </w:tcBorders>
            <w:shd w:fill="CCEEFF" w:val="clear"/>
            <w:tcMar>
              <w:bottom w:w="28" w:type="dxa"/>
            </w:tcMar>
            <w:vAlign w:val="center"/>
          </w:tcPr>
          <w:p>
            <w:pPr>
              <w:pStyle w:val="TableContents"/>
              <w:spacing w:before="0" w:after="0"/>
              <w:jc w:val="right"/>
              <w:rPr/>
            </w:pPr>
            <w:r>
              <w:rPr/>
              <w:t>—</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60" w:type="dxa"/>
            <w:tcBorders>
              <w:bottom w:val="double" w:sz="10" w:space="0" w:color="000000"/>
            </w:tcBorders>
            <w:shd w:fill="CCEEFF" w:val="clear"/>
            <w:tcMar>
              <w:bottom w:w="28" w:type="dxa"/>
            </w:tcMar>
            <w:vAlign w:val="center"/>
          </w:tcPr>
          <w:p>
            <w:pPr>
              <w:pStyle w:val="TableContents"/>
              <w:spacing w:before="0" w:after="283"/>
              <w:jc w:val="left"/>
              <w:rPr>
                <w:b/>
              </w:rPr>
            </w:pPr>
            <w:r>
              <w:rPr>
                <w:b/>
              </w:rPr>
              <w:t>$</w:t>
            </w:r>
          </w:p>
        </w:tc>
        <w:tc>
          <w:tcPr>
            <w:tcW w:w="1210" w:type="dxa"/>
            <w:tcBorders>
              <w:bottom w:val="double" w:sz="10" w:space="0" w:color="000000"/>
            </w:tcBorders>
            <w:shd w:fill="CCEEFF" w:val="clear"/>
            <w:tcMar>
              <w:bottom w:w="28" w:type="dxa"/>
            </w:tcMar>
            <w:vAlign w:val="center"/>
          </w:tcPr>
          <w:p>
            <w:pPr>
              <w:pStyle w:val="TableContents"/>
              <w:spacing w:before="0" w:after="283"/>
              <w:jc w:val="right"/>
              <w:rPr>
                <w:b/>
              </w:rPr>
            </w:pPr>
            <w:r>
              <w:rPr>
                <w:b/>
              </w:rPr>
              <w:t>(3,961,522</w:t>
            </w:r>
          </w:p>
        </w:tc>
        <w:tc>
          <w:tcPr>
            <w:tcW w:w="95" w:type="dxa"/>
            <w:tcBorders/>
            <w:shd w:fill="CCEEFF" w:val="clear"/>
            <w:vAlign w:val="center"/>
          </w:tcPr>
          <w:p>
            <w:pPr>
              <w:pStyle w:val="TableContents"/>
              <w:spacing w:before="0" w:after="283"/>
              <w:jc w:val="left"/>
              <w:rPr>
                <w:b/>
              </w:rPr>
            </w:pPr>
            <w:r>
              <w:rPr>
                <w:b/>
              </w:rPr>
              <w:t>)</w:t>
            </w:r>
          </w:p>
        </w:tc>
        <w:tc>
          <w:tcPr>
            <w:tcW w:w="60" w:type="dxa"/>
            <w:tcBorders/>
            <w:shd w:fill="CCEEFF" w:val="clear"/>
            <w:vAlign w:val="center"/>
          </w:tcPr>
          <w:p>
            <w:pPr>
              <w:pStyle w:val="TableContents"/>
              <w:spacing w:before="0" w:after="283"/>
              <w:rPr/>
            </w:pPr>
            <w:r>
              <w:rPr/>
              <w:t> </w:t>
            </w:r>
          </w:p>
        </w:tc>
        <w:tc>
          <w:tcPr>
            <w:tcW w:w="161" w:type="dxa"/>
            <w:tcBorders>
              <w:bottom w:val="double" w:sz="10" w:space="0" w:color="000000"/>
            </w:tcBorders>
            <w:shd w:fill="CCEEFF" w:val="clear"/>
            <w:tcMar>
              <w:bottom w:w="28" w:type="dxa"/>
            </w:tcMar>
            <w:vAlign w:val="center"/>
          </w:tcPr>
          <w:p>
            <w:pPr>
              <w:pStyle w:val="TableContents"/>
              <w:spacing w:before="0" w:after="283"/>
              <w:jc w:val="left"/>
              <w:rPr>
                <w:b/>
              </w:rPr>
            </w:pPr>
            <w:r>
              <w:rPr>
                <w:b/>
              </w:rPr>
              <w:t>$</w:t>
            </w:r>
          </w:p>
        </w:tc>
        <w:tc>
          <w:tcPr>
            <w:tcW w:w="1229" w:type="dxa"/>
            <w:tcBorders>
              <w:bottom w:val="double" w:sz="10" w:space="0" w:color="000000"/>
            </w:tcBorders>
            <w:shd w:fill="CCEEFF" w:val="clear"/>
            <w:tcMar>
              <w:bottom w:w="28" w:type="dxa"/>
            </w:tcMar>
            <w:vAlign w:val="center"/>
          </w:tcPr>
          <w:p>
            <w:pPr>
              <w:pStyle w:val="TableContents"/>
              <w:spacing w:before="0" w:after="283"/>
              <w:jc w:val="right"/>
              <w:rPr>
                <w:b/>
              </w:rPr>
            </w:pPr>
            <w:r>
              <w:rPr>
                <w:b/>
              </w:rPr>
              <w:t>(3,961,091</w:t>
            </w:r>
          </w:p>
        </w:tc>
        <w:tc>
          <w:tcPr>
            <w:tcW w:w="111" w:type="dxa"/>
            <w:tcBorders/>
            <w:shd w:fill="CCEEFF" w:val="clear"/>
            <w:vAlign w:val="center"/>
          </w:tcPr>
          <w:p>
            <w:pPr>
              <w:pStyle w:val="TableContents"/>
              <w:spacing w:before="0" w:after="283"/>
              <w:jc w:val="left"/>
              <w:rPr>
                <w:b/>
              </w:rPr>
            </w:pPr>
            <w:r>
              <w:rPr>
                <w:b/>
              </w:rPr>
              <w:t>)</w:t>
            </w:r>
          </w:p>
        </w:tc>
      </w:tr>
    </w:tbl>
    <w:p>
      <w:pPr>
        <w:pStyle w:val="TextBody"/>
        <w:spacing w:before="0" w:after="0"/>
        <w:ind w:left="0" w:right="0" w:hanging="0"/>
        <w:jc w:val="both"/>
        <w:rPr>
          <w:caps w:val="false"/>
          <w:smallCaps w:val="false"/>
        </w:rPr>
      </w:pPr>
      <w:r>
        <w:rPr>
          <w:caps w:val="false"/>
          <w:smallCaps w:val="false"/>
        </w:rPr>
        <w:t> </w:t>
      </w:r>
    </w:p>
    <w:p>
      <w:pPr>
        <w:pStyle w:val="TextBody"/>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THREE MONTHS ENDED MARCH 31, 2021</w:t>
      </w:r>
    </w:p>
    <w:p>
      <w:pPr>
        <w:pStyle w:val="TextBody"/>
        <w:spacing w:before="0" w:after="0"/>
        <w:ind w:left="0" w:right="0" w:hanging="0"/>
        <w:jc w:val="both"/>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3635"/>
        <w:gridCol w:w="60"/>
        <w:gridCol w:w="60"/>
        <w:gridCol w:w="980"/>
        <w:gridCol w:w="60"/>
        <w:gridCol w:w="60"/>
        <w:gridCol w:w="231"/>
        <w:gridCol w:w="629"/>
        <w:gridCol w:w="60"/>
        <w:gridCol w:w="60"/>
        <w:gridCol w:w="140"/>
        <w:gridCol w:w="1055"/>
        <w:gridCol w:w="95"/>
        <w:gridCol w:w="60"/>
        <w:gridCol w:w="160"/>
        <w:gridCol w:w="1210"/>
        <w:gridCol w:w="95"/>
        <w:gridCol w:w="60"/>
        <w:gridCol w:w="160"/>
        <w:gridCol w:w="1223"/>
        <w:gridCol w:w="112"/>
      </w:tblGrid>
      <w:tr>
        <w:trPr/>
        <w:tc>
          <w:tcPr>
            <w:tcW w:w="363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020" w:type="dxa"/>
            <w:gridSpan w:val="6"/>
            <w:tcBorders>
              <w:bottom w:val="single" w:sz="12" w:space="0" w:color="000000"/>
            </w:tcBorders>
            <w:shd w:fill="auto" w:val="clear"/>
            <w:tcMar>
              <w:bottom w:w="28" w:type="dxa"/>
            </w:tcMar>
            <w:vAlign w:val="center"/>
          </w:tcPr>
          <w:p>
            <w:pPr>
              <w:pStyle w:val="TableContents"/>
              <w:spacing w:before="0" w:after="283"/>
              <w:jc w:val="center"/>
              <w:rPr>
                <w:b/>
              </w:rPr>
            </w:pPr>
            <w:r>
              <w:rPr>
                <w:b/>
              </w:rPr>
              <w:t>Common Stock</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95" w:type="dxa"/>
            <w:gridSpan w:val="2"/>
            <w:tcBorders>
              <w:bottom w:val="single" w:sz="12" w:space="0" w:color="000000"/>
            </w:tcBorders>
            <w:shd w:fill="auto" w:val="clear"/>
            <w:tcMar>
              <w:bottom w:w="28" w:type="dxa"/>
            </w:tcMar>
            <w:vAlign w:val="center"/>
          </w:tcPr>
          <w:p>
            <w:pPr>
              <w:pStyle w:val="TableContents"/>
              <w:spacing w:before="0" w:after="283"/>
              <w:jc w:val="center"/>
              <w:rPr>
                <w:b/>
              </w:rPr>
            </w:pPr>
            <w:r>
              <w:rPr>
                <w:b/>
              </w:rPr>
              <w:t>Additional</w:t>
              <w:br/>
              <w:t>Paid-in</w:t>
            </w:r>
          </w:p>
        </w:tc>
        <w:tc>
          <w:tcPr>
            <w:tcW w:w="9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370" w:type="dxa"/>
            <w:gridSpan w:val="2"/>
            <w:tcBorders>
              <w:bottom w:val="single" w:sz="12" w:space="0" w:color="000000"/>
            </w:tcBorders>
            <w:shd w:fill="auto" w:val="clear"/>
            <w:tcMar>
              <w:bottom w:w="28" w:type="dxa"/>
            </w:tcMar>
            <w:vAlign w:val="center"/>
          </w:tcPr>
          <w:p>
            <w:pPr>
              <w:pStyle w:val="TableContents"/>
              <w:spacing w:before="0" w:after="283"/>
              <w:jc w:val="center"/>
              <w:rPr>
                <w:b/>
              </w:rPr>
            </w:pPr>
            <w:r>
              <w:rPr>
                <w:b/>
              </w:rPr>
              <w:t>Accumulated</w:t>
            </w:r>
          </w:p>
        </w:tc>
        <w:tc>
          <w:tcPr>
            <w:tcW w:w="9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383" w:type="dxa"/>
            <w:gridSpan w:val="2"/>
            <w:tcBorders>
              <w:bottom w:val="single" w:sz="12" w:space="0" w:color="000000"/>
            </w:tcBorders>
            <w:shd w:fill="auto" w:val="clear"/>
            <w:tcMar>
              <w:bottom w:w="28" w:type="dxa"/>
            </w:tcMar>
            <w:vAlign w:val="center"/>
          </w:tcPr>
          <w:p>
            <w:pPr>
              <w:pStyle w:val="TableContents"/>
              <w:spacing w:before="0" w:after="283"/>
              <w:jc w:val="center"/>
              <w:rPr>
                <w:b/>
              </w:rPr>
            </w:pPr>
            <w:r>
              <w:rPr>
                <w:b/>
              </w:rPr>
              <w:t>Total</w:t>
              <w:br/>
              <w:t>Stockholders’</w:t>
            </w:r>
          </w:p>
        </w:tc>
        <w:tc>
          <w:tcPr>
            <w:tcW w:w="112" w:type="dxa"/>
            <w:tcBorders/>
            <w:shd w:fill="auto" w:val="clear"/>
            <w:vAlign w:val="center"/>
          </w:tcPr>
          <w:p>
            <w:pPr>
              <w:pStyle w:val="TableContents"/>
              <w:spacing w:before="0" w:after="283"/>
              <w:rPr/>
            </w:pPr>
            <w:r>
              <w:rPr/>
              <w:t> </w:t>
            </w:r>
          </w:p>
        </w:tc>
      </w:tr>
      <w:tr>
        <w:trPr/>
        <w:tc>
          <w:tcPr>
            <w:tcW w:w="363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040" w:type="dxa"/>
            <w:gridSpan w:val="2"/>
            <w:tcBorders>
              <w:bottom w:val="single" w:sz="12" w:space="0" w:color="000000"/>
            </w:tcBorders>
            <w:shd w:fill="auto" w:val="clear"/>
            <w:tcMar>
              <w:bottom w:w="28" w:type="dxa"/>
            </w:tcMar>
            <w:vAlign w:val="center"/>
          </w:tcPr>
          <w:p>
            <w:pPr>
              <w:pStyle w:val="TableContents"/>
              <w:spacing w:before="0" w:after="283"/>
              <w:jc w:val="center"/>
              <w:rPr>
                <w:b/>
              </w:rPr>
            </w:pPr>
            <w:r>
              <w:rPr>
                <w:b/>
              </w:rPr>
              <w:t>Shares</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60" w:type="dxa"/>
            <w:gridSpan w:val="2"/>
            <w:tcBorders>
              <w:bottom w:val="single" w:sz="12" w:space="0" w:color="000000"/>
            </w:tcBorders>
            <w:shd w:fill="auto" w:val="clear"/>
            <w:tcMar>
              <w:bottom w:w="28" w:type="dxa"/>
            </w:tcMar>
            <w:vAlign w:val="center"/>
          </w:tcPr>
          <w:p>
            <w:pPr>
              <w:pStyle w:val="TableContents"/>
              <w:spacing w:before="0" w:after="283"/>
              <w:jc w:val="center"/>
              <w:rPr>
                <w:b/>
              </w:rPr>
            </w:pPr>
            <w:r>
              <w:rPr>
                <w:b/>
              </w:rPr>
              <w:t>Amount</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95" w:type="dxa"/>
            <w:gridSpan w:val="2"/>
            <w:tcBorders>
              <w:bottom w:val="single" w:sz="12" w:space="0" w:color="000000"/>
            </w:tcBorders>
            <w:shd w:fill="auto" w:val="clear"/>
            <w:tcMar>
              <w:bottom w:w="28" w:type="dxa"/>
            </w:tcMar>
            <w:vAlign w:val="center"/>
          </w:tcPr>
          <w:p>
            <w:pPr>
              <w:pStyle w:val="TableContents"/>
              <w:spacing w:before="0" w:after="283"/>
              <w:jc w:val="center"/>
              <w:rPr>
                <w:b/>
              </w:rPr>
            </w:pPr>
            <w:r>
              <w:rPr>
                <w:b/>
              </w:rPr>
              <w:t>Capital</w:t>
            </w:r>
          </w:p>
        </w:tc>
        <w:tc>
          <w:tcPr>
            <w:tcW w:w="9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370" w:type="dxa"/>
            <w:gridSpan w:val="2"/>
            <w:tcBorders>
              <w:bottom w:val="single" w:sz="12" w:space="0" w:color="000000"/>
            </w:tcBorders>
            <w:shd w:fill="auto" w:val="clear"/>
            <w:tcMar>
              <w:bottom w:w="28" w:type="dxa"/>
            </w:tcMar>
            <w:vAlign w:val="center"/>
          </w:tcPr>
          <w:p>
            <w:pPr>
              <w:pStyle w:val="TableContents"/>
              <w:spacing w:before="0" w:after="283"/>
              <w:jc w:val="center"/>
              <w:rPr>
                <w:b/>
              </w:rPr>
            </w:pPr>
            <w:r>
              <w:rPr>
                <w:b/>
              </w:rPr>
              <w:t>Deficit</w:t>
            </w:r>
          </w:p>
        </w:tc>
        <w:tc>
          <w:tcPr>
            <w:tcW w:w="9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383" w:type="dxa"/>
            <w:gridSpan w:val="2"/>
            <w:tcBorders>
              <w:bottom w:val="single" w:sz="12" w:space="0" w:color="000000"/>
            </w:tcBorders>
            <w:shd w:fill="auto" w:val="clear"/>
            <w:tcMar>
              <w:bottom w:w="28" w:type="dxa"/>
            </w:tcMar>
            <w:vAlign w:val="center"/>
          </w:tcPr>
          <w:p>
            <w:pPr>
              <w:pStyle w:val="TableContents"/>
              <w:spacing w:before="0" w:after="283"/>
              <w:jc w:val="center"/>
              <w:rPr>
                <w:b/>
              </w:rPr>
            </w:pPr>
            <w:r>
              <w:rPr>
                <w:b/>
              </w:rPr>
              <w:t>Deficit</w:t>
            </w:r>
          </w:p>
        </w:tc>
        <w:tc>
          <w:tcPr>
            <w:tcW w:w="112" w:type="dxa"/>
            <w:tcBorders/>
            <w:shd w:fill="auto" w:val="clear"/>
            <w:vAlign w:val="center"/>
          </w:tcPr>
          <w:p>
            <w:pPr>
              <w:pStyle w:val="TableContents"/>
              <w:spacing w:before="0" w:after="283"/>
              <w:ind w:left="0" w:right="0" w:hanging="180"/>
              <w:rPr/>
            </w:pPr>
            <w:r>
              <w:rPr/>
              <w:t> </w:t>
            </w:r>
          </w:p>
        </w:tc>
      </w:tr>
      <w:tr>
        <w:trPr/>
        <w:tc>
          <w:tcPr>
            <w:tcW w:w="3635" w:type="dxa"/>
            <w:tcBorders/>
            <w:shd w:fill="CCEEFF" w:val="clear"/>
            <w:vAlign w:val="center"/>
          </w:tcPr>
          <w:p>
            <w:pPr>
              <w:pStyle w:val="TableContents"/>
              <w:spacing w:before="0" w:after="283"/>
              <w:rPr>
                <w:b/>
              </w:rPr>
            </w:pPr>
            <w:r>
              <w:rPr>
                <w:b/>
              </w:rPr>
              <w:t>Balance – January 1, 2021</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jc w:val="left"/>
              <w:rPr/>
            </w:pPr>
            <w:r>
              <w:rPr/>
              <w:t> </w:t>
            </w:r>
          </w:p>
        </w:tc>
        <w:tc>
          <w:tcPr>
            <w:tcW w:w="980" w:type="dxa"/>
            <w:tcBorders/>
            <w:shd w:fill="CCEEFF" w:val="clear"/>
            <w:vAlign w:val="center"/>
          </w:tcPr>
          <w:p>
            <w:pPr>
              <w:pStyle w:val="TableContents"/>
              <w:spacing w:before="0" w:after="283"/>
              <w:jc w:val="right"/>
              <w:rPr>
                <w:b/>
              </w:rPr>
            </w:pPr>
            <w:r>
              <w:rPr>
                <w:b/>
              </w:rPr>
              <w:t>4,312,500</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231" w:type="dxa"/>
            <w:tcBorders/>
            <w:shd w:fill="CCEEFF" w:val="clear"/>
            <w:vAlign w:val="center"/>
          </w:tcPr>
          <w:p>
            <w:pPr>
              <w:pStyle w:val="TableContents"/>
              <w:spacing w:before="0" w:after="283"/>
              <w:jc w:val="left"/>
              <w:rPr>
                <w:b/>
              </w:rPr>
            </w:pPr>
            <w:r>
              <w:rPr>
                <w:b/>
              </w:rPr>
              <w:t>$</w:t>
            </w:r>
          </w:p>
        </w:tc>
        <w:tc>
          <w:tcPr>
            <w:tcW w:w="629" w:type="dxa"/>
            <w:tcBorders/>
            <w:shd w:fill="CCEEFF" w:val="clear"/>
            <w:vAlign w:val="center"/>
          </w:tcPr>
          <w:p>
            <w:pPr>
              <w:pStyle w:val="TableContents"/>
              <w:spacing w:before="0" w:after="283"/>
              <w:jc w:val="right"/>
              <w:rPr>
                <w:b/>
              </w:rPr>
            </w:pPr>
            <w:r>
              <w:rPr>
                <w:b/>
              </w:rPr>
              <w:t>431</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w:t>
            </w:r>
          </w:p>
        </w:tc>
        <w:tc>
          <w:tcPr>
            <w:tcW w:w="1055" w:type="dxa"/>
            <w:tcBorders/>
            <w:shd w:fill="CCEEFF" w:val="clear"/>
            <w:vAlign w:val="center"/>
          </w:tcPr>
          <w:p>
            <w:pPr>
              <w:pStyle w:val="TableContents"/>
              <w:spacing w:before="0" w:after="0"/>
              <w:jc w:val="right"/>
              <w:rPr/>
            </w:pPr>
            <w:r>
              <w:rPr/>
              <w:t>—</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60" w:type="dxa"/>
            <w:tcBorders/>
            <w:shd w:fill="CCEEFF" w:val="clear"/>
            <w:vAlign w:val="center"/>
          </w:tcPr>
          <w:p>
            <w:pPr>
              <w:pStyle w:val="TableContents"/>
              <w:spacing w:before="0" w:after="283"/>
              <w:jc w:val="left"/>
              <w:rPr>
                <w:b/>
              </w:rPr>
            </w:pPr>
            <w:r>
              <w:rPr>
                <w:b/>
              </w:rPr>
              <w:t>$</w:t>
            </w:r>
          </w:p>
        </w:tc>
        <w:tc>
          <w:tcPr>
            <w:tcW w:w="1210" w:type="dxa"/>
            <w:tcBorders/>
            <w:shd w:fill="CCEEFF" w:val="clear"/>
            <w:vAlign w:val="center"/>
          </w:tcPr>
          <w:p>
            <w:pPr>
              <w:pStyle w:val="TableContents"/>
              <w:spacing w:before="0" w:after="283"/>
              <w:jc w:val="right"/>
              <w:rPr>
                <w:b/>
              </w:rPr>
            </w:pPr>
            <w:r>
              <w:rPr>
                <w:b/>
              </w:rPr>
              <w:t>(6,358,106</w:t>
            </w:r>
          </w:p>
        </w:tc>
        <w:tc>
          <w:tcPr>
            <w:tcW w:w="95" w:type="dxa"/>
            <w:tcBorders/>
            <w:shd w:fill="CCEEFF" w:val="clear"/>
            <w:vAlign w:val="center"/>
          </w:tcPr>
          <w:p>
            <w:pPr>
              <w:pStyle w:val="TableContents"/>
              <w:spacing w:before="0" w:after="283"/>
              <w:jc w:val="left"/>
              <w:rPr>
                <w:b/>
              </w:rPr>
            </w:pPr>
            <w:r>
              <w:rPr>
                <w:b/>
              </w:rPr>
              <w:t>)</w:t>
            </w:r>
          </w:p>
        </w:tc>
        <w:tc>
          <w:tcPr>
            <w:tcW w:w="60" w:type="dxa"/>
            <w:tcBorders/>
            <w:shd w:fill="CCEEFF" w:val="clear"/>
            <w:vAlign w:val="center"/>
          </w:tcPr>
          <w:p>
            <w:pPr>
              <w:pStyle w:val="TableContents"/>
              <w:spacing w:before="0" w:after="283"/>
              <w:rPr/>
            </w:pPr>
            <w:r>
              <w:rPr/>
              <w:t> </w:t>
            </w:r>
          </w:p>
        </w:tc>
        <w:tc>
          <w:tcPr>
            <w:tcW w:w="160" w:type="dxa"/>
            <w:tcBorders/>
            <w:shd w:fill="CCEEFF" w:val="clear"/>
            <w:vAlign w:val="center"/>
          </w:tcPr>
          <w:p>
            <w:pPr>
              <w:pStyle w:val="TableContents"/>
              <w:spacing w:before="0" w:after="283"/>
              <w:jc w:val="left"/>
              <w:rPr>
                <w:b/>
              </w:rPr>
            </w:pPr>
            <w:r>
              <w:rPr>
                <w:b/>
              </w:rPr>
              <w:t>$</w:t>
            </w:r>
          </w:p>
        </w:tc>
        <w:tc>
          <w:tcPr>
            <w:tcW w:w="1223" w:type="dxa"/>
            <w:tcBorders/>
            <w:shd w:fill="CCEEFF" w:val="clear"/>
            <w:vAlign w:val="center"/>
          </w:tcPr>
          <w:p>
            <w:pPr>
              <w:pStyle w:val="TableContents"/>
              <w:spacing w:before="0" w:after="283"/>
              <w:jc w:val="right"/>
              <w:rPr>
                <w:b/>
              </w:rPr>
            </w:pPr>
            <w:r>
              <w:rPr>
                <w:b/>
              </w:rPr>
              <w:t>(6,357,675</w:t>
            </w:r>
          </w:p>
        </w:tc>
        <w:tc>
          <w:tcPr>
            <w:tcW w:w="112" w:type="dxa"/>
            <w:tcBorders/>
            <w:shd w:fill="CCEEFF" w:val="clear"/>
            <w:vAlign w:val="center"/>
          </w:tcPr>
          <w:p>
            <w:pPr>
              <w:pStyle w:val="TableContents"/>
              <w:spacing w:before="0" w:after="283"/>
              <w:ind w:left="0" w:right="0" w:hanging="180"/>
              <w:jc w:val="left"/>
              <w:rPr>
                <w:b/>
              </w:rPr>
            </w:pPr>
            <w:r>
              <w:rPr>
                <w:b/>
              </w:rPr>
              <w:t>)</w:t>
            </w:r>
          </w:p>
        </w:tc>
      </w:tr>
      <w:tr>
        <w:trPr/>
        <w:tc>
          <w:tcPr>
            <w:tcW w:w="363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jc w:val="left"/>
              <w:rPr/>
            </w:pPr>
            <w:r>
              <w:rPr/>
              <w:t> </w:t>
            </w:r>
          </w:p>
        </w:tc>
        <w:tc>
          <w:tcPr>
            <w:tcW w:w="980"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231" w:type="dxa"/>
            <w:tcBorders/>
            <w:shd w:fill="auto" w:val="clear"/>
            <w:vAlign w:val="center"/>
          </w:tcPr>
          <w:p>
            <w:pPr>
              <w:pStyle w:val="TableContents"/>
              <w:spacing w:before="0" w:after="283"/>
              <w:jc w:val="left"/>
              <w:rPr/>
            </w:pPr>
            <w:r>
              <w:rPr/>
              <w:t> </w:t>
            </w:r>
          </w:p>
        </w:tc>
        <w:tc>
          <w:tcPr>
            <w:tcW w:w="629"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jc w:val="left"/>
              <w:rPr/>
            </w:pPr>
            <w:r>
              <w:rPr/>
              <w:t> </w:t>
            </w:r>
          </w:p>
        </w:tc>
        <w:tc>
          <w:tcPr>
            <w:tcW w:w="1055" w:type="dxa"/>
            <w:tcBorders/>
            <w:shd w:fill="auto" w:val="clear"/>
            <w:vAlign w:val="center"/>
          </w:tcPr>
          <w:p>
            <w:pPr>
              <w:pStyle w:val="TableContents"/>
              <w:spacing w:before="0" w:after="283"/>
              <w:jc w:val="right"/>
              <w:rPr/>
            </w:pPr>
            <w:r>
              <w:rPr/>
              <w:t> </w:t>
            </w:r>
          </w:p>
        </w:tc>
        <w:tc>
          <w:tcPr>
            <w:tcW w:w="95"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60" w:type="dxa"/>
            <w:tcBorders/>
            <w:shd w:fill="auto" w:val="clear"/>
            <w:vAlign w:val="center"/>
          </w:tcPr>
          <w:p>
            <w:pPr>
              <w:pStyle w:val="TableContents"/>
              <w:spacing w:before="0" w:after="283"/>
              <w:jc w:val="left"/>
              <w:rPr/>
            </w:pPr>
            <w:r>
              <w:rPr/>
              <w:t> </w:t>
            </w:r>
          </w:p>
        </w:tc>
        <w:tc>
          <w:tcPr>
            <w:tcW w:w="1210" w:type="dxa"/>
            <w:tcBorders/>
            <w:shd w:fill="auto" w:val="clear"/>
            <w:vAlign w:val="center"/>
          </w:tcPr>
          <w:p>
            <w:pPr>
              <w:pStyle w:val="TableContents"/>
              <w:spacing w:before="0" w:after="283"/>
              <w:jc w:val="right"/>
              <w:rPr/>
            </w:pPr>
            <w:r>
              <w:rPr/>
              <w:t> </w:t>
            </w:r>
          </w:p>
        </w:tc>
        <w:tc>
          <w:tcPr>
            <w:tcW w:w="95"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60" w:type="dxa"/>
            <w:tcBorders/>
            <w:shd w:fill="auto" w:val="clear"/>
            <w:vAlign w:val="center"/>
          </w:tcPr>
          <w:p>
            <w:pPr>
              <w:pStyle w:val="TableContents"/>
              <w:spacing w:before="0" w:after="283"/>
              <w:jc w:val="left"/>
              <w:rPr/>
            </w:pPr>
            <w:r>
              <w:rPr/>
              <w:t> </w:t>
            </w:r>
          </w:p>
        </w:tc>
        <w:tc>
          <w:tcPr>
            <w:tcW w:w="1223" w:type="dxa"/>
            <w:tcBorders/>
            <w:shd w:fill="auto" w:val="clear"/>
            <w:vAlign w:val="center"/>
          </w:tcPr>
          <w:p>
            <w:pPr>
              <w:pStyle w:val="TableContents"/>
              <w:spacing w:before="0" w:after="283"/>
              <w:jc w:val="right"/>
              <w:rPr/>
            </w:pPr>
            <w:r>
              <w:rPr/>
              <w:t> </w:t>
            </w:r>
          </w:p>
        </w:tc>
        <w:tc>
          <w:tcPr>
            <w:tcW w:w="112" w:type="dxa"/>
            <w:tcBorders/>
            <w:shd w:fill="auto" w:val="clear"/>
            <w:vAlign w:val="center"/>
          </w:tcPr>
          <w:p>
            <w:pPr>
              <w:pStyle w:val="TableContents"/>
              <w:spacing w:before="0" w:after="283"/>
              <w:ind w:left="0" w:right="0" w:hanging="180"/>
              <w:jc w:val="left"/>
              <w:rPr/>
            </w:pPr>
            <w:r>
              <w:rPr/>
              <w:t> </w:t>
            </w:r>
          </w:p>
        </w:tc>
      </w:tr>
      <w:tr>
        <w:trPr/>
        <w:tc>
          <w:tcPr>
            <w:tcW w:w="3635" w:type="dxa"/>
            <w:tcBorders/>
            <w:shd w:fill="CCEEFF" w:val="clear"/>
            <w:vAlign w:val="center"/>
          </w:tcPr>
          <w:p>
            <w:pPr>
              <w:pStyle w:val="TableContents"/>
              <w:spacing w:before="0" w:after="283"/>
              <w:jc w:val="left"/>
              <w:rPr/>
            </w:pPr>
            <w:r>
              <w:rPr/>
              <w:t>Allocation of Overallotment Option to public warrants</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jc w:val="left"/>
              <w:rPr/>
            </w:pPr>
            <w:r>
              <w:rPr/>
              <w:t> </w:t>
            </w:r>
          </w:p>
        </w:tc>
        <w:tc>
          <w:tcPr>
            <w:tcW w:w="980" w:type="dxa"/>
            <w:tcBorders/>
            <w:shd w:fill="CCEEFF" w:val="clear"/>
            <w:vAlign w:val="center"/>
          </w:tcPr>
          <w:p>
            <w:pPr>
              <w:pStyle w:val="TableContents"/>
              <w:spacing w:before="0" w:after="283"/>
              <w:jc w:val="right"/>
              <w:rPr/>
            </w:pPr>
            <w:r>
              <w:rPr/>
              <w:t>—</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231" w:type="dxa"/>
            <w:tcBorders/>
            <w:shd w:fill="CCEEFF" w:val="clear"/>
            <w:vAlign w:val="center"/>
          </w:tcPr>
          <w:p>
            <w:pPr>
              <w:pStyle w:val="TableContents"/>
              <w:spacing w:before="0" w:after="283"/>
              <w:jc w:val="left"/>
              <w:rPr/>
            </w:pPr>
            <w:r>
              <w:rPr/>
              <w:t> </w:t>
            </w:r>
          </w:p>
        </w:tc>
        <w:tc>
          <w:tcPr>
            <w:tcW w:w="629" w:type="dxa"/>
            <w:tcBorders/>
            <w:shd w:fill="CCEEFF" w:val="clear"/>
            <w:vAlign w:val="center"/>
          </w:tcPr>
          <w:p>
            <w:pPr>
              <w:pStyle w:val="TableContents"/>
              <w:spacing w:before="0" w:after="0"/>
              <w:jc w:val="right"/>
              <w:rPr/>
            </w:pPr>
            <w:r>
              <w:rPr/>
              <w:t>—</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1055" w:type="dxa"/>
            <w:tcBorders/>
            <w:shd w:fill="CCEEFF" w:val="clear"/>
            <w:vAlign w:val="center"/>
          </w:tcPr>
          <w:p>
            <w:pPr>
              <w:pStyle w:val="TableContents"/>
              <w:spacing w:before="0" w:after="283"/>
              <w:jc w:val="right"/>
              <w:rPr/>
            </w:pPr>
            <w:r>
              <w:rPr/>
              <w:t>1,350,000</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60" w:type="dxa"/>
            <w:tcBorders/>
            <w:shd w:fill="CCEEFF" w:val="clear"/>
            <w:vAlign w:val="center"/>
          </w:tcPr>
          <w:p>
            <w:pPr>
              <w:pStyle w:val="TableContents"/>
              <w:spacing w:before="0" w:after="283"/>
              <w:jc w:val="left"/>
              <w:rPr/>
            </w:pPr>
            <w:r>
              <w:rPr/>
              <w:t> </w:t>
            </w:r>
          </w:p>
        </w:tc>
        <w:tc>
          <w:tcPr>
            <w:tcW w:w="1210" w:type="dxa"/>
            <w:tcBorders/>
            <w:shd w:fill="CCEEFF" w:val="clear"/>
            <w:vAlign w:val="center"/>
          </w:tcPr>
          <w:p>
            <w:pPr>
              <w:pStyle w:val="TableContents"/>
              <w:spacing w:before="0" w:after="0"/>
              <w:jc w:val="right"/>
              <w:rPr/>
            </w:pPr>
            <w:r>
              <w:rPr/>
              <w:t>—</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60" w:type="dxa"/>
            <w:tcBorders/>
            <w:shd w:fill="CCEEFF" w:val="clear"/>
            <w:vAlign w:val="center"/>
          </w:tcPr>
          <w:p>
            <w:pPr>
              <w:pStyle w:val="TableContents"/>
              <w:spacing w:before="0" w:after="283"/>
              <w:jc w:val="left"/>
              <w:rPr/>
            </w:pPr>
            <w:r>
              <w:rPr/>
              <w:t> </w:t>
            </w:r>
          </w:p>
        </w:tc>
        <w:tc>
          <w:tcPr>
            <w:tcW w:w="1223" w:type="dxa"/>
            <w:tcBorders/>
            <w:shd w:fill="CCEEFF" w:val="clear"/>
            <w:vAlign w:val="center"/>
          </w:tcPr>
          <w:p>
            <w:pPr>
              <w:pStyle w:val="TableContents"/>
              <w:spacing w:before="0" w:after="283"/>
              <w:jc w:val="right"/>
              <w:rPr/>
            </w:pPr>
            <w:r>
              <w:rPr/>
              <w:t>1,350,000</w:t>
            </w:r>
          </w:p>
        </w:tc>
        <w:tc>
          <w:tcPr>
            <w:tcW w:w="112" w:type="dxa"/>
            <w:tcBorders/>
            <w:shd w:fill="CCEEFF" w:val="clear"/>
            <w:vAlign w:val="center"/>
          </w:tcPr>
          <w:p>
            <w:pPr>
              <w:pStyle w:val="TableContents"/>
              <w:spacing w:before="0" w:after="283"/>
              <w:ind w:left="0" w:right="0" w:hanging="180"/>
              <w:jc w:val="left"/>
              <w:rPr/>
            </w:pPr>
            <w:r>
              <w:rPr/>
              <w:t> </w:t>
            </w:r>
          </w:p>
        </w:tc>
      </w:tr>
      <w:tr>
        <w:trPr/>
        <w:tc>
          <w:tcPr>
            <w:tcW w:w="363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jc w:val="left"/>
              <w:rPr/>
            </w:pPr>
            <w:r>
              <w:rPr/>
              <w:t> </w:t>
            </w:r>
          </w:p>
        </w:tc>
        <w:tc>
          <w:tcPr>
            <w:tcW w:w="980"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231" w:type="dxa"/>
            <w:tcBorders/>
            <w:shd w:fill="auto" w:val="clear"/>
            <w:vAlign w:val="center"/>
          </w:tcPr>
          <w:p>
            <w:pPr>
              <w:pStyle w:val="TableContents"/>
              <w:spacing w:before="0" w:after="283"/>
              <w:jc w:val="left"/>
              <w:rPr/>
            </w:pPr>
            <w:r>
              <w:rPr/>
              <w:t> </w:t>
            </w:r>
          </w:p>
        </w:tc>
        <w:tc>
          <w:tcPr>
            <w:tcW w:w="629"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jc w:val="left"/>
              <w:rPr/>
            </w:pPr>
            <w:r>
              <w:rPr/>
              <w:t> </w:t>
            </w:r>
          </w:p>
        </w:tc>
        <w:tc>
          <w:tcPr>
            <w:tcW w:w="1055" w:type="dxa"/>
            <w:tcBorders/>
            <w:shd w:fill="auto" w:val="clear"/>
            <w:vAlign w:val="center"/>
          </w:tcPr>
          <w:p>
            <w:pPr>
              <w:pStyle w:val="TableContents"/>
              <w:spacing w:before="0" w:after="283"/>
              <w:jc w:val="right"/>
              <w:rPr/>
            </w:pPr>
            <w:r>
              <w:rPr/>
              <w:t> </w:t>
            </w:r>
          </w:p>
        </w:tc>
        <w:tc>
          <w:tcPr>
            <w:tcW w:w="95"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60" w:type="dxa"/>
            <w:tcBorders/>
            <w:shd w:fill="auto" w:val="clear"/>
            <w:vAlign w:val="center"/>
          </w:tcPr>
          <w:p>
            <w:pPr>
              <w:pStyle w:val="TableContents"/>
              <w:spacing w:before="0" w:after="283"/>
              <w:jc w:val="left"/>
              <w:rPr/>
            </w:pPr>
            <w:r>
              <w:rPr/>
              <w:t> </w:t>
            </w:r>
          </w:p>
        </w:tc>
        <w:tc>
          <w:tcPr>
            <w:tcW w:w="1210" w:type="dxa"/>
            <w:tcBorders/>
            <w:shd w:fill="auto" w:val="clear"/>
            <w:vAlign w:val="center"/>
          </w:tcPr>
          <w:p>
            <w:pPr>
              <w:pStyle w:val="TableContents"/>
              <w:spacing w:before="0" w:after="283"/>
              <w:jc w:val="right"/>
              <w:rPr/>
            </w:pPr>
            <w:r>
              <w:rPr/>
              <w:t> </w:t>
            </w:r>
          </w:p>
        </w:tc>
        <w:tc>
          <w:tcPr>
            <w:tcW w:w="95"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60" w:type="dxa"/>
            <w:tcBorders/>
            <w:shd w:fill="auto" w:val="clear"/>
            <w:vAlign w:val="center"/>
          </w:tcPr>
          <w:p>
            <w:pPr>
              <w:pStyle w:val="TableContents"/>
              <w:spacing w:before="0" w:after="283"/>
              <w:jc w:val="left"/>
              <w:rPr/>
            </w:pPr>
            <w:r>
              <w:rPr/>
              <w:t> </w:t>
            </w:r>
          </w:p>
        </w:tc>
        <w:tc>
          <w:tcPr>
            <w:tcW w:w="1223" w:type="dxa"/>
            <w:tcBorders/>
            <w:shd w:fill="auto" w:val="clear"/>
            <w:vAlign w:val="center"/>
          </w:tcPr>
          <w:p>
            <w:pPr>
              <w:pStyle w:val="TableContents"/>
              <w:spacing w:before="0" w:after="283"/>
              <w:jc w:val="right"/>
              <w:rPr/>
            </w:pPr>
            <w:r>
              <w:rPr/>
              <w:t> </w:t>
            </w:r>
          </w:p>
        </w:tc>
        <w:tc>
          <w:tcPr>
            <w:tcW w:w="112" w:type="dxa"/>
            <w:tcBorders/>
            <w:shd w:fill="auto" w:val="clear"/>
            <w:vAlign w:val="center"/>
          </w:tcPr>
          <w:p>
            <w:pPr>
              <w:pStyle w:val="TableContents"/>
              <w:spacing w:before="0" w:after="283"/>
              <w:ind w:left="0" w:right="0" w:hanging="180"/>
              <w:jc w:val="left"/>
              <w:rPr/>
            </w:pPr>
            <w:r>
              <w:rPr/>
              <w:t> </w:t>
            </w:r>
          </w:p>
        </w:tc>
      </w:tr>
      <w:tr>
        <w:trPr/>
        <w:tc>
          <w:tcPr>
            <w:tcW w:w="3635" w:type="dxa"/>
            <w:tcBorders/>
            <w:shd w:fill="CCEEFF" w:val="clear"/>
            <w:vAlign w:val="center"/>
          </w:tcPr>
          <w:p>
            <w:pPr>
              <w:pStyle w:val="TableContents"/>
              <w:spacing w:before="0" w:after="283"/>
              <w:jc w:val="left"/>
              <w:rPr/>
            </w:pPr>
            <w:r>
              <w:rPr/>
              <w:t>Allocation of Overallotment Option to public rights</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jc w:val="left"/>
              <w:rPr/>
            </w:pPr>
            <w:r>
              <w:rPr/>
              <w:t> </w:t>
            </w:r>
          </w:p>
        </w:tc>
        <w:tc>
          <w:tcPr>
            <w:tcW w:w="980" w:type="dxa"/>
            <w:tcBorders/>
            <w:shd w:fill="CCEEFF" w:val="clear"/>
            <w:vAlign w:val="center"/>
          </w:tcPr>
          <w:p>
            <w:pPr>
              <w:pStyle w:val="TableContents"/>
              <w:spacing w:before="0" w:after="283"/>
              <w:jc w:val="right"/>
              <w:rPr/>
            </w:pPr>
            <w:r>
              <w:rPr/>
              <w:t>—</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231" w:type="dxa"/>
            <w:tcBorders/>
            <w:shd w:fill="CCEEFF" w:val="clear"/>
            <w:vAlign w:val="center"/>
          </w:tcPr>
          <w:p>
            <w:pPr>
              <w:pStyle w:val="TableContents"/>
              <w:spacing w:before="0" w:after="283"/>
              <w:jc w:val="left"/>
              <w:rPr/>
            </w:pPr>
            <w:r>
              <w:rPr/>
              <w:t> </w:t>
            </w:r>
          </w:p>
        </w:tc>
        <w:tc>
          <w:tcPr>
            <w:tcW w:w="629" w:type="dxa"/>
            <w:tcBorders/>
            <w:shd w:fill="CCEEFF" w:val="clear"/>
            <w:vAlign w:val="center"/>
          </w:tcPr>
          <w:p>
            <w:pPr>
              <w:pStyle w:val="TableContents"/>
              <w:spacing w:before="0" w:after="0"/>
              <w:jc w:val="right"/>
              <w:rPr/>
            </w:pPr>
            <w:r>
              <w:rPr/>
              <w:t>—</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1055" w:type="dxa"/>
            <w:tcBorders/>
            <w:shd w:fill="CCEEFF" w:val="clear"/>
            <w:vAlign w:val="center"/>
          </w:tcPr>
          <w:p>
            <w:pPr>
              <w:pStyle w:val="TableContents"/>
              <w:spacing w:before="0" w:after="283"/>
              <w:jc w:val="right"/>
              <w:rPr/>
            </w:pPr>
            <w:r>
              <w:rPr/>
              <w:t>956,250</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60" w:type="dxa"/>
            <w:tcBorders/>
            <w:shd w:fill="CCEEFF" w:val="clear"/>
            <w:vAlign w:val="center"/>
          </w:tcPr>
          <w:p>
            <w:pPr>
              <w:pStyle w:val="TableContents"/>
              <w:spacing w:before="0" w:after="283"/>
              <w:jc w:val="left"/>
              <w:rPr/>
            </w:pPr>
            <w:r>
              <w:rPr/>
              <w:t> </w:t>
            </w:r>
          </w:p>
        </w:tc>
        <w:tc>
          <w:tcPr>
            <w:tcW w:w="1210" w:type="dxa"/>
            <w:tcBorders/>
            <w:shd w:fill="CCEEFF" w:val="clear"/>
            <w:vAlign w:val="center"/>
          </w:tcPr>
          <w:p>
            <w:pPr>
              <w:pStyle w:val="TableContents"/>
              <w:spacing w:before="0" w:after="0"/>
              <w:jc w:val="right"/>
              <w:rPr/>
            </w:pPr>
            <w:r>
              <w:rPr/>
              <w:t>—</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60" w:type="dxa"/>
            <w:tcBorders/>
            <w:shd w:fill="CCEEFF" w:val="clear"/>
            <w:vAlign w:val="center"/>
          </w:tcPr>
          <w:p>
            <w:pPr>
              <w:pStyle w:val="TableContents"/>
              <w:spacing w:before="0" w:after="283"/>
              <w:jc w:val="left"/>
              <w:rPr/>
            </w:pPr>
            <w:r>
              <w:rPr/>
              <w:t> </w:t>
            </w:r>
          </w:p>
        </w:tc>
        <w:tc>
          <w:tcPr>
            <w:tcW w:w="1223" w:type="dxa"/>
            <w:tcBorders/>
            <w:shd w:fill="CCEEFF" w:val="clear"/>
            <w:vAlign w:val="center"/>
          </w:tcPr>
          <w:p>
            <w:pPr>
              <w:pStyle w:val="TableContents"/>
              <w:spacing w:before="0" w:after="283"/>
              <w:jc w:val="right"/>
              <w:rPr/>
            </w:pPr>
            <w:r>
              <w:rPr/>
              <w:t>956,250</w:t>
            </w:r>
          </w:p>
        </w:tc>
        <w:tc>
          <w:tcPr>
            <w:tcW w:w="112" w:type="dxa"/>
            <w:tcBorders/>
            <w:shd w:fill="CCEEFF" w:val="clear"/>
            <w:vAlign w:val="center"/>
          </w:tcPr>
          <w:p>
            <w:pPr>
              <w:pStyle w:val="TableContents"/>
              <w:spacing w:before="0" w:after="283"/>
              <w:ind w:left="0" w:right="0" w:hanging="180"/>
              <w:jc w:val="left"/>
              <w:rPr/>
            </w:pPr>
            <w:r>
              <w:rPr/>
              <w:t> </w:t>
            </w:r>
          </w:p>
        </w:tc>
      </w:tr>
      <w:tr>
        <w:trPr/>
        <w:tc>
          <w:tcPr>
            <w:tcW w:w="363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jc w:val="left"/>
              <w:rPr/>
            </w:pPr>
            <w:r>
              <w:rPr/>
              <w:t> </w:t>
            </w:r>
          </w:p>
        </w:tc>
        <w:tc>
          <w:tcPr>
            <w:tcW w:w="980"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231" w:type="dxa"/>
            <w:tcBorders/>
            <w:shd w:fill="auto" w:val="clear"/>
            <w:vAlign w:val="center"/>
          </w:tcPr>
          <w:p>
            <w:pPr>
              <w:pStyle w:val="TableContents"/>
              <w:spacing w:before="0" w:after="283"/>
              <w:jc w:val="left"/>
              <w:rPr/>
            </w:pPr>
            <w:r>
              <w:rPr/>
              <w:t> </w:t>
            </w:r>
          </w:p>
        </w:tc>
        <w:tc>
          <w:tcPr>
            <w:tcW w:w="629"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jc w:val="left"/>
              <w:rPr/>
            </w:pPr>
            <w:r>
              <w:rPr/>
              <w:t> </w:t>
            </w:r>
          </w:p>
        </w:tc>
        <w:tc>
          <w:tcPr>
            <w:tcW w:w="1055" w:type="dxa"/>
            <w:tcBorders/>
            <w:shd w:fill="auto" w:val="clear"/>
            <w:vAlign w:val="center"/>
          </w:tcPr>
          <w:p>
            <w:pPr>
              <w:pStyle w:val="TableContents"/>
              <w:spacing w:before="0" w:after="283"/>
              <w:jc w:val="right"/>
              <w:rPr/>
            </w:pPr>
            <w:r>
              <w:rPr/>
              <w:t> </w:t>
            </w:r>
          </w:p>
        </w:tc>
        <w:tc>
          <w:tcPr>
            <w:tcW w:w="95"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60" w:type="dxa"/>
            <w:tcBorders/>
            <w:shd w:fill="auto" w:val="clear"/>
            <w:vAlign w:val="center"/>
          </w:tcPr>
          <w:p>
            <w:pPr>
              <w:pStyle w:val="TableContents"/>
              <w:spacing w:before="0" w:after="283"/>
              <w:jc w:val="left"/>
              <w:rPr/>
            </w:pPr>
            <w:r>
              <w:rPr/>
              <w:t> </w:t>
            </w:r>
          </w:p>
        </w:tc>
        <w:tc>
          <w:tcPr>
            <w:tcW w:w="1210" w:type="dxa"/>
            <w:tcBorders/>
            <w:shd w:fill="auto" w:val="clear"/>
            <w:vAlign w:val="center"/>
          </w:tcPr>
          <w:p>
            <w:pPr>
              <w:pStyle w:val="TableContents"/>
              <w:spacing w:before="0" w:after="283"/>
              <w:jc w:val="right"/>
              <w:rPr/>
            </w:pPr>
            <w:r>
              <w:rPr/>
              <w:t> </w:t>
            </w:r>
          </w:p>
        </w:tc>
        <w:tc>
          <w:tcPr>
            <w:tcW w:w="95"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60" w:type="dxa"/>
            <w:tcBorders/>
            <w:shd w:fill="auto" w:val="clear"/>
            <w:vAlign w:val="center"/>
          </w:tcPr>
          <w:p>
            <w:pPr>
              <w:pStyle w:val="TableContents"/>
              <w:spacing w:before="0" w:after="283"/>
              <w:jc w:val="left"/>
              <w:rPr/>
            </w:pPr>
            <w:r>
              <w:rPr/>
              <w:t> </w:t>
            </w:r>
          </w:p>
        </w:tc>
        <w:tc>
          <w:tcPr>
            <w:tcW w:w="1223" w:type="dxa"/>
            <w:tcBorders/>
            <w:shd w:fill="auto" w:val="clear"/>
            <w:vAlign w:val="center"/>
          </w:tcPr>
          <w:p>
            <w:pPr>
              <w:pStyle w:val="TableContents"/>
              <w:spacing w:before="0" w:after="283"/>
              <w:jc w:val="right"/>
              <w:rPr/>
            </w:pPr>
            <w:r>
              <w:rPr/>
              <w:t> </w:t>
            </w:r>
          </w:p>
        </w:tc>
        <w:tc>
          <w:tcPr>
            <w:tcW w:w="112" w:type="dxa"/>
            <w:tcBorders/>
            <w:shd w:fill="auto" w:val="clear"/>
            <w:vAlign w:val="center"/>
          </w:tcPr>
          <w:p>
            <w:pPr>
              <w:pStyle w:val="TableContents"/>
              <w:spacing w:before="0" w:after="283"/>
              <w:ind w:left="0" w:right="0" w:hanging="180"/>
              <w:jc w:val="left"/>
              <w:rPr/>
            </w:pPr>
            <w:r>
              <w:rPr/>
              <w:t> </w:t>
            </w:r>
          </w:p>
        </w:tc>
      </w:tr>
      <w:tr>
        <w:trPr/>
        <w:tc>
          <w:tcPr>
            <w:tcW w:w="3635" w:type="dxa"/>
            <w:tcBorders/>
            <w:shd w:fill="CCEEFF" w:val="clear"/>
            <w:vAlign w:val="center"/>
          </w:tcPr>
          <w:p>
            <w:pPr>
              <w:pStyle w:val="TableContents"/>
              <w:spacing w:before="0" w:after="283"/>
              <w:jc w:val="left"/>
              <w:rPr/>
            </w:pPr>
            <w:r>
              <w:rPr/>
              <w:t>Accretion for common stock to redemption amount</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jc w:val="left"/>
              <w:rPr/>
            </w:pPr>
            <w:r>
              <w:rPr/>
              <w:t> </w:t>
            </w:r>
          </w:p>
        </w:tc>
        <w:tc>
          <w:tcPr>
            <w:tcW w:w="980" w:type="dxa"/>
            <w:tcBorders/>
            <w:shd w:fill="CCEEFF" w:val="clear"/>
            <w:vAlign w:val="center"/>
          </w:tcPr>
          <w:p>
            <w:pPr>
              <w:pStyle w:val="TableContents"/>
              <w:spacing w:before="0" w:after="283"/>
              <w:jc w:val="right"/>
              <w:rPr/>
            </w:pPr>
            <w:r>
              <w:rPr/>
              <w:t>—</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231" w:type="dxa"/>
            <w:tcBorders/>
            <w:shd w:fill="CCEEFF" w:val="clear"/>
            <w:vAlign w:val="center"/>
          </w:tcPr>
          <w:p>
            <w:pPr>
              <w:pStyle w:val="TableContents"/>
              <w:spacing w:before="0" w:after="283"/>
              <w:jc w:val="left"/>
              <w:rPr/>
            </w:pPr>
            <w:r>
              <w:rPr/>
              <w:t> </w:t>
            </w:r>
          </w:p>
        </w:tc>
        <w:tc>
          <w:tcPr>
            <w:tcW w:w="629" w:type="dxa"/>
            <w:tcBorders/>
            <w:shd w:fill="CCEEFF" w:val="clear"/>
            <w:vAlign w:val="center"/>
          </w:tcPr>
          <w:p>
            <w:pPr>
              <w:pStyle w:val="TableContents"/>
              <w:spacing w:before="0" w:after="0"/>
              <w:jc w:val="right"/>
              <w:rPr/>
            </w:pPr>
            <w:r>
              <w:rPr/>
              <w:t>—</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1055" w:type="dxa"/>
            <w:tcBorders/>
            <w:shd w:fill="CCEEFF" w:val="clear"/>
            <w:vAlign w:val="center"/>
          </w:tcPr>
          <w:p>
            <w:pPr>
              <w:pStyle w:val="TableContents"/>
              <w:spacing w:before="0" w:after="283"/>
              <w:jc w:val="right"/>
              <w:rPr/>
            </w:pPr>
            <w:r>
              <w:rPr/>
              <w:t>(2,306,250</w:t>
            </w:r>
          </w:p>
        </w:tc>
        <w:tc>
          <w:tcPr>
            <w:tcW w:w="95" w:type="dxa"/>
            <w:tcBorders/>
            <w:shd w:fill="CCEEFF" w:val="clear"/>
            <w:vAlign w:val="center"/>
          </w:tcPr>
          <w:p>
            <w:pPr>
              <w:pStyle w:val="TableContents"/>
              <w:spacing w:before="0" w:after="283"/>
              <w:jc w:val="left"/>
              <w:rPr/>
            </w:pPr>
            <w:r>
              <w:rPr/>
              <w:t>)</w:t>
            </w:r>
          </w:p>
        </w:tc>
        <w:tc>
          <w:tcPr>
            <w:tcW w:w="60" w:type="dxa"/>
            <w:tcBorders/>
            <w:shd w:fill="CCEEFF" w:val="clear"/>
            <w:vAlign w:val="center"/>
          </w:tcPr>
          <w:p>
            <w:pPr>
              <w:pStyle w:val="TableContents"/>
              <w:spacing w:before="0" w:after="283"/>
              <w:rPr/>
            </w:pPr>
            <w:r>
              <w:rPr/>
              <w:t> </w:t>
            </w:r>
          </w:p>
        </w:tc>
        <w:tc>
          <w:tcPr>
            <w:tcW w:w="160" w:type="dxa"/>
            <w:tcBorders/>
            <w:shd w:fill="CCEEFF" w:val="clear"/>
            <w:vAlign w:val="center"/>
          </w:tcPr>
          <w:p>
            <w:pPr>
              <w:pStyle w:val="TableContents"/>
              <w:spacing w:before="0" w:after="283"/>
              <w:jc w:val="left"/>
              <w:rPr/>
            </w:pPr>
            <w:r>
              <w:rPr/>
              <w:t> </w:t>
            </w:r>
          </w:p>
        </w:tc>
        <w:tc>
          <w:tcPr>
            <w:tcW w:w="1210" w:type="dxa"/>
            <w:tcBorders/>
            <w:shd w:fill="CCEEFF" w:val="clear"/>
            <w:vAlign w:val="center"/>
          </w:tcPr>
          <w:p>
            <w:pPr>
              <w:pStyle w:val="TableContents"/>
              <w:spacing w:before="0" w:after="283"/>
              <w:jc w:val="right"/>
              <w:rPr/>
            </w:pPr>
            <w:r>
              <w:rPr/>
              <w:t>(675,000</w:t>
            </w:r>
          </w:p>
        </w:tc>
        <w:tc>
          <w:tcPr>
            <w:tcW w:w="95" w:type="dxa"/>
            <w:tcBorders/>
            <w:shd w:fill="CCEEFF" w:val="clear"/>
            <w:vAlign w:val="center"/>
          </w:tcPr>
          <w:p>
            <w:pPr>
              <w:pStyle w:val="TableContents"/>
              <w:spacing w:before="0" w:after="283"/>
              <w:jc w:val="left"/>
              <w:rPr/>
            </w:pPr>
            <w:r>
              <w:rPr/>
              <w:t>)</w:t>
            </w:r>
          </w:p>
        </w:tc>
        <w:tc>
          <w:tcPr>
            <w:tcW w:w="60" w:type="dxa"/>
            <w:tcBorders/>
            <w:shd w:fill="CCEEFF" w:val="clear"/>
            <w:vAlign w:val="center"/>
          </w:tcPr>
          <w:p>
            <w:pPr>
              <w:pStyle w:val="TableContents"/>
              <w:spacing w:before="0" w:after="283"/>
              <w:rPr/>
            </w:pPr>
            <w:r>
              <w:rPr/>
              <w:t> </w:t>
            </w:r>
          </w:p>
        </w:tc>
        <w:tc>
          <w:tcPr>
            <w:tcW w:w="160" w:type="dxa"/>
            <w:tcBorders/>
            <w:shd w:fill="CCEEFF" w:val="clear"/>
            <w:vAlign w:val="center"/>
          </w:tcPr>
          <w:p>
            <w:pPr>
              <w:pStyle w:val="TableContents"/>
              <w:spacing w:before="0" w:after="283"/>
              <w:jc w:val="left"/>
              <w:rPr/>
            </w:pPr>
            <w:r>
              <w:rPr/>
              <w:t> </w:t>
            </w:r>
          </w:p>
        </w:tc>
        <w:tc>
          <w:tcPr>
            <w:tcW w:w="1223" w:type="dxa"/>
            <w:tcBorders/>
            <w:shd w:fill="CCEEFF" w:val="clear"/>
            <w:vAlign w:val="center"/>
          </w:tcPr>
          <w:p>
            <w:pPr>
              <w:pStyle w:val="TableContents"/>
              <w:spacing w:before="0" w:after="283"/>
              <w:jc w:val="right"/>
              <w:rPr/>
            </w:pPr>
            <w:r>
              <w:rPr/>
              <w:t>(2,981,250</w:t>
            </w:r>
          </w:p>
        </w:tc>
        <w:tc>
          <w:tcPr>
            <w:tcW w:w="112" w:type="dxa"/>
            <w:tcBorders/>
            <w:shd w:fill="CCEEFF" w:val="clear"/>
            <w:vAlign w:val="center"/>
          </w:tcPr>
          <w:p>
            <w:pPr>
              <w:pStyle w:val="TableContents"/>
              <w:spacing w:before="0" w:after="283"/>
              <w:ind w:left="0" w:right="0" w:hanging="180"/>
              <w:jc w:val="left"/>
              <w:rPr/>
            </w:pPr>
            <w:r>
              <w:rPr/>
              <w:t>)</w:t>
            </w:r>
          </w:p>
        </w:tc>
      </w:tr>
      <w:tr>
        <w:trPr/>
        <w:tc>
          <w:tcPr>
            <w:tcW w:w="363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jc w:val="left"/>
              <w:rPr/>
            </w:pPr>
            <w:r>
              <w:rPr/>
              <w:t> </w:t>
            </w:r>
          </w:p>
        </w:tc>
        <w:tc>
          <w:tcPr>
            <w:tcW w:w="980"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231" w:type="dxa"/>
            <w:tcBorders/>
            <w:shd w:fill="auto" w:val="clear"/>
            <w:vAlign w:val="center"/>
          </w:tcPr>
          <w:p>
            <w:pPr>
              <w:pStyle w:val="TableContents"/>
              <w:spacing w:before="0" w:after="283"/>
              <w:jc w:val="left"/>
              <w:rPr/>
            </w:pPr>
            <w:r>
              <w:rPr/>
              <w:t> </w:t>
            </w:r>
          </w:p>
        </w:tc>
        <w:tc>
          <w:tcPr>
            <w:tcW w:w="629"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jc w:val="left"/>
              <w:rPr/>
            </w:pPr>
            <w:r>
              <w:rPr/>
              <w:t> </w:t>
            </w:r>
          </w:p>
        </w:tc>
        <w:tc>
          <w:tcPr>
            <w:tcW w:w="1055" w:type="dxa"/>
            <w:tcBorders/>
            <w:shd w:fill="auto" w:val="clear"/>
            <w:vAlign w:val="center"/>
          </w:tcPr>
          <w:p>
            <w:pPr>
              <w:pStyle w:val="TableContents"/>
              <w:spacing w:before="0" w:after="283"/>
              <w:jc w:val="right"/>
              <w:rPr/>
            </w:pPr>
            <w:r>
              <w:rPr/>
              <w:t> </w:t>
            </w:r>
          </w:p>
        </w:tc>
        <w:tc>
          <w:tcPr>
            <w:tcW w:w="95"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60" w:type="dxa"/>
            <w:tcBorders/>
            <w:shd w:fill="auto" w:val="clear"/>
            <w:vAlign w:val="center"/>
          </w:tcPr>
          <w:p>
            <w:pPr>
              <w:pStyle w:val="TableContents"/>
              <w:spacing w:before="0" w:after="283"/>
              <w:jc w:val="left"/>
              <w:rPr/>
            </w:pPr>
            <w:r>
              <w:rPr/>
              <w:t> </w:t>
            </w:r>
          </w:p>
        </w:tc>
        <w:tc>
          <w:tcPr>
            <w:tcW w:w="1210" w:type="dxa"/>
            <w:tcBorders/>
            <w:shd w:fill="auto" w:val="clear"/>
            <w:vAlign w:val="center"/>
          </w:tcPr>
          <w:p>
            <w:pPr>
              <w:pStyle w:val="TableContents"/>
              <w:spacing w:before="0" w:after="283"/>
              <w:jc w:val="right"/>
              <w:rPr/>
            </w:pPr>
            <w:r>
              <w:rPr/>
              <w:t> </w:t>
            </w:r>
          </w:p>
        </w:tc>
        <w:tc>
          <w:tcPr>
            <w:tcW w:w="95"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60" w:type="dxa"/>
            <w:tcBorders/>
            <w:shd w:fill="auto" w:val="clear"/>
            <w:vAlign w:val="center"/>
          </w:tcPr>
          <w:p>
            <w:pPr>
              <w:pStyle w:val="TableContents"/>
              <w:spacing w:before="0" w:after="283"/>
              <w:jc w:val="left"/>
              <w:rPr/>
            </w:pPr>
            <w:r>
              <w:rPr/>
              <w:t> </w:t>
            </w:r>
          </w:p>
        </w:tc>
        <w:tc>
          <w:tcPr>
            <w:tcW w:w="1223" w:type="dxa"/>
            <w:tcBorders/>
            <w:shd w:fill="auto" w:val="clear"/>
            <w:vAlign w:val="center"/>
          </w:tcPr>
          <w:p>
            <w:pPr>
              <w:pStyle w:val="TableContents"/>
              <w:spacing w:before="0" w:after="283"/>
              <w:jc w:val="right"/>
              <w:rPr/>
            </w:pPr>
            <w:r>
              <w:rPr/>
              <w:t> </w:t>
            </w:r>
          </w:p>
        </w:tc>
        <w:tc>
          <w:tcPr>
            <w:tcW w:w="112" w:type="dxa"/>
            <w:tcBorders/>
            <w:shd w:fill="auto" w:val="clear"/>
            <w:vAlign w:val="center"/>
          </w:tcPr>
          <w:p>
            <w:pPr>
              <w:pStyle w:val="TableContents"/>
              <w:spacing w:before="0" w:after="283"/>
              <w:ind w:left="0" w:right="0" w:hanging="180"/>
              <w:jc w:val="left"/>
              <w:rPr/>
            </w:pPr>
            <w:r>
              <w:rPr/>
              <w:t> </w:t>
            </w:r>
          </w:p>
        </w:tc>
      </w:tr>
      <w:tr>
        <w:trPr/>
        <w:tc>
          <w:tcPr>
            <w:tcW w:w="3635" w:type="dxa"/>
            <w:tcBorders/>
            <w:shd w:fill="CCEEFF" w:val="clear"/>
            <w:vAlign w:val="center"/>
          </w:tcPr>
          <w:p>
            <w:pPr>
              <w:pStyle w:val="TableContents"/>
              <w:spacing w:before="0" w:after="283"/>
              <w:jc w:val="left"/>
              <w:rPr/>
            </w:pPr>
            <w:r>
              <w:rPr/>
              <w:t>Net income</w:t>
            </w:r>
          </w:p>
        </w:tc>
        <w:tc>
          <w:tcPr>
            <w:tcW w:w="60" w:type="dxa"/>
            <w:tcBorders/>
            <w:shd w:fill="CCEEFF" w:val="clear"/>
            <w:vAlign w:val="center"/>
          </w:tcPr>
          <w:p>
            <w:pPr>
              <w:pStyle w:val="TableContents"/>
              <w:spacing w:before="0" w:after="283"/>
              <w:rPr/>
            </w:pPr>
            <w:r>
              <w:rPr/>
              <w:t> </w:t>
            </w:r>
          </w:p>
        </w:tc>
        <w:tc>
          <w:tcPr>
            <w:tcW w:w="60" w:type="dxa"/>
            <w:tcBorders>
              <w:bottom w:val="single" w:sz="12" w:space="0" w:color="000000"/>
            </w:tcBorders>
            <w:shd w:fill="CCEEFF" w:val="clear"/>
            <w:tcMar>
              <w:bottom w:w="28" w:type="dxa"/>
            </w:tcMar>
            <w:vAlign w:val="center"/>
          </w:tcPr>
          <w:p>
            <w:pPr>
              <w:pStyle w:val="TableContents"/>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spacing w:before="0" w:after="283"/>
              <w:jc w:val="right"/>
              <w:rPr/>
            </w:pPr>
            <w:r>
              <w:rPr/>
              <w:t>—</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231" w:type="dxa"/>
            <w:tcBorders>
              <w:bottom w:val="single" w:sz="12" w:space="0" w:color="000000"/>
            </w:tcBorders>
            <w:shd w:fill="CCEEFF" w:val="clear"/>
            <w:tcMar>
              <w:bottom w:w="28" w:type="dxa"/>
            </w:tcMar>
            <w:vAlign w:val="center"/>
          </w:tcPr>
          <w:p>
            <w:pPr>
              <w:pStyle w:val="TableContents"/>
              <w:spacing w:before="0" w:after="283"/>
              <w:jc w:val="left"/>
              <w:rPr/>
            </w:pPr>
            <w:r>
              <w:rPr/>
              <w:t> </w:t>
            </w:r>
          </w:p>
        </w:tc>
        <w:tc>
          <w:tcPr>
            <w:tcW w:w="629" w:type="dxa"/>
            <w:tcBorders>
              <w:bottom w:val="single" w:sz="12" w:space="0" w:color="000000"/>
            </w:tcBorders>
            <w:shd w:fill="CCEEFF" w:val="clear"/>
            <w:tcMar>
              <w:bottom w:w="28" w:type="dxa"/>
            </w:tcMar>
            <w:vAlign w:val="center"/>
          </w:tcPr>
          <w:p>
            <w:pPr>
              <w:pStyle w:val="TableContents"/>
              <w:spacing w:before="0" w:after="0"/>
              <w:jc w:val="right"/>
              <w:rPr/>
            </w:pPr>
            <w:r>
              <w:rPr/>
              <w:t>—</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0" w:type="dxa"/>
            <w:tcBorders>
              <w:bottom w:val="single" w:sz="12" w:space="0" w:color="000000"/>
            </w:tcBorders>
            <w:shd w:fill="CCEEFF" w:val="clear"/>
            <w:tcMar>
              <w:bottom w:w="28" w:type="dxa"/>
            </w:tcMar>
            <w:vAlign w:val="center"/>
          </w:tcPr>
          <w:p>
            <w:pPr>
              <w:pStyle w:val="TableContents"/>
              <w:spacing w:before="0" w:after="283"/>
              <w:jc w:val="left"/>
              <w:rPr/>
            </w:pPr>
            <w:r>
              <w:rPr/>
              <w:t> </w:t>
            </w:r>
          </w:p>
        </w:tc>
        <w:tc>
          <w:tcPr>
            <w:tcW w:w="1055" w:type="dxa"/>
            <w:tcBorders>
              <w:bottom w:val="single" w:sz="12" w:space="0" w:color="000000"/>
            </w:tcBorders>
            <w:shd w:fill="CCEEFF" w:val="clear"/>
            <w:tcMar>
              <w:bottom w:w="28" w:type="dxa"/>
            </w:tcMar>
            <w:vAlign w:val="center"/>
          </w:tcPr>
          <w:p>
            <w:pPr>
              <w:pStyle w:val="TableContents"/>
              <w:spacing w:before="0" w:after="0"/>
              <w:jc w:val="right"/>
              <w:rPr/>
            </w:pPr>
            <w:r>
              <w:rPr/>
              <w:t>—</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60" w:type="dxa"/>
            <w:tcBorders>
              <w:bottom w:val="single" w:sz="12" w:space="0" w:color="000000"/>
            </w:tcBorders>
            <w:shd w:fill="CCEEFF" w:val="clear"/>
            <w:tcMar>
              <w:bottom w:w="28" w:type="dxa"/>
            </w:tcMar>
            <w:vAlign w:val="center"/>
          </w:tcPr>
          <w:p>
            <w:pPr>
              <w:pStyle w:val="TableContents"/>
              <w:spacing w:before="0" w:after="283"/>
              <w:jc w:val="left"/>
              <w:rPr/>
            </w:pPr>
            <w:r>
              <w:rPr/>
              <w:t> </w:t>
            </w:r>
          </w:p>
        </w:tc>
        <w:tc>
          <w:tcPr>
            <w:tcW w:w="1210" w:type="dxa"/>
            <w:tcBorders>
              <w:bottom w:val="single" w:sz="12" w:space="0" w:color="000000"/>
            </w:tcBorders>
            <w:shd w:fill="CCEEFF" w:val="clear"/>
            <w:tcMar>
              <w:bottom w:w="28" w:type="dxa"/>
            </w:tcMar>
            <w:vAlign w:val="center"/>
          </w:tcPr>
          <w:p>
            <w:pPr>
              <w:pStyle w:val="TableContents"/>
              <w:spacing w:before="0" w:after="283"/>
              <w:jc w:val="right"/>
              <w:rPr/>
            </w:pPr>
            <w:r>
              <w:rPr/>
              <w:t>3,461,107</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60" w:type="dxa"/>
            <w:tcBorders>
              <w:bottom w:val="single" w:sz="12" w:space="0" w:color="000000"/>
            </w:tcBorders>
            <w:shd w:fill="CCEEFF" w:val="clear"/>
            <w:tcMar>
              <w:bottom w:w="28" w:type="dxa"/>
            </w:tcMar>
            <w:vAlign w:val="center"/>
          </w:tcPr>
          <w:p>
            <w:pPr>
              <w:pStyle w:val="TableContents"/>
              <w:spacing w:before="0" w:after="283"/>
              <w:jc w:val="left"/>
              <w:rPr/>
            </w:pPr>
            <w:r>
              <w:rPr/>
              <w:t> </w:t>
            </w:r>
          </w:p>
        </w:tc>
        <w:tc>
          <w:tcPr>
            <w:tcW w:w="1223" w:type="dxa"/>
            <w:tcBorders>
              <w:bottom w:val="single" w:sz="12" w:space="0" w:color="000000"/>
            </w:tcBorders>
            <w:shd w:fill="CCEEFF" w:val="clear"/>
            <w:tcMar>
              <w:bottom w:w="28" w:type="dxa"/>
            </w:tcMar>
            <w:vAlign w:val="center"/>
          </w:tcPr>
          <w:p>
            <w:pPr>
              <w:pStyle w:val="TableContents"/>
              <w:spacing w:before="0" w:after="283"/>
              <w:jc w:val="right"/>
              <w:rPr/>
            </w:pPr>
            <w:r>
              <w:rPr/>
              <w:t>3,461,107</w:t>
            </w:r>
          </w:p>
        </w:tc>
        <w:tc>
          <w:tcPr>
            <w:tcW w:w="112" w:type="dxa"/>
            <w:tcBorders/>
            <w:shd w:fill="CCEEFF" w:val="clear"/>
            <w:vAlign w:val="center"/>
          </w:tcPr>
          <w:p>
            <w:pPr>
              <w:pStyle w:val="TableContents"/>
              <w:spacing w:before="0" w:after="283"/>
              <w:ind w:left="0" w:right="0" w:hanging="180"/>
              <w:jc w:val="left"/>
              <w:rPr/>
            </w:pPr>
            <w:r>
              <w:rPr/>
              <w:t> </w:t>
            </w:r>
          </w:p>
        </w:tc>
      </w:tr>
      <w:tr>
        <w:trPr/>
        <w:tc>
          <w:tcPr>
            <w:tcW w:w="363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jc w:val="left"/>
              <w:rPr/>
            </w:pPr>
            <w:r>
              <w:rPr/>
              <w:t> </w:t>
            </w:r>
          </w:p>
        </w:tc>
        <w:tc>
          <w:tcPr>
            <w:tcW w:w="980"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231" w:type="dxa"/>
            <w:tcBorders/>
            <w:shd w:fill="auto" w:val="clear"/>
            <w:vAlign w:val="center"/>
          </w:tcPr>
          <w:p>
            <w:pPr>
              <w:pStyle w:val="TableContents"/>
              <w:spacing w:before="0" w:after="283"/>
              <w:jc w:val="left"/>
              <w:rPr/>
            </w:pPr>
            <w:r>
              <w:rPr/>
              <w:t> </w:t>
            </w:r>
          </w:p>
        </w:tc>
        <w:tc>
          <w:tcPr>
            <w:tcW w:w="629"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jc w:val="left"/>
              <w:rPr/>
            </w:pPr>
            <w:r>
              <w:rPr/>
              <w:t> </w:t>
            </w:r>
          </w:p>
        </w:tc>
        <w:tc>
          <w:tcPr>
            <w:tcW w:w="1055" w:type="dxa"/>
            <w:tcBorders/>
            <w:shd w:fill="auto" w:val="clear"/>
            <w:vAlign w:val="center"/>
          </w:tcPr>
          <w:p>
            <w:pPr>
              <w:pStyle w:val="TableContents"/>
              <w:spacing w:before="0" w:after="283"/>
              <w:jc w:val="right"/>
              <w:rPr/>
            </w:pPr>
            <w:r>
              <w:rPr/>
              <w:t> </w:t>
            </w:r>
          </w:p>
        </w:tc>
        <w:tc>
          <w:tcPr>
            <w:tcW w:w="95"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60" w:type="dxa"/>
            <w:tcBorders/>
            <w:shd w:fill="auto" w:val="clear"/>
            <w:vAlign w:val="center"/>
          </w:tcPr>
          <w:p>
            <w:pPr>
              <w:pStyle w:val="TableContents"/>
              <w:spacing w:before="0" w:after="283"/>
              <w:jc w:val="left"/>
              <w:rPr/>
            </w:pPr>
            <w:r>
              <w:rPr/>
              <w:t> </w:t>
            </w:r>
          </w:p>
        </w:tc>
        <w:tc>
          <w:tcPr>
            <w:tcW w:w="1210" w:type="dxa"/>
            <w:tcBorders/>
            <w:shd w:fill="auto" w:val="clear"/>
            <w:vAlign w:val="center"/>
          </w:tcPr>
          <w:p>
            <w:pPr>
              <w:pStyle w:val="TableContents"/>
              <w:spacing w:before="0" w:after="283"/>
              <w:jc w:val="right"/>
              <w:rPr/>
            </w:pPr>
            <w:r>
              <w:rPr/>
              <w:t> </w:t>
            </w:r>
          </w:p>
        </w:tc>
        <w:tc>
          <w:tcPr>
            <w:tcW w:w="95"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60" w:type="dxa"/>
            <w:tcBorders/>
            <w:shd w:fill="auto" w:val="clear"/>
            <w:vAlign w:val="center"/>
          </w:tcPr>
          <w:p>
            <w:pPr>
              <w:pStyle w:val="TableContents"/>
              <w:spacing w:before="0" w:after="283"/>
              <w:jc w:val="left"/>
              <w:rPr/>
            </w:pPr>
            <w:r>
              <w:rPr/>
              <w:t> </w:t>
            </w:r>
          </w:p>
        </w:tc>
        <w:tc>
          <w:tcPr>
            <w:tcW w:w="1223" w:type="dxa"/>
            <w:tcBorders/>
            <w:shd w:fill="auto" w:val="clear"/>
            <w:vAlign w:val="center"/>
          </w:tcPr>
          <w:p>
            <w:pPr>
              <w:pStyle w:val="TableContents"/>
              <w:spacing w:before="0" w:after="283"/>
              <w:jc w:val="right"/>
              <w:rPr/>
            </w:pPr>
            <w:r>
              <w:rPr/>
              <w:t> </w:t>
            </w:r>
          </w:p>
        </w:tc>
        <w:tc>
          <w:tcPr>
            <w:tcW w:w="112" w:type="dxa"/>
            <w:tcBorders/>
            <w:shd w:fill="auto" w:val="clear"/>
            <w:vAlign w:val="center"/>
          </w:tcPr>
          <w:p>
            <w:pPr>
              <w:pStyle w:val="TableContents"/>
              <w:spacing w:before="0" w:after="283"/>
              <w:ind w:left="0" w:right="0" w:hanging="180"/>
              <w:jc w:val="left"/>
              <w:rPr/>
            </w:pPr>
            <w:r>
              <w:rPr/>
              <w:t> </w:t>
            </w:r>
          </w:p>
        </w:tc>
      </w:tr>
      <w:tr>
        <w:trPr/>
        <w:tc>
          <w:tcPr>
            <w:tcW w:w="3635" w:type="dxa"/>
            <w:tcBorders/>
            <w:shd w:fill="CCEEFF" w:val="clear"/>
            <w:vAlign w:val="center"/>
          </w:tcPr>
          <w:p>
            <w:pPr>
              <w:pStyle w:val="TableContents"/>
              <w:spacing w:before="0" w:after="283"/>
              <w:rPr>
                <w:b/>
              </w:rPr>
            </w:pPr>
            <w:r>
              <w:rPr>
                <w:b/>
              </w:rPr>
              <w:t>Balance – March 31, 2021</w:t>
            </w:r>
          </w:p>
        </w:tc>
        <w:tc>
          <w:tcPr>
            <w:tcW w:w="60" w:type="dxa"/>
            <w:tcBorders/>
            <w:shd w:fill="CCEEFF" w:val="clear"/>
            <w:vAlign w:val="center"/>
          </w:tcPr>
          <w:p>
            <w:pPr>
              <w:pStyle w:val="TableContents"/>
              <w:spacing w:before="0" w:after="283"/>
              <w:rPr/>
            </w:pPr>
            <w:r>
              <w:rPr/>
              <w:t> </w:t>
            </w:r>
          </w:p>
        </w:tc>
        <w:tc>
          <w:tcPr>
            <w:tcW w:w="60" w:type="dxa"/>
            <w:tcBorders>
              <w:bottom w:val="double" w:sz="10" w:space="0" w:color="000000"/>
            </w:tcBorders>
            <w:shd w:fill="CCEEFF" w:val="clear"/>
            <w:tcMar>
              <w:bottom w:w="28" w:type="dxa"/>
            </w:tcMar>
            <w:vAlign w:val="center"/>
          </w:tcPr>
          <w:p>
            <w:pPr>
              <w:pStyle w:val="TableContents"/>
              <w:spacing w:before="0" w:after="283"/>
              <w:jc w:val="left"/>
              <w:rPr/>
            </w:pPr>
            <w:r>
              <w:rPr/>
              <w:t> </w:t>
            </w:r>
          </w:p>
        </w:tc>
        <w:tc>
          <w:tcPr>
            <w:tcW w:w="980" w:type="dxa"/>
            <w:tcBorders>
              <w:bottom w:val="double" w:sz="10" w:space="0" w:color="000000"/>
            </w:tcBorders>
            <w:shd w:fill="CCEEFF" w:val="clear"/>
            <w:tcMar>
              <w:bottom w:w="28" w:type="dxa"/>
            </w:tcMar>
            <w:vAlign w:val="center"/>
          </w:tcPr>
          <w:p>
            <w:pPr>
              <w:pStyle w:val="TableContents"/>
              <w:spacing w:before="0" w:after="283"/>
              <w:jc w:val="right"/>
              <w:rPr>
                <w:b/>
              </w:rPr>
            </w:pPr>
            <w:r>
              <w:rPr>
                <w:b/>
              </w:rPr>
              <w:t>4,312,500</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231" w:type="dxa"/>
            <w:tcBorders>
              <w:bottom w:val="double" w:sz="10" w:space="0" w:color="000000"/>
            </w:tcBorders>
            <w:shd w:fill="CCEEFF" w:val="clear"/>
            <w:tcMar>
              <w:bottom w:w="28" w:type="dxa"/>
            </w:tcMar>
            <w:vAlign w:val="center"/>
          </w:tcPr>
          <w:p>
            <w:pPr>
              <w:pStyle w:val="TableContents"/>
              <w:spacing w:before="0" w:after="283"/>
              <w:jc w:val="left"/>
              <w:rPr>
                <w:b/>
              </w:rPr>
            </w:pPr>
            <w:r>
              <w:rPr>
                <w:b/>
              </w:rPr>
              <w:t>$</w:t>
            </w:r>
          </w:p>
        </w:tc>
        <w:tc>
          <w:tcPr>
            <w:tcW w:w="629" w:type="dxa"/>
            <w:tcBorders>
              <w:bottom w:val="double" w:sz="10" w:space="0" w:color="000000"/>
            </w:tcBorders>
            <w:shd w:fill="CCEEFF" w:val="clear"/>
            <w:tcMar>
              <w:bottom w:w="28" w:type="dxa"/>
            </w:tcMar>
            <w:vAlign w:val="center"/>
          </w:tcPr>
          <w:p>
            <w:pPr>
              <w:pStyle w:val="TableContents"/>
              <w:spacing w:before="0" w:after="283"/>
              <w:jc w:val="right"/>
              <w:rPr>
                <w:b/>
              </w:rPr>
            </w:pPr>
            <w:r>
              <w:rPr>
                <w:b/>
              </w:rPr>
              <w:t>431</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0" w:type="dxa"/>
            <w:tcBorders>
              <w:bottom w:val="double" w:sz="10" w:space="0" w:color="000000"/>
            </w:tcBorders>
            <w:shd w:fill="CCEEFF" w:val="clear"/>
            <w:tcMar>
              <w:bottom w:w="28" w:type="dxa"/>
            </w:tcMar>
            <w:vAlign w:val="center"/>
          </w:tcPr>
          <w:p>
            <w:pPr>
              <w:pStyle w:val="TableContents"/>
              <w:spacing w:before="0" w:after="283"/>
              <w:jc w:val="left"/>
              <w:rPr/>
            </w:pPr>
            <w:r>
              <w:rPr/>
              <w:t>$</w:t>
            </w:r>
          </w:p>
        </w:tc>
        <w:tc>
          <w:tcPr>
            <w:tcW w:w="1055" w:type="dxa"/>
            <w:tcBorders>
              <w:bottom w:val="double" w:sz="10" w:space="0" w:color="000000"/>
            </w:tcBorders>
            <w:shd w:fill="CCEEFF" w:val="clear"/>
            <w:tcMar>
              <w:bottom w:w="28" w:type="dxa"/>
            </w:tcMar>
            <w:vAlign w:val="center"/>
          </w:tcPr>
          <w:p>
            <w:pPr>
              <w:pStyle w:val="TableContents"/>
              <w:spacing w:before="0" w:after="0"/>
              <w:jc w:val="right"/>
              <w:rPr/>
            </w:pPr>
            <w:r>
              <w:rPr/>
              <w:t>—</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60" w:type="dxa"/>
            <w:tcBorders>
              <w:bottom w:val="double" w:sz="10" w:space="0" w:color="000000"/>
            </w:tcBorders>
            <w:shd w:fill="CCEEFF" w:val="clear"/>
            <w:tcMar>
              <w:bottom w:w="28" w:type="dxa"/>
            </w:tcMar>
            <w:vAlign w:val="center"/>
          </w:tcPr>
          <w:p>
            <w:pPr>
              <w:pStyle w:val="TableContents"/>
              <w:spacing w:before="0" w:after="283"/>
              <w:jc w:val="left"/>
              <w:rPr>
                <w:b/>
              </w:rPr>
            </w:pPr>
            <w:r>
              <w:rPr>
                <w:b/>
              </w:rPr>
              <w:t>$</w:t>
            </w:r>
          </w:p>
        </w:tc>
        <w:tc>
          <w:tcPr>
            <w:tcW w:w="1210" w:type="dxa"/>
            <w:tcBorders>
              <w:bottom w:val="double" w:sz="10" w:space="0" w:color="000000"/>
            </w:tcBorders>
            <w:shd w:fill="CCEEFF" w:val="clear"/>
            <w:tcMar>
              <w:bottom w:w="28" w:type="dxa"/>
            </w:tcMar>
            <w:vAlign w:val="center"/>
          </w:tcPr>
          <w:p>
            <w:pPr>
              <w:pStyle w:val="TableContents"/>
              <w:spacing w:before="0" w:after="283"/>
              <w:jc w:val="right"/>
              <w:rPr>
                <w:b/>
              </w:rPr>
            </w:pPr>
            <w:r>
              <w:rPr>
                <w:b/>
              </w:rPr>
              <w:t>(3,571,999</w:t>
            </w:r>
          </w:p>
        </w:tc>
        <w:tc>
          <w:tcPr>
            <w:tcW w:w="95" w:type="dxa"/>
            <w:tcBorders/>
            <w:shd w:fill="CCEEFF" w:val="clear"/>
            <w:vAlign w:val="center"/>
          </w:tcPr>
          <w:p>
            <w:pPr>
              <w:pStyle w:val="TableContents"/>
              <w:spacing w:before="0" w:after="283"/>
              <w:jc w:val="left"/>
              <w:rPr>
                <w:b/>
              </w:rPr>
            </w:pPr>
            <w:r>
              <w:rPr>
                <w:b/>
              </w:rPr>
              <w:t>)</w:t>
            </w:r>
          </w:p>
        </w:tc>
        <w:tc>
          <w:tcPr>
            <w:tcW w:w="60" w:type="dxa"/>
            <w:tcBorders/>
            <w:shd w:fill="CCEEFF" w:val="clear"/>
            <w:vAlign w:val="center"/>
          </w:tcPr>
          <w:p>
            <w:pPr>
              <w:pStyle w:val="TableContents"/>
              <w:spacing w:before="0" w:after="283"/>
              <w:rPr/>
            </w:pPr>
            <w:r>
              <w:rPr/>
              <w:t> </w:t>
            </w:r>
          </w:p>
        </w:tc>
        <w:tc>
          <w:tcPr>
            <w:tcW w:w="160" w:type="dxa"/>
            <w:tcBorders>
              <w:bottom w:val="double" w:sz="10" w:space="0" w:color="000000"/>
            </w:tcBorders>
            <w:shd w:fill="CCEEFF" w:val="clear"/>
            <w:tcMar>
              <w:bottom w:w="28" w:type="dxa"/>
            </w:tcMar>
            <w:vAlign w:val="center"/>
          </w:tcPr>
          <w:p>
            <w:pPr>
              <w:pStyle w:val="TableContents"/>
              <w:spacing w:before="0" w:after="283"/>
              <w:jc w:val="left"/>
              <w:rPr>
                <w:b/>
              </w:rPr>
            </w:pPr>
            <w:r>
              <w:rPr>
                <w:b/>
              </w:rPr>
              <w:t>$</w:t>
            </w:r>
          </w:p>
        </w:tc>
        <w:tc>
          <w:tcPr>
            <w:tcW w:w="1223" w:type="dxa"/>
            <w:tcBorders>
              <w:bottom w:val="double" w:sz="10" w:space="0" w:color="000000"/>
            </w:tcBorders>
            <w:shd w:fill="CCEEFF" w:val="clear"/>
            <w:tcMar>
              <w:bottom w:w="28" w:type="dxa"/>
            </w:tcMar>
            <w:vAlign w:val="center"/>
          </w:tcPr>
          <w:p>
            <w:pPr>
              <w:pStyle w:val="TableContents"/>
              <w:spacing w:before="0" w:after="283"/>
              <w:jc w:val="right"/>
              <w:rPr>
                <w:b/>
              </w:rPr>
            </w:pPr>
            <w:r>
              <w:rPr>
                <w:b/>
              </w:rPr>
              <w:t>(3,571,568</w:t>
            </w:r>
          </w:p>
        </w:tc>
        <w:tc>
          <w:tcPr>
            <w:tcW w:w="112" w:type="dxa"/>
            <w:tcBorders/>
            <w:shd w:fill="CCEEFF" w:val="clear"/>
            <w:vAlign w:val="center"/>
          </w:tcPr>
          <w:p>
            <w:pPr>
              <w:pStyle w:val="TableContents"/>
              <w:spacing w:before="0" w:after="283"/>
              <w:jc w:val="left"/>
              <w:rPr>
                <w:b/>
              </w:rPr>
            </w:pPr>
            <w:r>
              <w:rPr>
                <w:b/>
              </w:rPr>
              <w:t>)</w:t>
            </w:r>
          </w:p>
        </w:tc>
      </w:tr>
    </w:tbl>
    <w:p>
      <w:pPr>
        <w:pStyle w:val="TextBody"/>
        <w:spacing w:before="0" w:after="0"/>
        <w:ind w:left="0" w:right="0" w:hanging="0"/>
        <w:jc w:val="both"/>
        <w:rPr>
          <w:caps w:val="false"/>
          <w:smallCaps w:val="false"/>
        </w:rPr>
      </w:pPr>
      <w:r>
        <w:rPr>
          <w:caps w:val="false"/>
          <w:smallCaps w:val="false"/>
        </w:rPr>
        <w:t> </w:t>
      </w:r>
    </w:p>
    <w:p>
      <w:pPr>
        <w:pStyle w:val="TextBody"/>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 unaudited condensed consolidated financial statements.</w:t>
      </w:r>
    </w:p>
    <w:p>
      <w:pPr>
        <w:pStyle w:val="TextBody"/>
        <w:spacing w:before="0" w:after="0"/>
        <w:ind w:left="0" w:right="0" w:hanging="0"/>
        <w:jc w:val="both"/>
        <w:rPr>
          <w:caps w:val="false"/>
          <w:smallCaps w:val="false"/>
        </w:rPr>
      </w:pPr>
      <w:r>
        <w:rPr>
          <w:caps w:val="false"/>
          <w:smallCaps w:val="false"/>
        </w:rPr>
        <w:t> </w:t>
      </w:r>
    </w:p>
    <w:p>
      <w:pPr>
        <w:pStyle w:val="TextBody"/>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spacing w:before="0" w:after="0"/>
        <w:ind w:left="0" w:right="0" w:hanging="0"/>
        <w:rPr/>
      </w:pPr>
      <w:r>
        <w:rPr/>
        <w:t> </w:t>
      </w:r>
    </w:p>
    <w:p>
      <w:pPr>
        <w:pStyle w:val="TextBody"/>
        <w:spacing w:before="0" w:after="0"/>
        <w:ind w:left="0" w:right="0" w:hanging="0"/>
        <w:jc w:val="both"/>
        <w:rPr>
          <w:caps w:val="false"/>
          <w:smallCaps w:val="false"/>
        </w:rPr>
      </w:pPr>
      <w:r>
        <w:rPr>
          <w:caps w:val="false"/>
          <w:smallCaps w:val="false"/>
        </w:rPr>
        <w:t> </w:t>
      </w:r>
    </w:p>
    <w:p>
      <w:pPr>
        <w:pStyle w:val="TextBody"/>
        <w:spacing w:before="0" w:after="0"/>
        <w:jc w:val="center"/>
        <w:rPr>
          <w:rFonts w:ascii="Times New Roman;Times;Serif" w:hAnsi="Times New Roman;Times;Serif"/>
          <w:b/>
          <w:i w:val="false"/>
          <w:caps w:val="false"/>
          <w:smallCaps w:val="false"/>
          <w:sz w:val="20"/>
        </w:rPr>
      </w:pPr>
      <w:bookmarkStart w:id="7" w:name="a_006"/>
      <w:bookmarkEnd w:id="7"/>
      <w:r>
        <w:rPr>
          <w:rFonts w:ascii="Times New Roman;Times;Serif" w:hAnsi="Times New Roman;Times;Serif"/>
          <w:b/>
          <w:i w:val="false"/>
          <w:caps w:val="false"/>
          <w:smallCaps w:val="false"/>
          <w:sz w:val="20"/>
        </w:rPr>
        <w:t>VENTOUX CCM ACQUISITION CORP.</w:t>
      </w:r>
    </w:p>
    <w:p>
      <w:pPr>
        <w:pStyle w:val="TextBody"/>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CONDENSED CONSOLIDATED STATEMENTS OF CASH FLOWS</w:t>
      </w:r>
    </w:p>
    <w:p>
      <w:pPr>
        <w:pStyle w:val="TextBody"/>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p>
      <w:pPr>
        <w:pStyle w:val="TextBody"/>
        <w:spacing w:before="0" w:after="0"/>
        <w:jc w:val="center"/>
        <w:rPr>
          <w:caps w:val="false"/>
          <w:smallCaps w:val="false"/>
        </w:rPr>
      </w:pPr>
      <w:r>
        <w:rPr>
          <w:caps w:val="false"/>
          <w:smallCaps w:val="false"/>
        </w:rPr>
        <w:t> </w:t>
      </w:r>
    </w:p>
    <w:tbl>
      <w:tblPr>
        <w:tblW w:w="9995" w:type="dxa"/>
        <w:jc w:val="left"/>
        <w:tblInd w:w="0" w:type="dxa"/>
        <w:tblCellMar>
          <w:top w:w="0" w:type="dxa"/>
          <w:left w:w="0" w:type="dxa"/>
          <w:bottom w:w="0" w:type="dxa"/>
          <w:right w:w="0" w:type="dxa"/>
        </w:tblCellMar>
      </w:tblPr>
      <w:tblGrid>
        <w:gridCol w:w="7160"/>
        <w:gridCol w:w="60"/>
        <w:gridCol w:w="140"/>
        <w:gridCol w:w="1055"/>
        <w:gridCol w:w="95"/>
        <w:gridCol w:w="60"/>
        <w:gridCol w:w="140"/>
        <w:gridCol w:w="1175"/>
        <w:gridCol w:w="110"/>
      </w:tblGrid>
      <w:tr>
        <w:trPr/>
        <w:tc>
          <w:tcPr>
            <w:tcW w:w="71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665" w:type="dxa"/>
            <w:gridSpan w:val="6"/>
            <w:tcBorders>
              <w:bottom w:val="single" w:sz="12" w:space="0" w:color="000000"/>
            </w:tcBorders>
            <w:shd w:fill="auto" w:val="clear"/>
            <w:tcMar>
              <w:bottom w:w="28" w:type="dxa"/>
            </w:tcMar>
            <w:vAlign w:val="center"/>
          </w:tcPr>
          <w:p>
            <w:pPr>
              <w:pStyle w:val="TableContents"/>
              <w:spacing w:before="0" w:after="283"/>
              <w:jc w:val="center"/>
              <w:rPr>
                <w:b/>
              </w:rPr>
            </w:pPr>
            <w:r>
              <w:rPr>
                <w:b/>
              </w:rPr>
              <w:t>Three Months Ended</w:t>
              <w:br/>
              <w:t>March 31,</w:t>
            </w:r>
          </w:p>
        </w:tc>
        <w:tc>
          <w:tcPr>
            <w:tcW w:w="110" w:type="dxa"/>
            <w:tcBorders/>
            <w:shd w:fill="auto" w:val="clear"/>
            <w:vAlign w:val="center"/>
          </w:tcPr>
          <w:p>
            <w:pPr>
              <w:pStyle w:val="TableContents"/>
              <w:spacing w:before="0" w:after="283"/>
              <w:rPr/>
            </w:pPr>
            <w:r>
              <w:rPr/>
              <w:t> </w:t>
            </w:r>
          </w:p>
        </w:tc>
      </w:tr>
      <w:tr>
        <w:trPr/>
        <w:tc>
          <w:tcPr>
            <w:tcW w:w="71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95" w:type="dxa"/>
            <w:gridSpan w:val="2"/>
            <w:tcBorders>
              <w:bottom w:val="single" w:sz="12" w:space="0" w:color="000000"/>
            </w:tcBorders>
            <w:shd w:fill="auto" w:val="clear"/>
            <w:tcMar>
              <w:bottom w:w="28" w:type="dxa"/>
            </w:tcMar>
            <w:vAlign w:val="center"/>
          </w:tcPr>
          <w:p>
            <w:pPr>
              <w:pStyle w:val="TableContents"/>
              <w:spacing w:before="0" w:after="283"/>
              <w:jc w:val="center"/>
              <w:rPr>
                <w:b/>
              </w:rPr>
            </w:pPr>
            <w:r>
              <w:rPr>
                <w:b/>
              </w:rPr>
              <w:t>2022</w:t>
            </w:r>
          </w:p>
        </w:tc>
        <w:tc>
          <w:tcPr>
            <w:tcW w:w="9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315" w:type="dxa"/>
            <w:gridSpan w:val="2"/>
            <w:tcBorders>
              <w:bottom w:val="single" w:sz="12" w:space="0" w:color="000000"/>
            </w:tcBorders>
            <w:shd w:fill="auto" w:val="clear"/>
            <w:tcMar>
              <w:bottom w:w="28" w:type="dxa"/>
            </w:tcMar>
            <w:vAlign w:val="center"/>
          </w:tcPr>
          <w:p>
            <w:pPr>
              <w:pStyle w:val="TableContents"/>
              <w:spacing w:before="0" w:after="283"/>
              <w:jc w:val="center"/>
              <w:rPr>
                <w:b/>
              </w:rPr>
            </w:pPr>
            <w:r>
              <w:rPr>
                <w:b/>
              </w:rPr>
              <w:t>2021</w:t>
            </w:r>
          </w:p>
        </w:tc>
        <w:tc>
          <w:tcPr>
            <w:tcW w:w="110" w:type="dxa"/>
            <w:tcBorders/>
            <w:shd w:fill="auto" w:val="clear"/>
            <w:vAlign w:val="center"/>
          </w:tcPr>
          <w:p>
            <w:pPr>
              <w:pStyle w:val="TableContents"/>
              <w:spacing w:before="0" w:after="283"/>
              <w:rPr/>
            </w:pPr>
            <w:r>
              <w:rPr/>
              <w:t> </w:t>
            </w:r>
          </w:p>
        </w:tc>
      </w:tr>
      <w:tr>
        <w:trPr/>
        <w:tc>
          <w:tcPr>
            <w:tcW w:w="7160" w:type="dxa"/>
            <w:tcBorders/>
            <w:shd w:fill="auto" w:val="clear"/>
            <w:vAlign w:val="center"/>
          </w:tcPr>
          <w:p>
            <w:pPr>
              <w:pStyle w:val="TableContents"/>
              <w:spacing w:before="0" w:after="283"/>
              <w:rPr>
                <w:b/>
              </w:rPr>
            </w:pPr>
            <w:r>
              <w:rPr>
                <w:b/>
              </w:rPr>
              <w:t>Cash Flows from Operating Activities:</w:t>
            </w:r>
          </w:p>
        </w:tc>
        <w:tc>
          <w:tcPr>
            <w:tcW w:w="60" w:type="dxa"/>
            <w:tcBorders/>
            <w:shd w:fill="auto" w:val="clear"/>
            <w:vAlign w:val="center"/>
          </w:tcPr>
          <w:p>
            <w:pPr>
              <w:pStyle w:val="TableContents"/>
              <w:spacing w:before="0" w:after="283"/>
              <w:rPr/>
            </w:pPr>
            <w:r>
              <w:rPr/>
              <w:t> </w:t>
            </w:r>
          </w:p>
        </w:tc>
        <w:tc>
          <w:tcPr>
            <w:tcW w:w="1195" w:type="dxa"/>
            <w:gridSpan w:val="2"/>
            <w:tcBorders/>
            <w:shd w:fill="auto" w:val="clear"/>
            <w:vAlign w:val="center"/>
          </w:tcPr>
          <w:p>
            <w:pPr>
              <w:pStyle w:val="TableContents"/>
              <w:spacing w:before="0" w:after="283"/>
              <w:jc w:val="right"/>
              <w:rPr/>
            </w:pPr>
            <w:r>
              <w:rPr/>
              <w:t> </w:t>
            </w:r>
          </w:p>
        </w:tc>
        <w:tc>
          <w:tcPr>
            <w:tcW w:w="9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315" w:type="dxa"/>
            <w:gridSpan w:val="2"/>
            <w:tcBorders/>
            <w:shd w:fill="auto" w:val="clear"/>
            <w:vAlign w:val="center"/>
          </w:tcPr>
          <w:p>
            <w:pPr>
              <w:pStyle w:val="TableContents"/>
              <w:spacing w:before="0" w:after="283"/>
              <w:jc w:val="right"/>
              <w:rPr/>
            </w:pPr>
            <w:r>
              <w:rPr/>
              <w:t> </w:t>
            </w:r>
          </w:p>
        </w:tc>
        <w:tc>
          <w:tcPr>
            <w:tcW w:w="110" w:type="dxa"/>
            <w:tcBorders/>
            <w:shd w:fill="auto" w:val="clear"/>
            <w:vAlign w:val="center"/>
          </w:tcPr>
          <w:p>
            <w:pPr>
              <w:pStyle w:val="TableContents"/>
              <w:spacing w:before="0" w:after="283"/>
              <w:ind w:left="0" w:right="0" w:hanging="180"/>
              <w:rPr/>
            </w:pPr>
            <w:r>
              <w:rPr/>
              <w:t> </w:t>
            </w:r>
          </w:p>
        </w:tc>
      </w:tr>
      <w:tr>
        <w:trPr/>
        <w:tc>
          <w:tcPr>
            <w:tcW w:w="7160" w:type="dxa"/>
            <w:tcBorders/>
            <w:shd w:fill="CCEEFF" w:val="clear"/>
            <w:vAlign w:val="center"/>
          </w:tcPr>
          <w:p>
            <w:pPr>
              <w:pStyle w:val="TableContents"/>
              <w:spacing w:before="0" w:after="283"/>
              <w:jc w:val="left"/>
              <w:rPr/>
            </w:pPr>
            <w:r>
              <w:rPr/>
              <w:t>Net income</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w:t>
            </w:r>
          </w:p>
        </w:tc>
        <w:tc>
          <w:tcPr>
            <w:tcW w:w="1055" w:type="dxa"/>
            <w:tcBorders/>
            <w:shd w:fill="CCEEFF" w:val="clear"/>
            <w:vAlign w:val="center"/>
          </w:tcPr>
          <w:p>
            <w:pPr>
              <w:pStyle w:val="TableContents"/>
              <w:spacing w:before="0" w:after="283"/>
              <w:jc w:val="right"/>
              <w:rPr/>
            </w:pPr>
            <w:r>
              <w:rPr/>
              <w:t>955,240</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w:t>
            </w:r>
          </w:p>
        </w:tc>
        <w:tc>
          <w:tcPr>
            <w:tcW w:w="1175" w:type="dxa"/>
            <w:tcBorders/>
            <w:shd w:fill="CCEEFF" w:val="clear"/>
            <w:vAlign w:val="center"/>
          </w:tcPr>
          <w:p>
            <w:pPr>
              <w:pStyle w:val="TableContents"/>
              <w:spacing w:before="0" w:after="283"/>
              <w:jc w:val="right"/>
              <w:rPr/>
            </w:pPr>
            <w:r>
              <w:rPr/>
              <w:t>3,461,107</w:t>
            </w:r>
          </w:p>
        </w:tc>
        <w:tc>
          <w:tcPr>
            <w:tcW w:w="110" w:type="dxa"/>
            <w:tcBorders/>
            <w:shd w:fill="CCEEFF" w:val="clear"/>
            <w:vAlign w:val="center"/>
          </w:tcPr>
          <w:p>
            <w:pPr>
              <w:pStyle w:val="TableContents"/>
              <w:spacing w:before="0" w:after="283"/>
              <w:ind w:left="0" w:right="0" w:hanging="180"/>
              <w:jc w:val="left"/>
              <w:rPr/>
            </w:pPr>
            <w:r>
              <w:rPr/>
              <w:t> </w:t>
            </w:r>
          </w:p>
        </w:tc>
      </w:tr>
      <w:tr>
        <w:trPr/>
        <w:tc>
          <w:tcPr>
            <w:tcW w:w="7160" w:type="dxa"/>
            <w:tcBorders/>
            <w:shd w:fill="auto" w:val="clear"/>
            <w:vAlign w:val="center"/>
          </w:tcPr>
          <w:p>
            <w:pPr>
              <w:pStyle w:val="TableContents"/>
              <w:spacing w:before="0" w:after="283"/>
              <w:jc w:val="left"/>
              <w:rPr/>
            </w:pPr>
            <w:r>
              <w:rPr/>
              <w:t>Adjustments to reconcile net income to net cash used in operating activities:</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jc w:val="left"/>
              <w:rPr/>
            </w:pPr>
            <w:r>
              <w:rPr/>
              <w:t> </w:t>
            </w:r>
          </w:p>
        </w:tc>
        <w:tc>
          <w:tcPr>
            <w:tcW w:w="1055" w:type="dxa"/>
            <w:tcBorders/>
            <w:shd w:fill="auto" w:val="clear"/>
            <w:vAlign w:val="center"/>
          </w:tcPr>
          <w:p>
            <w:pPr>
              <w:pStyle w:val="TableContents"/>
              <w:spacing w:before="0" w:after="283"/>
              <w:jc w:val="right"/>
              <w:rPr/>
            </w:pPr>
            <w:r>
              <w:rPr/>
              <w:t> </w:t>
            </w:r>
          </w:p>
        </w:tc>
        <w:tc>
          <w:tcPr>
            <w:tcW w:w="95"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jc w:val="left"/>
              <w:rPr/>
            </w:pPr>
            <w:r>
              <w:rPr/>
              <w:t> </w:t>
            </w:r>
          </w:p>
        </w:tc>
        <w:tc>
          <w:tcPr>
            <w:tcW w:w="1175" w:type="dxa"/>
            <w:tcBorders/>
            <w:shd w:fill="auto" w:val="clear"/>
            <w:vAlign w:val="center"/>
          </w:tcPr>
          <w:p>
            <w:pPr>
              <w:pStyle w:val="TableContents"/>
              <w:spacing w:before="0" w:after="283"/>
              <w:jc w:val="right"/>
              <w:rPr/>
            </w:pPr>
            <w:r>
              <w:rPr/>
              <w:t> </w:t>
            </w:r>
          </w:p>
        </w:tc>
        <w:tc>
          <w:tcPr>
            <w:tcW w:w="110" w:type="dxa"/>
            <w:tcBorders/>
            <w:shd w:fill="auto" w:val="clear"/>
            <w:vAlign w:val="center"/>
          </w:tcPr>
          <w:p>
            <w:pPr>
              <w:pStyle w:val="TableContents"/>
              <w:spacing w:before="0" w:after="283"/>
              <w:ind w:left="0" w:right="0" w:hanging="180"/>
              <w:jc w:val="left"/>
              <w:rPr/>
            </w:pPr>
            <w:r>
              <w:rPr/>
              <w:t> </w:t>
            </w:r>
          </w:p>
        </w:tc>
      </w:tr>
      <w:tr>
        <w:trPr/>
        <w:tc>
          <w:tcPr>
            <w:tcW w:w="7160" w:type="dxa"/>
            <w:tcBorders/>
            <w:shd w:fill="CCEEFF" w:val="clear"/>
            <w:vAlign w:val="center"/>
          </w:tcPr>
          <w:p>
            <w:pPr>
              <w:pStyle w:val="TableContents"/>
              <w:spacing w:before="0" w:after="283"/>
              <w:jc w:val="left"/>
              <w:rPr/>
            </w:pPr>
            <w:r>
              <w:rPr/>
              <w:t>Change in fair value of warrant liabilities</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1055" w:type="dxa"/>
            <w:tcBorders/>
            <w:shd w:fill="CCEEFF" w:val="clear"/>
            <w:vAlign w:val="center"/>
          </w:tcPr>
          <w:p>
            <w:pPr>
              <w:pStyle w:val="TableContents"/>
              <w:spacing w:before="0" w:after="283"/>
              <w:jc w:val="right"/>
              <w:rPr/>
            </w:pPr>
            <w:r>
              <w:rPr/>
              <w:t>(1,668,750</w:t>
            </w:r>
          </w:p>
        </w:tc>
        <w:tc>
          <w:tcPr>
            <w:tcW w:w="95" w:type="dxa"/>
            <w:tcBorders/>
            <w:shd w:fill="CCEEFF" w:val="clear"/>
            <w:vAlign w:val="center"/>
          </w:tcPr>
          <w:p>
            <w:pPr>
              <w:pStyle w:val="TableContents"/>
              <w:spacing w:before="0" w:after="283"/>
              <w:jc w:val="left"/>
              <w:rPr/>
            </w:pPr>
            <w:r>
              <w:rPr/>
              <w:t>)</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1175" w:type="dxa"/>
            <w:tcBorders/>
            <w:shd w:fill="CCEEFF" w:val="clear"/>
            <w:vAlign w:val="center"/>
          </w:tcPr>
          <w:p>
            <w:pPr>
              <w:pStyle w:val="TableContents"/>
              <w:spacing w:before="0" w:after="283"/>
              <w:jc w:val="right"/>
              <w:rPr/>
            </w:pPr>
            <w:r>
              <w:rPr/>
              <w:t>(3,818,250</w:t>
            </w:r>
          </w:p>
        </w:tc>
        <w:tc>
          <w:tcPr>
            <w:tcW w:w="110" w:type="dxa"/>
            <w:tcBorders/>
            <w:shd w:fill="CCEEFF" w:val="clear"/>
            <w:vAlign w:val="center"/>
          </w:tcPr>
          <w:p>
            <w:pPr>
              <w:pStyle w:val="TableContents"/>
              <w:spacing w:before="0" w:after="283"/>
              <w:ind w:left="0" w:right="0" w:hanging="180"/>
              <w:jc w:val="left"/>
              <w:rPr/>
            </w:pPr>
            <w:r>
              <w:rPr/>
              <w:t>)</w:t>
            </w:r>
          </w:p>
        </w:tc>
      </w:tr>
      <w:tr>
        <w:trPr/>
        <w:tc>
          <w:tcPr>
            <w:tcW w:w="7160" w:type="dxa"/>
            <w:tcBorders/>
            <w:shd w:fill="auto" w:val="clear"/>
            <w:vAlign w:val="center"/>
          </w:tcPr>
          <w:p>
            <w:pPr>
              <w:pStyle w:val="TableContents"/>
              <w:spacing w:before="0" w:after="283"/>
              <w:jc w:val="left"/>
              <w:rPr/>
            </w:pPr>
            <w:r>
              <w:rPr/>
              <w:t>Loss on initial issuance of private warrants</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jc w:val="left"/>
              <w:rPr/>
            </w:pPr>
            <w:r>
              <w:rPr/>
              <w:t> </w:t>
            </w:r>
          </w:p>
        </w:tc>
        <w:tc>
          <w:tcPr>
            <w:tcW w:w="1055" w:type="dxa"/>
            <w:tcBorders/>
            <w:shd w:fill="auto" w:val="clear"/>
            <w:vAlign w:val="center"/>
          </w:tcPr>
          <w:p>
            <w:pPr>
              <w:pStyle w:val="TableContents"/>
              <w:spacing w:before="0" w:after="0"/>
              <w:jc w:val="right"/>
              <w:rPr/>
            </w:pPr>
            <w:r>
              <w:rPr/>
              <w:t>—</w:t>
            </w:r>
          </w:p>
        </w:tc>
        <w:tc>
          <w:tcPr>
            <w:tcW w:w="95"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jc w:val="left"/>
              <w:rPr/>
            </w:pPr>
            <w:r>
              <w:rPr/>
              <w:t> </w:t>
            </w:r>
          </w:p>
        </w:tc>
        <w:tc>
          <w:tcPr>
            <w:tcW w:w="1175" w:type="dxa"/>
            <w:tcBorders/>
            <w:shd w:fill="auto" w:val="clear"/>
            <w:vAlign w:val="center"/>
          </w:tcPr>
          <w:p>
            <w:pPr>
              <w:pStyle w:val="TableContents"/>
              <w:spacing w:before="0" w:after="283"/>
              <w:jc w:val="right"/>
              <w:rPr/>
            </w:pPr>
            <w:r>
              <w:rPr/>
              <w:t>162,000</w:t>
            </w:r>
          </w:p>
        </w:tc>
        <w:tc>
          <w:tcPr>
            <w:tcW w:w="110" w:type="dxa"/>
            <w:tcBorders/>
            <w:shd w:fill="auto" w:val="clear"/>
            <w:vAlign w:val="center"/>
          </w:tcPr>
          <w:p>
            <w:pPr>
              <w:pStyle w:val="TableContents"/>
              <w:spacing w:before="0" w:after="283"/>
              <w:ind w:left="0" w:right="0" w:hanging="180"/>
              <w:jc w:val="left"/>
              <w:rPr/>
            </w:pPr>
            <w:r>
              <w:rPr/>
              <w:t> </w:t>
            </w:r>
          </w:p>
        </w:tc>
      </w:tr>
      <w:tr>
        <w:trPr/>
        <w:tc>
          <w:tcPr>
            <w:tcW w:w="7160" w:type="dxa"/>
            <w:tcBorders/>
            <w:shd w:fill="CCEEFF" w:val="clear"/>
            <w:vAlign w:val="center"/>
          </w:tcPr>
          <w:p>
            <w:pPr>
              <w:pStyle w:val="TableContents"/>
              <w:spacing w:before="0" w:after="283"/>
              <w:jc w:val="left"/>
              <w:rPr/>
            </w:pPr>
            <w:r>
              <w:rPr/>
              <w:t>Interest earned on marketable securities held in Trust Account</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1055" w:type="dxa"/>
            <w:tcBorders/>
            <w:shd w:fill="CCEEFF" w:val="clear"/>
            <w:vAlign w:val="center"/>
          </w:tcPr>
          <w:p>
            <w:pPr>
              <w:pStyle w:val="TableContents"/>
              <w:spacing w:before="0" w:after="283"/>
              <w:jc w:val="right"/>
              <w:rPr/>
            </w:pPr>
            <w:r>
              <w:rPr/>
              <w:t>(18,319</w:t>
            </w:r>
          </w:p>
        </w:tc>
        <w:tc>
          <w:tcPr>
            <w:tcW w:w="95" w:type="dxa"/>
            <w:tcBorders/>
            <w:shd w:fill="CCEEFF" w:val="clear"/>
            <w:vAlign w:val="center"/>
          </w:tcPr>
          <w:p>
            <w:pPr>
              <w:pStyle w:val="TableContents"/>
              <w:spacing w:before="0" w:after="283"/>
              <w:jc w:val="left"/>
              <w:rPr/>
            </w:pPr>
            <w:r>
              <w:rPr/>
              <w:t>)</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1175" w:type="dxa"/>
            <w:tcBorders/>
            <w:shd w:fill="CCEEFF" w:val="clear"/>
            <w:vAlign w:val="center"/>
          </w:tcPr>
          <w:p>
            <w:pPr>
              <w:pStyle w:val="TableContents"/>
              <w:spacing w:before="0" w:after="283"/>
              <w:jc w:val="right"/>
              <w:rPr/>
            </w:pPr>
            <w:r>
              <w:rPr/>
              <w:t>(26,175</w:t>
            </w:r>
          </w:p>
        </w:tc>
        <w:tc>
          <w:tcPr>
            <w:tcW w:w="110" w:type="dxa"/>
            <w:tcBorders/>
            <w:shd w:fill="CCEEFF" w:val="clear"/>
            <w:vAlign w:val="center"/>
          </w:tcPr>
          <w:p>
            <w:pPr>
              <w:pStyle w:val="TableContents"/>
              <w:spacing w:before="0" w:after="283"/>
              <w:ind w:left="0" w:right="0" w:hanging="180"/>
              <w:jc w:val="left"/>
              <w:rPr/>
            </w:pPr>
            <w:r>
              <w:rPr/>
              <w:t>)</w:t>
            </w:r>
          </w:p>
        </w:tc>
      </w:tr>
      <w:tr>
        <w:trPr/>
        <w:tc>
          <w:tcPr>
            <w:tcW w:w="7160" w:type="dxa"/>
            <w:tcBorders/>
            <w:shd w:fill="auto" w:val="clear"/>
            <w:vAlign w:val="center"/>
          </w:tcPr>
          <w:p>
            <w:pPr>
              <w:pStyle w:val="TableContents"/>
              <w:spacing w:before="0" w:after="283"/>
              <w:jc w:val="left"/>
              <w:rPr/>
            </w:pPr>
            <w:r>
              <w:rPr/>
              <w:t>Changes in operating assets and liabilities:</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jc w:val="left"/>
              <w:rPr/>
            </w:pPr>
            <w:r>
              <w:rPr/>
              <w:t> </w:t>
            </w:r>
          </w:p>
        </w:tc>
        <w:tc>
          <w:tcPr>
            <w:tcW w:w="1055" w:type="dxa"/>
            <w:tcBorders/>
            <w:shd w:fill="auto" w:val="clear"/>
            <w:vAlign w:val="center"/>
          </w:tcPr>
          <w:p>
            <w:pPr>
              <w:pStyle w:val="TableContents"/>
              <w:spacing w:before="0" w:after="283"/>
              <w:jc w:val="right"/>
              <w:rPr/>
            </w:pPr>
            <w:r>
              <w:rPr/>
              <w:t> </w:t>
            </w:r>
          </w:p>
        </w:tc>
        <w:tc>
          <w:tcPr>
            <w:tcW w:w="95"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jc w:val="left"/>
              <w:rPr/>
            </w:pPr>
            <w:r>
              <w:rPr/>
              <w:t> </w:t>
            </w:r>
          </w:p>
        </w:tc>
        <w:tc>
          <w:tcPr>
            <w:tcW w:w="1175" w:type="dxa"/>
            <w:tcBorders/>
            <w:shd w:fill="auto" w:val="clear"/>
            <w:vAlign w:val="center"/>
          </w:tcPr>
          <w:p>
            <w:pPr>
              <w:pStyle w:val="TableContents"/>
              <w:spacing w:before="0" w:after="283"/>
              <w:jc w:val="right"/>
              <w:rPr/>
            </w:pPr>
            <w:r>
              <w:rPr/>
              <w:t> </w:t>
            </w:r>
          </w:p>
        </w:tc>
        <w:tc>
          <w:tcPr>
            <w:tcW w:w="110" w:type="dxa"/>
            <w:tcBorders/>
            <w:shd w:fill="auto" w:val="clear"/>
            <w:vAlign w:val="center"/>
          </w:tcPr>
          <w:p>
            <w:pPr>
              <w:pStyle w:val="TableContents"/>
              <w:spacing w:before="0" w:after="283"/>
              <w:ind w:left="0" w:right="0" w:hanging="180"/>
              <w:jc w:val="left"/>
              <w:rPr/>
            </w:pPr>
            <w:r>
              <w:rPr/>
              <w:t> </w:t>
            </w:r>
          </w:p>
        </w:tc>
      </w:tr>
      <w:tr>
        <w:trPr/>
        <w:tc>
          <w:tcPr>
            <w:tcW w:w="7160" w:type="dxa"/>
            <w:tcBorders/>
            <w:shd w:fill="CCEEFF" w:val="clear"/>
            <w:vAlign w:val="center"/>
          </w:tcPr>
          <w:p>
            <w:pPr>
              <w:pStyle w:val="TableContents"/>
              <w:spacing w:before="0" w:after="283"/>
              <w:jc w:val="left"/>
              <w:rPr/>
            </w:pPr>
            <w:r>
              <w:rPr/>
              <w:t>Prepaid expenses</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1055" w:type="dxa"/>
            <w:tcBorders/>
            <w:shd w:fill="CCEEFF" w:val="clear"/>
            <w:vAlign w:val="center"/>
          </w:tcPr>
          <w:p>
            <w:pPr>
              <w:pStyle w:val="TableContents"/>
              <w:spacing w:before="0" w:after="283"/>
              <w:jc w:val="right"/>
              <w:rPr/>
            </w:pPr>
            <w:r>
              <w:rPr/>
              <w:t>(17,627</w:t>
            </w:r>
          </w:p>
        </w:tc>
        <w:tc>
          <w:tcPr>
            <w:tcW w:w="95" w:type="dxa"/>
            <w:tcBorders/>
            <w:shd w:fill="CCEEFF" w:val="clear"/>
            <w:vAlign w:val="center"/>
          </w:tcPr>
          <w:p>
            <w:pPr>
              <w:pStyle w:val="TableContents"/>
              <w:spacing w:before="0" w:after="283"/>
              <w:jc w:val="left"/>
              <w:rPr/>
            </w:pPr>
            <w:r>
              <w:rPr/>
              <w:t>)</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1175" w:type="dxa"/>
            <w:tcBorders/>
            <w:shd w:fill="CCEEFF" w:val="clear"/>
            <w:vAlign w:val="center"/>
          </w:tcPr>
          <w:p>
            <w:pPr>
              <w:pStyle w:val="TableContents"/>
              <w:spacing w:before="0" w:after="283"/>
              <w:jc w:val="right"/>
              <w:rPr/>
            </w:pPr>
            <w:r>
              <w:rPr/>
              <w:t>(202,442</w:t>
            </w:r>
          </w:p>
        </w:tc>
        <w:tc>
          <w:tcPr>
            <w:tcW w:w="110" w:type="dxa"/>
            <w:tcBorders/>
            <w:shd w:fill="CCEEFF" w:val="clear"/>
            <w:vAlign w:val="center"/>
          </w:tcPr>
          <w:p>
            <w:pPr>
              <w:pStyle w:val="TableContents"/>
              <w:spacing w:before="0" w:after="283"/>
              <w:ind w:left="0" w:right="0" w:hanging="180"/>
              <w:jc w:val="left"/>
              <w:rPr/>
            </w:pPr>
            <w:r>
              <w:rPr/>
              <w:t>)</w:t>
            </w:r>
          </w:p>
        </w:tc>
      </w:tr>
      <w:tr>
        <w:trPr/>
        <w:tc>
          <w:tcPr>
            <w:tcW w:w="7160" w:type="dxa"/>
            <w:tcBorders/>
            <w:shd w:fill="auto" w:val="clear"/>
            <w:vAlign w:val="center"/>
          </w:tcPr>
          <w:p>
            <w:pPr>
              <w:pStyle w:val="TableContents"/>
              <w:spacing w:before="0" w:after="283"/>
              <w:jc w:val="left"/>
              <w:rPr/>
            </w:pPr>
            <w:r>
              <w:rPr/>
              <w:t>Accounts payable and accrued expenses</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jc w:val="left"/>
              <w:rPr/>
            </w:pPr>
            <w:r>
              <w:rPr/>
              <w:t> </w:t>
            </w:r>
          </w:p>
        </w:tc>
        <w:tc>
          <w:tcPr>
            <w:tcW w:w="1055" w:type="dxa"/>
            <w:tcBorders/>
            <w:shd w:fill="auto" w:val="clear"/>
            <w:vAlign w:val="center"/>
          </w:tcPr>
          <w:p>
            <w:pPr>
              <w:pStyle w:val="TableContents"/>
              <w:spacing w:before="0" w:after="283"/>
              <w:jc w:val="right"/>
              <w:rPr/>
            </w:pPr>
            <w:r>
              <w:rPr/>
              <w:t>466,155</w:t>
            </w:r>
          </w:p>
        </w:tc>
        <w:tc>
          <w:tcPr>
            <w:tcW w:w="95"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jc w:val="left"/>
              <w:rPr/>
            </w:pPr>
            <w:r>
              <w:rPr/>
              <w:t> </w:t>
            </w:r>
          </w:p>
        </w:tc>
        <w:tc>
          <w:tcPr>
            <w:tcW w:w="1175" w:type="dxa"/>
            <w:tcBorders/>
            <w:shd w:fill="auto" w:val="clear"/>
            <w:vAlign w:val="center"/>
          </w:tcPr>
          <w:p>
            <w:pPr>
              <w:pStyle w:val="TableContents"/>
              <w:spacing w:before="0" w:after="283"/>
              <w:jc w:val="right"/>
              <w:rPr/>
            </w:pPr>
            <w:r>
              <w:rPr/>
              <w:t>44,911</w:t>
            </w:r>
          </w:p>
        </w:tc>
        <w:tc>
          <w:tcPr>
            <w:tcW w:w="110" w:type="dxa"/>
            <w:tcBorders/>
            <w:shd w:fill="auto" w:val="clear"/>
            <w:vAlign w:val="center"/>
          </w:tcPr>
          <w:p>
            <w:pPr>
              <w:pStyle w:val="TableContents"/>
              <w:spacing w:before="0" w:after="283"/>
              <w:ind w:left="0" w:right="0" w:hanging="180"/>
              <w:jc w:val="left"/>
              <w:rPr/>
            </w:pPr>
            <w:r>
              <w:rPr/>
              <w:t> </w:t>
            </w:r>
          </w:p>
        </w:tc>
      </w:tr>
      <w:tr>
        <w:trPr/>
        <w:tc>
          <w:tcPr>
            <w:tcW w:w="7160" w:type="dxa"/>
            <w:tcBorders/>
            <w:shd w:fill="CCEEFF" w:val="clear"/>
            <w:vAlign w:val="center"/>
          </w:tcPr>
          <w:p>
            <w:pPr>
              <w:pStyle w:val="TableContents"/>
              <w:spacing w:before="0" w:after="283"/>
              <w:jc w:val="left"/>
              <w:rPr/>
            </w:pPr>
            <w:r>
              <w:rPr/>
              <w:t>Income taxes payable</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1055" w:type="dxa"/>
            <w:tcBorders/>
            <w:shd w:fill="CCEEFF" w:val="clear"/>
            <w:vAlign w:val="center"/>
          </w:tcPr>
          <w:p>
            <w:pPr>
              <w:pStyle w:val="TableContents"/>
              <w:spacing w:before="0" w:after="0"/>
              <w:jc w:val="right"/>
              <w:rPr/>
            </w:pPr>
            <w:r>
              <w:rPr/>
              <w:t>—</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1175" w:type="dxa"/>
            <w:tcBorders/>
            <w:shd w:fill="CCEEFF" w:val="clear"/>
            <w:vAlign w:val="center"/>
          </w:tcPr>
          <w:p>
            <w:pPr>
              <w:pStyle w:val="TableContents"/>
              <w:spacing w:before="0" w:after="283"/>
              <w:jc w:val="right"/>
              <w:rPr/>
            </w:pPr>
            <w:r>
              <w:rPr/>
              <w:t>4,342</w:t>
            </w:r>
          </w:p>
        </w:tc>
        <w:tc>
          <w:tcPr>
            <w:tcW w:w="110" w:type="dxa"/>
            <w:tcBorders/>
            <w:shd w:fill="CCEEFF" w:val="clear"/>
            <w:vAlign w:val="center"/>
          </w:tcPr>
          <w:p>
            <w:pPr>
              <w:pStyle w:val="TableContents"/>
              <w:spacing w:before="0" w:after="283"/>
              <w:ind w:left="0" w:right="0" w:hanging="180"/>
              <w:jc w:val="left"/>
              <w:rPr/>
            </w:pPr>
            <w:r>
              <w:rPr/>
              <w:t> </w:t>
            </w:r>
          </w:p>
        </w:tc>
      </w:tr>
      <w:tr>
        <w:trPr/>
        <w:tc>
          <w:tcPr>
            <w:tcW w:w="7160" w:type="dxa"/>
            <w:tcBorders/>
            <w:shd w:fill="auto" w:val="clear"/>
            <w:vAlign w:val="center"/>
          </w:tcPr>
          <w:p>
            <w:pPr>
              <w:pStyle w:val="TableContents"/>
              <w:spacing w:before="0" w:after="283"/>
              <w:jc w:val="left"/>
              <w:rPr/>
            </w:pPr>
            <w:r>
              <w:rPr/>
              <w:t>Due to related party</w:t>
            </w:r>
          </w:p>
        </w:tc>
        <w:tc>
          <w:tcPr>
            <w:tcW w:w="60" w:type="dxa"/>
            <w:tcBorders/>
            <w:shd w:fill="auto" w:val="clear"/>
            <w:vAlign w:val="center"/>
          </w:tcPr>
          <w:p>
            <w:pPr>
              <w:pStyle w:val="TableContents"/>
              <w:spacing w:before="0" w:after="283"/>
              <w:rPr/>
            </w:pPr>
            <w:r>
              <w:rPr/>
              <w:t> </w:t>
            </w:r>
          </w:p>
        </w:tc>
        <w:tc>
          <w:tcPr>
            <w:tcW w:w="140" w:type="dxa"/>
            <w:tcBorders>
              <w:bottom w:val="single" w:sz="12" w:space="0" w:color="000000"/>
            </w:tcBorders>
            <w:shd w:fill="auto" w:val="clear"/>
            <w:tcMar>
              <w:bottom w:w="28" w:type="dxa"/>
            </w:tcMar>
            <w:vAlign w:val="center"/>
          </w:tcPr>
          <w:p>
            <w:pPr>
              <w:pStyle w:val="TableContents"/>
              <w:spacing w:before="0" w:after="283"/>
              <w:jc w:val="left"/>
              <w:rPr/>
            </w:pPr>
            <w:r>
              <w:rPr/>
              <w:t> </w:t>
            </w:r>
          </w:p>
        </w:tc>
        <w:tc>
          <w:tcPr>
            <w:tcW w:w="1055" w:type="dxa"/>
            <w:tcBorders>
              <w:bottom w:val="single" w:sz="12" w:space="0" w:color="000000"/>
            </w:tcBorders>
            <w:shd w:fill="auto" w:val="clear"/>
            <w:tcMar>
              <w:bottom w:w="28" w:type="dxa"/>
            </w:tcMar>
            <w:vAlign w:val="center"/>
          </w:tcPr>
          <w:p>
            <w:pPr>
              <w:pStyle w:val="TableContents"/>
              <w:spacing w:before="0" w:after="283"/>
              <w:jc w:val="right"/>
              <w:rPr/>
            </w:pPr>
            <w:r>
              <w:rPr/>
              <w:t>30,000</w:t>
            </w:r>
          </w:p>
        </w:tc>
        <w:tc>
          <w:tcPr>
            <w:tcW w:w="95"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40" w:type="dxa"/>
            <w:tcBorders>
              <w:bottom w:val="single" w:sz="12" w:space="0" w:color="000000"/>
            </w:tcBorders>
            <w:shd w:fill="auto" w:val="clear"/>
            <w:tcMar>
              <w:bottom w:w="28" w:type="dxa"/>
            </w:tcMar>
            <w:vAlign w:val="center"/>
          </w:tcPr>
          <w:p>
            <w:pPr>
              <w:pStyle w:val="TableContents"/>
              <w:spacing w:before="0" w:after="283"/>
              <w:jc w:val="left"/>
              <w:rPr/>
            </w:pPr>
            <w:r>
              <w:rPr/>
              <w:t> </w:t>
            </w:r>
          </w:p>
        </w:tc>
        <w:tc>
          <w:tcPr>
            <w:tcW w:w="1175" w:type="dxa"/>
            <w:tcBorders>
              <w:bottom w:val="single" w:sz="12" w:space="0" w:color="000000"/>
            </w:tcBorders>
            <w:shd w:fill="auto" w:val="clear"/>
            <w:tcMar>
              <w:bottom w:w="28" w:type="dxa"/>
            </w:tcMar>
            <w:vAlign w:val="center"/>
          </w:tcPr>
          <w:p>
            <w:pPr>
              <w:pStyle w:val="TableContents"/>
              <w:spacing w:before="0" w:after="283"/>
              <w:jc w:val="right"/>
              <w:rPr/>
            </w:pPr>
            <w:r>
              <w:rPr/>
              <w:t>30,000</w:t>
            </w:r>
          </w:p>
        </w:tc>
        <w:tc>
          <w:tcPr>
            <w:tcW w:w="110" w:type="dxa"/>
            <w:tcBorders/>
            <w:shd w:fill="auto" w:val="clear"/>
            <w:vAlign w:val="center"/>
          </w:tcPr>
          <w:p>
            <w:pPr>
              <w:pStyle w:val="TableContents"/>
              <w:spacing w:before="0" w:after="283"/>
              <w:ind w:left="0" w:right="0" w:hanging="180"/>
              <w:jc w:val="left"/>
              <w:rPr/>
            </w:pPr>
            <w:r>
              <w:rPr/>
              <w:t> </w:t>
            </w:r>
          </w:p>
        </w:tc>
      </w:tr>
      <w:tr>
        <w:trPr/>
        <w:tc>
          <w:tcPr>
            <w:tcW w:w="7160" w:type="dxa"/>
            <w:tcBorders/>
            <w:shd w:fill="CCEEFF" w:val="clear"/>
            <w:vAlign w:val="center"/>
          </w:tcPr>
          <w:p>
            <w:pPr>
              <w:pStyle w:val="TableContents"/>
              <w:spacing w:before="0" w:after="283"/>
              <w:jc w:val="left"/>
              <w:rPr>
                <w:b/>
              </w:rPr>
            </w:pPr>
            <w:r>
              <w:rPr>
                <w:b/>
              </w:rPr>
              <w:t>Net cash used in operating activities</w:t>
            </w:r>
          </w:p>
        </w:tc>
        <w:tc>
          <w:tcPr>
            <w:tcW w:w="60" w:type="dxa"/>
            <w:tcBorders/>
            <w:shd w:fill="CCEEFF" w:val="clear"/>
            <w:vAlign w:val="center"/>
          </w:tcPr>
          <w:p>
            <w:pPr>
              <w:pStyle w:val="TableContents"/>
              <w:spacing w:before="0" w:after="283"/>
              <w:rPr/>
            </w:pPr>
            <w:r>
              <w:rPr/>
              <w:t> </w:t>
            </w:r>
          </w:p>
        </w:tc>
        <w:tc>
          <w:tcPr>
            <w:tcW w:w="140" w:type="dxa"/>
            <w:tcBorders>
              <w:bottom w:val="single" w:sz="12" w:space="0" w:color="000000"/>
            </w:tcBorders>
            <w:shd w:fill="CCEEFF" w:val="clear"/>
            <w:tcMar>
              <w:bottom w:w="28" w:type="dxa"/>
            </w:tcMar>
            <w:vAlign w:val="center"/>
          </w:tcPr>
          <w:p>
            <w:pPr>
              <w:pStyle w:val="TableContents"/>
              <w:spacing w:before="0" w:after="283"/>
              <w:jc w:val="left"/>
              <w:rPr/>
            </w:pPr>
            <w:r>
              <w:rPr/>
              <w:t> </w:t>
            </w:r>
          </w:p>
        </w:tc>
        <w:tc>
          <w:tcPr>
            <w:tcW w:w="1055" w:type="dxa"/>
            <w:tcBorders>
              <w:bottom w:val="single" w:sz="12" w:space="0" w:color="000000"/>
            </w:tcBorders>
            <w:shd w:fill="CCEEFF" w:val="clear"/>
            <w:tcMar>
              <w:bottom w:w="28" w:type="dxa"/>
            </w:tcMar>
            <w:vAlign w:val="center"/>
          </w:tcPr>
          <w:p>
            <w:pPr>
              <w:pStyle w:val="TableContents"/>
              <w:spacing w:before="0" w:after="283"/>
              <w:jc w:val="right"/>
              <w:rPr>
                <w:b/>
              </w:rPr>
            </w:pPr>
            <w:r>
              <w:rPr>
                <w:b/>
              </w:rPr>
              <w:t>(253,301</w:t>
            </w:r>
          </w:p>
        </w:tc>
        <w:tc>
          <w:tcPr>
            <w:tcW w:w="95" w:type="dxa"/>
            <w:tcBorders/>
            <w:shd w:fill="CCEEFF" w:val="clear"/>
            <w:vAlign w:val="center"/>
          </w:tcPr>
          <w:p>
            <w:pPr>
              <w:pStyle w:val="TableContents"/>
              <w:spacing w:before="0" w:after="283"/>
              <w:jc w:val="left"/>
              <w:rPr>
                <w:b/>
              </w:rPr>
            </w:pPr>
            <w:r>
              <w:rPr>
                <w:b/>
              </w:rPr>
              <w:t>)</w:t>
            </w:r>
          </w:p>
        </w:tc>
        <w:tc>
          <w:tcPr>
            <w:tcW w:w="60" w:type="dxa"/>
            <w:tcBorders/>
            <w:shd w:fill="CCEEFF" w:val="clear"/>
            <w:vAlign w:val="center"/>
          </w:tcPr>
          <w:p>
            <w:pPr>
              <w:pStyle w:val="TableContents"/>
              <w:spacing w:before="0" w:after="283"/>
              <w:rPr/>
            </w:pPr>
            <w:r>
              <w:rPr/>
              <w:t> </w:t>
            </w:r>
          </w:p>
        </w:tc>
        <w:tc>
          <w:tcPr>
            <w:tcW w:w="140" w:type="dxa"/>
            <w:tcBorders>
              <w:bottom w:val="single" w:sz="12" w:space="0" w:color="000000"/>
            </w:tcBorders>
            <w:shd w:fill="CCEEFF" w:val="clear"/>
            <w:tcMar>
              <w:bottom w:w="28" w:type="dxa"/>
            </w:tcMar>
            <w:vAlign w:val="center"/>
          </w:tcPr>
          <w:p>
            <w:pPr>
              <w:pStyle w:val="TableContents"/>
              <w:spacing w:before="0" w:after="283"/>
              <w:jc w:val="left"/>
              <w:rPr/>
            </w:pPr>
            <w:r>
              <w:rPr/>
              <w:t> </w:t>
            </w:r>
          </w:p>
        </w:tc>
        <w:tc>
          <w:tcPr>
            <w:tcW w:w="1175" w:type="dxa"/>
            <w:tcBorders>
              <w:bottom w:val="single" w:sz="12" w:space="0" w:color="000000"/>
            </w:tcBorders>
            <w:shd w:fill="CCEEFF" w:val="clear"/>
            <w:tcMar>
              <w:bottom w:w="28" w:type="dxa"/>
            </w:tcMar>
            <w:vAlign w:val="center"/>
          </w:tcPr>
          <w:p>
            <w:pPr>
              <w:pStyle w:val="TableContents"/>
              <w:spacing w:before="0" w:after="283"/>
              <w:jc w:val="right"/>
              <w:rPr>
                <w:b/>
              </w:rPr>
            </w:pPr>
            <w:r>
              <w:rPr>
                <w:b/>
              </w:rPr>
              <w:t>(344,507</w:t>
            </w:r>
          </w:p>
        </w:tc>
        <w:tc>
          <w:tcPr>
            <w:tcW w:w="110" w:type="dxa"/>
            <w:tcBorders/>
            <w:shd w:fill="CCEEFF" w:val="clear"/>
            <w:vAlign w:val="center"/>
          </w:tcPr>
          <w:p>
            <w:pPr>
              <w:pStyle w:val="TableContents"/>
              <w:spacing w:before="0" w:after="283"/>
              <w:ind w:left="0" w:right="0" w:hanging="180"/>
              <w:jc w:val="left"/>
              <w:rPr>
                <w:b/>
              </w:rPr>
            </w:pPr>
            <w:r>
              <w:rPr>
                <w:b/>
              </w:rPr>
              <w:t>)</w:t>
            </w:r>
          </w:p>
        </w:tc>
      </w:tr>
      <w:tr>
        <w:trPr/>
        <w:tc>
          <w:tcPr>
            <w:tcW w:w="71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jc w:val="left"/>
              <w:rPr/>
            </w:pPr>
            <w:r>
              <w:rPr/>
              <w:t> </w:t>
            </w:r>
          </w:p>
        </w:tc>
        <w:tc>
          <w:tcPr>
            <w:tcW w:w="1055" w:type="dxa"/>
            <w:tcBorders/>
            <w:shd w:fill="auto" w:val="clear"/>
            <w:vAlign w:val="center"/>
          </w:tcPr>
          <w:p>
            <w:pPr>
              <w:pStyle w:val="TableContents"/>
              <w:spacing w:before="0" w:after="283"/>
              <w:jc w:val="right"/>
              <w:rPr/>
            </w:pPr>
            <w:r>
              <w:rPr/>
              <w:t> </w:t>
            </w:r>
          </w:p>
        </w:tc>
        <w:tc>
          <w:tcPr>
            <w:tcW w:w="95"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jc w:val="left"/>
              <w:rPr/>
            </w:pPr>
            <w:r>
              <w:rPr/>
              <w:t> </w:t>
            </w:r>
          </w:p>
        </w:tc>
        <w:tc>
          <w:tcPr>
            <w:tcW w:w="1175" w:type="dxa"/>
            <w:tcBorders/>
            <w:shd w:fill="auto" w:val="clear"/>
            <w:vAlign w:val="center"/>
          </w:tcPr>
          <w:p>
            <w:pPr>
              <w:pStyle w:val="TableContents"/>
              <w:spacing w:before="0" w:after="283"/>
              <w:jc w:val="right"/>
              <w:rPr/>
            </w:pPr>
            <w:r>
              <w:rPr/>
              <w:t> </w:t>
            </w:r>
          </w:p>
        </w:tc>
        <w:tc>
          <w:tcPr>
            <w:tcW w:w="110" w:type="dxa"/>
            <w:tcBorders/>
            <w:shd w:fill="auto" w:val="clear"/>
            <w:vAlign w:val="center"/>
          </w:tcPr>
          <w:p>
            <w:pPr>
              <w:pStyle w:val="TableContents"/>
              <w:spacing w:before="0" w:after="283"/>
              <w:ind w:left="0" w:right="0" w:hanging="180"/>
              <w:jc w:val="left"/>
              <w:rPr/>
            </w:pPr>
            <w:r>
              <w:rPr/>
              <w:t> </w:t>
            </w:r>
          </w:p>
        </w:tc>
      </w:tr>
      <w:tr>
        <w:trPr/>
        <w:tc>
          <w:tcPr>
            <w:tcW w:w="7160" w:type="dxa"/>
            <w:tcBorders/>
            <w:shd w:fill="CCEEFF" w:val="clear"/>
            <w:vAlign w:val="center"/>
          </w:tcPr>
          <w:p>
            <w:pPr>
              <w:pStyle w:val="TableContents"/>
              <w:spacing w:before="0" w:after="283"/>
              <w:jc w:val="left"/>
              <w:rPr>
                <w:b/>
              </w:rPr>
            </w:pPr>
            <w:r>
              <w:rPr>
                <w:b/>
              </w:rPr>
              <w:t>Cash Flows from Investing Activities:</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1055" w:type="dxa"/>
            <w:tcBorders/>
            <w:shd w:fill="CCEEFF" w:val="clear"/>
            <w:vAlign w:val="center"/>
          </w:tcPr>
          <w:p>
            <w:pPr>
              <w:pStyle w:val="TableContents"/>
              <w:spacing w:before="0" w:after="283"/>
              <w:jc w:val="right"/>
              <w:rPr/>
            </w:pPr>
            <w:r>
              <w:rPr/>
              <w:t> </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1175" w:type="dxa"/>
            <w:tcBorders/>
            <w:shd w:fill="CCEEFF" w:val="clear"/>
            <w:vAlign w:val="center"/>
          </w:tcPr>
          <w:p>
            <w:pPr>
              <w:pStyle w:val="TableContents"/>
              <w:spacing w:before="0" w:after="283"/>
              <w:jc w:val="right"/>
              <w:rPr/>
            </w:pPr>
            <w:r>
              <w:rPr/>
              <w:t> </w:t>
            </w:r>
          </w:p>
        </w:tc>
        <w:tc>
          <w:tcPr>
            <w:tcW w:w="110" w:type="dxa"/>
            <w:tcBorders/>
            <w:shd w:fill="CCEEFF" w:val="clear"/>
            <w:vAlign w:val="center"/>
          </w:tcPr>
          <w:p>
            <w:pPr>
              <w:pStyle w:val="TableContents"/>
              <w:spacing w:before="0" w:after="283"/>
              <w:ind w:left="0" w:right="0" w:hanging="180"/>
              <w:jc w:val="left"/>
              <w:rPr/>
            </w:pPr>
            <w:r>
              <w:rPr/>
              <w:t> </w:t>
            </w:r>
          </w:p>
        </w:tc>
      </w:tr>
      <w:tr>
        <w:trPr/>
        <w:tc>
          <w:tcPr>
            <w:tcW w:w="7160" w:type="dxa"/>
            <w:tcBorders/>
            <w:shd w:fill="auto" w:val="clear"/>
            <w:vAlign w:val="center"/>
          </w:tcPr>
          <w:p>
            <w:pPr>
              <w:pStyle w:val="TableContents"/>
              <w:spacing w:before="0" w:after="283"/>
              <w:jc w:val="left"/>
              <w:rPr/>
            </w:pPr>
            <w:r>
              <w:rPr/>
              <w:t>Investment of cash in Trust Account</w:t>
            </w:r>
          </w:p>
        </w:tc>
        <w:tc>
          <w:tcPr>
            <w:tcW w:w="60" w:type="dxa"/>
            <w:tcBorders/>
            <w:shd w:fill="auto" w:val="clear"/>
            <w:vAlign w:val="center"/>
          </w:tcPr>
          <w:p>
            <w:pPr>
              <w:pStyle w:val="TableContents"/>
              <w:spacing w:before="0" w:after="283"/>
              <w:rPr/>
            </w:pPr>
            <w:r>
              <w:rPr/>
              <w:t> </w:t>
            </w:r>
          </w:p>
        </w:tc>
        <w:tc>
          <w:tcPr>
            <w:tcW w:w="140" w:type="dxa"/>
            <w:tcBorders>
              <w:bottom w:val="single" w:sz="12" w:space="0" w:color="000000"/>
            </w:tcBorders>
            <w:shd w:fill="auto" w:val="clear"/>
            <w:tcMar>
              <w:bottom w:w="28" w:type="dxa"/>
            </w:tcMar>
            <w:vAlign w:val="center"/>
          </w:tcPr>
          <w:p>
            <w:pPr>
              <w:pStyle w:val="TableContents"/>
              <w:spacing w:before="0" w:after="283"/>
              <w:jc w:val="left"/>
              <w:rPr/>
            </w:pPr>
            <w:r>
              <w:rPr/>
              <w:t> </w:t>
            </w:r>
          </w:p>
        </w:tc>
        <w:tc>
          <w:tcPr>
            <w:tcW w:w="1055" w:type="dxa"/>
            <w:tcBorders>
              <w:bottom w:val="single" w:sz="12" w:space="0" w:color="000000"/>
            </w:tcBorders>
            <w:shd w:fill="auto" w:val="clear"/>
            <w:tcMar>
              <w:bottom w:w="28" w:type="dxa"/>
            </w:tcMar>
            <w:vAlign w:val="center"/>
          </w:tcPr>
          <w:p>
            <w:pPr>
              <w:pStyle w:val="TableContents"/>
              <w:spacing w:before="0" w:after="283"/>
              <w:jc w:val="right"/>
              <w:rPr/>
            </w:pPr>
            <w:r>
              <w:rPr/>
              <w:t>(1,725,000</w:t>
            </w:r>
          </w:p>
        </w:tc>
        <w:tc>
          <w:tcPr>
            <w:tcW w:w="95"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140" w:type="dxa"/>
            <w:tcBorders>
              <w:bottom w:val="single" w:sz="12" w:space="0" w:color="000000"/>
            </w:tcBorders>
            <w:shd w:fill="auto" w:val="clear"/>
            <w:tcMar>
              <w:bottom w:w="28" w:type="dxa"/>
            </w:tcMar>
            <w:vAlign w:val="center"/>
          </w:tcPr>
          <w:p>
            <w:pPr>
              <w:pStyle w:val="TableContents"/>
              <w:spacing w:before="0" w:after="283"/>
              <w:jc w:val="left"/>
              <w:rPr/>
            </w:pPr>
            <w:r>
              <w:rPr/>
              <w:t> </w:t>
            </w:r>
          </w:p>
        </w:tc>
        <w:tc>
          <w:tcPr>
            <w:tcW w:w="1175" w:type="dxa"/>
            <w:tcBorders>
              <w:bottom w:val="single" w:sz="12" w:space="0" w:color="000000"/>
            </w:tcBorders>
            <w:shd w:fill="auto" w:val="clear"/>
            <w:tcMar>
              <w:bottom w:w="28" w:type="dxa"/>
            </w:tcMar>
            <w:vAlign w:val="center"/>
          </w:tcPr>
          <w:p>
            <w:pPr>
              <w:pStyle w:val="TableContents"/>
              <w:spacing w:before="0" w:after="283"/>
              <w:jc w:val="right"/>
              <w:rPr/>
            </w:pPr>
            <w:r>
              <w:rPr/>
              <w:t>(22,725,000</w:t>
            </w:r>
          </w:p>
        </w:tc>
        <w:tc>
          <w:tcPr>
            <w:tcW w:w="110" w:type="dxa"/>
            <w:tcBorders/>
            <w:shd w:fill="auto" w:val="clear"/>
            <w:vAlign w:val="center"/>
          </w:tcPr>
          <w:p>
            <w:pPr>
              <w:pStyle w:val="TableContents"/>
              <w:spacing w:before="0" w:after="283"/>
              <w:ind w:left="0" w:right="0" w:hanging="180"/>
              <w:jc w:val="left"/>
              <w:rPr/>
            </w:pPr>
            <w:r>
              <w:rPr/>
              <w:t>)</w:t>
            </w:r>
          </w:p>
        </w:tc>
      </w:tr>
      <w:tr>
        <w:trPr/>
        <w:tc>
          <w:tcPr>
            <w:tcW w:w="7160" w:type="dxa"/>
            <w:tcBorders/>
            <w:shd w:fill="CCEEFF" w:val="clear"/>
            <w:vAlign w:val="center"/>
          </w:tcPr>
          <w:p>
            <w:pPr>
              <w:pStyle w:val="TableContents"/>
              <w:spacing w:before="0" w:after="283"/>
              <w:jc w:val="left"/>
              <w:rPr>
                <w:b/>
              </w:rPr>
            </w:pPr>
            <w:r>
              <w:rPr>
                <w:b/>
              </w:rPr>
              <w:t>Net cash used in investing activities</w:t>
            </w:r>
          </w:p>
        </w:tc>
        <w:tc>
          <w:tcPr>
            <w:tcW w:w="60" w:type="dxa"/>
            <w:tcBorders/>
            <w:shd w:fill="CCEEFF" w:val="clear"/>
            <w:vAlign w:val="center"/>
          </w:tcPr>
          <w:p>
            <w:pPr>
              <w:pStyle w:val="TableContents"/>
              <w:spacing w:before="0" w:after="283"/>
              <w:rPr/>
            </w:pPr>
            <w:r>
              <w:rPr/>
              <w:t> </w:t>
            </w:r>
          </w:p>
        </w:tc>
        <w:tc>
          <w:tcPr>
            <w:tcW w:w="140" w:type="dxa"/>
            <w:tcBorders>
              <w:bottom w:val="single" w:sz="12" w:space="0" w:color="000000"/>
            </w:tcBorders>
            <w:shd w:fill="CCEEFF" w:val="clear"/>
            <w:tcMar>
              <w:bottom w:w="28" w:type="dxa"/>
            </w:tcMar>
            <w:vAlign w:val="center"/>
          </w:tcPr>
          <w:p>
            <w:pPr>
              <w:pStyle w:val="TableContents"/>
              <w:spacing w:before="0" w:after="283"/>
              <w:jc w:val="left"/>
              <w:rPr/>
            </w:pPr>
            <w:r>
              <w:rPr/>
              <w:t> </w:t>
            </w:r>
          </w:p>
        </w:tc>
        <w:tc>
          <w:tcPr>
            <w:tcW w:w="1055" w:type="dxa"/>
            <w:tcBorders>
              <w:bottom w:val="single" w:sz="12" w:space="0" w:color="000000"/>
            </w:tcBorders>
            <w:shd w:fill="CCEEFF" w:val="clear"/>
            <w:tcMar>
              <w:bottom w:w="28" w:type="dxa"/>
            </w:tcMar>
            <w:vAlign w:val="center"/>
          </w:tcPr>
          <w:p>
            <w:pPr>
              <w:pStyle w:val="TableContents"/>
              <w:spacing w:before="0" w:after="283"/>
              <w:jc w:val="right"/>
              <w:rPr>
                <w:b/>
              </w:rPr>
            </w:pPr>
            <w:r>
              <w:rPr>
                <w:b/>
              </w:rPr>
              <w:t>(1,725,000</w:t>
            </w:r>
          </w:p>
        </w:tc>
        <w:tc>
          <w:tcPr>
            <w:tcW w:w="95" w:type="dxa"/>
            <w:tcBorders/>
            <w:shd w:fill="CCEEFF" w:val="clear"/>
            <w:vAlign w:val="center"/>
          </w:tcPr>
          <w:p>
            <w:pPr>
              <w:pStyle w:val="TableContents"/>
              <w:spacing w:before="0" w:after="283"/>
              <w:jc w:val="left"/>
              <w:rPr>
                <w:b/>
              </w:rPr>
            </w:pPr>
            <w:r>
              <w:rPr>
                <w:b/>
              </w:rPr>
              <w:t>)</w:t>
            </w:r>
          </w:p>
        </w:tc>
        <w:tc>
          <w:tcPr>
            <w:tcW w:w="60" w:type="dxa"/>
            <w:tcBorders/>
            <w:shd w:fill="CCEEFF" w:val="clear"/>
            <w:vAlign w:val="center"/>
          </w:tcPr>
          <w:p>
            <w:pPr>
              <w:pStyle w:val="TableContents"/>
              <w:spacing w:before="0" w:after="283"/>
              <w:rPr/>
            </w:pPr>
            <w:r>
              <w:rPr/>
              <w:t> </w:t>
            </w:r>
          </w:p>
        </w:tc>
        <w:tc>
          <w:tcPr>
            <w:tcW w:w="140" w:type="dxa"/>
            <w:tcBorders>
              <w:bottom w:val="single" w:sz="12" w:space="0" w:color="000000"/>
            </w:tcBorders>
            <w:shd w:fill="CCEEFF" w:val="clear"/>
            <w:tcMar>
              <w:bottom w:w="28" w:type="dxa"/>
            </w:tcMar>
            <w:vAlign w:val="center"/>
          </w:tcPr>
          <w:p>
            <w:pPr>
              <w:pStyle w:val="TableContents"/>
              <w:spacing w:before="0" w:after="283"/>
              <w:jc w:val="left"/>
              <w:rPr/>
            </w:pPr>
            <w:r>
              <w:rPr/>
              <w:t> </w:t>
            </w:r>
          </w:p>
        </w:tc>
        <w:tc>
          <w:tcPr>
            <w:tcW w:w="1175" w:type="dxa"/>
            <w:tcBorders>
              <w:bottom w:val="single" w:sz="12" w:space="0" w:color="000000"/>
            </w:tcBorders>
            <w:shd w:fill="CCEEFF" w:val="clear"/>
            <w:tcMar>
              <w:bottom w:w="28" w:type="dxa"/>
            </w:tcMar>
            <w:vAlign w:val="center"/>
          </w:tcPr>
          <w:p>
            <w:pPr>
              <w:pStyle w:val="TableContents"/>
              <w:spacing w:before="0" w:after="283"/>
              <w:jc w:val="right"/>
              <w:rPr>
                <w:b/>
              </w:rPr>
            </w:pPr>
            <w:r>
              <w:rPr>
                <w:b/>
              </w:rPr>
              <w:t>(22,725,000</w:t>
            </w:r>
          </w:p>
        </w:tc>
        <w:tc>
          <w:tcPr>
            <w:tcW w:w="110" w:type="dxa"/>
            <w:tcBorders/>
            <w:shd w:fill="CCEEFF" w:val="clear"/>
            <w:vAlign w:val="center"/>
          </w:tcPr>
          <w:p>
            <w:pPr>
              <w:pStyle w:val="TableContents"/>
              <w:spacing w:before="0" w:after="283"/>
              <w:ind w:left="0" w:right="0" w:hanging="180"/>
              <w:jc w:val="left"/>
              <w:rPr>
                <w:b/>
              </w:rPr>
            </w:pPr>
            <w:r>
              <w:rPr>
                <w:b/>
              </w:rPr>
              <w:t>)</w:t>
            </w:r>
          </w:p>
        </w:tc>
      </w:tr>
      <w:tr>
        <w:trPr/>
        <w:tc>
          <w:tcPr>
            <w:tcW w:w="71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jc w:val="left"/>
              <w:rPr/>
            </w:pPr>
            <w:r>
              <w:rPr/>
              <w:t> </w:t>
            </w:r>
          </w:p>
        </w:tc>
        <w:tc>
          <w:tcPr>
            <w:tcW w:w="1055" w:type="dxa"/>
            <w:tcBorders/>
            <w:shd w:fill="auto" w:val="clear"/>
            <w:vAlign w:val="center"/>
          </w:tcPr>
          <w:p>
            <w:pPr>
              <w:pStyle w:val="TableContents"/>
              <w:spacing w:before="0" w:after="283"/>
              <w:jc w:val="right"/>
              <w:rPr/>
            </w:pPr>
            <w:r>
              <w:rPr/>
              <w:t> </w:t>
            </w:r>
          </w:p>
        </w:tc>
        <w:tc>
          <w:tcPr>
            <w:tcW w:w="95"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jc w:val="left"/>
              <w:rPr/>
            </w:pPr>
            <w:r>
              <w:rPr/>
              <w:t> </w:t>
            </w:r>
          </w:p>
        </w:tc>
        <w:tc>
          <w:tcPr>
            <w:tcW w:w="1175" w:type="dxa"/>
            <w:tcBorders/>
            <w:shd w:fill="auto" w:val="clear"/>
            <w:vAlign w:val="center"/>
          </w:tcPr>
          <w:p>
            <w:pPr>
              <w:pStyle w:val="TableContents"/>
              <w:spacing w:before="0" w:after="283"/>
              <w:jc w:val="right"/>
              <w:rPr/>
            </w:pPr>
            <w:r>
              <w:rPr/>
              <w:t> </w:t>
            </w:r>
          </w:p>
        </w:tc>
        <w:tc>
          <w:tcPr>
            <w:tcW w:w="110" w:type="dxa"/>
            <w:tcBorders/>
            <w:shd w:fill="auto" w:val="clear"/>
            <w:vAlign w:val="center"/>
          </w:tcPr>
          <w:p>
            <w:pPr>
              <w:pStyle w:val="TableContents"/>
              <w:spacing w:before="0" w:after="283"/>
              <w:ind w:left="0" w:right="0" w:hanging="180"/>
              <w:jc w:val="left"/>
              <w:rPr/>
            </w:pPr>
            <w:r>
              <w:rPr/>
              <w:t> </w:t>
            </w:r>
          </w:p>
        </w:tc>
      </w:tr>
      <w:tr>
        <w:trPr/>
        <w:tc>
          <w:tcPr>
            <w:tcW w:w="7160" w:type="dxa"/>
            <w:tcBorders/>
            <w:shd w:fill="CCEEFF" w:val="clear"/>
            <w:vAlign w:val="center"/>
          </w:tcPr>
          <w:p>
            <w:pPr>
              <w:pStyle w:val="TableContents"/>
              <w:spacing w:before="0" w:after="283"/>
              <w:jc w:val="left"/>
              <w:rPr>
                <w:b/>
              </w:rPr>
            </w:pPr>
            <w:r>
              <w:rPr>
                <w:b/>
              </w:rPr>
              <w:t>Cash Flows from Financing Activities:</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1055" w:type="dxa"/>
            <w:tcBorders/>
            <w:shd w:fill="CCEEFF" w:val="clear"/>
            <w:vAlign w:val="center"/>
          </w:tcPr>
          <w:p>
            <w:pPr>
              <w:pStyle w:val="TableContents"/>
              <w:spacing w:before="0" w:after="283"/>
              <w:jc w:val="right"/>
              <w:rPr/>
            </w:pPr>
            <w:r>
              <w:rPr/>
              <w:t> </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1175" w:type="dxa"/>
            <w:tcBorders/>
            <w:shd w:fill="CCEEFF" w:val="clear"/>
            <w:vAlign w:val="center"/>
          </w:tcPr>
          <w:p>
            <w:pPr>
              <w:pStyle w:val="TableContents"/>
              <w:spacing w:before="0" w:after="283"/>
              <w:jc w:val="right"/>
              <w:rPr/>
            </w:pPr>
            <w:r>
              <w:rPr/>
              <w:t> </w:t>
            </w:r>
          </w:p>
        </w:tc>
        <w:tc>
          <w:tcPr>
            <w:tcW w:w="110" w:type="dxa"/>
            <w:tcBorders/>
            <w:shd w:fill="CCEEFF" w:val="clear"/>
            <w:vAlign w:val="center"/>
          </w:tcPr>
          <w:p>
            <w:pPr>
              <w:pStyle w:val="TableContents"/>
              <w:spacing w:before="0" w:after="283"/>
              <w:ind w:left="0" w:right="0" w:hanging="180"/>
              <w:jc w:val="left"/>
              <w:rPr/>
            </w:pPr>
            <w:r>
              <w:rPr/>
              <w:t> </w:t>
            </w:r>
          </w:p>
        </w:tc>
      </w:tr>
      <w:tr>
        <w:trPr/>
        <w:tc>
          <w:tcPr>
            <w:tcW w:w="7160" w:type="dxa"/>
            <w:tcBorders/>
            <w:shd w:fill="auto" w:val="clear"/>
            <w:vAlign w:val="center"/>
          </w:tcPr>
          <w:p>
            <w:pPr>
              <w:pStyle w:val="TableContents"/>
              <w:spacing w:before="0" w:after="283"/>
              <w:jc w:val="left"/>
              <w:rPr/>
            </w:pPr>
            <w:r>
              <w:rPr/>
              <w:t>Proceeds from sale of Units, net of underwriting discounts paid</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jc w:val="left"/>
              <w:rPr/>
            </w:pPr>
            <w:r>
              <w:rPr/>
              <w:t> </w:t>
            </w:r>
          </w:p>
        </w:tc>
        <w:tc>
          <w:tcPr>
            <w:tcW w:w="1055" w:type="dxa"/>
            <w:tcBorders/>
            <w:shd w:fill="auto" w:val="clear"/>
            <w:vAlign w:val="center"/>
          </w:tcPr>
          <w:p>
            <w:pPr>
              <w:pStyle w:val="TableContents"/>
              <w:spacing w:before="0" w:after="0"/>
              <w:jc w:val="right"/>
              <w:rPr/>
            </w:pPr>
            <w:r>
              <w:rPr/>
              <w:t>—</w:t>
            </w:r>
          </w:p>
        </w:tc>
        <w:tc>
          <w:tcPr>
            <w:tcW w:w="95"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jc w:val="left"/>
              <w:rPr/>
            </w:pPr>
            <w:r>
              <w:rPr/>
              <w:t> </w:t>
            </w:r>
          </w:p>
        </w:tc>
        <w:tc>
          <w:tcPr>
            <w:tcW w:w="1175" w:type="dxa"/>
            <w:tcBorders/>
            <w:shd w:fill="auto" w:val="clear"/>
            <w:vAlign w:val="center"/>
          </w:tcPr>
          <w:p>
            <w:pPr>
              <w:pStyle w:val="TableContents"/>
              <w:spacing w:before="0" w:after="283"/>
              <w:jc w:val="right"/>
              <w:rPr/>
            </w:pPr>
            <w:r>
              <w:rPr/>
              <w:t>22,050,000</w:t>
            </w:r>
          </w:p>
        </w:tc>
        <w:tc>
          <w:tcPr>
            <w:tcW w:w="110" w:type="dxa"/>
            <w:tcBorders/>
            <w:shd w:fill="auto" w:val="clear"/>
            <w:vAlign w:val="center"/>
          </w:tcPr>
          <w:p>
            <w:pPr>
              <w:pStyle w:val="TableContents"/>
              <w:spacing w:before="0" w:after="283"/>
              <w:ind w:left="0" w:right="0" w:hanging="180"/>
              <w:jc w:val="left"/>
              <w:rPr/>
            </w:pPr>
            <w:r>
              <w:rPr/>
              <w:t> </w:t>
            </w:r>
          </w:p>
        </w:tc>
      </w:tr>
      <w:tr>
        <w:trPr/>
        <w:tc>
          <w:tcPr>
            <w:tcW w:w="7160" w:type="dxa"/>
            <w:tcBorders/>
            <w:shd w:fill="CCEEFF" w:val="clear"/>
            <w:vAlign w:val="center"/>
          </w:tcPr>
          <w:p>
            <w:pPr>
              <w:pStyle w:val="TableContents"/>
              <w:spacing w:before="0" w:after="283"/>
              <w:jc w:val="left"/>
              <w:rPr/>
            </w:pPr>
            <w:r>
              <w:rPr/>
              <w:t>Proceeds from sale of Private Warrants</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1055" w:type="dxa"/>
            <w:tcBorders/>
            <w:shd w:fill="CCEEFF" w:val="clear"/>
            <w:vAlign w:val="center"/>
          </w:tcPr>
          <w:p>
            <w:pPr>
              <w:pStyle w:val="TableContents"/>
              <w:spacing w:before="0" w:after="0"/>
              <w:jc w:val="right"/>
              <w:rPr/>
            </w:pPr>
            <w:r>
              <w:rPr/>
              <w:t>—</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1175" w:type="dxa"/>
            <w:tcBorders/>
            <w:shd w:fill="CCEEFF" w:val="clear"/>
            <w:vAlign w:val="center"/>
          </w:tcPr>
          <w:p>
            <w:pPr>
              <w:pStyle w:val="TableContents"/>
              <w:spacing w:before="0" w:after="283"/>
              <w:jc w:val="right"/>
              <w:rPr/>
            </w:pPr>
            <w:r>
              <w:rPr/>
              <w:t>675,000</w:t>
            </w:r>
          </w:p>
        </w:tc>
        <w:tc>
          <w:tcPr>
            <w:tcW w:w="110" w:type="dxa"/>
            <w:tcBorders/>
            <w:shd w:fill="CCEEFF" w:val="clear"/>
            <w:vAlign w:val="center"/>
          </w:tcPr>
          <w:p>
            <w:pPr>
              <w:pStyle w:val="TableContents"/>
              <w:spacing w:before="0" w:after="283"/>
              <w:ind w:left="0" w:right="0" w:hanging="180"/>
              <w:jc w:val="left"/>
              <w:rPr/>
            </w:pPr>
            <w:r>
              <w:rPr/>
              <w:t> </w:t>
            </w:r>
          </w:p>
        </w:tc>
      </w:tr>
      <w:tr>
        <w:trPr/>
        <w:tc>
          <w:tcPr>
            <w:tcW w:w="7160" w:type="dxa"/>
            <w:tcBorders/>
            <w:shd w:fill="auto" w:val="clear"/>
            <w:vAlign w:val="center"/>
          </w:tcPr>
          <w:p>
            <w:pPr>
              <w:pStyle w:val="TableContents"/>
              <w:spacing w:before="0" w:after="283"/>
              <w:jc w:val="left"/>
              <w:rPr/>
            </w:pPr>
            <w:r>
              <w:rPr/>
              <w:t>Advances from related parties</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jc w:val="left"/>
              <w:rPr/>
            </w:pPr>
            <w:r>
              <w:rPr/>
              <w:t> </w:t>
            </w:r>
          </w:p>
        </w:tc>
        <w:tc>
          <w:tcPr>
            <w:tcW w:w="1055" w:type="dxa"/>
            <w:tcBorders/>
            <w:shd w:fill="auto" w:val="clear"/>
            <w:vAlign w:val="center"/>
          </w:tcPr>
          <w:p>
            <w:pPr>
              <w:pStyle w:val="TableContents"/>
              <w:spacing w:before="0" w:after="0"/>
              <w:jc w:val="right"/>
              <w:rPr/>
            </w:pPr>
            <w:r>
              <w:rPr/>
              <w:t>—</w:t>
            </w:r>
          </w:p>
        </w:tc>
        <w:tc>
          <w:tcPr>
            <w:tcW w:w="95"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jc w:val="left"/>
              <w:rPr/>
            </w:pPr>
            <w:r>
              <w:rPr/>
              <w:t> </w:t>
            </w:r>
          </w:p>
        </w:tc>
        <w:tc>
          <w:tcPr>
            <w:tcW w:w="1175" w:type="dxa"/>
            <w:tcBorders/>
            <w:shd w:fill="auto" w:val="clear"/>
            <w:vAlign w:val="center"/>
          </w:tcPr>
          <w:p>
            <w:pPr>
              <w:pStyle w:val="TableContents"/>
              <w:spacing w:before="0" w:after="283"/>
              <w:jc w:val="right"/>
              <w:rPr/>
            </w:pPr>
            <w:r>
              <w:rPr/>
              <w:t>525,000</w:t>
            </w:r>
          </w:p>
        </w:tc>
        <w:tc>
          <w:tcPr>
            <w:tcW w:w="110" w:type="dxa"/>
            <w:tcBorders/>
            <w:shd w:fill="auto" w:val="clear"/>
            <w:vAlign w:val="center"/>
          </w:tcPr>
          <w:p>
            <w:pPr>
              <w:pStyle w:val="TableContents"/>
              <w:spacing w:before="0" w:after="283"/>
              <w:ind w:left="0" w:right="0" w:hanging="180"/>
              <w:jc w:val="left"/>
              <w:rPr/>
            </w:pPr>
            <w:r>
              <w:rPr/>
              <w:t> </w:t>
            </w:r>
          </w:p>
        </w:tc>
      </w:tr>
      <w:tr>
        <w:trPr/>
        <w:tc>
          <w:tcPr>
            <w:tcW w:w="7160" w:type="dxa"/>
            <w:tcBorders/>
            <w:shd w:fill="CCEEFF" w:val="clear"/>
            <w:vAlign w:val="center"/>
          </w:tcPr>
          <w:p>
            <w:pPr>
              <w:pStyle w:val="TableContents"/>
              <w:spacing w:before="0" w:after="283"/>
              <w:jc w:val="left"/>
              <w:rPr/>
            </w:pPr>
            <w:r>
              <w:rPr/>
              <w:t>Repayment of advances from related parties</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1055" w:type="dxa"/>
            <w:tcBorders/>
            <w:shd w:fill="CCEEFF" w:val="clear"/>
            <w:vAlign w:val="center"/>
          </w:tcPr>
          <w:p>
            <w:pPr>
              <w:pStyle w:val="TableContents"/>
              <w:spacing w:before="0" w:after="0"/>
              <w:jc w:val="right"/>
              <w:rPr/>
            </w:pPr>
            <w:r>
              <w:rPr/>
              <w:t>—</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1175" w:type="dxa"/>
            <w:tcBorders/>
            <w:shd w:fill="CCEEFF" w:val="clear"/>
            <w:vAlign w:val="center"/>
          </w:tcPr>
          <w:p>
            <w:pPr>
              <w:pStyle w:val="TableContents"/>
              <w:spacing w:before="0" w:after="283"/>
              <w:jc w:val="right"/>
              <w:rPr/>
            </w:pPr>
            <w:r>
              <w:rPr/>
              <w:t>(645,005</w:t>
            </w:r>
          </w:p>
        </w:tc>
        <w:tc>
          <w:tcPr>
            <w:tcW w:w="110" w:type="dxa"/>
            <w:tcBorders/>
            <w:shd w:fill="CCEEFF" w:val="clear"/>
            <w:vAlign w:val="center"/>
          </w:tcPr>
          <w:p>
            <w:pPr>
              <w:pStyle w:val="TableContents"/>
              <w:spacing w:before="0" w:after="283"/>
              <w:ind w:left="0" w:right="0" w:hanging="180"/>
              <w:jc w:val="left"/>
              <w:rPr/>
            </w:pPr>
            <w:r>
              <w:rPr/>
              <w:t>)</w:t>
            </w:r>
          </w:p>
        </w:tc>
      </w:tr>
      <w:tr>
        <w:trPr/>
        <w:tc>
          <w:tcPr>
            <w:tcW w:w="7160" w:type="dxa"/>
            <w:tcBorders/>
            <w:shd w:fill="auto" w:val="clear"/>
            <w:vAlign w:val="center"/>
          </w:tcPr>
          <w:p>
            <w:pPr>
              <w:pStyle w:val="TableContents"/>
              <w:spacing w:before="0" w:after="283"/>
              <w:jc w:val="left"/>
              <w:rPr/>
            </w:pPr>
            <w:r>
              <w:rPr/>
              <w:t>Proceeds from promissory note – related party</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jc w:val="left"/>
              <w:rPr/>
            </w:pPr>
            <w:r>
              <w:rPr/>
              <w:t> </w:t>
            </w:r>
          </w:p>
        </w:tc>
        <w:tc>
          <w:tcPr>
            <w:tcW w:w="1055" w:type="dxa"/>
            <w:tcBorders/>
            <w:shd w:fill="auto" w:val="clear"/>
            <w:vAlign w:val="center"/>
          </w:tcPr>
          <w:p>
            <w:pPr>
              <w:pStyle w:val="TableContents"/>
              <w:spacing w:before="0" w:after="283"/>
              <w:jc w:val="right"/>
              <w:rPr/>
            </w:pPr>
            <w:r>
              <w:rPr/>
              <w:t>200,000</w:t>
            </w:r>
          </w:p>
        </w:tc>
        <w:tc>
          <w:tcPr>
            <w:tcW w:w="95"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jc w:val="left"/>
              <w:rPr/>
            </w:pPr>
            <w:r>
              <w:rPr/>
              <w:t> </w:t>
            </w:r>
          </w:p>
        </w:tc>
        <w:tc>
          <w:tcPr>
            <w:tcW w:w="1175" w:type="dxa"/>
            <w:tcBorders/>
            <w:shd w:fill="auto" w:val="clear"/>
            <w:vAlign w:val="center"/>
          </w:tcPr>
          <w:p>
            <w:pPr>
              <w:pStyle w:val="TableContents"/>
              <w:spacing w:before="0" w:after="0"/>
              <w:jc w:val="right"/>
              <w:rPr/>
            </w:pPr>
            <w:r>
              <w:rPr/>
              <w:t>—</w:t>
            </w:r>
          </w:p>
        </w:tc>
        <w:tc>
          <w:tcPr>
            <w:tcW w:w="110" w:type="dxa"/>
            <w:tcBorders/>
            <w:shd w:fill="auto" w:val="clear"/>
            <w:vAlign w:val="center"/>
          </w:tcPr>
          <w:p>
            <w:pPr>
              <w:pStyle w:val="TableContents"/>
              <w:spacing w:before="0" w:after="283"/>
              <w:ind w:left="0" w:right="0" w:hanging="180"/>
              <w:jc w:val="left"/>
              <w:rPr/>
            </w:pPr>
            <w:r>
              <w:rPr/>
              <w:t> </w:t>
            </w:r>
          </w:p>
        </w:tc>
      </w:tr>
      <w:tr>
        <w:trPr/>
        <w:tc>
          <w:tcPr>
            <w:tcW w:w="7160" w:type="dxa"/>
            <w:tcBorders/>
            <w:shd w:fill="CCEEFF" w:val="clear"/>
            <w:vAlign w:val="center"/>
          </w:tcPr>
          <w:p>
            <w:pPr>
              <w:pStyle w:val="TableContents"/>
              <w:spacing w:before="0" w:after="283"/>
              <w:jc w:val="left"/>
              <w:rPr/>
            </w:pPr>
            <w:r>
              <w:rPr/>
              <w:t>Proceeds from promissory note – related party extension loan</w:t>
            </w:r>
          </w:p>
        </w:tc>
        <w:tc>
          <w:tcPr>
            <w:tcW w:w="60" w:type="dxa"/>
            <w:tcBorders/>
            <w:shd w:fill="CCEEFF" w:val="clear"/>
            <w:vAlign w:val="center"/>
          </w:tcPr>
          <w:p>
            <w:pPr>
              <w:pStyle w:val="TableContents"/>
              <w:spacing w:before="0" w:after="283"/>
              <w:rPr/>
            </w:pPr>
            <w:r>
              <w:rPr/>
              <w:t> </w:t>
            </w:r>
          </w:p>
        </w:tc>
        <w:tc>
          <w:tcPr>
            <w:tcW w:w="140" w:type="dxa"/>
            <w:tcBorders>
              <w:bottom w:val="single" w:sz="12" w:space="0" w:color="000000"/>
            </w:tcBorders>
            <w:shd w:fill="CCEEFF" w:val="clear"/>
            <w:tcMar>
              <w:bottom w:w="28" w:type="dxa"/>
            </w:tcMar>
            <w:vAlign w:val="center"/>
          </w:tcPr>
          <w:p>
            <w:pPr>
              <w:pStyle w:val="TableContents"/>
              <w:spacing w:before="0" w:after="283"/>
              <w:jc w:val="left"/>
              <w:rPr/>
            </w:pPr>
            <w:r>
              <w:rPr/>
              <w:t> </w:t>
            </w:r>
          </w:p>
        </w:tc>
        <w:tc>
          <w:tcPr>
            <w:tcW w:w="1055" w:type="dxa"/>
            <w:tcBorders>
              <w:bottom w:val="single" w:sz="12" w:space="0" w:color="000000"/>
            </w:tcBorders>
            <w:shd w:fill="CCEEFF" w:val="clear"/>
            <w:tcMar>
              <w:bottom w:w="28" w:type="dxa"/>
            </w:tcMar>
            <w:vAlign w:val="center"/>
          </w:tcPr>
          <w:p>
            <w:pPr>
              <w:pStyle w:val="TableContents"/>
              <w:spacing w:before="0" w:after="283"/>
              <w:jc w:val="right"/>
              <w:rPr/>
            </w:pPr>
            <w:r>
              <w:rPr/>
              <w:t>1,725,000</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0" w:type="dxa"/>
            <w:tcBorders>
              <w:bottom w:val="single" w:sz="12" w:space="0" w:color="000000"/>
            </w:tcBorders>
            <w:shd w:fill="CCEEFF" w:val="clear"/>
            <w:tcMar>
              <w:bottom w:w="28" w:type="dxa"/>
            </w:tcMar>
            <w:vAlign w:val="center"/>
          </w:tcPr>
          <w:p>
            <w:pPr>
              <w:pStyle w:val="TableContents"/>
              <w:spacing w:before="0" w:after="283"/>
              <w:jc w:val="left"/>
              <w:rPr/>
            </w:pPr>
            <w:r>
              <w:rPr/>
              <w:t> </w:t>
            </w:r>
          </w:p>
        </w:tc>
        <w:tc>
          <w:tcPr>
            <w:tcW w:w="1175" w:type="dxa"/>
            <w:tcBorders>
              <w:bottom w:val="single" w:sz="12" w:space="0" w:color="000000"/>
            </w:tcBorders>
            <w:shd w:fill="CCEEFF" w:val="clear"/>
            <w:tcMar>
              <w:bottom w:w="28" w:type="dxa"/>
            </w:tcMar>
            <w:vAlign w:val="center"/>
          </w:tcPr>
          <w:p>
            <w:pPr>
              <w:pStyle w:val="TableContents"/>
              <w:spacing w:before="0" w:after="283"/>
              <w:jc w:val="right"/>
              <w:rPr/>
            </w:pPr>
            <w:r>
              <w:rPr/>
              <w:t>—</w:t>
            </w:r>
          </w:p>
        </w:tc>
        <w:tc>
          <w:tcPr>
            <w:tcW w:w="110" w:type="dxa"/>
            <w:tcBorders/>
            <w:shd w:fill="CCEEFF" w:val="clear"/>
            <w:vAlign w:val="center"/>
          </w:tcPr>
          <w:p>
            <w:pPr>
              <w:pStyle w:val="TableContents"/>
              <w:spacing w:before="0" w:after="283"/>
              <w:ind w:left="0" w:right="0" w:hanging="180"/>
              <w:jc w:val="left"/>
              <w:rPr/>
            </w:pPr>
            <w:r>
              <w:rPr/>
              <w:t> </w:t>
            </w:r>
          </w:p>
        </w:tc>
      </w:tr>
      <w:tr>
        <w:trPr/>
        <w:tc>
          <w:tcPr>
            <w:tcW w:w="7160" w:type="dxa"/>
            <w:tcBorders/>
            <w:shd w:fill="auto" w:val="clear"/>
            <w:vAlign w:val="center"/>
          </w:tcPr>
          <w:p>
            <w:pPr>
              <w:pStyle w:val="TableContents"/>
              <w:spacing w:before="0" w:after="283"/>
              <w:jc w:val="left"/>
              <w:rPr>
                <w:b/>
              </w:rPr>
            </w:pPr>
            <w:r>
              <w:rPr>
                <w:b/>
              </w:rPr>
              <w:t>Net cash provided by financing activities</w:t>
            </w:r>
          </w:p>
        </w:tc>
        <w:tc>
          <w:tcPr>
            <w:tcW w:w="60" w:type="dxa"/>
            <w:tcBorders/>
            <w:shd w:fill="auto" w:val="clear"/>
            <w:vAlign w:val="center"/>
          </w:tcPr>
          <w:p>
            <w:pPr>
              <w:pStyle w:val="TableContents"/>
              <w:spacing w:before="0" w:after="283"/>
              <w:rPr/>
            </w:pPr>
            <w:r>
              <w:rPr/>
              <w:t> </w:t>
            </w:r>
          </w:p>
        </w:tc>
        <w:tc>
          <w:tcPr>
            <w:tcW w:w="140" w:type="dxa"/>
            <w:tcBorders>
              <w:bottom w:val="single" w:sz="12" w:space="0" w:color="000000"/>
            </w:tcBorders>
            <w:shd w:fill="auto" w:val="clear"/>
            <w:tcMar>
              <w:bottom w:w="28" w:type="dxa"/>
            </w:tcMar>
            <w:vAlign w:val="center"/>
          </w:tcPr>
          <w:p>
            <w:pPr>
              <w:pStyle w:val="TableContents"/>
              <w:spacing w:before="0" w:after="283"/>
              <w:jc w:val="left"/>
              <w:rPr/>
            </w:pPr>
            <w:r>
              <w:rPr/>
              <w:t> </w:t>
            </w:r>
          </w:p>
        </w:tc>
        <w:tc>
          <w:tcPr>
            <w:tcW w:w="1055" w:type="dxa"/>
            <w:tcBorders>
              <w:bottom w:val="single" w:sz="12" w:space="0" w:color="000000"/>
            </w:tcBorders>
            <w:shd w:fill="auto" w:val="clear"/>
            <w:tcMar>
              <w:bottom w:w="28" w:type="dxa"/>
            </w:tcMar>
            <w:vAlign w:val="center"/>
          </w:tcPr>
          <w:p>
            <w:pPr>
              <w:pStyle w:val="TableContents"/>
              <w:spacing w:before="0" w:after="283"/>
              <w:jc w:val="right"/>
              <w:rPr>
                <w:b/>
              </w:rPr>
            </w:pPr>
            <w:r>
              <w:rPr>
                <w:b/>
              </w:rPr>
              <w:t>1,925,000</w:t>
            </w:r>
          </w:p>
        </w:tc>
        <w:tc>
          <w:tcPr>
            <w:tcW w:w="95"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40" w:type="dxa"/>
            <w:tcBorders>
              <w:bottom w:val="single" w:sz="12" w:space="0" w:color="000000"/>
            </w:tcBorders>
            <w:shd w:fill="auto" w:val="clear"/>
            <w:tcMar>
              <w:bottom w:w="28" w:type="dxa"/>
            </w:tcMar>
            <w:vAlign w:val="center"/>
          </w:tcPr>
          <w:p>
            <w:pPr>
              <w:pStyle w:val="TableContents"/>
              <w:spacing w:before="0" w:after="283"/>
              <w:jc w:val="left"/>
              <w:rPr/>
            </w:pPr>
            <w:r>
              <w:rPr/>
              <w:t> </w:t>
            </w:r>
          </w:p>
        </w:tc>
        <w:tc>
          <w:tcPr>
            <w:tcW w:w="1175" w:type="dxa"/>
            <w:tcBorders>
              <w:bottom w:val="single" w:sz="12" w:space="0" w:color="000000"/>
            </w:tcBorders>
            <w:shd w:fill="auto" w:val="clear"/>
            <w:tcMar>
              <w:bottom w:w="28" w:type="dxa"/>
            </w:tcMar>
            <w:vAlign w:val="center"/>
          </w:tcPr>
          <w:p>
            <w:pPr>
              <w:pStyle w:val="TableContents"/>
              <w:spacing w:before="0" w:after="283"/>
              <w:jc w:val="right"/>
              <w:rPr>
                <w:b/>
              </w:rPr>
            </w:pPr>
            <w:r>
              <w:rPr>
                <w:b/>
              </w:rPr>
              <w:t>22,604,995</w:t>
            </w:r>
          </w:p>
        </w:tc>
        <w:tc>
          <w:tcPr>
            <w:tcW w:w="110" w:type="dxa"/>
            <w:tcBorders/>
            <w:shd w:fill="auto" w:val="clear"/>
            <w:vAlign w:val="center"/>
          </w:tcPr>
          <w:p>
            <w:pPr>
              <w:pStyle w:val="TableContents"/>
              <w:spacing w:before="0" w:after="283"/>
              <w:ind w:left="0" w:right="0" w:hanging="180"/>
              <w:jc w:val="left"/>
              <w:rPr/>
            </w:pPr>
            <w:r>
              <w:rPr/>
              <w:t> </w:t>
            </w:r>
          </w:p>
        </w:tc>
      </w:tr>
      <w:tr>
        <w:trPr/>
        <w:tc>
          <w:tcPr>
            <w:tcW w:w="71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1055" w:type="dxa"/>
            <w:tcBorders/>
            <w:shd w:fill="CCEEFF" w:val="clear"/>
            <w:vAlign w:val="center"/>
          </w:tcPr>
          <w:p>
            <w:pPr>
              <w:pStyle w:val="TableContents"/>
              <w:spacing w:before="0" w:after="283"/>
              <w:jc w:val="right"/>
              <w:rPr/>
            </w:pPr>
            <w:r>
              <w:rPr/>
              <w:t> </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1175" w:type="dxa"/>
            <w:tcBorders/>
            <w:shd w:fill="CCEEFF" w:val="clear"/>
            <w:vAlign w:val="center"/>
          </w:tcPr>
          <w:p>
            <w:pPr>
              <w:pStyle w:val="TableContents"/>
              <w:spacing w:before="0" w:after="283"/>
              <w:jc w:val="right"/>
              <w:rPr/>
            </w:pPr>
            <w:r>
              <w:rPr/>
              <w:t> </w:t>
            </w:r>
          </w:p>
        </w:tc>
        <w:tc>
          <w:tcPr>
            <w:tcW w:w="110" w:type="dxa"/>
            <w:tcBorders/>
            <w:shd w:fill="CCEEFF" w:val="clear"/>
            <w:vAlign w:val="center"/>
          </w:tcPr>
          <w:p>
            <w:pPr>
              <w:pStyle w:val="TableContents"/>
              <w:spacing w:before="0" w:after="283"/>
              <w:ind w:left="0" w:right="0" w:hanging="180"/>
              <w:jc w:val="left"/>
              <w:rPr/>
            </w:pPr>
            <w:r>
              <w:rPr/>
              <w:t> </w:t>
            </w:r>
          </w:p>
        </w:tc>
      </w:tr>
      <w:tr>
        <w:trPr/>
        <w:tc>
          <w:tcPr>
            <w:tcW w:w="7160" w:type="dxa"/>
            <w:tcBorders/>
            <w:shd w:fill="auto" w:val="clear"/>
            <w:vAlign w:val="center"/>
          </w:tcPr>
          <w:p>
            <w:pPr>
              <w:pStyle w:val="TableContents"/>
              <w:spacing w:before="0" w:after="283"/>
              <w:jc w:val="left"/>
              <w:rPr>
                <w:b/>
              </w:rPr>
            </w:pPr>
            <w:r>
              <w:rPr>
                <w:b/>
              </w:rPr>
              <w:t>Net Change in Cash</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jc w:val="left"/>
              <w:rPr/>
            </w:pPr>
            <w:r>
              <w:rPr/>
              <w:t> </w:t>
            </w:r>
          </w:p>
        </w:tc>
        <w:tc>
          <w:tcPr>
            <w:tcW w:w="1055" w:type="dxa"/>
            <w:tcBorders/>
            <w:shd w:fill="auto" w:val="clear"/>
            <w:vAlign w:val="center"/>
          </w:tcPr>
          <w:p>
            <w:pPr>
              <w:pStyle w:val="TableContents"/>
              <w:spacing w:before="0" w:after="283"/>
              <w:jc w:val="right"/>
              <w:rPr>
                <w:b/>
              </w:rPr>
            </w:pPr>
            <w:r>
              <w:rPr>
                <w:b/>
              </w:rPr>
              <w:t>(53,301</w:t>
            </w:r>
          </w:p>
        </w:tc>
        <w:tc>
          <w:tcPr>
            <w:tcW w:w="95" w:type="dxa"/>
            <w:tcBorders/>
            <w:shd w:fill="auto" w:val="clear"/>
            <w:vAlign w:val="center"/>
          </w:tcPr>
          <w:p>
            <w:pPr>
              <w:pStyle w:val="TableContents"/>
              <w:spacing w:before="0" w:after="283"/>
              <w:jc w:val="left"/>
              <w:rPr>
                <w:b/>
              </w:rPr>
            </w:pPr>
            <w:r>
              <w:rPr>
                <w:b/>
              </w:rPr>
              <w:t>)</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jc w:val="left"/>
              <w:rPr/>
            </w:pPr>
            <w:r>
              <w:rPr/>
              <w:t> </w:t>
            </w:r>
          </w:p>
        </w:tc>
        <w:tc>
          <w:tcPr>
            <w:tcW w:w="1175" w:type="dxa"/>
            <w:tcBorders/>
            <w:shd w:fill="auto" w:val="clear"/>
            <w:vAlign w:val="center"/>
          </w:tcPr>
          <w:p>
            <w:pPr>
              <w:pStyle w:val="TableContents"/>
              <w:spacing w:before="0" w:after="283"/>
              <w:jc w:val="right"/>
              <w:rPr>
                <w:b/>
              </w:rPr>
            </w:pPr>
            <w:r>
              <w:rPr>
                <w:b/>
              </w:rPr>
              <w:t>(464,512</w:t>
            </w:r>
          </w:p>
        </w:tc>
        <w:tc>
          <w:tcPr>
            <w:tcW w:w="110" w:type="dxa"/>
            <w:tcBorders/>
            <w:shd w:fill="auto" w:val="clear"/>
            <w:vAlign w:val="center"/>
          </w:tcPr>
          <w:p>
            <w:pPr>
              <w:pStyle w:val="TableContents"/>
              <w:spacing w:before="0" w:after="283"/>
              <w:ind w:left="0" w:right="0" w:hanging="180"/>
              <w:jc w:val="left"/>
              <w:rPr>
                <w:b/>
              </w:rPr>
            </w:pPr>
            <w:r>
              <w:rPr>
                <w:b/>
              </w:rPr>
              <w:t>)</w:t>
            </w:r>
          </w:p>
        </w:tc>
      </w:tr>
      <w:tr>
        <w:trPr/>
        <w:tc>
          <w:tcPr>
            <w:tcW w:w="7160" w:type="dxa"/>
            <w:tcBorders/>
            <w:shd w:fill="CCEEFF" w:val="clear"/>
            <w:vAlign w:val="center"/>
          </w:tcPr>
          <w:p>
            <w:pPr>
              <w:pStyle w:val="TableContents"/>
              <w:spacing w:before="0" w:after="283"/>
              <w:rPr/>
            </w:pPr>
            <w:r>
              <w:rPr/>
              <w:t>Cash – Beginning of period</w:t>
            </w:r>
          </w:p>
        </w:tc>
        <w:tc>
          <w:tcPr>
            <w:tcW w:w="60" w:type="dxa"/>
            <w:tcBorders/>
            <w:shd w:fill="CCEEFF" w:val="clear"/>
            <w:vAlign w:val="center"/>
          </w:tcPr>
          <w:p>
            <w:pPr>
              <w:pStyle w:val="TableContents"/>
              <w:spacing w:before="0" w:after="283"/>
              <w:rPr/>
            </w:pPr>
            <w:r>
              <w:rPr/>
              <w:t> </w:t>
            </w:r>
          </w:p>
        </w:tc>
        <w:tc>
          <w:tcPr>
            <w:tcW w:w="140" w:type="dxa"/>
            <w:tcBorders>
              <w:bottom w:val="single" w:sz="12" w:space="0" w:color="000000"/>
            </w:tcBorders>
            <w:shd w:fill="CCEEFF" w:val="clear"/>
            <w:tcMar>
              <w:bottom w:w="28" w:type="dxa"/>
            </w:tcMar>
            <w:vAlign w:val="center"/>
          </w:tcPr>
          <w:p>
            <w:pPr>
              <w:pStyle w:val="TableContents"/>
              <w:spacing w:before="0" w:after="283"/>
              <w:jc w:val="left"/>
              <w:rPr/>
            </w:pPr>
            <w:r>
              <w:rPr/>
              <w:t> </w:t>
            </w:r>
          </w:p>
        </w:tc>
        <w:tc>
          <w:tcPr>
            <w:tcW w:w="1055" w:type="dxa"/>
            <w:tcBorders>
              <w:bottom w:val="single" w:sz="12" w:space="0" w:color="000000"/>
            </w:tcBorders>
            <w:shd w:fill="CCEEFF" w:val="clear"/>
            <w:tcMar>
              <w:bottom w:w="28" w:type="dxa"/>
            </w:tcMar>
            <w:vAlign w:val="center"/>
          </w:tcPr>
          <w:p>
            <w:pPr>
              <w:pStyle w:val="TableContents"/>
              <w:spacing w:before="0" w:after="283"/>
              <w:jc w:val="right"/>
              <w:rPr/>
            </w:pPr>
            <w:r>
              <w:rPr/>
              <w:t>313,158</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0" w:type="dxa"/>
            <w:tcBorders>
              <w:bottom w:val="single" w:sz="12" w:space="0" w:color="000000"/>
            </w:tcBorders>
            <w:shd w:fill="CCEEFF" w:val="clear"/>
            <w:tcMar>
              <w:bottom w:w="28" w:type="dxa"/>
            </w:tcMar>
            <w:vAlign w:val="center"/>
          </w:tcPr>
          <w:p>
            <w:pPr>
              <w:pStyle w:val="TableContents"/>
              <w:spacing w:before="0" w:after="283"/>
              <w:jc w:val="left"/>
              <w:rPr/>
            </w:pPr>
            <w:r>
              <w:rPr/>
              <w:t> </w:t>
            </w:r>
          </w:p>
        </w:tc>
        <w:tc>
          <w:tcPr>
            <w:tcW w:w="1175" w:type="dxa"/>
            <w:tcBorders>
              <w:bottom w:val="single" w:sz="12" w:space="0" w:color="000000"/>
            </w:tcBorders>
            <w:shd w:fill="CCEEFF" w:val="clear"/>
            <w:tcMar>
              <w:bottom w:w="28" w:type="dxa"/>
            </w:tcMar>
            <w:vAlign w:val="center"/>
          </w:tcPr>
          <w:p>
            <w:pPr>
              <w:pStyle w:val="TableContents"/>
              <w:spacing w:before="0" w:after="283"/>
              <w:jc w:val="right"/>
              <w:rPr/>
            </w:pPr>
            <w:r>
              <w:rPr/>
              <w:t>1,071,253</w:t>
            </w:r>
          </w:p>
        </w:tc>
        <w:tc>
          <w:tcPr>
            <w:tcW w:w="110" w:type="dxa"/>
            <w:tcBorders/>
            <w:shd w:fill="CCEEFF" w:val="clear"/>
            <w:vAlign w:val="center"/>
          </w:tcPr>
          <w:p>
            <w:pPr>
              <w:pStyle w:val="TableContents"/>
              <w:spacing w:before="0" w:after="283"/>
              <w:ind w:left="0" w:right="0" w:hanging="180"/>
              <w:jc w:val="left"/>
              <w:rPr/>
            </w:pPr>
            <w:r>
              <w:rPr/>
              <w:t> </w:t>
            </w:r>
          </w:p>
        </w:tc>
      </w:tr>
      <w:tr>
        <w:trPr/>
        <w:tc>
          <w:tcPr>
            <w:tcW w:w="7160" w:type="dxa"/>
            <w:tcBorders/>
            <w:shd w:fill="auto" w:val="clear"/>
            <w:vAlign w:val="center"/>
          </w:tcPr>
          <w:p>
            <w:pPr>
              <w:pStyle w:val="TableContents"/>
              <w:spacing w:before="0" w:after="283"/>
              <w:rPr>
                <w:b/>
              </w:rPr>
            </w:pPr>
            <w:r>
              <w:rPr>
                <w:b/>
              </w:rPr>
              <w:t>Cash – End of period</w:t>
            </w:r>
          </w:p>
        </w:tc>
        <w:tc>
          <w:tcPr>
            <w:tcW w:w="60" w:type="dxa"/>
            <w:tcBorders/>
            <w:shd w:fill="auto" w:val="clear"/>
            <w:vAlign w:val="center"/>
          </w:tcPr>
          <w:p>
            <w:pPr>
              <w:pStyle w:val="TableContents"/>
              <w:spacing w:before="0" w:after="283"/>
              <w:rPr/>
            </w:pPr>
            <w:r>
              <w:rPr/>
              <w:t> </w:t>
            </w:r>
          </w:p>
        </w:tc>
        <w:tc>
          <w:tcPr>
            <w:tcW w:w="140" w:type="dxa"/>
            <w:tcBorders>
              <w:bottom w:val="double" w:sz="10" w:space="0" w:color="000000"/>
            </w:tcBorders>
            <w:shd w:fill="auto" w:val="clear"/>
            <w:tcMar>
              <w:bottom w:w="28" w:type="dxa"/>
            </w:tcMar>
            <w:vAlign w:val="center"/>
          </w:tcPr>
          <w:p>
            <w:pPr>
              <w:pStyle w:val="TableContents"/>
              <w:spacing w:before="0" w:after="283"/>
              <w:jc w:val="left"/>
              <w:rPr>
                <w:b/>
              </w:rPr>
            </w:pPr>
            <w:r>
              <w:rPr>
                <w:b/>
              </w:rPr>
              <w:t>$</w:t>
            </w:r>
          </w:p>
        </w:tc>
        <w:tc>
          <w:tcPr>
            <w:tcW w:w="1055" w:type="dxa"/>
            <w:tcBorders>
              <w:bottom w:val="double" w:sz="10" w:space="0" w:color="000000"/>
            </w:tcBorders>
            <w:shd w:fill="auto" w:val="clear"/>
            <w:tcMar>
              <w:bottom w:w="28" w:type="dxa"/>
            </w:tcMar>
            <w:vAlign w:val="center"/>
          </w:tcPr>
          <w:p>
            <w:pPr>
              <w:pStyle w:val="TableContents"/>
              <w:spacing w:before="0" w:after="283"/>
              <w:jc w:val="right"/>
              <w:rPr>
                <w:b/>
              </w:rPr>
            </w:pPr>
            <w:r>
              <w:rPr>
                <w:b/>
              </w:rPr>
              <w:t>259,857</w:t>
            </w:r>
          </w:p>
        </w:tc>
        <w:tc>
          <w:tcPr>
            <w:tcW w:w="95"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40" w:type="dxa"/>
            <w:tcBorders>
              <w:bottom w:val="double" w:sz="10" w:space="0" w:color="000000"/>
            </w:tcBorders>
            <w:shd w:fill="auto" w:val="clear"/>
            <w:tcMar>
              <w:bottom w:w="28" w:type="dxa"/>
            </w:tcMar>
            <w:vAlign w:val="center"/>
          </w:tcPr>
          <w:p>
            <w:pPr>
              <w:pStyle w:val="TableContents"/>
              <w:spacing w:before="0" w:after="283"/>
              <w:jc w:val="left"/>
              <w:rPr>
                <w:b/>
              </w:rPr>
            </w:pPr>
            <w:r>
              <w:rPr>
                <w:b/>
              </w:rPr>
              <w:t>$</w:t>
            </w:r>
          </w:p>
        </w:tc>
        <w:tc>
          <w:tcPr>
            <w:tcW w:w="1175" w:type="dxa"/>
            <w:tcBorders>
              <w:bottom w:val="double" w:sz="10" w:space="0" w:color="000000"/>
            </w:tcBorders>
            <w:shd w:fill="auto" w:val="clear"/>
            <w:tcMar>
              <w:bottom w:w="28" w:type="dxa"/>
            </w:tcMar>
            <w:vAlign w:val="center"/>
          </w:tcPr>
          <w:p>
            <w:pPr>
              <w:pStyle w:val="TableContents"/>
              <w:spacing w:before="0" w:after="283"/>
              <w:jc w:val="right"/>
              <w:rPr>
                <w:b/>
              </w:rPr>
            </w:pPr>
            <w:r>
              <w:rPr>
                <w:b/>
              </w:rPr>
              <w:t>606,741</w:t>
            </w:r>
          </w:p>
        </w:tc>
        <w:tc>
          <w:tcPr>
            <w:tcW w:w="110" w:type="dxa"/>
            <w:tcBorders/>
            <w:shd w:fill="auto" w:val="clear"/>
            <w:vAlign w:val="center"/>
          </w:tcPr>
          <w:p>
            <w:pPr>
              <w:pStyle w:val="TableContents"/>
              <w:spacing w:before="0" w:after="283"/>
              <w:jc w:val="left"/>
              <w:rPr/>
            </w:pPr>
            <w:r>
              <w:rPr/>
              <w:t> </w:t>
            </w:r>
          </w:p>
        </w:tc>
      </w:tr>
    </w:tbl>
    <w:p>
      <w:pPr>
        <w:pStyle w:val="TextBody"/>
        <w:spacing w:before="0" w:after="0"/>
        <w:jc w:val="center"/>
        <w:rPr>
          <w:caps w:val="false"/>
          <w:smallCaps w:val="false"/>
        </w:rPr>
      </w:pPr>
      <w:r>
        <w:rPr>
          <w:caps w:val="false"/>
          <w:smallCaps w:val="false"/>
        </w:rPr>
        <w:t> </w:t>
      </w:r>
    </w:p>
    <w:p>
      <w:pPr>
        <w:pStyle w:val="TextBody"/>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 unaudited condensed consolidated financial statements.</w:t>
      </w:r>
    </w:p>
    <w:p>
      <w:pPr>
        <w:pStyle w:val="TextBody"/>
        <w:spacing w:before="0" w:after="0"/>
        <w:ind w:left="0" w:right="0" w:hanging="0"/>
        <w:jc w:val="both"/>
        <w:rPr>
          <w:caps w:val="false"/>
          <w:smallCaps w:val="false"/>
        </w:rPr>
      </w:pPr>
      <w:r>
        <w:rPr>
          <w:caps w:val="false"/>
          <w:smallCaps w:val="false"/>
        </w:rPr>
        <w:t> </w:t>
      </w:r>
    </w:p>
    <w:p>
      <w:pPr>
        <w:pStyle w:val="TextBody"/>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spacing w:before="0" w:after="0"/>
        <w:ind w:left="0" w:right="0" w:hanging="0"/>
        <w:rPr/>
      </w:pPr>
      <w:r>
        <w:rPr/>
        <w:t> </w:t>
      </w:r>
    </w:p>
    <w:p>
      <w:pPr>
        <w:pStyle w:val="TextBody"/>
        <w:spacing w:before="0" w:after="0"/>
        <w:ind w:left="0" w:right="0" w:hanging="0"/>
        <w:jc w:val="both"/>
        <w:rPr>
          <w:caps w:val="false"/>
          <w:smallCaps w:val="false"/>
        </w:rPr>
      </w:pPr>
      <w:r>
        <w:rPr>
          <w:caps w:val="false"/>
          <w:smallCaps w:val="false"/>
        </w:rPr>
        <w:t> </w:t>
      </w:r>
    </w:p>
    <w:p>
      <w:pPr>
        <w:pStyle w:val="TextBody"/>
        <w:spacing w:before="0" w:after="0"/>
        <w:jc w:val="center"/>
        <w:rPr>
          <w:rFonts w:ascii="Times New Roman;Times;Serif" w:hAnsi="Times New Roman;Times;Serif"/>
          <w:b/>
          <w:i w:val="false"/>
          <w:caps w:val="false"/>
          <w:smallCaps w:val="false"/>
          <w:sz w:val="20"/>
        </w:rPr>
      </w:pPr>
      <w:bookmarkStart w:id="8" w:name="a_007"/>
      <w:bookmarkEnd w:id="8"/>
      <w:r>
        <w:rPr>
          <w:rFonts w:ascii="Times New Roman;Times;Serif" w:hAnsi="Times New Roman;Times;Serif"/>
          <w:b/>
          <w:i w:val="false"/>
          <w:caps w:val="false"/>
          <w:smallCaps w:val="false"/>
          <w:sz w:val="20"/>
        </w:rPr>
        <w:t>VENTOUX CCM ACQUISITION CORP.</w:t>
      </w:r>
    </w:p>
    <w:p>
      <w:pPr>
        <w:pStyle w:val="TextBody"/>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CONDENSED CONSOLIDATED FINANCIAL STATEMENTS</w:t>
      </w:r>
    </w:p>
    <w:p>
      <w:pPr>
        <w:pStyle w:val="TextBody"/>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MARCH 31, 2022</w:t>
      </w:r>
    </w:p>
    <w:p>
      <w:pPr>
        <w:pStyle w:val="TextBody"/>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 DESCRIPTION OF ORGANIZATION AND BUSINESS OPERATIONS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Ventoux CCM Acquisition Corp. (the “Company”) is a blank check company incorporated in Delaware on July 10, 2019. The Company was formed for the purpose of entering into a merger, share exchange, asset acquisition, stock purchase, recapitalization, reorganization or other similar business transaction with one or more businesses or entities (a “Business Combination”).</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not limited to a particular industry or geographic region for purposes of consummating a Business Combination. The Company is an early stage and emerging growth company and, as such, the Company is subject to all of the risks associated with early stage and emerging growth companies.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two wholly owned subsidiaries, Ventoux Merger Sub I Inc. (“Ventoux Merger Sub”) and Ventoux Merger Sub II LLC (“Ventoux Merger Sub II”), which were formed in the State of Delaware on November 3, 2021.</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March 31, 2022 the Company had not commenced any operations. All of the Company’s activity through March 31, 2022 relate to the Company’s formation, the initial public offering (“Initial Public Offering”), which is described below, and subsequent to the Initial Public Offering, identifying a target company for a Business Combination and activities in connection with a proposed acquisition of E La Carte, Inc., d/b/a Presto, Inc., a Delaware corporation (“Presto”), as more fully described in Note 6. The Company will not generate any operating revenues until after the completion of a Business Combination, at the earliest. The Company generates non-operating income in the form of interest income on marketable securities held in the Trust Account (as defined below).</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registration statement for the Company’s Initial Public Offering was declared effective on December 23, 2020. On December 30, 2020, the Company consummated the Initial Public Offering of 15,000,000 Units (the “Units” and, with respect to the shares of common stock included in the Units sold, the “Public Shares”), at $10.00 per Unit, generating gross proceeds of $150,000,000, which is described in Note 3.</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Simultaneously with the closing of the Initial Public Offering, the Company consummated the sale of 6,000,000 warrants (the “Private Warrants”) at a price of $1.00 per Private Warrant in a private placement to Ventoux Acquisition Holdings LLC (“Ventoux Acquisition”), the co-sponsor and an affiliate of certain of the Company’s officers and directors, and Chardan International Investments, LLC (“Chardan Investments”), the co-sponsor and an affiliate of certain of the Company’s directors and Chardan Capital Markets, LLC, generating gross proceeds of $6,000,000, which is described in Note 4.</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Following the closing of the Initial Public Offering on December 30, 2020, an amount of $151,500,000 ($10.10 per Unit) from the net proceeds of the sale of the Units in the Initial Public Offering and the sale of the Private Warrants was placed in a trust account (the “Trust Account”), to be invested in U.S. government securities, within the meaning set forth in Section 2(a)(16) of the Investment Company Act of 1940, as amended (the “Investment Company Act”), with a maturity of 183 days or less or in any open-ended investment company that holds itself out as a money market fund meeting the conditions of Rule 2a-7 of the Investment Company Act, as determined by the Company, until the earlier of: (i) the consummation of a Business Combination or (ii) the distribution of the funds in the Trust Account as described below.</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5, 2021, the underwriters fully exercised their over-allotment option. In connection with the underwriters’ exercise of their over-allotment option, the Company also consummated the sale of an additional 2,250,000 Units, at $10.00 per Unit, and the sale of an additional 675,000 Private Warrants, at $1.00 per Private Warrant, generating total gross proceeds of $23,175,000. A total of $22,725,000 of the net proceeds was deposited into the Trust Account, bringing the aggregate proceeds held in the Trust Account to $174,225,000. As a result of the underwriters’ election to exercise their over-allotment option in full, 562,500 Founder Shares (as defined in Note 5) are no longer subject to forfeiture.</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Transaction costs amounted to $3,993,017 consisting of $3,450,000 of underwriting fees, of which $450,000 are associated with the exercise of the overallotment option, and $543,017 of other offering costs.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will have until June 30, 2022 to consummate a Business Combination (the “Combination Period”). On March 29, 2022, the Company issued unsecured promissory notes in the amount of $1,150,000 and $575,000, to Ventoux Acquisition Holdings LLC and Chardan International Investments, LLC, respectively. The proceeds of $1,725,000 ($0.10 per Public Share) from the promissory notes were deposited into the Trust Account in order to extend the period of time the Company has to complete its Business Combination from March 30, 2022 to June 30, 2022.</w:t>
      </w:r>
    </w:p>
    <w:p>
      <w:pPr>
        <w:pStyle w:val="TextBody"/>
        <w:spacing w:before="0" w:after="0"/>
        <w:ind w:left="0" w:right="0" w:hanging="0"/>
        <w:jc w:val="both"/>
        <w:rPr>
          <w:caps w:val="false"/>
          <w:smallCaps w:val="false"/>
        </w:rPr>
      </w:pPr>
      <w:r>
        <w:rPr>
          <w:caps w:val="false"/>
          <w:smallCaps w:val="false"/>
        </w:rPr>
        <w:t> </w:t>
      </w:r>
    </w:p>
    <w:p>
      <w:pPr>
        <w:pStyle w:val="TextBody"/>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w:t>
      </w:r>
    </w:p>
    <w:p>
      <w:pPr>
        <w:pStyle w:val="TextBody"/>
        <w:spacing w:before="0" w:after="0"/>
        <w:ind w:left="0" w:right="0" w:hanging="0"/>
        <w:rPr/>
      </w:pPr>
      <w:r>
        <w:rPr/>
        <w:t> </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VENTOUX CCM ACQUISITION CORP.</w:t>
      </w:r>
    </w:p>
    <w:p>
      <w:pPr>
        <w:pStyle w:val="TextBody"/>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CONDENSED CONSOLIDATED FINANCIAL STATEMENTS</w:t>
      </w:r>
    </w:p>
    <w:p>
      <w:pPr>
        <w:pStyle w:val="TextBody"/>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MARCH 31, 2022</w:t>
      </w:r>
    </w:p>
    <w:p>
      <w:pPr>
        <w:pStyle w:val="TextBody"/>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management has broad discretion with respect to the specific application of the net proceeds of the Initial Public Offering and the sale of the Private Warrants, although substantially all of the net proceeds are intended to be applied generally toward consummating a Business Combination. The Company’s initial Business Combination must be with one or more target businesses that together have a fair market value equal to at least 80% of the balance in the Trust Account (net of amounts previously released to the Company to pay its tax obligations) at the time of the signing an agreement to enter into a Business Combination. The Company will only complete a Business Combination if the post-Business Combination company owns or acquires 50% or more of the outstanding voting securities of the target or otherwise acquires a controlling interest in the target sufficient for it not to be required to register as an investment company under the Investment Company Act. There is no assurance that the Company will be able to successfully effect a Business Combination.</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will provide its stockholders with the opportunity to redeem all or a portion of their Public Shares upon the completion of a Business Combination either (i) in connection with a stockholder meeting called to approve the Business Combination or (ii) by means of a tender offer. The decision as to whether the Company will seek stockholder approval of a Business Combination or conduct a tender offer will be made by the Company, solely in its discretion. The Company may require stockholders to vote for or against the Business Combination to be able to redeem their shares, and stockholders who do not vote, or who abstain from voting, on the Business Combination will not be able to redeem their shares. The stockholders will be entitled to redeem their shares for a pro rata portion of the amount then on deposit in the Trust Account (initially $10.10 per share, plus any pro rata interest earned on the funds held in the Trust Account and not previously released to the Company to pay its tax obligations). There will be no redemption rights upon the completion of a Business Combination with respect to the Company’s rights or warrants.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will proceed with a Business Combination if the Company has net tangible assets of at least $5,000,001 upon such consummation of a Business Combination and, if the Company seeks stockholder approval, a majority of the outstanding shares voted are voted in favor of the Business Combination. If a stockholder vote is not required by law and the Company does not decide to hold a stockholder vote for business or other legal reasons, the Company will, pursuant to its Amended and Restated Certificate of Incorporation, conduct the redemptions pursuant to the tender offer rules of the Securities and Exchange Commission (“SEC”), and file tender offer documents with the SEC prior to completing a Business Combination. If, however, a stockholder approval of the transaction is required by law, or the Company decides to obtain stockholder approval for business or other legal reasons, the Company will offer to redeem shares in conjunction with a proxy solicitation pursuant to the proxy rules and not pursuant to the tender offer rules. If the Company seeks stockholder approval in connection with a Business Combination, Ventoux Acquisition, Chardan Investments and any other initial stockholders of the Company’s common stock prior to the Initial Public Offering (collectively, the “Initial Stockholders”) have agreed to (a) vote their Founder Shares and any Public Shares held by them in favor of a Business Combination and (b) not to convert any shares (including Founder Shares) in connection with a stockholder vote to approve a Business Combination or sell any such shares to the Company in a tender offer in connection with a Business Combination. Additionally, each public stockholder may elect to redeem their Public Shares irrespective of whether they vote for or against the proposed transaction.</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the foregoing, if the Company seeks stockholder approval of a Business Combination and the Company does not conduct redemptions pursuant to the tender offer rules, a stockholder, together with any affiliate of such stockholder or any other person with whom such stockholder is acting in concert or as a “group” (as defined in Section 13(d)(3) of the Securities Exchange Act of 1934, as amended (the “Exchange Act”)), will be restricted from redeeming their shares with respect to more than an aggregate of 20% of the Public Shares.</w:t>
      </w:r>
    </w:p>
    <w:p>
      <w:pPr>
        <w:pStyle w:val="TextBody"/>
        <w:spacing w:before="0" w:after="0"/>
        <w:ind w:left="0" w:right="0" w:hanging="0"/>
        <w:jc w:val="both"/>
        <w:rPr>
          <w:caps w:val="false"/>
          <w:smallCaps w:val="false"/>
        </w:rPr>
      </w:pPr>
      <w:r>
        <w:rPr>
          <w:caps w:val="false"/>
          <w:smallCaps w:val="false"/>
        </w:rPr>
        <w:t> </w:t>
      </w:r>
    </w:p>
    <w:p>
      <w:pPr>
        <w:pStyle w:val="TextBody"/>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w:t>
      </w:r>
    </w:p>
    <w:p>
      <w:pPr>
        <w:pStyle w:val="TextBody"/>
        <w:spacing w:before="0" w:after="0"/>
        <w:ind w:left="0" w:right="0" w:hanging="0"/>
        <w:rPr/>
      </w:pPr>
      <w:r>
        <w:rPr/>
        <w:t> </w:t>
      </w:r>
    </w:p>
    <w:p>
      <w:pPr>
        <w:pStyle w:val="TextBody"/>
        <w:spacing w:before="0" w:after="0"/>
        <w:ind w:left="0" w:right="0" w:hanging="0"/>
        <w:jc w:val="both"/>
        <w:rPr>
          <w:caps w:val="false"/>
          <w:smallCaps w:val="false"/>
        </w:rPr>
      </w:pPr>
      <w:r>
        <w:rPr>
          <w:caps w:val="false"/>
          <w:smallCaps w:val="false"/>
        </w:rPr>
        <w:t> </w:t>
      </w:r>
    </w:p>
    <w:p>
      <w:pPr>
        <w:pStyle w:val="TextBody"/>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VENTOUX CCM ACQUISITION CORP.</w:t>
      </w:r>
    </w:p>
    <w:p>
      <w:pPr>
        <w:pStyle w:val="TextBody"/>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CONDENSED CONSOLIDATED FINANCIAL STATEMENTS</w:t>
      </w:r>
    </w:p>
    <w:p>
      <w:pPr>
        <w:pStyle w:val="TextBody"/>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MARCH 31, 2022</w:t>
      </w:r>
    </w:p>
    <w:p>
      <w:pPr>
        <w:pStyle w:val="TextBody"/>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Company is unable to complete a Business Combination within the Combination Period, the Company will (i) cease all operations except for the purpose of winding up, (ii) as promptly as reasonably possible but no more than five business days thereafter, redeem 100% of the outstanding Public Shares, at a per share price, payable in cash, equal to the aggregate amount then on deposit in the Trust Account, including interest earned (net of taxes payable), divided by the number of then outstanding Public Shares, which redemption will completely extinguish public stockholders’ rights as stockholders (including the right to receive further liquidation distributions, if any), subject to applicable law, and (iii) as promptly as reasonably possible following such redemption, subject to the approval of the remaining stockholders and the Company’s board of directors, proceed to commence a voluntary liquidation and thereby a formal dissolution of the Company, subject in each case to its obligations to provide for claims of creditors and the requirements of applicable law. The proceeds deposited in the Trust Account could, however, become subject to claims of creditors.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Initial Stockholders have agreed to (i) waive their redemption rights with respect to Founder Shares and any Public Shares they may acquire during or after the Initial Public Offering in connection with the consummation of a Business Combination, (ii) to waive their rights to liquidating distributions from the Trust Account with respect to their Founder Shares if the Company fails to consummate a Business Combination within the Combination Period and (iii) not to propose an amendment to the Company’s Amended and Restated Certificate of Incorporation that would affect the substance or timing of the Company’s obligation to redeem 100% of its Public Shares if the Company does not complete a Business Combination, unless the Company provides the public stockholders an opportunity to redeem their Public Shares in conjunction with any such amendment. However, the Initial Stockholders will be entitled to liquidating distributions with respect to any Public Shares acquired if the Company fails to consummate a Business Combination or liquidates within the Combination Period.</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order to protect the amounts held in the Trust Account, certain of the Initial Stockholders (the “Insiders”) have agreed to be liable to the Company if and to the extent any claims by a vendor for services rendered or products sold to the Company, or a prospective target business with which the Company has discussed entering into a transaction agreement, reduce the amount of funds in the Trust Account to below $10.10 per share, except as to any claims by a third party who executed a waiver of any right, title, interest or claim of any kind in or to any monies held in the Trust Account or to any claims under the Company’s indemnity of the underwriters of the Initial Public Offering against certain liabilities, including liabilities under the Securities Act of 1933, as amended (the “Securities Act”). Moreover, in the event that an executed waiver is deemed to be unenforceable against a third party, the Insiders will not be responsible to the extent of any liability for such third-party claims. The Company will seek to reduce the possibility that the Insiders will have to indemnify the Trust Account due to claims of creditors by endeavoring to have all vendors, service providers (except the Company’s independent registered public accounting firm), prospective target businesses or other entities with which the Company does business, execute agreements with the Company waiving any right, title, interest or claim of any kind in or to monies held in the Trust Account.</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Going Concern and Liquidity</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March 31, 2022, the Company had $259,857 in its operating bank accounts, $176,009,525 in investments held in the Trust Account to be used for a Business Combination or to repurchase or redeem its common stock in connection therewith and a working capital deficit of $500,841, which excludes $59,525 of franchise taxes payable. As of March 31, 2022, approximately $60,000 of the amount on deposit in the Trust Account represented interest income, which is available to pay the Company’s tax obligations.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Company is unable to raise additional capital, it may be required to take additional measures to conserve liquidity, which could include, but not necessarily be limited to, suspending the pursuit of a Business Combination. The Company cannot provide any assurance that new financing will be available to it on commercially acceptable terms, if at all.</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of the above, in connection with the Company’s assessment of going concern considerations in accordance with Financial Accounting Standards Board’s (“FASB”) Accounting Standards Update (“ASU”) 2014-15, “Disclosures of Uncertainties about an Entity’s Ability to Continue as a Going Concern,” management has determined that the liquidity condition and date for mandatory liquidation and dissolution raise substantial doubt about the Company’s ability to continue as a going concern through June 30, 2022, the scheduled liquidation date of the Company if it does not complete a Business Combination prior to such date. These condensed consolidated financial statements do not include any adjustments relating to the recovery of the recorded assets or the classification of the liabilities that might be necessary should the Company be unable to continue as a going concern.</w:t>
      </w:r>
    </w:p>
    <w:p>
      <w:pPr>
        <w:pStyle w:val="TextBody"/>
        <w:spacing w:before="0" w:after="0"/>
        <w:ind w:left="0" w:right="0" w:hanging="0"/>
        <w:jc w:val="both"/>
        <w:rPr>
          <w:caps w:val="false"/>
          <w:smallCaps w:val="false"/>
        </w:rPr>
      </w:pPr>
      <w:r>
        <w:rPr>
          <w:caps w:val="false"/>
          <w:smallCaps w:val="false"/>
        </w:rPr>
        <w:t> </w:t>
      </w:r>
    </w:p>
    <w:p>
      <w:pPr>
        <w:pStyle w:val="TextBody"/>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w:t>
      </w:r>
    </w:p>
    <w:p>
      <w:pPr>
        <w:pStyle w:val="TextBody"/>
        <w:spacing w:before="0" w:after="0"/>
        <w:ind w:left="0" w:right="0" w:hanging="0"/>
        <w:rPr/>
      </w:pPr>
      <w:r>
        <w:rPr/>
        <w:t> </w:t>
      </w:r>
    </w:p>
    <w:p>
      <w:pPr>
        <w:pStyle w:val="TextBody"/>
        <w:spacing w:before="0" w:after="0"/>
        <w:ind w:left="0" w:right="0" w:hanging="0"/>
        <w:jc w:val="both"/>
        <w:rPr>
          <w:caps w:val="false"/>
          <w:smallCaps w:val="false"/>
        </w:rPr>
      </w:pPr>
      <w:r>
        <w:rPr>
          <w:caps w:val="false"/>
          <w:smallCaps w:val="false"/>
        </w:rPr>
        <w:t> </w:t>
      </w:r>
    </w:p>
    <w:p>
      <w:pPr>
        <w:pStyle w:val="TextBody"/>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VENTOUX CCM ACQUISITION CORP.</w:t>
      </w:r>
    </w:p>
    <w:p>
      <w:pPr>
        <w:pStyle w:val="TextBody"/>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CONDENSED CONSOLIDATED FINANCIAL STATEMENTS</w:t>
      </w:r>
    </w:p>
    <w:p>
      <w:pPr>
        <w:pStyle w:val="TextBody"/>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MARCH 31, 2022</w:t>
      </w:r>
    </w:p>
    <w:p>
      <w:pPr>
        <w:pStyle w:val="TextBody"/>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2. SUMMARY OF SIGNIFICANT ACCOUNTING POLICIES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Basis of Presentation</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unaudited condensed consolidated financial statements have been prepared in accordance with accounting principles generally accepted in the United States of America (“GAAP”) for interim financial information and in accordance with the instructions to Form 10-Q and Article 8 of Regulation S-X of the SEC. Certain information or footnote disclosures normally included in financial statements prepared in accordance with GAAP have been condensed or omitted, pursuant to the rules and regulations of the SEC for interim financial reporting. Accordingly, they do not include all the information and footnotes necessary for a complete presentation of financial position, results of operations, or cash flows. In the opinion of management, the accompanying unaudited condensed consolidated financial statements include all adjustments, consisting of a normal recurring nature, which are necessary for a fair presentation of the financial position, operating results and cash flows for the periods presented.</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unaudited condensed consolidated financial statements should be read in conjunction with the Company’s Annual Report on Form 10-K for the year ended December 31, 2021 as filed with the SEC on February 23, 2022. The interim results for the three months ended March 31, 2022 are not necessarily indicative of the results to be expected for the year ending December 31, 2022 or for any future periods.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Reclassifications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reclassifications have been made to the historical financial statements to conform to the current year’s presentation. The reclassification relates to a reclass of $30,000 from accounts payable and accrued expenses to due to related party represented on the condensed consolidated statement of cash flows for the three months ended March 31, 2021 to conform with the current year’s presentation. Such reclassifications have no effect on net income (loss) as previously reported.</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Principles of Consolidation</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condensed consolidated financial statements include the accounts of the Company and its wholly owned subsidiaries. All significant intercompany balances and transactions have been eliminated in consolidation.</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Emerging Growth Company</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an “emerging growth company,” as defined in Section 2(a) of the Securities Act, as modified by the Jumpstart Our Business Startups Act of 2012 (the “JOBS Act”), and it may take advantage of certain exemptions from various reporting requirements that are applicable to other public companies that are not emerging growth companies including, but not limited to, not being required to comply with the independent registered public accounting firm attestation requirements of Section 404 of the Sarbanes-Oxley Act, reduced disclosure obligations regarding executive compensation in its periodic reports and proxy statements, and exemptions from the requirements of holding a nonbinding advisory vote on executive compensation and stockholder approval of any golden parachute payments not previously approved.</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The Company has elected not to opt out of such extended transition period which means that when a standard is issued or revised and it has different application dates for public or private companies, the Company, as an emerging growth company, can adopt the new or revised standard at the time private companies adopt the new or revised standard. This may make comparison of the Company’s consolidated financial statements with another public company which is neither an emerging growth company nor an emerging growth company which has opted out of using the extended transition period difficult or impossible because of the potential differences in accounting standards used.</w:t>
      </w:r>
    </w:p>
    <w:p>
      <w:pPr>
        <w:pStyle w:val="TextBody"/>
        <w:spacing w:before="0" w:after="0"/>
        <w:ind w:left="0" w:right="0" w:hanging="0"/>
        <w:jc w:val="both"/>
        <w:rPr>
          <w:caps w:val="false"/>
          <w:smallCaps w:val="false"/>
        </w:rPr>
      </w:pPr>
      <w:r>
        <w:rPr>
          <w:caps w:val="false"/>
          <w:smallCaps w:val="false"/>
        </w:rPr>
        <w:t> </w:t>
      </w:r>
    </w:p>
    <w:p>
      <w:pPr>
        <w:pStyle w:val="TextBody"/>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w:t>
      </w:r>
    </w:p>
    <w:p>
      <w:pPr>
        <w:pStyle w:val="TextBody"/>
        <w:spacing w:before="0" w:after="0"/>
        <w:ind w:left="0" w:right="0" w:hanging="0"/>
        <w:rPr/>
      </w:pPr>
      <w:r>
        <w:rPr/>
        <w:t> </w:t>
      </w:r>
    </w:p>
    <w:p>
      <w:pPr>
        <w:pStyle w:val="TextBody"/>
        <w:spacing w:before="0" w:after="0"/>
        <w:ind w:left="0" w:right="0" w:hanging="0"/>
        <w:jc w:val="both"/>
        <w:rPr>
          <w:caps w:val="false"/>
          <w:smallCaps w:val="false"/>
        </w:rPr>
      </w:pPr>
      <w:r>
        <w:rPr>
          <w:caps w:val="false"/>
          <w:smallCaps w:val="false"/>
        </w:rPr>
        <w:t> </w:t>
      </w:r>
    </w:p>
    <w:p>
      <w:pPr>
        <w:pStyle w:val="TextBody"/>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VENTOUX CCM ACQUISITION CORP.</w:t>
      </w:r>
    </w:p>
    <w:p>
      <w:pPr>
        <w:pStyle w:val="TextBody"/>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CONDENSED CONSOLIDATED FINANCIAL STATEMENTS</w:t>
      </w:r>
    </w:p>
    <w:p>
      <w:pPr>
        <w:pStyle w:val="TextBody"/>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MARCH 31, 2022</w:t>
      </w:r>
    </w:p>
    <w:p>
      <w:pPr>
        <w:pStyle w:val="TextBody"/>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Use of Estimates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preparation of the unaudited condensed consolidated financial statements in conformity with GAAP requires management to make estimates and assumptions that affect the reported amounts of assets and liabilities and disclosure of contingent assets and liabilities and disclosure of contingent assets and liabilities at the date of the condensed consolidated financial statements and the reported amounts of revenues and expenses during the reporting period.</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Making estimates requires management to exercise significant judgment. It is at least reasonably possible that the estimate of the effect of a condition, situation or set of circumstances that existed at the date of the condensed consolidated financial statements, which management considered in formulating its estimate, could change in the near term due to one or more future confirming events. One of the more significant accounting estimates included in these condensed consolidated financial statements is the determination of the fair value of the warrant liabilities. Such estimates may be subject to change as more current information becomes available and, accordingly, the actual results could differ significantly from those estimates.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Cash and Cash Equivalents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considers all short-term investments with an original maturity of three months or less when purchased to be cash equivalents. The Company had no cash equivalents as of March 31, 2022 and December 31, 2021, respectively.</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Common Stock Subject to Possible Redemption</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accounts for its common stock subject to possible redemption in accordance with the guidance in Accounting Standards Codification (“ASC”) Topic 480 “Distinguishing Liabilities from Equity.” Common stock subject to mandatory redemption is classified as a liability instrument and is measured at fair value. Conditionally redeemable common stock (including common stock that features redemption rights that is either within the control of the holder or subject to redemption upon the occurrence of uncertain events not solely within the Company’s control) is classified as temporary equity. At all other times, common stock is classified as stockholders’ equity. Certain of the Company’s common stock features certain redemption rights that are considered to be outside of the Company’s control and subject to occurrence of uncertain future events. Accordingly, shares of common stock subject to possible redemption are presented as temporary equity, outside of the stockholders’ deficit section of the Company’s condensed consolidated balance sheets.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recognizes changes in redemption value immediately as they occur and adjusts the carrying value of redeemable common stock to equal the redemption value at the end of each reporting period.</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March 31, 2022 and December 31, 2021, the common stock subject to possible redemption reflected in the condensed consolidated balance sheets is reconciled in the following table:</w:t>
      </w:r>
    </w:p>
    <w:p>
      <w:pPr>
        <w:pStyle w:val="TextBody"/>
        <w:spacing w:before="0" w:after="0"/>
        <w:ind w:left="0" w:right="0" w:hanging="0"/>
        <w:jc w:val="both"/>
        <w:rPr>
          <w:caps w:val="false"/>
          <w:smallCaps w:val="false"/>
        </w:rPr>
      </w:pPr>
      <w:r>
        <w:rPr>
          <w:caps w:val="false"/>
          <w:smallCaps w:val="false"/>
        </w:rPr>
        <w:t> </w:t>
      </w:r>
    </w:p>
    <w:tbl>
      <w:tblPr>
        <w:tblW w:w="8270" w:type="dxa"/>
        <w:jc w:val="left"/>
        <w:tblInd w:w="0" w:type="dxa"/>
        <w:tblCellMar>
          <w:top w:w="0" w:type="dxa"/>
          <w:left w:w="0" w:type="dxa"/>
          <w:bottom w:w="0" w:type="dxa"/>
          <w:right w:w="0" w:type="dxa"/>
        </w:tblCellMar>
      </w:tblPr>
      <w:tblGrid>
        <w:gridCol w:w="6740"/>
        <w:gridCol w:w="60"/>
        <w:gridCol w:w="140"/>
        <w:gridCol w:w="1220"/>
        <w:gridCol w:w="110"/>
      </w:tblGrid>
      <w:tr>
        <w:trPr/>
        <w:tc>
          <w:tcPr>
            <w:tcW w:w="6740" w:type="dxa"/>
            <w:tcBorders/>
            <w:shd w:fill="CCEEFF" w:val="clear"/>
            <w:vAlign w:val="center"/>
          </w:tcPr>
          <w:p>
            <w:pPr>
              <w:pStyle w:val="TableContents"/>
              <w:spacing w:before="0" w:after="283"/>
              <w:ind w:left="0" w:right="0" w:hanging="180"/>
              <w:jc w:val="left"/>
              <w:rPr/>
            </w:pPr>
            <w:r>
              <w:rPr/>
              <w:t>Gross proceeds</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w:t>
            </w:r>
          </w:p>
        </w:tc>
        <w:tc>
          <w:tcPr>
            <w:tcW w:w="1220" w:type="dxa"/>
            <w:tcBorders/>
            <w:shd w:fill="CCEEFF" w:val="clear"/>
            <w:vAlign w:val="center"/>
          </w:tcPr>
          <w:p>
            <w:pPr>
              <w:pStyle w:val="TableContents"/>
              <w:spacing w:before="0" w:after="283"/>
              <w:jc w:val="right"/>
              <w:rPr/>
            </w:pPr>
            <w:r>
              <w:rPr/>
              <w:t>172,500,000</w:t>
            </w:r>
          </w:p>
        </w:tc>
        <w:tc>
          <w:tcPr>
            <w:tcW w:w="110" w:type="dxa"/>
            <w:tcBorders/>
            <w:shd w:fill="CCEEFF" w:val="clear"/>
            <w:vAlign w:val="center"/>
          </w:tcPr>
          <w:p>
            <w:pPr>
              <w:pStyle w:val="TableContents"/>
              <w:spacing w:before="0" w:after="283"/>
              <w:ind w:left="0" w:right="0" w:hanging="180"/>
              <w:jc w:val="left"/>
              <w:rPr/>
            </w:pPr>
            <w:r>
              <w:rPr/>
              <w:t> </w:t>
            </w:r>
          </w:p>
        </w:tc>
      </w:tr>
      <w:tr>
        <w:trPr/>
        <w:tc>
          <w:tcPr>
            <w:tcW w:w="6740" w:type="dxa"/>
            <w:tcBorders/>
            <w:shd w:fill="auto" w:val="clear"/>
            <w:vAlign w:val="center"/>
          </w:tcPr>
          <w:p>
            <w:pPr>
              <w:pStyle w:val="TableContents"/>
              <w:spacing w:before="0" w:after="283"/>
              <w:rPr/>
            </w:pPr>
            <w:r>
              <w:rPr/>
              <w:t>Less:</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jc w:val="left"/>
              <w:rPr/>
            </w:pPr>
            <w:r>
              <w:rPr/>
              <w:t> </w:t>
            </w:r>
          </w:p>
        </w:tc>
        <w:tc>
          <w:tcPr>
            <w:tcW w:w="1220" w:type="dxa"/>
            <w:tcBorders/>
            <w:shd w:fill="auto" w:val="clear"/>
            <w:vAlign w:val="center"/>
          </w:tcPr>
          <w:p>
            <w:pPr>
              <w:pStyle w:val="TableContents"/>
              <w:spacing w:before="0" w:after="283"/>
              <w:jc w:val="right"/>
              <w:rPr/>
            </w:pPr>
            <w:r>
              <w:rPr/>
              <w:t> </w:t>
            </w:r>
          </w:p>
        </w:tc>
        <w:tc>
          <w:tcPr>
            <w:tcW w:w="110" w:type="dxa"/>
            <w:tcBorders/>
            <w:shd w:fill="auto" w:val="clear"/>
            <w:vAlign w:val="center"/>
          </w:tcPr>
          <w:p>
            <w:pPr>
              <w:pStyle w:val="TableContents"/>
              <w:spacing w:before="0" w:after="283"/>
              <w:ind w:left="0" w:right="0" w:hanging="180"/>
              <w:jc w:val="left"/>
              <w:rPr/>
            </w:pPr>
            <w:r>
              <w:rPr/>
              <w:t> </w:t>
            </w:r>
          </w:p>
        </w:tc>
      </w:tr>
      <w:tr>
        <w:trPr/>
        <w:tc>
          <w:tcPr>
            <w:tcW w:w="6740" w:type="dxa"/>
            <w:tcBorders/>
            <w:shd w:fill="CCEEFF" w:val="clear"/>
            <w:vAlign w:val="center"/>
          </w:tcPr>
          <w:p>
            <w:pPr>
              <w:pStyle w:val="TableContents"/>
              <w:spacing w:before="0" w:after="283"/>
              <w:jc w:val="left"/>
              <w:rPr/>
            </w:pPr>
            <w:r>
              <w:rPr/>
              <w:t>Proceeds allocated to Public Warrants</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1220" w:type="dxa"/>
            <w:tcBorders/>
            <w:shd w:fill="CCEEFF" w:val="clear"/>
            <w:vAlign w:val="center"/>
          </w:tcPr>
          <w:p>
            <w:pPr>
              <w:pStyle w:val="TableContents"/>
              <w:spacing w:before="0" w:after="283"/>
              <w:jc w:val="right"/>
              <w:rPr/>
            </w:pPr>
            <w:r>
              <w:rPr/>
              <w:t>(10,275,000</w:t>
            </w:r>
          </w:p>
        </w:tc>
        <w:tc>
          <w:tcPr>
            <w:tcW w:w="110" w:type="dxa"/>
            <w:tcBorders/>
            <w:shd w:fill="CCEEFF" w:val="clear"/>
            <w:vAlign w:val="center"/>
          </w:tcPr>
          <w:p>
            <w:pPr>
              <w:pStyle w:val="TableContents"/>
              <w:spacing w:before="0" w:after="283"/>
              <w:ind w:left="0" w:right="0" w:hanging="180"/>
              <w:jc w:val="left"/>
              <w:rPr/>
            </w:pPr>
            <w:r>
              <w:rPr/>
              <w:t>)</w:t>
            </w:r>
          </w:p>
        </w:tc>
      </w:tr>
      <w:tr>
        <w:trPr/>
        <w:tc>
          <w:tcPr>
            <w:tcW w:w="6740" w:type="dxa"/>
            <w:tcBorders/>
            <w:shd w:fill="auto" w:val="clear"/>
            <w:vAlign w:val="center"/>
          </w:tcPr>
          <w:p>
            <w:pPr>
              <w:pStyle w:val="TableContents"/>
              <w:spacing w:before="0" w:after="283"/>
              <w:jc w:val="left"/>
              <w:rPr/>
            </w:pPr>
            <w:r>
              <w:rPr/>
              <w:t>Proceeds Allocated to Public Rights</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jc w:val="left"/>
              <w:rPr/>
            </w:pPr>
            <w:r>
              <w:rPr/>
              <w:t> </w:t>
            </w:r>
          </w:p>
        </w:tc>
        <w:tc>
          <w:tcPr>
            <w:tcW w:w="1220" w:type="dxa"/>
            <w:tcBorders/>
            <w:shd w:fill="auto" w:val="clear"/>
            <w:vAlign w:val="center"/>
          </w:tcPr>
          <w:p>
            <w:pPr>
              <w:pStyle w:val="TableContents"/>
              <w:spacing w:before="0" w:after="283"/>
              <w:jc w:val="right"/>
              <w:rPr/>
            </w:pPr>
            <w:r>
              <w:rPr/>
              <w:t>(7,331,250</w:t>
            </w:r>
          </w:p>
        </w:tc>
        <w:tc>
          <w:tcPr>
            <w:tcW w:w="110" w:type="dxa"/>
            <w:tcBorders/>
            <w:shd w:fill="auto" w:val="clear"/>
            <w:vAlign w:val="center"/>
          </w:tcPr>
          <w:p>
            <w:pPr>
              <w:pStyle w:val="TableContents"/>
              <w:spacing w:before="0" w:after="283"/>
              <w:ind w:left="0" w:right="0" w:hanging="180"/>
              <w:jc w:val="left"/>
              <w:rPr/>
            </w:pPr>
            <w:r>
              <w:rPr/>
              <w:t>)</w:t>
            </w:r>
          </w:p>
        </w:tc>
      </w:tr>
      <w:tr>
        <w:trPr/>
        <w:tc>
          <w:tcPr>
            <w:tcW w:w="6740" w:type="dxa"/>
            <w:tcBorders/>
            <w:shd w:fill="CCEEFF" w:val="clear"/>
            <w:vAlign w:val="center"/>
          </w:tcPr>
          <w:p>
            <w:pPr>
              <w:pStyle w:val="TableContents"/>
              <w:spacing w:before="0" w:after="283"/>
              <w:jc w:val="left"/>
              <w:rPr/>
            </w:pPr>
            <w:r>
              <w:rPr/>
              <w:t>Common stock issuance costs</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1220" w:type="dxa"/>
            <w:tcBorders/>
            <w:shd w:fill="CCEEFF" w:val="clear"/>
            <w:vAlign w:val="center"/>
          </w:tcPr>
          <w:p>
            <w:pPr>
              <w:pStyle w:val="TableContents"/>
              <w:spacing w:before="0" w:after="283"/>
              <w:jc w:val="right"/>
              <w:rPr/>
            </w:pPr>
            <w:r>
              <w:rPr/>
              <w:t>(3,968,164</w:t>
            </w:r>
          </w:p>
        </w:tc>
        <w:tc>
          <w:tcPr>
            <w:tcW w:w="110" w:type="dxa"/>
            <w:tcBorders/>
            <w:shd w:fill="CCEEFF" w:val="clear"/>
            <w:vAlign w:val="center"/>
          </w:tcPr>
          <w:p>
            <w:pPr>
              <w:pStyle w:val="TableContents"/>
              <w:spacing w:before="0" w:after="283"/>
              <w:ind w:left="0" w:right="0" w:hanging="180"/>
              <w:jc w:val="left"/>
              <w:rPr/>
            </w:pPr>
            <w:r>
              <w:rPr/>
              <w:t>)</w:t>
            </w:r>
          </w:p>
        </w:tc>
      </w:tr>
      <w:tr>
        <w:trPr/>
        <w:tc>
          <w:tcPr>
            <w:tcW w:w="6740" w:type="dxa"/>
            <w:tcBorders/>
            <w:shd w:fill="auto" w:val="clear"/>
            <w:vAlign w:val="center"/>
          </w:tcPr>
          <w:p>
            <w:pPr>
              <w:pStyle w:val="TableContents"/>
              <w:spacing w:before="0" w:after="283"/>
              <w:rPr/>
            </w:pPr>
            <w:r>
              <w:rPr/>
              <w:t>Plus:</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jc w:val="left"/>
              <w:rPr/>
            </w:pPr>
            <w:r>
              <w:rPr/>
              <w:t> </w:t>
            </w:r>
          </w:p>
        </w:tc>
        <w:tc>
          <w:tcPr>
            <w:tcW w:w="1220" w:type="dxa"/>
            <w:tcBorders/>
            <w:shd w:fill="auto" w:val="clear"/>
            <w:vAlign w:val="center"/>
          </w:tcPr>
          <w:p>
            <w:pPr>
              <w:pStyle w:val="TableContents"/>
              <w:spacing w:before="0" w:after="283"/>
              <w:jc w:val="right"/>
              <w:rPr/>
            </w:pPr>
            <w:r>
              <w:rPr/>
              <w:t> </w:t>
            </w:r>
          </w:p>
        </w:tc>
        <w:tc>
          <w:tcPr>
            <w:tcW w:w="110" w:type="dxa"/>
            <w:tcBorders/>
            <w:shd w:fill="auto" w:val="clear"/>
            <w:vAlign w:val="center"/>
          </w:tcPr>
          <w:p>
            <w:pPr>
              <w:pStyle w:val="TableContents"/>
              <w:spacing w:before="0" w:after="283"/>
              <w:ind w:left="0" w:right="0" w:hanging="180"/>
              <w:jc w:val="left"/>
              <w:rPr/>
            </w:pPr>
            <w:r>
              <w:rPr/>
              <w:t> </w:t>
            </w:r>
          </w:p>
        </w:tc>
      </w:tr>
      <w:tr>
        <w:trPr/>
        <w:tc>
          <w:tcPr>
            <w:tcW w:w="6740" w:type="dxa"/>
            <w:tcBorders/>
            <w:shd w:fill="CCEEFF" w:val="clear"/>
            <w:vAlign w:val="center"/>
          </w:tcPr>
          <w:p>
            <w:pPr>
              <w:pStyle w:val="TableContents"/>
              <w:spacing w:before="0" w:after="283"/>
              <w:rPr/>
            </w:pPr>
            <w:r>
              <w:rPr/>
              <w:t>Accretion of carrying value to redemption value</w:t>
            </w:r>
          </w:p>
        </w:tc>
        <w:tc>
          <w:tcPr>
            <w:tcW w:w="60" w:type="dxa"/>
            <w:tcBorders/>
            <w:shd w:fill="CCEEFF" w:val="clear"/>
            <w:vAlign w:val="center"/>
          </w:tcPr>
          <w:p>
            <w:pPr>
              <w:pStyle w:val="TableContents"/>
              <w:spacing w:before="0" w:after="283"/>
              <w:rPr/>
            </w:pPr>
            <w:r>
              <w:rPr/>
              <w:t> </w:t>
            </w:r>
          </w:p>
        </w:tc>
        <w:tc>
          <w:tcPr>
            <w:tcW w:w="140" w:type="dxa"/>
            <w:tcBorders>
              <w:bottom w:val="single" w:sz="12" w:space="0" w:color="000000"/>
            </w:tcBorders>
            <w:shd w:fill="CCEEFF" w:val="clear"/>
            <w:tcMar>
              <w:bottom w:w="28" w:type="dxa"/>
            </w:tcMar>
            <w:vAlign w:val="center"/>
          </w:tcPr>
          <w:p>
            <w:pPr>
              <w:pStyle w:val="TableContents"/>
              <w:spacing w:before="0" w:after="283"/>
              <w:jc w:val="left"/>
              <w:rPr/>
            </w:pPr>
            <w:r>
              <w:rPr/>
              <w:t> </w:t>
            </w:r>
          </w:p>
        </w:tc>
        <w:tc>
          <w:tcPr>
            <w:tcW w:w="1220" w:type="dxa"/>
            <w:tcBorders>
              <w:bottom w:val="single" w:sz="12" w:space="0" w:color="000000"/>
            </w:tcBorders>
            <w:shd w:fill="CCEEFF" w:val="clear"/>
            <w:tcMar>
              <w:bottom w:w="28" w:type="dxa"/>
            </w:tcMar>
            <w:vAlign w:val="center"/>
          </w:tcPr>
          <w:p>
            <w:pPr>
              <w:pStyle w:val="TableContents"/>
              <w:spacing w:before="0" w:after="283"/>
              <w:jc w:val="right"/>
              <w:rPr/>
            </w:pPr>
            <w:r>
              <w:rPr/>
              <w:t>23,299,414</w:t>
            </w:r>
          </w:p>
        </w:tc>
        <w:tc>
          <w:tcPr>
            <w:tcW w:w="110" w:type="dxa"/>
            <w:tcBorders/>
            <w:shd w:fill="CCEEFF" w:val="clear"/>
            <w:vAlign w:val="center"/>
          </w:tcPr>
          <w:p>
            <w:pPr>
              <w:pStyle w:val="TableContents"/>
              <w:spacing w:before="0" w:after="283"/>
              <w:ind w:left="0" w:right="0" w:hanging="180"/>
              <w:jc w:val="left"/>
              <w:rPr/>
            </w:pPr>
            <w:r>
              <w:rPr/>
              <w:t> </w:t>
            </w:r>
          </w:p>
        </w:tc>
      </w:tr>
      <w:tr>
        <w:trPr/>
        <w:tc>
          <w:tcPr>
            <w:tcW w:w="674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jc w:val="left"/>
              <w:rPr/>
            </w:pPr>
            <w:r>
              <w:rPr/>
              <w:t> </w:t>
            </w:r>
          </w:p>
        </w:tc>
        <w:tc>
          <w:tcPr>
            <w:tcW w:w="1220" w:type="dxa"/>
            <w:tcBorders/>
            <w:shd w:fill="auto" w:val="clear"/>
            <w:vAlign w:val="center"/>
          </w:tcPr>
          <w:p>
            <w:pPr>
              <w:pStyle w:val="TableContents"/>
              <w:spacing w:before="0" w:after="283"/>
              <w:jc w:val="right"/>
              <w:rPr/>
            </w:pPr>
            <w:r>
              <w:rPr/>
              <w:t> </w:t>
            </w:r>
          </w:p>
        </w:tc>
        <w:tc>
          <w:tcPr>
            <w:tcW w:w="110" w:type="dxa"/>
            <w:tcBorders/>
            <w:shd w:fill="auto" w:val="clear"/>
            <w:vAlign w:val="center"/>
          </w:tcPr>
          <w:p>
            <w:pPr>
              <w:pStyle w:val="TableContents"/>
              <w:spacing w:before="0" w:after="283"/>
              <w:ind w:left="0" w:right="0" w:hanging="180"/>
              <w:jc w:val="left"/>
              <w:rPr/>
            </w:pPr>
            <w:r>
              <w:rPr/>
              <w:t> </w:t>
            </w:r>
          </w:p>
        </w:tc>
      </w:tr>
      <w:tr>
        <w:trPr/>
        <w:tc>
          <w:tcPr>
            <w:tcW w:w="6740" w:type="dxa"/>
            <w:tcBorders/>
            <w:shd w:fill="CCEEFF" w:val="clear"/>
            <w:vAlign w:val="center"/>
          </w:tcPr>
          <w:p>
            <w:pPr>
              <w:pStyle w:val="TableContents"/>
              <w:spacing w:before="0" w:after="283"/>
              <w:jc w:val="left"/>
              <w:rPr>
                <w:b/>
              </w:rPr>
            </w:pPr>
            <w:r>
              <w:rPr>
                <w:b/>
              </w:rPr>
              <w:t>Common stock subject to possible redemption, December 31, 2021</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1220" w:type="dxa"/>
            <w:tcBorders/>
            <w:shd w:fill="CCEEFF" w:val="clear"/>
            <w:vAlign w:val="center"/>
          </w:tcPr>
          <w:p>
            <w:pPr>
              <w:pStyle w:val="TableContents"/>
              <w:spacing w:before="0" w:after="283"/>
              <w:jc w:val="right"/>
              <w:rPr/>
            </w:pPr>
            <w:r>
              <w:rPr/>
              <w:t>174,225,000</w:t>
            </w:r>
          </w:p>
        </w:tc>
        <w:tc>
          <w:tcPr>
            <w:tcW w:w="110" w:type="dxa"/>
            <w:tcBorders/>
            <w:shd w:fill="CCEEFF" w:val="clear"/>
            <w:vAlign w:val="center"/>
          </w:tcPr>
          <w:p>
            <w:pPr>
              <w:pStyle w:val="TableContents"/>
              <w:spacing w:before="0" w:after="283"/>
              <w:ind w:left="0" w:right="0" w:hanging="180"/>
              <w:jc w:val="left"/>
              <w:rPr/>
            </w:pPr>
            <w:r>
              <w:rPr/>
              <w:t> </w:t>
            </w:r>
          </w:p>
        </w:tc>
      </w:tr>
      <w:tr>
        <w:trPr/>
        <w:tc>
          <w:tcPr>
            <w:tcW w:w="6740" w:type="dxa"/>
            <w:tcBorders/>
            <w:shd w:fill="auto" w:val="clear"/>
            <w:vAlign w:val="center"/>
          </w:tcPr>
          <w:p>
            <w:pPr>
              <w:pStyle w:val="TableContents"/>
              <w:spacing w:before="0" w:after="283"/>
              <w:rPr/>
            </w:pPr>
            <w:r>
              <w:rPr/>
              <w:t>Plus:</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jc w:val="left"/>
              <w:rPr/>
            </w:pPr>
            <w:r>
              <w:rPr/>
              <w:t> </w:t>
            </w:r>
          </w:p>
        </w:tc>
        <w:tc>
          <w:tcPr>
            <w:tcW w:w="1220" w:type="dxa"/>
            <w:tcBorders/>
            <w:shd w:fill="auto" w:val="clear"/>
            <w:vAlign w:val="center"/>
          </w:tcPr>
          <w:p>
            <w:pPr>
              <w:pStyle w:val="TableContents"/>
              <w:spacing w:before="0" w:after="283"/>
              <w:jc w:val="right"/>
              <w:rPr/>
            </w:pPr>
            <w:r>
              <w:rPr/>
              <w:t> </w:t>
            </w:r>
          </w:p>
        </w:tc>
        <w:tc>
          <w:tcPr>
            <w:tcW w:w="110" w:type="dxa"/>
            <w:tcBorders/>
            <w:shd w:fill="auto" w:val="clear"/>
            <w:vAlign w:val="center"/>
          </w:tcPr>
          <w:p>
            <w:pPr>
              <w:pStyle w:val="TableContents"/>
              <w:spacing w:before="0" w:after="283"/>
              <w:ind w:left="0" w:right="0" w:hanging="180"/>
              <w:jc w:val="left"/>
              <w:rPr/>
            </w:pPr>
            <w:r>
              <w:rPr/>
              <w:t> </w:t>
            </w:r>
          </w:p>
        </w:tc>
      </w:tr>
      <w:tr>
        <w:trPr/>
        <w:tc>
          <w:tcPr>
            <w:tcW w:w="6740" w:type="dxa"/>
            <w:tcBorders/>
            <w:shd w:fill="CCEEFF" w:val="clear"/>
            <w:vAlign w:val="center"/>
          </w:tcPr>
          <w:p>
            <w:pPr>
              <w:pStyle w:val="TableContents"/>
              <w:spacing w:before="0" w:after="283"/>
              <w:rPr/>
            </w:pPr>
            <w:r>
              <w:rPr/>
              <w:t>Accretion of carrying value to redemption value</w:t>
            </w:r>
          </w:p>
        </w:tc>
        <w:tc>
          <w:tcPr>
            <w:tcW w:w="60" w:type="dxa"/>
            <w:tcBorders/>
            <w:shd w:fill="CCEEFF" w:val="clear"/>
            <w:vAlign w:val="center"/>
          </w:tcPr>
          <w:p>
            <w:pPr>
              <w:pStyle w:val="TableContents"/>
              <w:spacing w:before="0" w:after="283"/>
              <w:rPr/>
            </w:pPr>
            <w:r>
              <w:rPr/>
              <w:t> </w:t>
            </w:r>
          </w:p>
        </w:tc>
        <w:tc>
          <w:tcPr>
            <w:tcW w:w="140" w:type="dxa"/>
            <w:tcBorders>
              <w:bottom w:val="single" w:sz="12" w:space="0" w:color="000000"/>
            </w:tcBorders>
            <w:shd w:fill="CCEEFF" w:val="clear"/>
            <w:tcMar>
              <w:bottom w:w="28" w:type="dxa"/>
            </w:tcMar>
            <w:vAlign w:val="center"/>
          </w:tcPr>
          <w:p>
            <w:pPr>
              <w:pStyle w:val="TableContents"/>
              <w:spacing w:before="0" w:after="283"/>
              <w:jc w:val="left"/>
              <w:rPr/>
            </w:pPr>
            <w:r>
              <w:rPr/>
              <w:t> </w:t>
            </w:r>
          </w:p>
        </w:tc>
        <w:tc>
          <w:tcPr>
            <w:tcW w:w="1220" w:type="dxa"/>
            <w:tcBorders>
              <w:bottom w:val="single" w:sz="12" w:space="0" w:color="000000"/>
            </w:tcBorders>
            <w:shd w:fill="CCEEFF" w:val="clear"/>
            <w:tcMar>
              <w:bottom w:w="28" w:type="dxa"/>
            </w:tcMar>
            <w:vAlign w:val="center"/>
          </w:tcPr>
          <w:p>
            <w:pPr>
              <w:pStyle w:val="TableContents"/>
              <w:spacing w:before="0" w:after="283"/>
              <w:jc w:val="right"/>
              <w:rPr/>
            </w:pPr>
            <w:r>
              <w:rPr/>
              <w:t>1,725,000</w:t>
            </w:r>
          </w:p>
        </w:tc>
        <w:tc>
          <w:tcPr>
            <w:tcW w:w="110" w:type="dxa"/>
            <w:tcBorders/>
            <w:shd w:fill="CCEEFF" w:val="clear"/>
            <w:vAlign w:val="center"/>
          </w:tcPr>
          <w:p>
            <w:pPr>
              <w:pStyle w:val="TableContents"/>
              <w:spacing w:before="0" w:after="283"/>
              <w:ind w:left="0" w:right="0" w:hanging="180"/>
              <w:jc w:val="left"/>
              <w:rPr/>
            </w:pPr>
            <w:r>
              <w:rPr/>
              <w:t> </w:t>
            </w:r>
          </w:p>
        </w:tc>
      </w:tr>
      <w:tr>
        <w:trPr/>
        <w:tc>
          <w:tcPr>
            <w:tcW w:w="674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jc w:val="left"/>
              <w:rPr/>
            </w:pPr>
            <w:r>
              <w:rPr/>
              <w:t> </w:t>
            </w:r>
          </w:p>
        </w:tc>
        <w:tc>
          <w:tcPr>
            <w:tcW w:w="1220" w:type="dxa"/>
            <w:tcBorders/>
            <w:shd w:fill="auto" w:val="clear"/>
            <w:vAlign w:val="center"/>
          </w:tcPr>
          <w:p>
            <w:pPr>
              <w:pStyle w:val="TableContents"/>
              <w:spacing w:before="0" w:after="283"/>
              <w:jc w:val="right"/>
              <w:rPr/>
            </w:pPr>
            <w:r>
              <w:rPr/>
              <w:t> </w:t>
            </w:r>
          </w:p>
        </w:tc>
        <w:tc>
          <w:tcPr>
            <w:tcW w:w="110" w:type="dxa"/>
            <w:tcBorders/>
            <w:shd w:fill="auto" w:val="clear"/>
            <w:vAlign w:val="center"/>
          </w:tcPr>
          <w:p>
            <w:pPr>
              <w:pStyle w:val="TableContents"/>
              <w:spacing w:before="0" w:after="283"/>
              <w:ind w:left="0" w:right="0" w:hanging="180"/>
              <w:jc w:val="left"/>
              <w:rPr/>
            </w:pPr>
            <w:r>
              <w:rPr/>
              <w:t> </w:t>
            </w:r>
          </w:p>
        </w:tc>
      </w:tr>
      <w:tr>
        <w:trPr/>
        <w:tc>
          <w:tcPr>
            <w:tcW w:w="6740" w:type="dxa"/>
            <w:tcBorders/>
            <w:shd w:fill="CCEEFF" w:val="clear"/>
            <w:vAlign w:val="center"/>
          </w:tcPr>
          <w:p>
            <w:pPr>
              <w:pStyle w:val="TableContents"/>
              <w:spacing w:before="0" w:after="283"/>
              <w:jc w:val="left"/>
              <w:rPr>
                <w:b/>
              </w:rPr>
            </w:pPr>
            <w:r>
              <w:rPr>
                <w:b/>
              </w:rPr>
              <w:t>Common stock subject to possible redemption, March 31, 2022</w:t>
            </w:r>
          </w:p>
        </w:tc>
        <w:tc>
          <w:tcPr>
            <w:tcW w:w="60" w:type="dxa"/>
            <w:tcBorders/>
            <w:shd w:fill="CCEEFF" w:val="clear"/>
            <w:vAlign w:val="center"/>
          </w:tcPr>
          <w:p>
            <w:pPr>
              <w:pStyle w:val="TableContents"/>
              <w:spacing w:before="0" w:after="283"/>
              <w:rPr/>
            </w:pPr>
            <w:r>
              <w:rPr/>
              <w:t> </w:t>
            </w:r>
          </w:p>
        </w:tc>
        <w:tc>
          <w:tcPr>
            <w:tcW w:w="140" w:type="dxa"/>
            <w:tcBorders>
              <w:bottom w:val="double" w:sz="10" w:space="0" w:color="000000"/>
            </w:tcBorders>
            <w:shd w:fill="CCEEFF" w:val="clear"/>
            <w:tcMar>
              <w:bottom w:w="28" w:type="dxa"/>
            </w:tcMar>
            <w:vAlign w:val="center"/>
          </w:tcPr>
          <w:p>
            <w:pPr>
              <w:pStyle w:val="TableContents"/>
              <w:spacing w:before="0" w:after="283"/>
              <w:jc w:val="left"/>
              <w:rPr/>
            </w:pPr>
            <w:r>
              <w:rPr/>
              <w:t>$</w:t>
            </w:r>
          </w:p>
        </w:tc>
        <w:tc>
          <w:tcPr>
            <w:tcW w:w="1220" w:type="dxa"/>
            <w:tcBorders>
              <w:bottom w:val="double" w:sz="10" w:space="0" w:color="000000"/>
            </w:tcBorders>
            <w:shd w:fill="CCEEFF" w:val="clear"/>
            <w:tcMar>
              <w:bottom w:w="28" w:type="dxa"/>
            </w:tcMar>
            <w:vAlign w:val="center"/>
          </w:tcPr>
          <w:p>
            <w:pPr>
              <w:pStyle w:val="TableContents"/>
              <w:spacing w:before="0" w:after="283"/>
              <w:jc w:val="right"/>
              <w:rPr/>
            </w:pPr>
            <w:r>
              <w:rPr/>
              <w:t>175,950,000</w:t>
            </w:r>
          </w:p>
        </w:tc>
        <w:tc>
          <w:tcPr>
            <w:tcW w:w="110" w:type="dxa"/>
            <w:tcBorders/>
            <w:shd w:fill="CCEEFF" w:val="clear"/>
            <w:vAlign w:val="center"/>
          </w:tcPr>
          <w:p>
            <w:pPr>
              <w:pStyle w:val="TableContents"/>
              <w:spacing w:before="0" w:after="283"/>
              <w:jc w:val="left"/>
              <w:rPr/>
            </w:pPr>
            <w:r>
              <w:rPr/>
              <w:t> </w:t>
            </w:r>
          </w:p>
        </w:tc>
      </w:tr>
    </w:tbl>
    <w:p>
      <w:pPr>
        <w:pStyle w:val="TextBody"/>
        <w:spacing w:before="0" w:after="0"/>
        <w:ind w:left="0" w:right="0" w:hanging="0"/>
        <w:jc w:val="both"/>
        <w:rPr>
          <w:caps w:val="false"/>
          <w:smallCaps w:val="false"/>
        </w:rPr>
      </w:pPr>
      <w:r>
        <w:rPr>
          <w:caps w:val="false"/>
          <w:smallCaps w:val="false"/>
        </w:rPr>
        <w:t>  </w:t>
      </w:r>
    </w:p>
    <w:p>
      <w:pPr>
        <w:pStyle w:val="TextBody"/>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w:t>
      </w:r>
    </w:p>
    <w:p>
      <w:pPr>
        <w:pStyle w:val="TextBody"/>
        <w:spacing w:before="0" w:after="0"/>
        <w:ind w:left="0" w:right="0" w:hanging="0"/>
        <w:rPr/>
      </w:pPr>
      <w:r>
        <w:rPr/>
        <w:t> </w:t>
      </w:r>
    </w:p>
    <w:p>
      <w:pPr>
        <w:pStyle w:val="TextBody"/>
        <w:spacing w:before="0" w:after="0"/>
        <w:ind w:left="0" w:right="0" w:hanging="0"/>
        <w:jc w:val="both"/>
        <w:rPr>
          <w:caps w:val="false"/>
          <w:smallCaps w:val="false"/>
        </w:rPr>
      </w:pPr>
      <w:r>
        <w:rPr>
          <w:caps w:val="false"/>
          <w:smallCaps w:val="false"/>
        </w:rPr>
        <w:t> </w:t>
      </w:r>
    </w:p>
    <w:p>
      <w:pPr>
        <w:pStyle w:val="TextBody"/>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VENTOUX CCM ACQUISITION CORP.</w:t>
      </w:r>
    </w:p>
    <w:p>
      <w:pPr>
        <w:pStyle w:val="TextBody"/>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CONDENSED CONSOLIDATED FINANCIAL STATEMENTS</w:t>
      </w:r>
    </w:p>
    <w:p>
      <w:pPr>
        <w:pStyle w:val="TextBody"/>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MARCH 31, 2022</w:t>
      </w:r>
    </w:p>
    <w:p>
      <w:pPr>
        <w:pStyle w:val="TextBody"/>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Warrant Liabilities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does not use derivative instruments to hedge exposures to cash flow, market, or foreign currency risks. The Company evaluates all of its financial instruments, including warrants to purchase shares of common stock, to determine if such instruments are derivatives or contain features that qualify as embedded derivatives, pursuant to ASC 480 and FASB ASC Topic 815, “Derivatives and Hedging” (“ASC 815”). The Company accounts for the Public Warrants and Private Warrants in accordance with the guidance contained in ASC 815-40, “</w:t>
      </w:r>
      <w:r>
        <w:rPr>
          <w:rFonts w:ascii="Times New Roman;Times;Serif" w:hAnsi="Times New Roman;Times;Serif"/>
          <w:b w:val="false"/>
          <w:i/>
          <w:caps w:val="false"/>
          <w:smallCaps w:val="false"/>
          <w:sz w:val="20"/>
        </w:rPr>
        <w:t>Derivatives and Hedging — Contracts in Entity’s Own Equity,”</w:t>
      </w:r>
      <w:r>
        <w:rPr>
          <w:rFonts w:ascii="Times New Roman;Times;Serif" w:hAnsi="Times New Roman;Times;Serif"/>
          <w:b w:val="false"/>
          <w:i w:val="false"/>
          <w:caps w:val="false"/>
          <w:smallCaps w:val="false"/>
          <w:sz w:val="20"/>
        </w:rPr>
        <w:t xml:space="preserve"> under which the Private Warrants do not meet the criteria for equity treatment and must be recorded as liabilities. Accordingly, the Company classifies the Private Warrants as liabilities at their fair value and adjusts the Private Warrants to fair value at each reporting period. This liability is subject to re-measurement at each balance sheet date until exercised, and any change in fair value is recognized in the Company’s condensed consolidated statements of operations. The Private Warrants are valued using a Modified Black-Scholes model, which is considered to be a Level 3 fair value measurement.</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Income Taxes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follows the asset and liability method of accounting for income taxes under ASC 740, “Income Taxes.” Deferred tax assets and liabilities are recognized for the estimated future tax consequences attributable to differences between the financial statements carrying amounts of existing assets and liabilities and their respective tax bases.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included the enactment date. Valuation allowances are established, when necessary, to reduce deferred tax assets to the amount expected to be realized. As of March 31, 2022 and December 31, 2021, the Company had deferred tax assets of $248,090 and $203,252 with a full valuation allowance recorded against them, respectively.</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current taxable income primarily consists of interest earned on the Trust Account. The Company’s general and administrative costs are generally considered start-up costs and are not currently deductible. During the three months ended March 31, 2022 and 2021, the Company recorded income tax expense of $0 and $4,342, respectively. The Company’s effective tax rate for three months ended March 31, 2022 and 2021 differs from the expected income tax rate mainly due to change in fair value of warrants and the full valuation allowance on the Company’s deferred tax assets.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ASC 740 prescribes a recognition threshold and a measurement attribute for the financial statement recognition and measurement of tax positions taken or expected to be taken in a tax return. For those benefits to be recognized, a tax position must be more likely than not to be sustained upon examination by taxing authorities. The Company recognizes accrued interest and penalties related to unrecognized tax benefits as income tax expense. As of March 31, 2022 and December 31, 2021, there were no unrecognized tax benefits and no amounts accrued for interest and penalties. The Company is currently not aware of any issues under review that could result in significant payments, accruals or material deviation from its position.</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may be subject to potential examination by federal, state and city taxing authorities in the areas of income taxes. These potential examinations may include questioning the timing and amount of deductions, the nexus of income among various tax jurisdictions and compliance with federal, state and city tax laws. The Company’s management does not expect that the total amount of unrecognized tax benefits will materially change over the next twelve months. The Company is subject to income tax examinations by major taxing authorities since inception.</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Net Income Per Common Stock</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complies with accounting and disclosure requirements of FASB ASC Topic 260, “Earnings Per Share”. Net income (loss) per common stock is computed by dividing net income by the weighted average number of shares of common stock outstanding for the period.</w:t>
      </w:r>
    </w:p>
    <w:p>
      <w:pPr>
        <w:pStyle w:val="TextBody"/>
        <w:spacing w:before="0" w:after="0"/>
        <w:ind w:left="0" w:right="0" w:hanging="0"/>
        <w:jc w:val="both"/>
        <w:rPr>
          <w:caps w:val="false"/>
          <w:smallCaps w:val="false"/>
        </w:rPr>
      </w:pPr>
      <w:r>
        <w:rPr>
          <w:caps w:val="false"/>
          <w:smallCaps w:val="false"/>
        </w:rPr>
        <w:t> </w:t>
      </w:r>
    </w:p>
    <w:p>
      <w:pPr>
        <w:pStyle w:val="TextBody"/>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w:t>
      </w:r>
    </w:p>
    <w:p>
      <w:pPr>
        <w:pStyle w:val="TextBody"/>
        <w:spacing w:before="0" w:after="0"/>
        <w:ind w:left="0" w:right="0" w:hanging="0"/>
        <w:rPr/>
      </w:pPr>
      <w:r>
        <w:rPr/>
        <w:t> </w:t>
      </w:r>
    </w:p>
    <w:p>
      <w:pPr>
        <w:pStyle w:val="TextBody"/>
        <w:spacing w:before="0" w:after="0"/>
        <w:ind w:left="0" w:right="0" w:hanging="0"/>
        <w:jc w:val="both"/>
        <w:rPr>
          <w:caps w:val="false"/>
          <w:smallCaps w:val="false"/>
        </w:rPr>
      </w:pPr>
      <w:r>
        <w:rPr>
          <w:caps w:val="false"/>
          <w:smallCaps w:val="false"/>
        </w:rPr>
        <w:t> </w:t>
      </w:r>
    </w:p>
    <w:p>
      <w:pPr>
        <w:pStyle w:val="TextBody"/>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VENTOUX CCM ACQUISITION CORP.</w:t>
      </w:r>
    </w:p>
    <w:p>
      <w:pPr>
        <w:pStyle w:val="TextBody"/>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CONDENSED CONSOLIDATED FINANCIAL STATEMENTS</w:t>
      </w:r>
    </w:p>
    <w:p>
      <w:pPr>
        <w:pStyle w:val="TextBody"/>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MARCH 31, 2022</w:t>
      </w:r>
    </w:p>
    <w:p>
      <w:pPr>
        <w:pStyle w:val="TextBody"/>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not considered the effect of (1) warrants sold in the Initial Public Offering to purchase 15,300,000 shares of common stock, and (2) rights sold in the Initial Public Offering that convert into 862,500 shares of common stock, in the calculation of diluted income per common stock, since the exercise of warrants and the conversion of the rights into shares of common stock are contingent upon the occurrence of future events. Accretion associated with the redeemable common stock is excluded from earnings per share as the redemption value approximates fair value. As of March 31, 2022 and 2021, the Company did not have any other dilutive securities or other contracts that could, potentially, be exercised or converted into shares of common stock and then share in the earnings of the Company. As a result, diluted net income per common stock is the same as basic net income per common stock for the periods presented.</w:t>
      </w:r>
    </w:p>
    <w:p>
      <w:pPr>
        <w:pStyle w:val="TextBody"/>
        <w:spacing w:before="0" w:after="0"/>
        <w:ind w:left="0" w:right="0" w:hanging="0"/>
        <w:jc w:val="both"/>
        <w:rPr>
          <w:caps w:val="false"/>
          <w:smallCaps w:val="false"/>
        </w:rPr>
      </w:pPr>
      <w:r>
        <w:rPr>
          <w:caps w:val="false"/>
          <w:smallCaps w:val="false"/>
        </w:rPr>
        <w:t> </w:t>
      </w:r>
    </w:p>
    <w:tbl>
      <w:tblPr>
        <w:tblW w:w="8818" w:type="dxa"/>
        <w:jc w:val="left"/>
        <w:tblInd w:w="0" w:type="dxa"/>
        <w:tblCellMar>
          <w:top w:w="0" w:type="dxa"/>
          <w:left w:w="0" w:type="dxa"/>
          <w:bottom w:w="0" w:type="dxa"/>
          <w:right w:w="0" w:type="dxa"/>
        </w:tblCellMar>
      </w:tblPr>
      <w:tblGrid>
        <w:gridCol w:w="5375"/>
        <w:gridCol w:w="60"/>
        <w:gridCol w:w="178"/>
        <w:gridCol w:w="1416"/>
        <w:gridCol w:w="60"/>
        <w:gridCol w:w="60"/>
        <w:gridCol w:w="179"/>
        <w:gridCol w:w="1415"/>
        <w:gridCol w:w="75"/>
      </w:tblGrid>
      <w:tr>
        <w:trPr/>
        <w:tc>
          <w:tcPr>
            <w:tcW w:w="537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594" w:type="dxa"/>
            <w:gridSpan w:val="2"/>
            <w:tcBorders/>
            <w:shd w:fill="auto" w:val="clear"/>
            <w:vAlign w:val="center"/>
          </w:tcPr>
          <w:p>
            <w:pPr>
              <w:pStyle w:val="TableContents"/>
              <w:spacing w:before="0" w:after="283"/>
              <w:jc w:val="center"/>
              <w:rPr>
                <w:b/>
              </w:rPr>
            </w:pPr>
            <w:r>
              <w:rPr>
                <w:b/>
              </w:rPr>
              <w:t xml:space="preserve">Three Months </w:t>
              <w:br/>
              <w:t>Ended</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594" w:type="dxa"/>
            <w:gridSpan w:val="2"/>
            <w:tcBorders/>
            <w:shd w:fill="auto" w:val="clear"/>
            <w:vAlign w:val="center"/>
          </w:tcPr>
          <w:p>
            <w:pPr>
              <w:pStyle w:val="TableContents"/>
              <w:spacing w:before="0" w:after="283"/>
              <w:jc w:val="center"/>
              <w:rPr>
                <w:b/>
              </w:rPr>
            </w:pPr>
            <w:r>
              <w:rPr>
                <w:b/>
              </w:rPr>
              <w:t>Three Months</w:t>
              <w:br/>
              <w:t>Ended</w:t>
            </w:r>
          </w:p>
        </w:tc>
        <w:tc>
          <w:tcPr>
            <w:tcW w:w="75" w:type="dxa"/>
            <w:tcBorders/>
            <w:shd w:fill="auto" w:val="clear"/>
            <w:vAlign w:val="center"/>
          </w:tcPr>
          <w:p>
            <w:pPr>
              <w:pStyle w:val="TableContents"/>
              <w:spacing w:before="0" w:after="283"/>
              <w:rPr/>
            </w:pPr>
            <w:r>
              <w:rPr/>
              <w:t> </w:t>
            </w:r>
          </w:p>
        </w:tc>
      </w:tr>
      <w:tr>
        <w:trPr/>
        <w:tc>
          <w:tcPr>
            <w:tcW w:w="537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594" w:type="dxa"/>
            <w:gridSpan w:val="2"/>
            <w:tcBorders>
              <w:bottom w:val="single" w:sz="12" w:space="0" w:color="000000"/>
            </w:tcBorders>
            <w:shd w:fill="auto" w:val="clear"/>
            <w:tcMar>
              <w:bottom w:w="28" w:type="dxa"/>
            </w:tcMar>
            <w:vAlign w:val="center"/>
          </w:tcPr>
          <w:p>
            <w:pPr>
              <w:pStyle w:val="TableContents"/>
              <w:spacing w:before="0" w:after="283"/>
              <w:jc w:val="center"/>
              <w:rPr>
                <w:b/>
              </w:rPr>
            </w:pPr>
            <w:r>
              <w:rPr>
                <w:b/>
              </w:rPr>
              <w:t>March 31,</w:t>
              <w:br/>
              <w:t>2022</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594" w:type="dxa"/>
            <w:gridSpan w:val="2"/>
            <w:tcBorders>
              <w:bottom w:val="single" w:sz="12" w:space="0" w:color="000000"/>
            </w:tcBorders>
            <w:shd w:fill="auto" w:val="clear"/>
            <w:tcMar>
              <w:bottom w:w="28" w:type="dxa"/>
            </w:tcMar>
            <w:vAlign w:val="center"/>
          </w:tcPr>
          <w:p>
            <w:pPr>
              <w:pStyle w:val="TableContents"/>
              <w:spacing w:before="0" w:after="283"/>
              <w:jc w:val="center"/>
              <w:rPr>
                <w:b/>
              </w:rPr>
            </w:pPr>
            <w:r>
              <w:rPr>
                <w:b/>
              </w:rPr>
              <w:t>March 31,</w:t>
              <w:br/>
              <w:t>2021</w:t>
            </w:r>
          </w:p>
        </w:tc>
        <w:tc>
          <w:tcPr>
            <w:tcW w:w="75" w:type="dxa"/>
            <w:tcBorders/>
            <w:shd w:fill="auto" w:val="clear"/>
            <w:vAlign w:val="center"/>
          </w:tcPr>
          <w:p>
            <w:pPr>
              <w:pStyle w:val="TableContents"/>
              <w:spacing w:before="0" w:after="283"/>
              <w:rPr/>
            </w:pPr>
            <w:r>
              <w:rPr/>
              <w:t> </w:t>
            </w:r>
          </w:p>
        </w:tc>
      </w:tr>
      <w:tr>
        <w:trPr/>
        <w:tc>
          <w:tcPr>
            <w:tcW w:w="537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594" w:type="dxa"/>
            <w:gridSpan w:val="2"/>
            <w:tcBorders>
              <w:bottom w:val="single" w:sz="12" w:space="0" w:color="000000"/>
            </w:tcBorders>
            <w:shd w:fill="auto" w:val="clear"/>
            <w:tcMar>
              <w:bottom w:w="28" w:type="dxa"/>
            </w:tcMar>
            <w:vAlign w:val="center"/>
          </w:tcPr>
          <w:p>
            <w:pPr>
              <w:pStyle w:val="TableContents"/>
              <w:spacing w:before="0" w:after="283"/>
              <w:jc w:val="center"/>
              <w:rPr>
                <w:b/>
              </w:rPr>
            </w:pPr>
            <w:r>
              <w:rPr>
                <w:b/>
              </w:rPr>
              <w:t>Common Stock</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594" w:type="dxa"/>
            <w:gridSpan w:val="2"/>
            <w:tcBorders>
              <w:bottom w:val="single" w:sz="12" w:space="0" w:color="000000"/>
            </w:tcBorders>
            <w:shd w:fill="auto" w:val="clear"/>
            <w:tcMar>
              <w:bottom w:w="28" w:type="dxa"/>
            </w:tcMar>
            <w:vAlign w:val="center"/>
          </w:tcPr>
          <w:p>
            <w:pPr>
              <w:pStyle w:val="TableContents"/>
              <w:spacing w:before="0" w:after="283"/>
              <w:jc w:val="center"/>
              <w:rPr>
                <w:b/>
              </w:rPr>
            </w:pPr>
            <w:r>
              <w:rPr>
                <w:b/>
              </w:rPr>
              <w:t>Common Stock</w:t>
            </w:r>
          </w:p>
        </w:tc>
        <w:tc>
          <w:tcPr>
            <w:tcW w:w="75" w:type="dxa"/>
            <w:tcBorders/>
            <w:shd w:fill="auto" w:val="clear"/>
            <w:vAlign w:val="center"/>
          </w:tcPr>
          <w:p>
            <w:pPr>
              <w:pStyle w:val="TableContents"/>
              <w:spacing w:before="0" w:after="283"/>
              <w:rPr/>
            </w:pPr>
            <w:r>
              <w:rPr/>
              <w:t> </w:t>
            </w:r>
          </w:p>
        </w:tc>
      </w:tr>
      <w:tr>
        <w:trPr/>
        <w:tc>
          <w:tcPr>
            <w:tcW w:w="5375" w:type="dxa"/>
            <w:tcBorders/>
            <w:shd w:fill="auto" w:val="clear"/>
            <w:vAlign w:val="center"/>
          </w:tcPr>
          <w:p>
            <w:pPr>
              <w:pStyle w:val="TableContents"/>
              <w:spacing w:before="0" w:after="283"/>
              <w:rPr>
                <w:i/>
              </w:rPr>
            </w:pPr>
            <w:r>
              <w:rPr>
                <w:i/>
              </w:rPr>
              <w:t>Basic and diluted net income per common stock</w:t>
            </w:r>
          </w:p>
        </w:tc>
        <w:tc>
          <w:tcPr>
            <w:tcW w:w="60" w:type="dxa"/>
            <w:tcBorders/>
            <w:shd w:fill="auto" w:val="clear"/>
            <w:vAlign w:val="center"/>
          </w:tcPr>
          <w:p>
            <w:pPr>
              <w:pStyle w:val="TableContents"/>
              <w:spacing w:before="0" w:after="283"/>
              <w:rPr/>
            </w:pPr>
            <w:r>
              <w:rPr/>
              <w:t> </w:t>
            </w:r>
          </w:p>
        </w:tc>
        <w:tc>
          <w:tcPr>
            <w:tcW w:w="1594" w:type="dxa"/>
            <w:gridSpan w:val="2"/>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594" w:type="dxa"/>
            <w:gridSpan w:val="2"/>
            <w:tcBorders/>
            <w:shd w:fill="auto" w:val="clear"/>
            <w:vAlign w:val="center"/>
          </w:tcPr>
          <w:p>
            <w:pPr>
              <w:pStyle w:val="TableContents"/>
              <w:spacing w:before="0" w:after="283"/>
              <w:jc w:val="right"/>
              <w:rPr/>
            </w:pPr>
            <w:r>
              <w:rPr/>
              <w:t> </w:t>
            </w:r>
          </w:p>
        </w:tc>
        <w:tc>
          <w:tcPr>
            <w:tcW w:w="75" w:type="dxa"/>
            <w:tcBorders/>
            <w:shd w:fill="auto" w:val="clear"/>
            <w:vAlign w:val="center"/>
          </w:tcPr>
          <w:p>
            <w:pPr>
              <w:pStyle w:val="TableContents"/>
              <w:spacing w:before="0" w:after="283"/>
              <w:rPr/>
            </w:pPr>
            <w:r>
              <w:rPr/>
              <w:t> </w:t>
            </w:r>
          </w:p>
        </w:tc>
      </w:tr>
      <w:tr>
        <w:trPr/>
        <w:tc>
          <w:tcPr>
            <w:tcW w:w="5375" w:type="dxa"/>
            <w:tcBorders/>
            <w:shd w:fill="auto" w:val="clear"/>
            <w:vAlign w:val="center"/>
          </w:tcPr>
          <w:p>
            <w:pPr>
              <w:pStyle w:val="TableContents"/>
              <w:spacing w:before="0" w:after="283"/>
              <w:rPr/>
            </w:pPr>
            <w:r>
              <w:rPr/>
              <w:t>Numerator:</w:t>
            </w:r>
          </w:p>
        </w:tc>
        <w:tc>
          <w:tcPr>
            <w:tcW w:w="60" w:type="dxa"/>
            <w:tcBorders/>
            <w:shd w:fill="auto" w:val="clear"/>
            <w:vAlign w:val="center"/>
          </w:tcPr>
          <w:p>
            <w:pPr>
              <w:pStyle w:val="TableContents"/>
              <w:spacing w:before="0" w:after="283"/>
              <w:rPr/>
            </w:pPr>
            <w:r>
              <w:rPr/>
              <w:t> </w:t>
            </w:r>
          </w:p>
        </w:tc>
        <w:tc>
          <w:tcPr>
            <w:tcW w:w="1594" w:type="dxa"/>
            <w:gridSpan w:val="2"/>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594" w:type="dxa"/>
            <w:gridSpan w:val="2"/>
            <w:tcBorders/>
            <w:shd w:fill="auto" w:val="clear"/>
            <w:vAlign w:val="center"/>
          </w:tcPr>
          <w:p>
            <w:pPr>
              <w:pStyle w:val="TableContents"/>
              <w:spacing w:before="0" w:after="283"/>
              <w:jc w:val="right"/>
              <w:rPr/>
            </w:pPr>
            <w:r>
              <w:rPr/>
              <w:t> </w:t>
            </w:r>
          </w:p>
        </w:tc>
        <w:tc>
          <w:tcPr>
            <w:tcW w:w="75" w:type="dxa"/>
            <w:tcBorders/>
            <w:shd w:fill="auto" w:val="clear"/>
            <w:vAlign w:val="center"/>
          </w:tcPr>
          <w:p>
            <w:pPr>
              <w:pStyle w:val="TableContents"/>
              <w:spacing w:before="0" w:after="283"/>
              <w:ind w:left="0" w:right="0" w:hanging="180"/>
              <w:rPr/>
            </w:pPr>
            <w:r>
              <w:rPr/>
              <w:t> </w:t>
            </w:r>
          </w:p>
        </w:tc>
      </w:tr>
      <w:tr>
        <w:trPr/>
        <w:tc>
          <w:tcPr>
            <w:tcW w:w="5375" w:type="dxa"/>
            <w:tcBorders/>
            <w:shd w:fill="CCEEFF" w:val="clear"/>
            <w:vAlign w:val="center"/>
          </w:tcPr>
          <w:p>
            <w:pPr>
              <w:pStyle w:val="TableContents"/>
              <w:spacing w:before="0" w:after="283"/>
              <w:jc w:val="left"/>
              <w:rPr/>
            </w:pPr>
            <w:r>
              <w:rPr/>
              <w:t>Allocation of net income, as adjusted</w:t>
            </w:r>
          </w:p>
        </w:tc>
        <w:tc>
          <w:tcPr>
            <w:tcW w:w="60" w:type="dxa"/>
            <w:tcBorders/>
            <w:shd w:fill="CCEEFF" w:val="clear"/>
            <w:vAlign w:val="center"/>
          </w:tcPr>
          <w:p>
            <w:pPr>
              <w:pStyle w:val="TableContents"/>
              <w:spacing w:before="0" w:after="283"/>
              <w:rPr/>
            </w:pPr>
            <w:r>
              <w:rPr/>
              <w:t> </w:t>
            </w:r>
          </w:p>
        </w:tc>
        <w:tc>
          <w:tcPr>
            <w:tcW w:w="178" w:type="dxa"/>
            <w:tcBorders/>
            <w:shd w:fill="CCEEFF" w:val="clear"/>
            <w:vAlign w:val="center"/>
          </w:tcPr>
          <w:p>
            <w:pPr>
              <w:pStyle w:val="TableContents"/>
              <w:spacing w:before="0" w:after="283"/>
              <w:jc w:val="left"/>
              <w:rPr/>
            </w:pPr>
            <w:r>
              <w:rPr/>
              <w:t>$</w:t>
            </w:r>
          </w:p>
        </w:tc>
        <w:tc>
          <w:tcPr>
            <w:tcW w:w="1416" w:type="dxa"/>
            <w:tcBorders/>
            <w:shd w:fill="CCEEFF" w:val="clear"/>
            <w:vAlign w:val="center"/>
          </w:tcPr>
          <w:p>
            <w:pPr>
              <w:pStyle w:val="TableContents"/>
              <w:spacing w:before="0" w:after="283"/>
              <w:jc w:val="right"/>
              <w:rPr/>
            </w:pPr>
            <w:r>
              <w:rPr/>
              <w:t>955,240</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79" w:type="dxa"/>
            <w:tcBorders/>
            <w:shd w:fill="CCEEFF" w:val="clear"/>
            <w:vAlign w:val="center"/>
          </w:tcPr>
          <w:p>
            <w:pPr>
              <w:pStyle w:val="TableContents"/>
              <w:spacing w:before="0" w:after="283"/>
              <w:jc w:val="left"/>
              <w:rPr/>
            </w:pPr>
            <w:r>
              <w:rPr/>
              <w:t> </w:t>
            </w:r>
          </w:p>
        </w:tc>
        <w:tc>
          <w:tcPr>
            <w:tcW w:w="1415" w:type="dxa"/>
            <w:tcBorders/>
            <w:shd w:fill="CCEEFF" w:val="clear"/>
            <w:vAlign w:val="center"/>
          </w:tcPr>
          <w:p>
            <w:pPr>
              <w:pStyle w:val="TableContents"/>
              <w:spacing w:before="0" w:after="283"/>
              <w:jc w:val="right"/>
              <w:rPr/>
            </w:pPr>
            <w:r>
              <w:rPr/>
              <w:t>3,461,107</w:t>
            </w:r>
          </w:p>
        </w:tc>
        <w:tc>
          <w:tcPr>
            <w:tcW w:w="75" w:type="dxa"/>
            <w:tcBorders/>
            <w:shd w:fill="CCEEFF" w:val="clear"/>
            <w:vAlign w:val="center"/>
          </w:tcPr>
          <w:p>
            <w:pPr>
              <w:pStyle w:val="TableContents"/>
              <w:spacing w:before="0" w:after="283"/>
              <w:ind w:left="0" w:right="0" w:hanging="180"/>
              <w:jc w:val="left"/>
              <w:rPr/>
            </w:pPr>
            <w:r>
              <w:rPr/>
              <w:t> </w:t>
            </w:r>
          </w:p>
        </w:tc>
      </w:tr>
      <w:tr>
        <w:trPr/>
        <w:tc>
          <w:tcPr>
            <w:tcW w:w="5375" w:type="dxa"/>
            <w:tcBorders/>
            <w:shd w:fill="auto" w:val="clear"/>
            <w:vAlign w:val="center"/>
          </w:tcPr>
          <w:p>
            <w:pPr>
              <w:pStyle w:val="TableContents"/>
              <w:spacing w:before="0" w:after="283"/>
              <w:rPr/>
            </w:pPr>
            <w:r>
              <w:rPr/>
              <w:t>Denominator:</w:t>
            </w:r>
          </w:p>
        </w:tc>
        <w:tc>
          <w:tcPr>
            <w:tcW w:w="60" w:type="dxa"/>
            <w:tcBorders/>
            <w:shd w:fill="auto" w:val="clear"/>
            <w:vAlign w:val="center"/>
          </w:tcPr>
          <w:p>
            <w:pPr>
              <w:pStyle w:val="TableContents"/>
              <w:spacing w:before="0" w:after="283"/>
              <w:rPr/>
            </w:pPr>
            <w:r>
              <w:rPr/>
              <w:t> </w:t>
            </w:r>
          </w:p>
        </w:tc>
        <w:tc>
          <w:tcPr>
            <w:tcW w:w="178" w:type="dxa"/>
            <w:tcBorders/>
            <w:shd w:fill="auto" w:val="clear"/>
            <w:vAlign w:val="center"/>
          </w:tcPr>
          <w:p>
            <w:pPr>
              <w:pStyle w:val="TableContents"/>
              <w:spacing w:before="0" w:after="283"/>
              <w:jc w:val="left"/>
              <w:rPr/>
            </w:pPr>
            <w:r>
              <w:rPr/>
              <w:t> </w:t>
            </w:r>
          </w:p>
        </w:tc>
        <w:tc>
          <w:tcPr>
            <w:tcW w:w="1416"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79" w:type="dxa"/>
            <w:tcBorders/>
            <w:shd w:fill="auto" w:val="clear"/>
            <w:vAlign w:val="center"/>
          </w:tcPr>
          <w:p>
            <w:pPr>
              <w:pStyle w:val="TableContents"/>
              <w:spacing w:before="0" w:after="283"/>
              <w:jc w:val="left"/>
              <w:rPr/>
            </w:pPr>
            <w:r>
              <w:rPr/>
              <w:t> </w:t>
            </w:r>
          </w:p>
        </w:tc>
        <w:tc>
          <w:tcPr>
            <w:tcW w:w="1415" w:type="dxa"/>
            <w:tcBorders/>
            <w:shd w:fill="auto" w:val="clear"/>
            <w:vAlign w:val="center"/>
          </w:tcPr>
          <w:p>
            <w:pPr>
              <w:pStyle w:val="TableContents"/>
              <w:spacing w:before="0" w:after="283"/>
              <w:jc w:val="right"/>
              <w:rPr/>
            </w:pPr>
            <w:r>
              <w:rPr/>
              <w:t> </w:t>
            </w:r>
          </w:p>
        </w:tc>
        <w:tc>
          <w:tcPr>
            <w:tcW w:w="75" w:type="dxa"/>
            <w:tcBorders/>
            <w:shd w:fill="auto" w:val="clear"/>
            <w:vAlign w:val="center"/>
          </w:tcPr>
          <w:p>
            <w:pPr>
              <w:pStyle w:val="TableContents"/>
              <w:spacing w:before="0" w:after="283"/>
              <w:ind w:left="0" w:right="0" w:hanging="180"/>
              <w:jc w:val="left"/>
              <w:rPr/>
            </w:pPr>
            <w:r>
              <w:rPr/>
              <w:t> </w:t>
            </w:r>
          </w:p>
        </w:tc>
      </w:tr>
      <w:tr>
        <w:trPr/>
        <w:tc>
          <w:tcPr>
            <w:tcW w:w="5375" w:type="dxa"/>
            <w:tcBorders/>
            <w:shd w:fill="CCEEFF" w:val="clear"/>
            <w:vAlign w:val="center"/>
          </w:tcPr>
          <w:p>
            <w:pPr>
              <w:pStyle w:val="TableContents"/>
              <w:spacing w:before="0" w:after="283"/>
              <w:rPr/>
            </w:pPr>
            <w:r>
              <w:rPr/>
              <w:t>Basic and diluted weighted average shares outstanding</w:t>
            </w:r>
          </w:p>
        </w:tc>
        <w:tc>
          <w:tcPr>
            <w:tcW w:w="60" w:type="dxa"/>
            <w:tcBorders/>
            <w:shd w:fill="CCEEFF" w:val="clear"/>
            <w:vAlign w:val="center"/>
          </w:tcPr>
          <w:p>
            <w:pPr>
              <w:pStyle w:val="TableContents"/>
              <w:spacing w:before="0" w:after="283"/>
              <w:rPr/>
            </w:pPr>
            <w:r>
              <w:rPr/>
              <w:t> </w:t>
            </w:r>
          </w:p>
        </w:tc>
        <w:tc>
          <w:tcPr>
            <w:tcW w:w="178" w:type="dxa"/>
            <w:tcBorders/>
            <w:shd w:fill="CCEEFF" w:val="clear"/>
            <w:vAlign w:val="center"/>
          </w:tcPr>
          <w:p>
            <w:pPr>
              <w:pStyle w:val="TableContents"/>
              <w:spacing w:before="0" w:after="283"/>
              <w:jc w:val="left"/>
              <w:rPr/>
            </w:pPr>
            <w:r>
              <w:rPr/>
              <w:t> </w:t>
            </w:r>
          </w:p>
        </w:tc>
        <w:tc>
          <w:tcPr>
            <w:tcW w:w="1416" w:type="dxa"/>
            <w:tcBorders/>
            <w:shd w:fill="CCEEFF" w:val="clear"/>
            <w:vAlign w:val="center"/>
          </w:tcPr>
          <w:p>
            <w:pPr>
              <w:pStyle w:val="TableContents"/>
              <w:spacing w:before="0" w:after="283"/>
              <w:jc w:val="right"/>
              <w:rPr/>
            </w:pPr>
            <w:r>
              <w:rPr/>
              <w:t>21,562,500</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79" w:type="dxa"/>
            <w:tcBorders/>
            <w:shd w:fill="CCEEFF" w:val="clear"/>
            <w:vAlign w:val="center"/>
          </w:tcPr>
          <w:p>
            <w:pPr>
              <w:pStyle w:val="TableContents"/>
              <w:spacing w:before="0" w:after="283"/>
              <w:jc w:val="left"/>
              <w:rPr/>
            </w:pPr>
            <w:r>
              <w:rPr/>
              <w:t> </w:t>
            </w:r>
          </w:p>
        </w:tc>
        <w:tc>
          <w:tcPr>
            <w:tcW w:w="1415" w:type="dxa"/>
            <w:tcBorders/>
            <w:shd w:fill="CCEEFF" w:val="clear"/>
            <w:vAlign w:val="center"/>
          </w:tcPr>
          <w:p>
            <w:pPr>
              <w:pStyle w:val="TableContents"/>
              <w:spacing w:before="0" w:after="283"/>
              <w:jc w:val="right"/>
              <w:rPr/>
            </w:pPr>
            <w:r>
              <w:rPr/>
              <w:t>21,437,500</w:t>
            </w:r>
          </w:p>
        </w:tc>
        <w:tc>
          <w:tcPr>
            <w:tcW w:w="75" w:type="dxa"/>
            <w:tcBorders/>
            <w:shd w:fill="CCEEFF" w:val="clear"/>
            <w:vAlign w:val="center"/>
          </w:tcPr>
          <w:p>
            <w:pPr>
              <w:pStyle w:val="TableContents"/>
              <w:spacing w:before="0" w:after="283"/>
              <w:ind w:left="0" w:right="0" w:hanging="180"/>
              <w:jc w:val="left"/>
              <w:rPr/>
            </w:pPr>
            <w:r>
              <w:rPr/>
              <w:t> </w:t>
            </w:r>
          </w:p>
        </w:tc>
      </w:tr>
      <w:tr>
        <w:trPr/>
        <w:tc>
          <w:tcPr>
            <w:tcW w:w="537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78" w:type="dxa"/>
            <w:tcBorders/>
            <w:shd w:fill="auto" w:val="clear"/>
            <w:vAlign w:val="center"/>
          </w:tcPr>
          <w:p>
            <w:pPr>
              <w:pStyle w:val="TableContents"/>
              <w:spacing w:before="0" w:after="283"/>
              <w:jc w:val="left"/>
              <w:rPr/>
            </w:pPr>
            <w:r>
              <w:rPr/>
              <w:t> </w:t>
            </w:r>
          </w:p>
        </w:tc>
        <w:tc>
          <w:tcPr>
            <w:tcW w:w="1416"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79" w:type="dxa"/>
            <w:tcBorders/>
            <w:shd w:fill="auto" w:val="clear"/>
            <w:vAlign w:val="center"/>
          </w:tcPr>
          <w:p>
            <w:pPr>
              <w:pStyle w:val="TableContents"/>
              <w:spacing w:before="0" w:after="283"/>
              <w:jc w:val="left"/>
              <w:rPr/>
            </w:pPr>
            <w:r>
              <w:rPr/>
              <w:t> </w:t>
            </w:r>
          </w:p>
        </w:tc>
        <w:tc>
          <w:tcPr>
            <w:tcW w:w="1415" w:type="dxa"/>
            <w:tcBorders/>
            <w:shd w:fill="auto" w:val="clear"/>
            <w:vAlign w:val="center"/>
          </w:tcPr>
          <w:p>
            <w:pPr>
              <w:pStyle w:val="TableContents"/>
              <w:spacing w:before="0" w:after="283"/>
              <w:jc w:val="right"/>
              <w:rPr/>
            </w:pPr>
            <w:r>
              <w:rPr/>
              <w:t> </w:t>
            </w:r>
          </w:p>
        </w:tc>
        <w:tc>
          <w:tcPr>
            <w:tcW w:w="75" w:type="dxa"/>
            <w:tcBorders/>
            <w:shd w:fill="auto" w:val="clear"/>
            <w:vAlign w:val="center"/>
          </w:tcPr>
          <w:p>
            <w:pPr>
              <w:pStyle w:val="TableContents"/>
              <w:spacing w:before="0" w:after="283"/>
              <w:ind w:left="0" w:right="0" w:hanging="180"/>
              <w:jc w:val="left"/>
              <w:rPr/>
            </w:pPr>
            <w:r>
              <w:rPr/>
              <w:t> </w:t>
            </w:r>
          </w:p>
        </w:tc>
      </w:tr>
      <w:tr>
        <w:trPr/>
        <w:tc>
          <w:tcPr>
            <w:tcW w:w="5375" w:type="dxa"/>
            <w:tcBorders/>
            <w:shd w:fill="CCEEFF" w:val="clear"/>
            <w:vAlign w:val="center"/>
          </w:tcPr>
          <w:p>
            <w:pPr>
              <w:pStyle w:val="TableContents"/>
              <w:spacing w:before="0" w:after="283"/>
              <w:jc w:val="left"/>
              <w:rPr/>
            </w:pPr>
            <w:r>
              <w:rPr/>
              <w:t>Basic and diluted net income per share of common stock</w:t>
            </w:r>
          </w:p>
        </w:tc>
        <w:tc>
          <w:tcPr>
            <w:tcW w:w="60" w:type="dxa"/>
            <w:tcBorders/>
            <w:shd w:fill="CCEEFF" w:val="clear"/>
            <w:vAlign w:val="center"/>
          </w:tcPr>
          <w:p>
            <w:pPr>
              <w:pStyle w:val="TableContents"/>
              <w:spacing w:before="0" w:after="283"/>
              <w:rPr/>
            </w:pPr>
            <w:r>
              <w:rPr/>
              <w:t> </w:t>
            </w:r>
          </w:p>
        </w:tc>
        <w:tc>
          <w:tcPr>
            <w:tcW w:w="178" w:type="dxa"/>
            <w:tcBorders/>
            <w:shd w:fill="CCEEFF" w:val="clear"/>
            <w:vAlign w:val="center"/>
          </w:tcPr>
          <w:p>
            <w:pPr>
              <w:pStyle w:val="TableContents"/>
              <w:spacing w:before="0" w:after="283"/>
              <w:jc w:val="left"/>
              <w:rPr/>
            </w:pPr>
            <w:r>
              <w:rPr/>
              <w:t>$</w:t>
            </w:r>
          </w:p>
        </w:tc>
        <w:tc>
          <w:tcPr>
            <w:tcW w:w="1416" w:type="dxa"/>
            <w:tcBorders/>
            <w:shd w:fill="CCEEFF" w:val="clear"/>
            <w:vAlign w:val="center"/>
          </w:tcPr>
          <w:p>
            <w:pPr>
              <w:pStyle w:val="TableContents"/>
              <w:spacing w:before="0" w:after="283"/>
              <w:jc w:val="right"/>
              <w:rPr/>
            </w:pPr>
            <w:r>
              <w:rPr/>
              <w:t>0.04</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79" w:type="dxa"/>
            <w:tcBorders/>
            <w:shd w:fill="CCEEFF" w:val="clear"/>
            <w:vAlign w:val="center"/>
          </w:tcPr>
          <w:p>
            <w:pPr>
              <w:pStyle w:val="TableContents"/>
              <w:spacing w:before="0" w:after="283"/>
              <w:jc w:val="left"/>
              <w:rPr/>
            </w:pPr>
            <w:r>
              <w:rPr/>
              <w:t>$</w:t>
            </w:r>
          </w:p>
        </w:tc>
        <w:tc>
          <w:tcPr>
            <w:tcW w:w="1415" w:type="dxa"/>
            <w:tcBorders/>
            <w:shd w:fill="CCEEFF" w:val="clear"/>
            <w:vAlign w:val="center"/>
          </w:tcPr>
          <w:p>
            <w:pPr>
              <w:pStyle w:val="TableContents"/>
              <w:spacing w:before="0" w:after="283"/>
              <w:jc w:val="right"/>
              <w:rPr/>
            </w:pPr>
            <w:r>
              <w:rPr/>
              <w:t>0.16</w:t>
            </w:r>
          </w:p>
        </w:tc>
        <w:tc>
          <w:tcPr>
            <w:tcW w:w="75" w:type="dxa"/>
            <w:tcBorders/>
            <w:shd w:fill="CCEEFF" w:val="clear"/>
            <w:vAlign w:val="center"/>
          </w:tcPr>
          <w:p>
            <w:pPr>
              <w:pStyle w:val="TableContents"/>
              <w:spacing w:before="0" w:after="283"/>
              <w:jc w:val="left"/>
              <w:rPr/>
            </w:pPr>
            <w:r>
              <w:rPr/>
              <w:t> </w:t>
            </w:r>
          </w:p>
        </w:tc>
      </w:tr>
    </w:tbl>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Concentration of Credit Risk</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Financial instruments that potentially subject the Company to concentrations of credit risk consist of cash accounts in a financial institution, which, at times may exceed the Federal Depository Insurance Corporation coverage limit of $250,000. As of March 31, 2022 and December 31, 2021, the Company has not experienced losses on these accounts and management believes the Company is not exposed to significant risks on such account.</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Fair Value of Financial Instruments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fair value of the Company’s assets and liabilities which qualify as financial instruments under ASC Topic 820, “Fair Value Measurement,” approximates the carrying amounts represented in the accompanying condensed consolidated balance sheets, primarily due to their short-term nature, except for the Private Warrants (see Note 9).</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Fair Value Measurements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Fair value is defined as the price that would be received for sale of an asset or paid for transfer of a liability, in an orderly transaction between market participants at the measurement date. GAAP establishes a three-tier fair value hierarchy, which prioritizes the inputs used in measuring fair value. The hierarchy gives the highest priority to unadjusted quoted prices in active markets for identical assets or liabilities (Level 1 measurements) and the lowest priority to unobservable inputs (Level 3 measurements). These tiers consist of:</w:t>
      </w:r>
    </w:p>
    <w:p>
      <w:pPr>
        <w:pStyle w:val="TextBody"/>
        <w:spacing w:before="0" w:after="0"/>
        <w:ind w:left="0" w:right="0" w:hanging="0"/>
        <w:jc w:val="both"/>
        <w:rPr>
          <w:caps w:val="false"/>
          <w:smallCaps w:val="false"/>
        </w:rPr>
      </w:pPr>
      <w:r>
        <w:rPr>
          <w:caps w:val="false"/>
          <w:smallCaps w:val="false"/>
        </w:rPr>
        <w:t> </w:t>
      </w:r>
    </w:p>
    <w:tbl>
      <w:tblPr>
        <w:tblW w:w="9603" w:type="dxa"/>
        <w:jc w:val="left"/>
        <w:tblInd w:w="0" w:type="dxa"/>
        <w:tblCellMar>
          <w:top w:w="0" w:type="dxa"/>
          <w:left w:w="0" w:type="dxa"/>
          <w:bottom w:w="0" w:type="dxa"/>
          <w:right w:w="0" w:type="dxa"/>
        </w:tblCellMar>
      </w:tblPr>
      <w:tblGrid>
        <w:gridCol w:w="38"/>
        <w:gridCol w:w="170"/>
        <w:gridCol w:w="9395"/>
      </w:tblGrid>
      <w:tr>
        <w:trPr/>
        <w:tc>
          <w:tcPr>
            <w:tcW w:w="38"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jc w:val="left"/>
              <w:rPr/>
            </w:pPr>
            <w:r>
              <w:rPr/>
              <w:t>●</w:t>
            </w:r>
          </w:p>
        </w:tc>
        <w:tc>
          <w:tcPr>
            <w:tcW w:w="9395" w:type="dxa"/>
            <w:tcBorders/>
            <w:shd w:fill="auto" w:val="clear"/>
            <w:vAlign w:val="center"/>
          </w:tcPr>
          <w:p>
            <w:pPr>
              <w:pStyle w:val="TableContents"/>
              <w:spacing w:before="0" w:after="283"/>
              <w:jc w:val="both"/>
              <w:rPr>
                <w:rFonts w:ascii="Times New Roman;Times;Serif" w:hAnsi="Times New Roman;Times;Serif"/>
                <w:sz w:val="20"/>
              </w:rPr>
            </w:pPr>
            <w:r>
              <w:rPr>
                <w:rFonts w:ascii="Times New Roman;Times;Serif" w:hAnsi="Times New Roman;Times;Serif"/>
                <w:sz w:val="20"/>
              </w:rPr>
              <w:t>Level 1, defined as observable inputs such as quoted prices (unadjusted) for identical instruments in active markets;</w:t>
            </w:r>
          </w:p>
        </w:tc>
      </w:tr>
    </w:tbl>
    <w:p>
      <w:pPr>
        <w:pStyle w:val="TextBody"/>
        <w:spacing w:before="0" w:after="0"/>
        <w:ind w:left="0" w:right="0" w:hanging="0"/>
        <w:jc w:val="both"/>
        <w:rPr>
          <w:caps w:val="false"/>
          <w:smallCaps w:val="false"/>
        </w:rPr>
      </w:pPr>
      <w:r>
        <w:rPr>
          <w:caps w:val="false"/>
          <w:smallCaps w:val="false"/>
        </w:rPr>
        <w:t> </w:t>
      </w:r>
    </w:p>
    <w:p>
      <w:pPr>
        <w:pStyle w:val="TextBody"/>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w:t>
      </w:r>
    </w:p>
    <w:p>
      <w:pPr>
        <w:pStyle w:val="TextBody"/>
        <w:spacing w:before="0" w:after="0"/>
        <w:ind w:left="0" w:right="0" w:hanging="0"/>
        <w:rPr/>
      </w:pPr>
      <w:r>
        <w:rPr/>
        <w:t> </w:t>
      </w:r>
    </w:p>
    <w:p>
      <w:pPr>
        <w:pStyle w:val="TextBody"/>
        <w:spacing w:before="0" w:after="0"/>
        <w:ind w:left="0" w:right="0" w:hanging="0"/>
        <w:jc w:val="both"/>
        <w:rPr>
          <w:caps w:val="false"/>
          <w:smallCaps w:val="false"/>
        </w:rPr>
      </w:pPr>
      <w:r>
        <w:rPr>
          <w:caps w:val="false"/>
          <w:smallCaps w:val="false"/>
        </w:rPr>
        <w:t> </w:t>
      </w:r>
    </w:p>
    <w:p>
      <w:pPr>
        <w:pStyle w:val="TextBody"/>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VENTOUX CCM ACQUISITION CORP.</w:t>
      </w:r>
    </w:p>
    <w:p>
      <w:pPr>
        <w:pStyle w:val="TextBody"/>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CONDENSED CONSOLIDATED FINANCIAL STATEMENTS</w:t>
      </w:r>
    </w:p>
    <w:p>
      <w:pPr>
        <w:pStyle w:val="TextBody"/>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MARCH 31, 2022</w:t>
      </w:r>
    </w:p>
    <w:p>
      <w:pPr>
        <w:pStyle w:val="TextBody"/>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p>
      <w:pPr>
        <w:pStyle w:val="TextBody"/>
        <w:spacing w:before="0" w:after="0"/>
        <w:ind w:left="0" w:right="0" w:hanging="0"/>
        <w:jc w:val="both"/>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38"/>
        <w:gridCol w:w="170"/>
        <w:gridCol w:w="9997"/>
      </w:tblGrid>
      <w:tr>
        <w:trPr/>
        <w:tc>
          <w:tcPr>
            <w:tcW w:w="38"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jc w:val="left"/>
              <w:rPr/>
            </w:pPr>
            <w:r>
              <w:rPr/>
              <w:t>●</w:t>
            </w:r>
          </w:p>
        </w:tc>
        <w:tc>
          <w:tcPr>
            <w:tcW w:w="9997" w:type="dxa"/>
            <w:tcBorders/>
            <w:shd w:fill="auto" w:val="clear"/>
            <w:vAlign w:val="center"/>
          </w:tcPr>
          <w:p>
            <w:pPr>
              <w:pStyle w:val="TableContents"/>
              <w:spacing w:before="0" w:after="283"/>
              <w:jc w:val="both"/>
              <w:rPr>
                <w:rFonts w:ascii="Times New Roman;Times;Serif" w:hAnsi="Times New Roman;Times;Serif"/>
                <w:sz w:val="20"/>
              </w:rPr>
            </w:pPr>
            <w:r>
              <w:rPr>
                <w:rFonts w:ascii="Times New Roman;Times;Serif" w:hAnsi="Times New Roman;Times;Serif"/>
                <w:sz w:val="20"/>
              </w:rPr>
              <w:t>Level 2, defined as inputs other than quoted prices in active markets that are either directly or indirectly observable such as quoted prices for similar instruments in active markets or quoted prices for identical or similar instruments in markets that are not active; and</w:t>
            </w:r>
          </w:p>
        </w:tc>
      </w:tr>
    </w:tbl>
    <w:p>
      <w:pPr>
        <w:pStyle w:val="TextBody"/>
        <w:spacing w:before="0" w:after="0"/>
        <w:ind w:left="0" w:right="0" w:hanging="0"/>
        <w:jc w:val="both"/>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38"/>
        <w:gridCol w:w="170"/>
        <w:gridCol w:w="9997"/>
      </w:tblGrid>
      <w:tr>
        <w:trPr/>
        <w:tc>
          <w:tcPr>
            <w:tcW w:w="38"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jc w:val="left"/>
              <w:rPr/>
            </w:pPr>
            <w:r>
              <w:rPr/>
              <w:t>●</w:t>
            </w:r>
          </w:p>
        </w:tc>
        <w:tc>
          <w:tcPr>
            <w:tcW w:w="9997" w:type="dxa"/>
            <w:tcBorders/>
            <w:shd w:fill="auto" w:val="clear"/>
            <w:vAlign w:val="center"/>
          </w:tcPr>
          <w:p>
            <w:pPr>
              <w:pStyle w:val="TableContents"/>
              <w:spacing w:before="0" w:after="283"/>
              <w:jc w:val="both"/>
              <w:rPr>
                <w:rFonts w:ascii="Times New Roman;Times;Serif" w:hAnsi="Times New Roman;Times;Serif"/>
                <w:sz w:val="20"/>
              </w:rPr>
            </w:pPr>
            <w:r>
              <w:rPr>
                <w:rFonts w:ascii="Times New Roman;Times;Serif" w:hAnsi="Times New Roman;Times;Serif"/>
                <w:sz w:val="20"/>
              </w:rPr>
              <w:t>Level 3, defined as unobservable inputs in which little or no market data exists, therefore requiring an entity to develop its own assumptions, such as valuations derived from valuation techniques in which one or more significant inputs or significant value drivers are unobservable.</w:t>
            </w:r>
          </w:p>
        </w:tc>
      </w:tr>
    </w:tbl>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some circumstances, the inputs used to measure fair value might be categorized within different levels of the fair value hierarchy. In those instances, the fair value measurement is categorized in its entirety in the fair value hierarchy based on the lowest level input that is significant to the fair value measurement.</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Recent Accounting Standards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August 2020, the FASB issued ASU 2020-06, “Debt — Debt with Conversion and Other Options (Subtopic 470-20) and Derivatives and Hedging — Contracts in Entity’s Own Equity (Subtopic 815-40)” (“ASU 2020-06”), to simplify accounting for certain financial instruments. ASU 2020-06 eliminates the current models that require separation of beneficial conversion and cash conversion features from convertible instruments and simplifies the derivative scope exception guidance pertaining to equity classification of contracts in an entity’s own equity. The new standard also introduces additional disclosures for convertible debt and freestanding instruments that are indexed to and settled in an entity’s own equity. ASU 2020-06 amends the diluted earnings per share guidance, including the requirement to use the if-converted method for all convertible instruments. ASU 2020-06 is effective January 1, 2022 and should be applied on a full or modified retrospective basis, with early adoption permitted beginning on January 1, 2021. The Company is currently assessing the impact, if any, that ASU 2020-06 would have on its financial position, results of operations or cash flows.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Management does not believe that any other recently issued, but not yet effective, accounting standards, if currently adopted, would have a material effect on the Company’s unaudited condensed consolidated financial statements.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3. INITIAL PUBLIC OFFERING</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Initial Public Offering, the Company sold 17,250,000 Units, inclusive of 2,250,000 Units sold to the underwriters on January 5, 2021 upon the underwriters’ election to fully exercise their over-allotment option at a purchase price of $10.00 per Unit. Each Unit consists of one share of common stock, one right to receive one-twentieth (1/20) of one share of common stock upon the consummation of a Business Combination and one warrant (“Public Warrant”). Each Public Warrant entitles the holder to purchase one-half of one share of common stock at an exercise price of $11.50 per share (see Note 8).</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4. PRIVATE PLACEMENT</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Simultaneously with the closing of the Initial Public Offering, Ventoux Acquisition purchased an aggregate of 4,000,000 Private Warrants and Chardan Investments purchased an aggregate of 2,000,000 Private Warrants, at $1.00 per Private Warrant resulting in combined aggregate purchase price of $6,000,000 in a private placement. On January 5, 2021, in connection with the underwriters’ election to fully exercise their over-allotment option, the Company sold an additional 450,000 and 225,000 Private Warrants to Ventoux Acquisition and Chardan Investments, respectively, at a price of $1.00 per Private Warrant, generating gross proceeds of $675,000. Each Private Warrant is exercisable to purchase one share of common stock at an exercise price of $11.50. If the Company does not complete a Business Combination within the Combination Period, the proceeds from the sale of the Private Warrants will be used to fund the redemption of the Public Shares (subject to the requirements of applicable law), and the Private Warrants will expire worthless. There will be no redemption rights or liquidating distributions from the Trust Account with respect to the Private Warrants.</w:t>
      </w:r>
    </w:p>
    <w:p>
      <w:pPr>
        <w:pStyle w:val="TextBody"/>
        <w:spacing w:before="0" w:after="0"/>
        <w:ind w:left="0" w:right="0" w:hanging="0"/>
        <w:jc w:val="both"/>
        <w:rPr>
          <w:caps w:val="false"/>
          <w:smallCaps w:val="false"/>
        </w:rPr>
      </w:pPr>
      <w:r>
        <w:rPr>
          <w:caps w:val="false"/>
          <w:smallCaps w:val="false"/>
        </w:rPr>
        <w:t> </w:t>
      </w:r>
    </w:p>
    <w:p>
      <w:pPr>
        <w:pStyle w:val="TextBody"/>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12</w:t>
      </w:r>
    </w:p>
    <w:p>
      <w:pPr>
        <w:pStyle w:val="TextBody"/>
        <w:spacing w:before="0" w:after="0"/>
        <w:ind w:left="0" w:right="0" w:hanging="0"/>
        <w:rPr/>
      </w:pPr>
      <w:r>
        <w:rPr/>
        <w:t> </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VENTOUX CCM ACQUISITION CORP.</w:t>
      </w:r>
    </w:p>
    <w:p>
      <w:pPr>
        <w:pStyle w:val="TextBody"/>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CONDENSED CONSOLIDATED FINANCIAL STATEMENTS</w:t>
      </w:r>
    </w:p>
    <w:p>
      <w:pPr>
        <w:pStyle w:val="TextBody"/>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MARCH 31, 2022</w:t>
      </w:r>
    </w:p>
    <w:p>
      <w:pPr>
        <w:pStyle w:val="TextBody"/>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5. RELATED PARTY TRANSACTIONS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Founder Shares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19, 2019, Chardan Investments purchased 5,000,000 shares (the “Founder Shares”) for an aggregate price of $25,000. On July 23, 2020, Chardan Investments sold 3,250,000 Founder Shares back to the Company for an aggregate price of $16,250. On August 25, 2020, Chardan Investments transferred 256,375 Founder Shares back to the Company for nominal consideration, which shares were cancelled, resulting in Chardan Investments holding a balance of 1,493,625 Founder Shares. On July 23, 2020, Ventoux Acquisition purchased 3,250,000 Founder Shares from the Company for an aggregate price of $16,250. On August 25, 2020, Ventoux Acquisition transferred 431,125 Founder Shares back to the Company for nominal consideration, which shares were cancelled. On December 15, 2020, Ventoux Acquisition transferred 22,500 Founder Shares to Cindat USA LLC, an affiliate of one of the Company’s directors, and, on December 17, 2020, Ventoux Acquisition transferred an aggregate of 67,500 Founder Shares to three of the Company’s directors. As of the date hereof, Ventoux Acquisition holds 2,728,875 Founder Shares.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4,312,500 Founder Shares included an aggregate of up to 562,500 shares subject to forfeiture by the Initial Stockholders to the extent that the underwriters’ over-allotment option were not exercised in full or in part, so that the Initial Stockholders would collectively own approximately 20% of the Company’s issued and outstanding shares after the Initial Public Offering (assuming the Initial Stockholders do not purchase any Public Shares in the Initial Public Offering). As a result of the underwriters’ election to fully exercise their over-allotment option on January 5, 2021, the Founder Shares are no longer subject to forfeiture.</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Initial Stockholders have agreed that, subject to certain limited exceptions, 50% of the Founder Shares will not be transferred, assigned, sold or released from escrow until the earlier of (i) six months after the date of the consummation of a Business Combination or (ii) the date on which the closing price of the Company’s shares of common stock equals or exceeds $12.50 per share (as adjusted for stock splits, stock dividends, reorganizations and recapitalizations) for any 20 trading days within any 30-trading day period commencing after a Business Combination and the remaining 50% of the Founder Shares will not be transferred, assigned, sold or released from escrow until six months after the date of the consummation of a Business Combination, or earlier, in either case, if, subsequent to a Business Combination, the Company consummates a subsequent liquidation, merger, stock exchange or other similar transaction which results in all of the stockholders having the right to exchange their shares of common stock for cash, securities or other property.</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Administrative Services Agreement</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entered into an agreement, commencing on December 23, 2020 through the earlier of the Company’s consummation of a Business Combination or its liquidation, to pay Chardan Capital Markets, LLC a total of $10,000 per month for office space, utilities, and secretarial support. For the three months ended March 31, 2022 and 2021, the Company incurred $30,000 in fees for these services. As of March 31, 2022 and December 31, 2021, respectively, there is $155,000 and $120,000 included in due to related party for these services.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Related Party Loans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order to finance transaction costs in connection with a Business Combination, the Initial Stockholders, an affiliate of the Initial Stockholders, or the Company’s officers and directors may, but are not obligated to, loan the Company funds from time to time or at any time, as may be required (“Working Capital Loans”). Each Working Capital Loan would be evidenced by a promissory note. The notes may be repaid upon completion of a Business Combination, without interest, or, at the lender’s discretion, up to $500,000 of the notes may be converted upon completion of a Business Combination into warrants at a price of $1.00 per warrant. Such warrants would be identical to the Private Warrants. In the event that a Business Combination does not close, the Company may use a portion of the proceeds held outside the Trust Account to repay the Working Capital Loans, but no proceeds held in the Trust Account would be used to repay the Working Capital Loans. Working Capital Loans made by Chardan Capital Markets, LLC or any of its related persons will not be convertible into Private Warrants and Chardan Capital Markets, LLC and its related persons will have no recourse with respect to their ability to convert their Working Capital Loans into Private Warrants.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29, 2022, the Company issued unsecured promissory notes of up to $375,000 with $250,000 to Ventoux Acquisition Holdings LLC and $125,000 to Chardan International Investments, LLC, respectively, in connection with providing the Company with additional working capital. The promissory notes are not convertible and bear no interest and are due and payable upon the date on which the Company consummates its initial Business Combination. As of March 31, 2022, the Company had borrowed a total of $133,333 and $66,667 from Ventoux Acquisition Holdings LLC and Chardan International Investments, LLC, respectively.</w:t>
      </w:r>
    </w:p>
    <w:p>
      <w:pPr>
        <w:pStyle w:val="TextBody"/>
        <w:spacing w:before="0" w:after="0"/>
        <w:ind w:left="0" w:right="0" w:hanging="0"/>
        <w:jc w:val="both"/>
        <w:rPr>
          <w:caps w:val="false"/>
          <w:smallCaps w:val="false"/>
        </w:rPr>
      </w:pPr>
      <w:r>
        <w:rPr>
          <w:caps w:val="false"/>
          <w:smallCaps w:val="false"/>
        </w:rPr>
        <w:t> </w:t>
      </w:r>
    </w:p>
    <w:p>
      <w:pPr>
        <w:pStyle w:val="TextBody"/>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13</w:t>
      </w:r>
    </w:p>
    <w:p>
      <w:pPr>
        <w:pStyle w:val="TextBody"/>
        <w:spacing w:before="0" w:after="0"/>
        <w:ind w:left="0" w:right="0" w:hanging="0"/>
        <w:rPr/>
      </w:pPr>
      <w:r>
        <w:rPr/>
        <w:t> </w:t>
      </w:r>
    </w:p>
    <w:p>
      <w:pPr>
        <w:pStyle w:val="TextBody"/>
        <w:spacing w:before="0" w:after="0"/>
        <w:ind w:left="0" w:right="0" w:hanging="0"/>
        <w:jc w:val="both"/>
        <w:rPr>
          <w:caps w:val="false"/>
          <w:smallCaps w:val="false"/>
        </w:rPr>
      </w:pPr>
      <w:r>
        <w:rPr>
          <w:caps w:val="false"/>
          <w:smallCaps w:val="false"/>
        </w:rPr>
        <w:t> </w:t>
      </w:r>
    </w:p>
    <w:p>
      <w:pPr>
        <w:pStyle w:val="TextBody"/>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VENTOUX CCM ACQUISITION CORP.</w:t>
      </w:r>
    </w:p>
    <w:p>
      <w:pPr>
        <w:pStyle w:val="TextBody"/>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CONDENSED CONSOLIDATED FINANCIAL STATEMENTS</w:t>
      </w:r>
    </w:p>
    <w:p>
      <w:pPr>
        <w:pStyle w:val="TextBody"/>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MARCH 31, 2022</w:t>
      </w:r>
    </w:p>
    <w:p>
      <w:pPr>
        <w:pStyle w:val="TextBody"/>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Related Party Extension Loans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discussed in Note 1, the Company extended the period of time to consummate a Business Combination, for an additional three months (until June 30, 2022) to complete a Business Combination. On March 29, 2022, the Company issued unsecured promissory notes in the amount of $1,150,000 and $575,000 to Ventoux Acquisition Holdings LLC and Chardan International Investments, LLC, respectively. The proceeds from the promissory notes were deposited into the Trust Account in order to extend the period of time the Company has to complete its Business Combination from March 30, 2022 to June 30, 2022. The promissory note bears no interest and is due and payable upon the date on which the Company consummates its initial Business Combination. If the Company completes a Business Combination, the Company would repay such loaned amounts out of the proceeds of the Trust Account released to the Company. If the Company does not complete a Business Combination, the Company will not repay such loans.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6. COMMITMENTS AND CONTINGENCIES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Risks and Uncertainties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Management continues to evaluate the impact of the COVID-19 pandemic on the industry and has concluded that while it is reasonably possible that the virus could have a negative effect on the Company’s financial position, results of its operations, and/or search for a target company, the specific impact is not readily determinable as of the date of the condensed consolidated financial statements. The condensed consolidated financial statements do not include any adjustments that might result from the outcome of this uncertainty.</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February 2022, the Russian Federation and Belarus commenced a military action with the country of Ukraine. As a result of this action, various nations, including the United States, have instituted economic sanctions against the Russian Federation and Belarus. Further, the impact of this action and related sanctions on the world economy are not determinable as of the date of these unaudited condensed financial statements and the specific impact on the Company’s financial condition, results of operations, and cash flows is also not determinable as of the date of these unaudited condensed financial statements.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Registration and Stockholder Rights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a registration rights agreement entered into on December 23, 2020, the holders of the Founder Shares and the Private Warrants and securities that may be issued upon conversion of Working Capital Loans will be entitled to registration and stockholder rights pursuant to an agreement. The holders of a majority of these securities are entitled to make up to three demands that the Company register such securities. The holders of the majority of the Founder Shares can elect to exercise these registration rights at any time commencing three months prior to the date on which these shares of common stock are to be released from escrow. The holders of a majority of the Private Warrants (and underlying securities) can elect to exercise these registration rights at any time after (i) the date that the Company consummates a Business Combination with respect to the Private Warrants or (ii) three months prior to the release from escrow with respect to all other Registrable Securities, but prior to the five-year anniversary of the effective date of the Company’s Form S-1 Registration Statement.</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Underwriting Agreement</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granted the underwriters a 45-day option from the date of the Initial Public Offering to purchase up to 2,250,000 additional Units to cover over-allotments, if any, at the Initial Public Offering price less the underwriting discounts and commissions. On January 5, 2021, the underwriters elected to fully exercise the over-allotment option to purchase an additional 2,250,000 Units at a price of $10.00 per Unit.</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underwriters were paid cash underwriting discount of $0.20 per Unit, or $3,450,000 in the aggregate, upon the closing of the Initial Public Offering and the over-allotment option.</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Business Combination Marketing Agreement</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engaged Chardan Capital Markets, LLC as an advisor in connection with a Business Combination to assist the Company in holding meetings with its stockholders to discuss the potential Business Combination and the target business’s attributes, introduce the Company to potential investors that are interested in purchasing the Company’s securities in connection with the potential Business Combination, assist the Company in obtaining stockholder approval for the Business Combination and assist the Company with its press releases and public filings in connection with the Business Combination. The Company will pay Chardan Capital Markets, LLC a marketing fee for such services upon the consummation of a Business Combination in an amount equal to, in the aggregate, 3.5% of the gross proceeds of the Initial Public Offering, including proceeds from the exercise of the underwriters’ over-allotment option. As a result, Chardan Capital Markets, LLC will not be entitled to such fee unless the company consummates its Business Combination.</w:t>
      </w:r>
    </w:p>
    <w:p>
      <w:pPr>
        <w:pStyle w:val="TextBody"/>
        <w:spacing w:before="0" w:after="0"/>
        <w:ind w:left="0" w:right="0" w:hanging="0"/>
        <w:jc w:val="both"/>
        <w:rPr>
          <w:caps w:val="false"/>
          <w:smallCaps w:val="false"/>
        </w:rPr>
      </w:pPr>
      <w:r>
        <w:rPr>
          <w:caps w:val="false"/>
          <w:smallCaps w:val="false"/>
        </w:rPr>
        <w:t> </w:t>
      </w:r>
    </w:p>
    <w:p>
      <w:pPr>
        <w:pStyle w:val="TextBody"/>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14</w:t>
      </w:r>
    </w:p>
    <w:p>
      <w:pPr>
        <w:pStyle w:val="TextBody"/>
        <w:spacing w:before="0" w:after="0"/>
        <w:ind w:left="0" w:right="0" w:hanging="0"/>
        <w:rPr/>
      </w:pPr>
      <w:r>
        <w:rPr/>
        <w:t> </w:t>
      </w:r>
    </w:p>
    <w:p>
      <w:pPr>
        <w:pStyle w:val="TextBody"/>
        <w:spacing w:before="0" w:after="0"/>
        <w:ind w:left="0" w:right="0" w:hanging="0"/>
        <w:jc w:val="both"/>
        <w:rPr>
          <w:caps w:val="false"/>
          <w:smallCaps w:val="false"/>
        </w:rPr>
      </w:pPr>
      <w:r>
        <w:rPr>
          <w:caps w:val="false"/>
          <w:smallCaps w:val="false"/>
        </w:rPr>
        <w:t> </w:t>
      </w:r>
    </w:p>
    <w:p>
      <w:pPr>
        <w:pStyle w:val="TextBody"/>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VENTOUX CCM ACQUISITION CORP.</w:t>
      </w:r>
    </w:p>
    <w:p>
      <w:pPr>
        <w:pStyle w:val="TextBody"/>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CONDENSED CONSOLIDATED FINANCIAL STATEMENTS</w:t>
      </w:r>
    </w:p>
    <w:p>
      <w:pPr>
        <w:pStyle w:val="TextBody"/>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MARCH 31, 2022</w:t>
      </w:r>
    </w:p>
    <w:p>
      <w:pPr>
        <w:pStyle w:val="TextBody"/>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Merger Agreement</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November 10, 2021, the Company entered into an agreement and plan of merger by and among the Company, Ventoux Merger Sub, Ventoux Merger Sub II, and Presto” (as amended and/or restated from time to time, the “Merger Agreement”). The Merger Agreement has been approved by the Company’s and Presto’s board of directors. Subject to the satisfaction or waiver of certain closing conditions set forth in the Merger Agreement, including the approval of the Merger Agreement and the transactions contemplated thereby by Presto and the Company’s stockholders, (a) Ventoux Merger Sub will merge with and into Presto (the “First Merger”), with Presto being the surviving entity in the First Merger and continuing (immediately following the First Merger) as a wholly-owned subsidiary of the Company (the “Surviving Corporation”), and (b) immediately following the First Merger and as part of the same overall transaction as the First Merger, the Surviving Corporation will merge with and into Ventoux Merger Sub II (the “Second Merger”), with Ventoux Merger Sub II being the surviving entity in the Second Merger and continuing (immediately following the Second Merger) as a wholly-owned subsidiary of the Company (the “Mergers” and the other agreements and transactions contemplated by the Merger Agreement, the “Proposed Business Combination”). In addition, in connection with the consummation of the Proposed Business Combination, the Company will be renamed Presto Technologies, Inc. and is referred to herein as “New Presto” as of the time of such change of name.</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Merger Agreement, subject to the satisfaction or waiver of certain closing conditions set forth therein, at the closing of the Proposed Business Combination (the “Closing”), the Company will acquire all of the outstanding equity interests of Presto, and stockholders of Presto will receive $800,000,000 in aggregate consideration (the “Aggregate Base Consideration”) in the form of newly issued common stock in New Presto, calculated based on a price of $10.00 per share.</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the Aggregate Base Consideration, Presto stockholders may be entitled to receive, as additional consideration, and without any action on behalf of the Company, Ventoux Merger Sub, Ventoux Merger Sub II or the Company’s stockholders, 15,000,000 additional shares of common stock of New Presto (the “Presto Earnout Shares”), to be issued as follows: (A) 7,500,000 Presto Earnout Shares, if, during the period from and after the Closing until the third anniversary of the Closing, the Volume Weighted Average Price (“VWAP” as defined in the Merger Agreement) of New Presto common stock is greater than or equal to $12.50 for any 20 trading days within a period of 30 consecutive trading days, and (B) an additional 7,500,000 Presto Earnout Shares, if, during the period from and after the Closing until the fifth anniversary of the Closing, the VWAP of New Presto common stock is greater than or equal to $15.00 for any 20 trading days within a period of 30 consecutive trading days.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Merger Agreement, at the time the First Merger becomes effective (the “Effective Time”), each option exercisable for Presto equity that is outstanding and unexercised immediately prior to the Effective Time will be assumed and converted into a newly issued option exercisable for common stock of New Presto. At the Effective Time, each warrant of Presto that is outstanding and unexercised immediately prior to the Effective Time shall, in accordance with its terms, either be (i) cancelled and converted into the right to receive common stock of New Presto, or (ii) assumed and converted into a newly issued warrant exercisable for common stock of New Presto. Immediately prior to the Effective Time, each convertible promissory note convertible for Presto equity that is issued and outstanding shall be cancelled and converted into the right to receive common stock of New Presto in accordance with the terms therein.</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1, 2022, the parties amended the Merger Agreement to lower from $85 million to $65 million the amount of cash required to be available to the Company at the closing of the Business Combination (the “Closing”), consisting of cash held in its Trust Account and the aggregate amount of cash actually invested in (or contributed to) the Company pursuant to subscription agreements, after giving effect to redemptions of public shares, if any, but before giving effect to the consummation of the Closing and the payment of Presto’s and certain of the Company’s outstanding transaction expenses (including before giving effect to all audit and pre-audit consulting expenses incurred by Presto) as contemplated by the Merger Agreement.</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Amendment also amends the Merger Agreement to extend the Termination Date (as defined therein) of the Merger Agreement to August 31, 2022.</w:t>
      </w:r>
    </w:p>
    <w:p>
      <w:pPr>
        <w:pStyle w:val="TextBody"/>
        <w:spacing w:before="0" w:after="0"/>
        <w:ind w:left="0" w:right="0" w:hanging="0"/>
        <w:jc w:val="both"/>
        <w:rPr>
          <w:caps w:val="false"/>
          <w:smallCaps w:val="false"/>
        </w:rPr>
      </w:pPr>
      <w:r>
        <w:rPr>
          <w:caps w:val="false"/>
          <w:smallCaps w:val="false"/>
        </w:rPr>
        <w:t> </w:t>
      </w:r>
    </w:p>
    <w:p>
      <w:pPr>
        <w:pStyle w:val="TextBody"/>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15</w:t>
      </w:r>
    </w:p>
    <w:p>
      <w:pPr>
        <w:pStyle w:val="TextBody"/>
        <w:spacing w:before="0" w:after="0"/>
        <w:ind w:left="0" w:right="0" w:hanging="0"/>
        <w:rPr/>
      </w:pPr>
      <w:r>
        <w:rPr/>
        <w:t> </w:t>
      </w:r>
    </w:p>
    <w:p>
      <w:pPr>
        <w:pStyle w:val="TextBody"/>
        <w:spacing w:before="0" w:after="0"/>
        <w:ind w:left="0" w:right="0" w:hanging="0"/>
        <w:jc w:val="both"/>
        <w:rPr>
          <w:caps w:val="false"/>
          <w:smallCaps w:val="false"/>
        </w:rPr>
      </w:pPr>
      <w:r>
        <w:rPr>
          <w:caps w:val="false"/>
          <w:smallCaps w:val="false"/>
        </w:rPr>
        <w:t> </w:t>
      </w:r>
    </w:p>
    <w:p>
      <w:pPr>
        <w:pStyle w:val="TextBody"/>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VENTOUX CCM ACQUISITION CORP.</w:t>
      </w:r>
    </w:p>
    <w:p>
      <w:pPr>
        <w:pStyle w:val="TextBody"/>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CONDENSED CONSOLIDATED FINANCIAL STATEMENTS</w:t>
      </w:r>
    </w:p>
    <w:p>
      <w:pPr>
        <w:pStyle w:val="TextBody"/>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MARCH 31, 2022</w:t>
      </w:r>
    </w:p>
    <w:p>
      <w:pPr>
        <w:pStyle w:val="TextBody"/>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Subscription Agreements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entered into equity subscription agreements (the “Equity Subscription Agreements”) each dated as of November 10, 2021, with certain accredited investors, pursuant to which, among other things, the Company agreed to issue and sell, in private placements to close immediately prior to or substantially concurrently with the Closing, an aggregate of 1,500,000 shares of common stock for $10.00 per share. The Equity Subscription Agreements provide that the Company must file a registration statement to register the resale of the subscribed common stock no later than 30 days after the closing date of the Proposed Business Combination (the “Closing Date”).</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also entered into a convertible note subscription agreement (the “Convertible Note Subscription Agreement” and, together with the Equity Subscription Agreements, the “Subscription Agreements”), each dated as of November 10, 2021, with an institutional accredited investor (collectively, the “Note Investor”), pursuant to which, among other things, the Company agreed to issue and sell, in a private placement to close immediately prior to the Closing, an aggregate of $55,000,000 in aggregate principal amount of convertible notes (the “Notes”) and an aggregate of 1,000,000 warrants (the “Note Financing Warrants”).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any time prior to the close of business on the second trading day immediately preceding the maturity date of the Notes, the Notes will be convertible, at each holder’s option, into shares of common stock of New Presto at an initial conversion price equal to the lesser of (i) $13.00 and (ii) a 30% premium to the lowest per share price at which any equity of the Company is issued within 15 days prior to the Closing Date (the “Conversion Rate”). In the event of a conversion in connection with a Fundamental Change (as defined below) or a Company Redemption (as defined below), the Conversion Rate will be increased by a number of additional shares set forth in a usual and customary “make-whole table” to be included in the indenture governing the Notes (the “Indenture”).</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any time on or after the first anniversary of the issuance of the Notes until the second business day prior to maturity, the Notes will be convertible, in whole but not in part, at the Company’s option (a “Mandatory Conversion”) if the closing price of common stock is greater than or equal to 130% of the conversion price of the Notes for 20 trading days during any 30-consecutive-trading-day period ending on day before the notice of the Mandatory Conversion is given. The Conversion Rate in connection with a Mandatory Conversion will be increased by a number of additional shares pursuant to the make-whole table described above.</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the Company may redeem the Notes at any time prior to the 21</w:t>
      </w:r>
      <w:r>
        <w:rPr>
          <w:rFonts w:ascii="Times New Roman;Times;Serif" w:hAnsi="Times New Roman;Times;Serif"/>
          <w:b w:val="false"/>
          <w:i w:val="false"/>
          <w:caps w:val="false"/>
          <w:smallCaps w:val="false"/>
          <w:position w:val="7"/>
          <w:sz w:val="16"/>
          <w:sz w:val="20"/>
        </w:rPr>
        <w:t>st</w:t>
      </w:r>
      <w:r>
        <w:rPr>
          <w:rFonts w:ascii="Times New Roman;Times;Serif" w:hAnsi="Times New Roman;Times;Serif"/>
          <w:b w:val="false"/>
          <w:i w:val="false"/>
          <w:caps w:val="false"/>
          <w:smallCaps w:val="false"/>
          <w:sz w:val="20"/>
        </w:rPr>
        <w:t xml:space="preserve"> trading day before maturity by paying, in cash, the principal, accrued interest, and a premium equal to, (1) through third anniversary, the present value of all remaining scheduled interest payments, computed using a discount rate equal to the Treasury Rate (to be defined in the Indenture) plus 0.50%, and warrants to purchase a number of shares equal to 50% of the number of shares into which the Notes redeemed were convertible, or (2) between third anniversary and maturity, of all remaining scheduled interest payments, computed using a discount rate equal to the Treasury Rate.</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holder of a Note will have the right to cause the Company to repurchase for cash all or a portion of the Notes held by such holder at any time upon the occurrence of a “fundamental change,” a customary definition of which will be agreed in the Indenture (a “Fundamental Change”), at a repurchase price equal to 100% of the principal amount of such Notes plus accrued and unpaid interest thereon to, but excluding, the repurchase date.</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will pay interest on the principal amount of the Notes in cash or in kind, at the Company’s election. If the Company elects to pay interest in cash (“Cash Interest”), the interest on the Notes will accrue at a rate of 9.0% per annum and be payable in cash. If the Company elects to pay interest in kind (“PIK Interest”), the interest on the Notes will be increased to a rate of 11.0% per annum. PIK Interest will be payable either (x) by increasing the principal amount of the outstanding Notes by an amount equal to the amount of PIK Interest for the applicable interest period (rounded up to the nearest $1.00) or (y) if the Notes are no longer held as global notes, by issuing additional Notes in certificated form in an aggregate principal amount equal to the amount of PIK Interest for the period (rounded up to the nearest $1.00). Following an increase in the principal amount of the outstanding Notes as a result of a PIK Interest payment, the Notes will bear interest on such increased principal amount.</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Note Financing Warrants have the same terms and conditions as the Company’s outstanding publicly held warrants, except that each Note Financing Warrant is exercisable into one whole share of common stock at an exercise price of $11.50 per share. The Note Financing Warrants, like the publicly held warrants, may be redeemed if, among other conditions, the reported last sale price of the Company common stock equals or exceeds $16.50 per share, for any 20 trading days within a 30-day trading period ending on the third business day prior to the date of the notice of redemption to warrant holders.</w:t>
      </w:r>
    </w:p>
    <w:p>
      <w:pPr>
        <w:pStyle w:val="TextBody"/>
        <w:spacing w:before="0" w:after="0"/>
        <w:ind w:left="0" w:right="0" w:hanging="0"/>
        <w:jc w:val="both"/>
        <w:rPr>
          <w:caps w:val="false"/>
          <w:smallCaps w:val="false"/>
        </w:rPr>
      </w:pPr>
      <w:r>
        <w:rPr>
          <w:caps w:val="false"/>
          <w:smallCaps w:val="false"/>
        </w:rPr>
        <w:t> </w:t>
      </w:r>
    </w:p>
    <w:p>
      <w:pPr>
        <w:pStyle w:val="TextBody"/>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16</w:t>
      </w:r>
    </w:p>
    <w:p>
      <w:pPr>
        <w:pStyle w:val="TextBody"/>
        <w:spacing w:before="0" w:after="0"/>
        <w:ind w:left="0" w:right="0" w:hanging="0"/>
        <w:rPr/>
      </w:pPr>
      <w:r>
        <w:rPr/>
        <w:t> </w:t>
      </w:r>
    </w:p>
    <w:p>
      <w:pPr>
        <w:pStyle w:val="TextBody"/>
        <w:spacing w:before="0" w:after="0"/>
        <w:ind w:left="0" w:right="0" w:hanging="0"/>
        <w:jc w:val="both"/>
        <w:rPr>
          <w:caps w:val="false"/>
          <w:smallCaps w:val="false"/>
        </w:rPr>
      </w:pPr>
      <w:r>
        <w:rPr>
          <w:caps w:val="false"/>
          <w:smallCaps w:val="false"/>
        </w:rPr>
        <w:t> </w:t>
      </w:r>
    </w:p>
    <w:p>
      <w:pPr>
        <w:pStyle w:val="TextBody"/>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VENTOUX CCM ACQUISITION CORP.</w:t>
      </w:r>
    </w:p>
    <w:p>
      <w:pPr>
        <w:pStyle w:val="TextBody"/>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CONDENSED CONSOLIDATED FINANCIAL STATEMENTS</w:t>
      </w:r>
    </w:p>
    <w:p>
      <w:pPr>
        <w:pStyle w:val="TextBody"/>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MARCH 31, 2022</w:t>
      </w:r>
    </w:p>
    <w:p>
      <w:pPr>
        <w:pStyle w:val="TextBody"/>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Sponsor Support Agreement</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execution of the Merger Agreement, the Sponsors, Presto’s directors and officers and certain affiliates of the Sponsors (together, the “Sponsor Parties”) entered into a Sponsor Support Agreement (the “Sponsor Agreement”) with the Company and Presto, pursuant to which the Sponsor Parties agreed, among other things, to vote all shares of the Company common stock beneficially owned by them in favor of each of the proposals at the Company Special Meeting and against any proposal that would impede the Proposed Business Combination. The Sponsor Agreement also provides that the Sponsor Parties will not redeem any shares of the Company common stock.</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Sponsor Parties agreed to subject the founder shares they acquired prior to the Company Initial public offering to lock-up restrictions. During the period beginning on the Closing Date until the period beginning on the Closing Date to six months after the Closing Date, the Sponsor Parties may not transfer any of its, his or her founder shares, and during the period beginning on the date that is six months after the Closing Date to 12 twelve months after the Closing Date, the Sponsor Parties may only transfer up to 50% of its, his or her founder shares, in each case except for certain limited permitted transfers. In addition, the Sponsor Parties agreed that they will not transfer any privately placed warrants, acquired prior to the Company initial public offering, during the period from the Closing Date to 12 months after the Closing Date.</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Sponsors also agreed to subject their founder shares to vesting and forfeiture provisions as set forth in the Sponsor Agreement based on the number of public shares redeemed at the closing of the Proposed Business Combination (such shares, the “Sponsors’ Earnout Shares”). Pursuant to the Sponsor Agreement, at the Closing, (i) in the case of redemptions of public shares of 90% or more, 15% of the Sponsors’ founder shares that are owned immediately after the Closing will be subject to vesting, (ii) in the case of redemptions of public shares of between 80% and 90%, 10% of the Sponsors’ founder shares that are owned immediately after the Closing will be subject to vesting, (iii) in the case of redemptions of public shares of between 70% and 80%, 5% of the Sponsors’ founder shares that are owned immediately after the Closing will be subject to vesting and (iv) in the case of redemptions of public shares of less than 70%, none of the Sponsors’ founder shares will be subject to vesting. The Sponsors’ Earnout Shares will vest if, during the period from and after the Closing until the fifth anniversary of the Closing, the VWAP of New Presto common stock is greater than or equal to $12.50 for any 40 trading days within a period of 60 consecutive trading days.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Presto Stockholder Support Agreement</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execution of the Merger Agreement, certain stockholders of Presto (collectively, the “Presto Supporting Stockholders”) entered into support agreements (collectively, the “Stockholder Support Agreements”), pursuant to which each Presto Supporting Stockholder agreed to, among other things, vote in favor of the Merger Agreement and the transactions contemplated thereby (including the Proposed Business Combination), not to transfer his, her or its Presto shares prior to the Closing Date, and to execute the Amended and Restated Registration Rights Agreement (as defined below) at the Closing Date.</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Presto Stockholder Support Agreements provide that during the period beginning on the Closing Date and ending on the date that is six months after the Closing Date, the Presto Supporting Stockholders may not transfer any of their shares of New Presto common stock, and during the period beginning on the date that is six months after the Closing Date and ending on the date that is 12 months after the Closing Date, the Presto Supporting Stockholders may only transfer up to 50% of their New Presto common stock, in each case, except for certain limited permitted transfers.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Proposed Business Combination is expected to be consummated after receipt of the required approvals by the stockholders of the Company and Presto and the satisfaction or waiver of certain other customary conditions. For full details and the filed agreements, refer to the Company’s Current Report on 8-K announcing the Merger Agreement filed on November 10, 2021 and the amendment to the Merger Agreement filed on April 4, 2022.</w:t>
      </w:r>
    </w:p>
    <w:p>
      <w:pPr>
        <w:pStyle w:val="TextBody"/>
        <w:spacing w:before="0" w:after="0"/>
        <w:ind w:left="0" w:right="0" w:hanging="0"/>
        <w:jc w:val="both"/>
        <w:rPr>
          <w:caps w:val="false"/>
          <w:smallCaps w:val="false"/>
        </w:rPr>
      </w:pPr>
      <w:r>
        <w:rPr>
          <w:caps w:val="false"/>
          <w:smallCaps w:val="false"/>
        </w:rPr>
        <w:t> </w:t>
      </w:r>
    </w:p>
    <w:p>
      <w:pPr>
        <w:pStyle w:val="TextBody"/>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17</w:t>
      </w:r>
    </w:p>
    <w:p>
      <w:pPr>
        <w:pStyle w:val="TextBody"/>
        <w:spacing w:before="0" w:after="0"/>
        <w:ind w:left="0" w:right="0" w:hanging="0"/>
        <w:rPr/>
      </w:pPr>
      <w:r>
        <w:rPr/>
        <w:t> </w:t>
      </w:r>
    </w:p>
    <w:p>
      <w:pPr>
        <w:pStyle w:val="TextBody"/>
        <w:spacing w:before="0" w:after="0"/>
        <w:ind w:left="0" w:right="0" w:hanging="0"/>
        <w:jc w:val="both"/>
        <w:rPr>
          <w:caps w:val="false"/>
          <w:smallCaps w:val="false"/>
        </w:rPr>
      </w:pPr>
      <w:r>
        <w:rPr>
          <w:caps w:val="false"/>
          <w:smallCaps w:val="false"/>
        </w:rPr>
        <w:t> </w:t>
      </w:r>
    </w:p>
    <w:p>
      <w:pPr>
        <w:pStyle w:val="TextBody"/>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VENTOUX CCM ACQUISITION CORP.</w:t>
      </w:r>
    </w:p>
    <w:p>
      <w:pPr>
        <w:pStyle w:val="TextBody"/>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CONDENSED CONSOLIDATED FINANCIAL STATEMENTS</w:t>
      </w:r>
    </w:p>
    <w:p>
      <w:pPr>
        <w:pStyle w:val="TextBody"/>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MARCH 31, 2022</w:t>
      </w:r>
    </w:p>
    <w:p>
      <w:pPr>
        <w:pStyle w:val="TextBody"/>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7. STOCKHOLDERS’ DEFICIT</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Preferred Stock</w:t>
      </w:r>
      <w:r>
        <w:rPr>
          <w:rFonts w:ascii="Times New Roman;Times;Serif" w:hAnsi="Times New Roman;Times;Serif"/>
          <w:b/>
          <w:i w:val="false"/>
          <w:caps w:val="false"/>
          <w:smallCaps w:val="false"/>
          <w:sz w:val="20"/>
        </w:rPr>
        <w:t xml:space="preserve"> —</w:t>
      </w:r>
      <w:r>
        <w:rPr>
          <w:rFonts w:ascii="Times New Roman;Times;Serif" w:hAnsi="Times New Roman;Times;Serif"/>
          <w:b w:val="false"/>
          <w:i w:val="false"/>
          <w:caps w:val="false"/>
          <w:smallCaps w:val="false"/>
          <w:sz w:val="20"/>
        </w:rPr>
        <w:t xml:space="preserve"> Per the Company’s Amended and Restated Certificate of Incorporation, the Company is authorized to issue up to 1,000,000 shares of preferred stock. As of March 31, 2022 and December 31, 2021, there were no shares of preferred stock issued or outstanding.</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 xml:space="preserve">Common Stock </w:t>
      </w:r>
      <w:r>
        <w:rPr>
          <w:rFonts w:ascii="Times New Roman;Times;Serif" w:hAnsi="Times New Roman;Times;Serif"/>
          <w:b w:val="false"/>
          <w:i w:val="false"/>
          <w:caps w:val="false"/>
          <w:smallCaps w:val="false"/>
          <w:sz w:val="20"/>
        </w:rPr>
        <w:t>— The Company is authorized to issue 50,000,000 shares of common stock with a par value of $0.0001 per share. Holders of common stock are entitled to one vote for each share. As of March 31, 2022 and December 31, 2021, there were 4,312,500 shares of common stock issued and outstanding, excluding 17,250,000 shares of common stock, respectively, subject to possible redemption and presented as temporary equity.</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 xml:space="preserve">Rights </w:t>
      </w:r>
      <w:r>
        <w:rPr>
          <w:rFonts w:ascii="Times New Roman;Times;Serif" w:hAnsi="Times New Roman;Times;Serif"/>
          <w:b w:val="false"/>
          <w:i w:val="false"/>
          <w:caps w:val="false"/>
          <w:smallCaps w:val="false"/>
          <w:sz w:val="20"/>
        </w:rPr>
        <w:t>— Except in cases where the Company is not the surviving company in a Business Combination, each holder of a right will automatically receive one-twentieth (1/20) of a share of common stock upon consummation of the Business Combination, even if the holder of a right converted all shares held by him, her or it in connection with the Business Combination or an amendment to the Company’s Certificate of Incorporation with respect to its pre-business combination activities. In the event that the Company will not be the surviving company upon completion of the Business Combination, each holder of a right will be required to affirmatively convert his, her or its rights in order to receive the one-twentieth (1/20) of a share of common stock underlying each right upon consummation of the Business Combination. No additional consideration will be required to be paid by a holder of rights in order to receive his, her or its additional share of common stock upon consummation of the Business Combination. The shares issuable upon exchange of the rights will be freely tradable (except to the extent held by affiliates of the Company). If the Company enters into a definitive agreement for a Business Combination in which the Company will not be the surviving entity, the definitive agreement will provide for the holders of rights to receive the same per share consideration the holders of shares of common stock will receive in the transaction on an as-converted into common stock basis.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will not issue fractional shares in connection with an exchange of rights, so holders must hold rights in denominations of 20 in order to receive a share of the Company’s common stock at the closing of the initial Business Combination. If the Company is unable to complete an initial Business Combination within the required time period and the Company liquidates the funds held in the Trust Account, holders of rights will not receive any of such funds with respect to their rights, nor will they receive any distribution from the Company’s assets held outside of the Trust Account with respect to such rights, and the rights will expire worthless. Additionally, in no event will the Company be required to net cash settle the rights. Accordingly, the rights may expire worthless.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8. WARRANT LIABILITIES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 xml:space="preserve">Warrants </w:t>
      </w:r>
      <w:r>
        <w:rPr>
          <w:rFonts w:ascii="Times New Roman;Times;Serif" w:hAnsi="Times New Roman;Times;Serif"/>
          <w:b w:val="false"/>
          <w:i w:val="false"/>
          <w:caps w:val="false"/>
          <w:smallCaps w:val="false"/>
          <w:sz w:val="20"/>
        </w:rPr>
        <w:t>— There are 8,625,000 Public Warrants outstanding as of March 31, 2022 and December 31, 2021. The Public Warrants will become exercisable at any time commencing on the later of one year after the closing of the Initial Public Offering or the consummation of a Business Combination, provided that the Company has an effective and current registration statement covering the shares of common stock issuable upon the exercise of the Public Warrants and a current prospectus relating to such shares of common stock. Notwithstanding the foregoing, if a registration statement covering the shares of common stock issuable upon exercise of the public warrants is not effective within 120 days from the closing of a Business Combination, warrant holders may, until such time as there is an effective registration statement and during any period when the Company has failed to maintain an effective registration statement, exercise warrants on a cashless basis pursuant to an available exemption from registration under the Securities Act. The Public Warrants will expire five years after the completion of a Business Combination or earlier upon redemption or liquidation.</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may redeem the Public Warrants:</w:t>
      </w:r>
    </w:p>
    <w:p>
      <w:pPr>
        <w:pStyle w:val="TextBody"/>
        <w:spacing w:before="0" w:after="0"/>
        <w:ind w:left="0" w:right="0" w:hanging="0"/>
        <w:jc w:val="both"/>
        <w:rPr>
          <w:caps w:val="false"/>
          <w:smallCaps w:val="false"/>
        </w:rPr>
      </w:pPr>
      <w:r>
        <w:rPr>
          <w:caps w:val="false"/>
          <w:smallCaps w:val="false"/>
        </w:rPr>
        <w:t> </w:t>
      </w:r>
    </w:p>
    <w:tbl>
      <w:tblPr>
        <w:tblW w:w="2238" w:type="dxa"/>
        <w:jc w:val="left"/>
        <w:tblInd w:w="0" w:type="dxa"/>
        <w:tblCellMar>
          <w:top w:w="0" w:type="dxa"/>
          <w:left w:w="0" w:type="dxa"/>
          <w:bottom w:w="0" w:type="dxa"/>
          <w:right w:w="0" w:type="dxa"/>
        </w:tblCellMar>
      </w:tblPr>
      <w:tblGrid>
        <w:gridCol w:w="38"/>
        <w:gridCol w:w="170"/>
        <w:gridCol w:w="2030"/>
      </w:tblGrid>
      <w:tr>
        <w:trPr/>
        <w:tc>
          <w:tcPr>
            <w:tcW w:w="38"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jc w:val="left"/>
              <w:rPr/>
            </w:pPr>
            <w:r>
              <w:rPr/>
              <w:t>●</w:t>
            </w:r>
          </w:p>
        </w:tc>
        <w:tc>
          <w:tcPr>
            <w:tcW w:w="2030" w:type="dxa"/>
            <w:tcBorders/>
            <w:shd w:fill="auto" w:val="clear"/>
            <w:vAlign w:val="center"/>
          </w:tcPr>
          <w:p>
            <w:pPr>
              <w:pStyle w:val="TableContents"/>
              <w:spacing w:before="0" w:after="283"/>
              <w:jc w:val="both"/>
              <w:rPr>
                <w:rFonts w:ascii="Times New Roman;Times;Serif" w:hAnsi="Times New Roman;Times;Serif"/>
                <w:sz w:val="20"/>
              </w:rPr>
            </w:pPr>
            <w:r>
              <w:rPr>
                <w:rFonts w:ascii="Times New Roman;Times;Serif" w:hAnsi="Times New Roman;Times;Serif"/>
                <w:sz w:val="20"/>
              </w:rPr>
              <w:t>in whole and not in part;</w:t>
            </w:r>
          </w:p>
        </w:tc>
      </w:tr>
    </w:tbl>
    <w:p>
      <w:pPr>
        <w:pStyle w:val="TextBody"/>
        <w:spacing w:before="0" w:after="0"/>
        <w:ind w:left="0" w:right="0" w:hanging="0"/>
        <w:jc w:val="both"/>
        <w:rPr>
          <w:caps w:val="false"/>
          <w:smallCaps w:val="false"/>
        </w:rPr>
      </w:pPr>
      <w:r>
        <w:rPr>
          <w:caps w:val="false"/>
          <w:smallCaps w:val="false"/>
        </w:rPr>
        <w:t> </w:t>
      </w:r>
    </w:p>
    <w:tbl>
      <w:tblPr>
        <w:tblW w:w="2703" w:type="dxa"/>
        <w:jc w:val="left"/>
        <w:tblInd w:w="0" w:type="dxa"/>
        <w:tblCellMar>
          <w:top w:w="0" w:type="dxa"/>
          <w:left w:w="0" w:type="dxa"/>
          <w:bottom w:w="0" w:type="dxa"/>
          <w:right w:w="0" w:type="dxa"/>
        </w:tblCellMar>
      </w:tblPr>
      <w:tblGrid>
        <w:gridCol w:w="38"/>
        <w:gridCol w:w="170"/>
        <w:gridCol w:w="2495"/>
      </w:tblGrid>
      <w:tr>
        <w:trPr/>
        <w:tc>
          <w:tcPr>
            <w:tcW w:w="38"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jc w:val="left"/>
              <w:rPr/>
            </w:pPr>
            <w:r>
              <w:rPr/>
              <w:t>●</w:t>
            </w:r>
          </w:p>
        </w:tc>
        <w:tc>
          <w:tcPr>
            <w:tcW w:w="2495" w:type="dxa"/>
            <w:tcBorders/>
            <w:shd w:fill="auto" w:val="clear"/>
            <w:vAlign w:val="center"/>
          </w:tcPr>
          <w:p>
            <w:pPr>
              <w:pStyle w:val="TableContents"/>
              <w:spacing w:before="0" w:after="283"/>
              <w:jc w:val="both"/>
              <w:rPr>
                <w:rFonts w:ascii="Times New Roman;Times;Serif" w:hAnsi="Times New Roman;Times;Serif"/>
                <w:sz w:val="20"/>
              </w:rPr>
            </w:pPr>
            <w:r>
              <w:rPr>
                <w:rFonts w:ascii="Times New Roman;Times;Serif" w:hAnsi="Times New Roman;Times;Serif"/>
                <w:sz w:val="20"/>
              </w:rPr>
              <w:t>at a price of $0.01 per warrant;</w:t>
            </w:r>
          </w:p>
        </w:tc>
      </w:tr>
    </w:tbl>
    <w:p>
      <w:pPr>
        <w:pStyle w:val="TextBody"/>
        <w:spacing w:before="0" w:after="0"/>
        <w:ind w:left="0" w:right="0" w:hanging="0"/>
        <w:jc w:val="both"/>
        <w:rPr>
          <w:caps w:val="false"/>
          <w:smallCaps w:val="false"/>
        </w:rPr>
      </w:pPr>
      <w:r>
        <w:rPr>
          <w:caps w:val="false"/>
          <w:smallCaps w:val="false"/>
        </w:rPr>
        <w:t> </w:t>
      </w:r>
    </w:p>
    <w:p>
      <w:pPr>
        <w:pStyle w:val="TextBody"/>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18</w:t>
      </w:r>
    </w:p>
    <w:p>
      <w:pPr>
        <w:pStyle w:val="TextBody"/>
        <w:spacing w:before="0" w:after="0"/>
        <w:ind w:left="0" w:right="0" w:hanging="0"/>
        <w:rPr/>
      </w:pPr>
      <w:r>
        <w:rPr/>
        <w:t> </w:t>
      </w:r>
    </w:p>
    <w:p>
      <w:pPr>
        <w:pStyle w:val="TextBody"/>
        <w:spacing w:before="0" w:after="0"/>
        <w:ind w:left="0" w:right="0" w:hanging="0"/>
        <w:jc w:val="both"/>
        <w:rPr>
          <w:caps w:val="false"/>
          <w:smallCaps w:val="false"/>
        </w:rPr>
      </w:pPr>
      <w:r>
        <w:rPr>
          <w:caps w:val="false"/>
          <w:smallCaps w:val="false"/>
        </w:rPr>
        <w:t> </w:t>
      </w:r>
    </w:p>
    <w:p>
      <w:pPr>
        <w:pStyle w:val="TextBody"/>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VENTOUX CCM ACQUISITION CORP.</w:t>
      </w:r>
    </w:p>
    <w:p>
      <w:pPr>
        <w:pStyle w:val="TextBody"/>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CONDENSED CONSOLIDATED FINANCIAL STATEMENTS</w:t>
      </w:r>
    </w:p>
    <w:p>
      <w:pPr>
        <w:pStyle w:val="TextBody"/>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MARCH 31, 2022</w:t>
      </w:r>
    </w:p>
    <w:p>
      <w:pPr>
        <w:pStyle w:val="TextBody"/>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p>
      <w:pPr>
        <w:pStyle w:val="TextBody"/>
        <w:spacing w:before="0" w:after="0"/>
        <w:ind w:left="0" w:right="0" w:hanging="0"/>
        <w:jc w:val="both"/>
        <w:rPr>
          <w:caps w:val="false"/>
          <w:smallCaps w:val="false"/>
        </w:rPr>
      </w:pPr>
      <w:r>
        <w:rPr>
          <w:caps w:val="false"/>
          <w:smallCaps w:val="false"/>
        </w:rPr>
        <w:t> </w:t>
      </w:r>
    </w:p>
    <w:tbl>
      <w:tblPr>
        <w:tblW w:w="3963" w:type="dxa"/>
        <w:jc w:val="left"/>
        <w:tblInd w:w="0" w:type="dxa"/>
        <w:tblCellMar>
          <w:top w:w="0" w:type="dxa"/>
          <w:left w:w="0" w:type="dxa"/>
          <w:bottom w:w="0" w:type="dxa"/>
          <w:right w:w="0" w:type="dxa"/>
        </w:tblCellMar>
      </w:tblPr>
      <w:tblGrid>
        <w:gridCol w:w="38"/>
        <w:gridCol w:w="170"/>
        <w:gridCol w:w="3755"/>
      </w:tblGrid>
      <w:tr>
        <w:trPr/>
        <w:tc>
          <w:tcPr>
            <w:tcW w:w="38"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jc w:val="left"/>
              <w:rPr/>
            </w:pPr>
            <w:r>
              <w:rPr/>
              <w:t>●</w:t>
            </w:r>
          </w:p>
        </w:tc>
        <w:tc>
          <w:tcPr>
            <w:tcW w:w="3755" w:type="dxa"/>
            <w:tcBorders/>
            <w:shd w:fill="auto" w:val="clear"/>
            <w:vAlign w:val="center"/>
          </w:tcPr>
          <w:p>
            <w:pPr>
              <w:pStyle w:val="TableContents"/>
              <w:spacing w:before="0" w:after="283"/>
              <w:jc w:val="both"/>
              <w:rPr>
                <w:rFonts w:ascii="Times New Roman;Times;Serif" w:hAnsi="Times New Roman;Times;Serif"/>
                <w:sz w:val="20"/>
              </w:rPr>
            </w:pPr>
            <w:r>
              <w:rPr>
                <w:rFonts w:ascii="Times New Roman;Times;Serif" w:hAnsi="Times New Roman;Times;Serif"/>
                <w:sz w:val="20"/>
              </w:rPr>
              <w:t>at any time while the warrants are exercisable;</w:t>
            </w:r>
          </w:p>
        </w:tc>
      </w:tr>
    </w:tbl>
    <w:p>
      <w:pPr>
        <w:pStyle w:val="TextBody"/>
        <w:spacing w:before="0" w:after="0"/>
        <w:ind w:left="0" w:right="0" w:hanging="0"/>
        <w:jc w:val="both"/>
        <w:rPr>
          <w:caps w:val="false"/>
          <w:smallCaps w:val="false"/>
        </w:rPr>
      </w:pPr>
      <w:r>
        <w:rPr>
          <w:caps w:val="false"/>
          <w:smallCaps w:val="false"/>
        </w:rPr>
        <w:t> </w:t>
      </w:r>
    </w:p>
    <w:tbl>
      <w:tblPr>
        <w:tblW w:w="7158" w:type="dxa"/>
        <w:jc w:val="left"/>
        <w:tblInd w:w="0" w:type="dxa"/>
        <w:tblCellMar>
          <w:top w:w="0" w:type="dxa"/>
          <w:left w:w="0" w:type="dxa"/>
          <w:bottom w:w="0" w:type="dxa"/>
          <w:right w:w="0" w:type="dxa"/>
        </w:tblCellMar>
      </w:tblPr>
      <w:tblGrid>
        <w:gridCol w:w="38"/>
        <w:gridCol w:w="170"/>
        <w:gridCol w:w="6950"/>
      </w:tblGrid>
      <w:tr>
        <w:trPr/>
        <w:tc>
          <w:tcPr>
            <w:tcW w:w="38"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jc w:val="left"/>
              <w:rPr/>
            </w:pPr>
            <w:r>
              <w:rPr/>
              <w:t>●</w:t>
            </w:r>
          </w:p>
        </w:tc>
        <w:tc>
          <w:tcPr>
            <w:tcW w:w="6950" w:type="dxa"/>
            <w:tcBorders/>
            <w:shd w:fill="auto" w:val="clear"/>
            <w:vAlign w:val="center"/>
          </w:tcPr>
          <w:p>
            <w:pPr>
              <w:pStyle w:val="TableContents"/>
              <w:spacing w:before="0" w:after="283"/>
              <w:jc w:val="both"/>
              <w:rPr>
                <w:rFonts w:ascii="Times New Roman;Times;Serif" w:hAnsi="Times New Roman;Times;Serif"/>
                <w:sz w:val="20"/>
              </w:rPr>
            </w:pPr>
            <w:r>
              <w:rPr>
                <w:rFonts w:ascii="Times New Roman;Times;Serif" w:hAnsi="Times New Roman;Times;Serif"/>
                <w:sz w:val="20"/>
              </w:rPr>
              <w:t>upon not less than 30 days’ prior written notice of redemption to each warrant holder;</w:t>
            </w:r>
          </w:p>
        </w:tc>
      </w:tr>
    </w:tbl>
    <w:p>
      <w:pPr>
        <w:pStyle w:val="TextBody"/>
        <w:spacing w:before="0" w:after="0"/>
        <w:ind w:left="0" w:right="0" w:hanging="0"/>
        <w:jc w:val="both"/>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38"/>
        <w:gridCol w:w="170"/>
        <w:gridCol w:w="9997"/>
      </w:tblGrid>
      <w:tr>
        <w:trPr/>
        <w:tc>
          <w:tcPr>
            <w:tcW w:w="38"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jc w:val="left"/>
              <w:rPr/>
            </w:pPr>
            <w:r>
              <w:rPr/>
              <w:t>●</w:t>
            </w:r>
          </w:p>
        </w:tc>
        <w:tc>
          <w:tcPr>
            <w:tcW w:w="9997" w:type="dxa"/>
            <w:tcBorders/>
            <w:shd w:fill="auto" w:val="clear"/>
            <w:vAlign w:val="center"/>
          </w:tcPr>
          <w:p>
            <w:pPr>
              <w:pStyle w:val="TableContents"/>
              <w:spacing w:before="0" w:after="283"/>
              <w:jc w:val="both"/>
              <w:rPr>
                <w:rFonts w:ascii="Times New Roman;Times;Serif" w:hAnsi="Times New Roman;Times;Serif"/>
                <w:sz w:val="20"/>
              </w:rPr>
            </w:pPr>
            <w:r>
              <w:rPr>
                <w:rFonts w:ascii="Times New Roman;Times;Serif" w:hAnsi="Times New Roman;Times;Serif"/>
                <w:sz w:val="20"/>
              </w:rPr>
              <w:t>if, and only if, the reported last sale price of the share of common stock equals or exceeds $16.50 per share, for any 20 trading days within a 30-trading day period ending on the third business day prior to the notice of redemption to the warrant holders; and</w:t>
            </w:r>
          </w:p>
        </w:tc>
      </w:tr>
    </w:tbl>
    <w:p>
      <w:pPr>
        <w:pStyle w:val="TextBody"/>
        <w:spacing w:before="0" w:after="0"/>
        <w:ind w:left="0" w:right="0" w:hanging="0"/>
        <w:jc w:val="both"/>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38"/>
        <w:gridCol w:w="170"/>
        <w:gridCol w:w="9997"/>
      </w:tblGrid>
      <w:tr>
        <w:trPr/>
        <w:tc>
          <w:tcPr>
            <w:tcW w:w="38"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jc w:val="left"/>
              <w:rPr/>
            </w:pPr>
            <w:r>
              <w:rPr/>
              <w:t>●</w:t>
            </w:r>
          </w:p>
        </w:tc>
        <w:tc>
          <w:tcPr>
            <w:tcW w:w="9997" w:type="dxa"/>
            <w:tcBorders/>
            <w:shd w:fill="auto" w:val="clear"/>
            <w:vAlign w:val="center"/>
          </w:tcPr>
          <w:p>
            <w:pPr>
              <w:pStyle w:val="TableContents"/>
              <w:spacing w:before="0" w:after="283"/>
              <w:jc w:val="both"/>
              <w:rPr>
                <w:rFonts w:ascii="Times New Roman;Times;Serif" w:hAnsi="Times New Roman;Times;Serif"/>
                <w:sz w:val="20"/>
              </w:rPr>
            </w:pPr>
            <w:r>
              <w:rPr>
                <w:rFonts w:ascii="Times New Roman;Times;Serif" w:hAnsi="Times New Roman;Times;Serif"/>
                <w:sz w:val="20"/>
              </w:rPr>
              <w:t>if, and only if, there is a current registration statement in effect with respect to the shares of common stock underlying such warrants at the time of redemption and for the entire 30-day trading period referred to above and continuing each day thereafter until the date of redemption.</w:t>
            </w:r>
          </w:p>
        </w:tc>
      </w:tr>
    </w:tbl>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Company calls the Public Warrants for redemption, management will have the option to require all holders that wish to exercise the Public Warrants to do so on a “cashless basis,” as described in the warrant agreement. The exercise price and number of shares of common stock issuable upon exercise of the warrants may be adjusted in certain circumstances including in the event of a stock dividend, or recapitalization, reorganization, merger or consolidation. However, the warrants will not be adjusted for issuance of common stock at a price below its exercise price. Additionally, in no event will the Company be required to net cash settle the warrants. If the Company is unable to complete a Business Combination within the Combination Period and the Company liquidates the funds held in the Trust Account, holders of rights or warrants will not receive any of such funds with respect to their rights or warrants, nor will they receive any distribution from the Company’s assets held outside of the Trust Account with the respect to such rights or warrants. Accordingly, the rights and warrants may expire worthless.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if the Company issues additional common stock or equity-linked securities for capital raising purposes in connection with the closing of a Business Combination at an issue price or effective issue price of less than $9.20 per common stock (with such issue price or effective issue price to be determined in good faith by the Company’s board of directors and, in the case of any such issuance to the co-sponsors or their affiliates, without taking into account any Founder Shares held by the co-sponsors or such affiliates, as applicable, prior to such issuance) (the “Newly Issued Price”), the exercise price of the warrants will be adjusted (to the nearest cent) to be equal to 115% of the Newly Issued Price, and the $16.50 per share redemption trigger price will be adjusted (to the nearest cent) to be equal to 165% of the market value (the volume weighted average trading price of its common stock during the 20 trading day period starting on the trading day prior to the day on which the Company consummates its Business Combination).</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Public Warrants are accounted for as equity on the condensed consolidated balance sheets.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Private Warrants are identical to the Public Warrants underlying the Units sold in the Initial Public Offering except that each Private Warrant is exercisable for one share of common stock at an exercise price of $11.50 per share, the Private Warrants will be exercisable for cash (even if a registration statement covering the shares of common stock issuable upon exercise of such warrants is not effective) or on a cashless basis, at the holder’s option, and will not be non-redeemable by the Company, in each case, so long as they are held by the initial purchasers or their affiliates. As of March 31, 2022 and December 31, 2021, there are 6,675,000 Private Warrants outstanding.</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Private Warrants are accounted for as liabilities on the condensed consolidated balance sheets.</w:t>
      </w:r>
    </w:p>
    <w:p>
      <w:pPr>
        <w:pStyle w:val="TextBody"/>
        <w:spacing w:before="0" w:after="0"/>
        <w:ind w:left="0" w:right="0" w:hanging="0"/>
        <w:jc w:val="both"/>
        <w:rPr>
          <w:caps w:val="false"/>
          <w:smallCaps w:val="false"/>
        </w:rPr>
      </w:pPr>
      <w:r>
        <w:rPr>
          <w:caps w:val="false"/>
          <w:smallCaps w:val="false"/>
        </w:rPr>
        <w:t> </w:t>
      </w:r>
    </w:p>
    <w:p>
      <w:pPr>
        <w:pStyle w:val="TextBody"/>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19</w:t>
      </w:r>
    </w:p>
    <w:p>
      <w:pPr>
        <w:pStyle w:val="TextBody"/>
        <w:spacing w:before="0" w:after="0"/>
        <w:ind w:left="0" w:right="0" w:hanging="0"/>
        <w:rPr/>
      </w:pPr>
      <w:r>
        <w:rPr/>
        <w:t> </w:t>
      </w:r>
    </w:p>
    <w:p>
      <w:pPr>
        <w:pStyle w:val="TextBody"/>
        <w:spacing w:before="0" w:after="0"/>
        <w:ind w:left="0" w:right="0" w:hanging="0"/>
        <w:jc w:val="both"/>
        <w:rPr>
          <w:caps w:val="false"/>
          <w:smallCaps w:val="false"/>
        </w:rPr>
      </w:pPr>
      <w:r>
        <w:rPr>
          <w:caps w:val="false"/>
          <w:smallCaps w:val="false"/>
        </w:rPr>
        <w:t> </w:t>
      </w:r>
    </w:p>
    <w:p>
      <w:pPr>
        <w:pStyle w:val="TextBody"/>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VENTOUX CCM ACQUISITION CORP.</w:t>
      </w:r>
    </w:p>
    <w:p>
      <w:pPr>
        <w:pStyle w:val="TextBody"/>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CONDENSED CONSOLIDATED FINANCIAL STATEMENTS</w:t>
      </w:r>
    </w:p>
    <w:p>
      <w:pPr>
        <w:pStyle w:val="TextBody"/>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MARCH 31, 2022</w:t>
      </w:r>
    </w:p>
    <w:p>
      <w:pPr>
        <w:pStyle w:val="TextBody"/>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9. FAIR VALUE MEASUREMENTS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follows the guidance in ASC 820 for its financial assets and liabilities that are re-measured and reported at fair value at each reporting period, and non-financial assets and liabilities that are re-measured and reported at fair value at least annually.</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classifies its U.S. Treasury and equivalent securities as held-to-maturity in accordance with ASC Topic 320 “Investments — Debt and Equity Securities.” Held-to-maturity securities are those securities which the Company has the ability and intent to hold until maturity. Held-to-maturity treasury securities are recorded at amortized cost on the accompanying condensed consolidated balance sheets and adjusted for the amortization or accretion of premiums or discounts.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presents its investment in money market funds on the condensed consolidated balance sheets at fair value at the end of each reporting period. Gains and losses resulting from the change in fair value of these securities are included in interest income in the accompanying condensed consolidated statements of operations. The estimated fair values of investments held in the Trust Account are determined using available market information.</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March 31, 2022, assets held in the Trust Account were comprised of $176,009,525 in money market funds which are invested primarily in U.S. Treasury Securities. During the three months ended March 31, 2022, the Company did not withdraw any interest income from the Trust Account.</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December 31, 2021, assets held in the Trust Account was comprised of $174,266,206 in money market funds which are invested primarily in U.S. Treasury Securities. During the year ended December 31, 2021, the Company did not withdraw any interest income from the Trust Account.</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presents information about the Company’s assets that are measured at fair value on a recurring basis at March 31, 2022 and December 31, 2021, and indicates the fair value hierarchy of the valuation inputs the Company utilized to determine such fair value.</w:t>
      </w:r>
    </w:p>
    <w:p>
      <w:pPr>
        <w:pStyle w:val="TextBody"/>
        <w:spacing w:before="0" w:after="0"/>
        <w:ind w:left="0" w:right="0" w:hanging="0"/>
        <w:jc w:val="both"/>
        <w:rPr>
          <w:caps w:val="false"/>
          <w:smallCaps w:val="false"/>
        </w:rPr>
      </w:pPr>
      <w:r>
        <w:rPr>
          <w:caps w:val="false"/>
          <w:smallCaps w:val="false"/>
        </w:rPr>
        <w:t> </w:t>
      </w:r>
    </w:p>
    <w:tbl>
      <w:tblPr>
        <w:tblW w:w="10205" w:type="dxa"/>
        <w:jc w:val="left"/>
        <w:tblInd w:w="0" w:type="dxa"/>
        <w:tblCellMar>
          <w:top w:w="0" w:type="dxa"/>
          <w:left w:w="0" w:type="dxa"/>
          <w:bottom w:w="28" w:type="dxa"/>
          <w:right w:w="0" w:type="dxa"/>
        </w:tblCellMar>
      </w:tblPr>
      <w:tblGrid>
        <w:gridCol w:w="6480"/>
        <w:gridCol w:w="60"/>
        <w:gridCol w:w="575"/>
        <w:gridCol w:w="60"/>
        <w:gridCol w:w="60"/>
        <w:gridCol w:w="140"/>
        <w:gridCol w:w="1220"/>
        <w:gridCol w:w="60"/>
        <w:gridCol w:w="60"/>
        <w:gridCol w:w="145"/>
        <w:gridCol w:w="1270"/>
        <w:gridCol w:w="75"/>
      </w:tblGrid>
      <w:tr>
        <w:trPr/>
        <w:tc>
          <w:tcPr>
            <w:tcW w:w="6480" w:type="dxa"/>
            <w:tcBorders>
              <w:bottom w:val="single" w:sz="12" w:space="0" w:color="000000"/>
            </w:tcBorders>
            <w:shd w:fill="auto" w:val="clear"/>
            <w:vAlign w:val="center"/>
          </w:tcPr>
          <w:p>
            <w:pPr>
              <w:pStyle w:val="TableContents"/>
              <w:spacing w:before="0" w:after="283"/>
              <w:jc w:val="left"/>
              <w:rPr>
                <w:b/>
              </w:rPr>
            </w:pPr>
            <w:r>
              <w:rPr>
                <w:b/>
              </w:rPr>
              <w:t>Description</w:t>
            </w:r>
          </w:p>
        </w:tc>
        <w:tc>
          <w:tcPr>
            <w:tcW w:w="60" w:type="dxa"/>
            <w:tcBorders/>
            <w:shd w:fill="auto" w:val="clear"/>
            <w:tcMar>
              <w:bottom w:w="0" w:type="dxa"/>
            </w:tcMar>
            <w:vAlign w:val="center"/>
          </w:tcPr>
          <w:p>
            <w:pPr>
              <w:pStyle w:val="TableContents"/>
              <w:spacing w:before="0" w:after="283"/>
              <w:rPr/>
            </w:pPr>
            <w:r>
              <w:rPr/>
              <w:t> </w:t>
            </w:r>
          </w:p>
        </w:tc>
        <w:tc>
          <w:tcPr>
            <w:tcW w:w="575" w:type="dxa"/>
            <w:tcBorders>
              <w:bottom w:val="single" w:sz="12" w:space="0" w:color="000000"/>
            </w:tcBorders>
            <w:shd w:fill="auto" w:val="clear"/>
            <w:vAlign w:val="center"/>
          </w:tcPr>
          <w:p>
            <w:pPr>
              <w:pStyle w:val="TableContents"/>
              <w:spacing w:before="0" w:after="283"/>
              <w:jc w:val="center"/>
              <w:rPr>
                <w:b/>
              </w:rPr>
            </w:pPr>
            <w:r>
              <w:rPr>
                <w:b/>
              </w:rPr>
              <w:t>Level</w:t>
            </w:r>
          </w:p>
        </w:tc>
        <w:tc>
          <w:tcPr>
            <w:tcW w:w="60"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rPr/>
            </w:pPr>
            <w:r>
              <w:rPr/>
              <w:t> </w:t>
            </w:r>
          </w:p>
        </w:tc>
        <w:tc>
          <w:tcPr>
            <w:tcW w:w="1360" w:type="dxa"/>
            <w:gridSpan w:val="2"/>
            <w:tcBorders>
              <w:bottom w:val="single" w:sz="12" w:space="0" w:color="000000"/>
            </w:tcBorders>
            <w:shd w:fill="auto" w:val="clear"/>
            <w:vAlign w:val="center"/>
          </w:tcPr>
          <w:p>
            <w:pPr>
              <w:pStyle w:val="TableContents"/>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March 31,</w:t>
              <w:br/>
              <w:t>2022</w:t>
            </w:r>
          </w:p>
        </w:tc>
        <w:tc>
          <w:tcPr>
            <w:tcW w:w="60"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rPr/>
            </w:pPr>
            <w:r>
              <w:rPr/>
              <w:t> </w:t>
            </w:r>
          </w:p>
        </w:tc>
        <w:tc>
          <w:tcPr>
            <w:tcW w:w="1415" w:type="dxa"/>
            <w:gridSpan w:val="2"/>
            <w:tcBorders>
              <w:bottom w:val="single" w:sz="12" w:space="0" w:color="000000"/>
            </w:tcBorders>
            <w:shd w:fill="auto" w:val="clear"/>
            <w:vAlign w:val="center"/>
          </w:tcPr>
          <w:p>
            <w:pPr>
              <w:pStyle w:val="TableContents"/>
              <w:spacing w:before="0" w:after="283"/>
              <w:jc w:val="center"/>
              <w:rPr>
                <w:b/>
              </w:rPr>
            </w:pPr>
            <w:r>
              <w:rPr>
                <w:b/>
              </w:rPr>
              <w:t>December 31,</w:t>
              <w:br/>
              <w:t>2021</w:t>
            </w:r>
          </w:p>
        </w:tc>
        <w:tc>
          <w:tcPr>
            <w:tcW w:w="75" w:type="dxa"/>
            <w:tcBorders/>
            <w:shd w:fill="auto" w:val="clear"/>
            <w:tcMar>
              <w:bottom w:w="0" w:type="dxa"/>
            </w:tcMar>
            <w:vAlign w:val="center"/>
          </w:tcPr>
          <w:p>
            <w:pPr>
              <w:pStyle w:val="TableContents"/>
              <w:spacing w:before="0" w:after="283"/>
              <w:ind w:left="0" w:right="0" w:hanging="180"/>
              <w:rPr/>
            </w:pPr>
            <w:r>
              <w:rPr/>
              <w:t> </w:t>
            </w:r>
          </w:p>
        </w:tc>
      </w:tr>
      <w:tr>
        <w:trPr/>
        <w:tc>
          <w:tcPr>
            <w:tcW w:w="6480" w:type="dxa"/>
            <w:tcBorders/>
            <w:shd w:fill="auto" w:val="clear"/>
            <w:tcMar>
              <w:bottom w:w="0" w:type="dxa"/>
            </w:tcMar>
            <w:vAlign w:val="center"/>
          </w:tcPr>
          <w:p>
            <w:pPr>
              <w:pStyle w:val="TableContents"/>
              <w:spacing w:before="0" w:after="283"/>
              <w:jc w:val="left"/>
              <w:rPr/>
            </w:pPr>
            <w:r>
              <w:rPr/>
              <w:t>Assets:</w:t>
            </w:r>
          </w:p>
        </w:tc>
        <w:tc>
          <w:tcPr>
            <w:tcW w:w="60" w:type="dxa"/>
            <w:tcBorders/>
            <w:shd w:fill="auto" w:val="clear"/>
            <w:tcMar>
              <w:bottom w:w="0" w:type="dxa"/>
            </w:tcMar>
            <w:vAlign w:val="center"/>
          </w:tcPr>
          <w:p>
            <w:pPr>
              <w:pStyle w:val="TableContents"/>
              <w:spacing w:before="0" w:after="283"/>
              <w:rPr/>
            </w:pPr>
            <w:r>
              <w:rPr/>
              <w:t> </w:t>
            </w:r>
          </w:p>
        </w:tc>
        <w:tc>
          <w:tcPr>
            <w:tcW w:w="575" w:type="dxa"/>
            <w:tcBorders/>
            <w:shd w:fill="auto" w:val="clear"/>
            <w:tcMar>
              <w:bottom w:w="0" w:type="dxa"/>
            </w:tcMar>
            <w:vAlign w:val="center"/>
          </w:tcPr>
          <w:p>
            <w:pPr>
              <w:pStyle w:val="TableContents"/>
              <w:spacing w:before="0" w:after="283"/>
              <w:jc w:val="center"/>
              <w:rPr/>
            </w:pPr>
            <w:r>
              <w:rPr/>
              <w:t> </w:t>
            </w:r>
          </w:p>
        </w:tc>
        <w:tc>
          <w:tcPr>
            <w:tcW w:w="60" w:type="dxa"/>
            <w:tcBorders/>
            <w:shd w:fill="auto" w:val="clear"/>
            <w:tcMar>
              <w:bottom w:w="0" w:type="dxa"/>
            </w:tcMar>
            <w:vAlign w:val="center"/>
          </w:tcPr>
          <w:p>
            <w:pPr>
              <w:pStyle w:val="TableContents"/>
              <w:spacing w:before="0" w:after="283"/>
              <w:jc w:val="left"/>
              <w:rPr/>
            </w:pPr>
            <w:r>
              <w:rPr/>
              <w:t> </w:t>
            </w:r>
          </w:p>
        </w:tc>
        <w:tc>
          <w:tcPr>
            <w:tcW w:w="60" w:type="dxa"/>
            <w:tcBorders/>
            <w:shd w:fill="auto" w:val="clear"/>
            <w:tcMar>
              <w:bottom w:w="0" w:type="dxa"/>
            </w:tcMar>
            <w:vAlign w:val="center"/>
          </w:tcPr>
          <w:p>
            <w:pPr>
              <w:pStyle w:val="TableContents"/>
              <w:spacing w:before="0" w:after="283"/>
              <w:rPr/>
            </w:pPr>
            <w:r>
              <w:rPr/>
              <w:t> </w:t>
            </w:r>
          </w:p>
        </w:tc>
        <w:tc>
          <w:tcPr>
            <w:tcW w:w="140" w:type="dxa"/>
            <w:tcBorders/>
            <w:shd w:fill="auto" w:val="clear"/>
            <w:tcMar>
              <w:bottom w:w="0" w:type="dxa"/>
            </w:tcMar>
            <w:vAlign w:val="center"/>
          </w:tcPr>
          <w:p>
            <w:pPr>
              <w:pStyle w:val="TableContents"/>
              <w:spacing w:before="0" w:after="283"/>
              <w:jc w:val="left"/>
              <w:rPr/>
            </w:pPr>
            <w:r>
              <w:rPr/>
              <w:t> </w:t>
            </w:r>
          </w:p>
        </w:tc>
        <w:tc>
          <w:tcPr>
            <w:tcW w:w="1220" w:type="dxa"/>
            <w:tcBorders/>
            <w:shd w:fill="auto" w:val="clear"/>
            <w:tcMar>
              <w:bottom w:w="0" w:type="dxa"/>
            </w:tcMar>
            <w:vAlign w:val="center"/>
          </w:tcPr>
          <w:p>
            <w:pPr>
              <w:pStyle w:val="TableContents"/>
              <w:spacing w:before="0" w:after="283"/>
              <w:jc w:val="right"/>
              <w:rPr/>
            </w:pPr>
            <w:r>
              <w:rPr/>
              <w:t> </w:t>
            </w:r>
          </w:p>
        </w:tc>
        <w:tc>
          <w:tcPr>
            <w:tcW w:w="60" w:type="dxa"/>
            <w:tcBorders/>
            <w:shd w:fill="auto" w:val="clear"/>
            <w:tcMar>
              <w:bottom w:w="0" w:type="dxa"/>
            </w:tcMar>
            <w:vAlign w:val="center"/>
          </w:tcPr>
          <w:p>
            <w:pPr>
              <w:pStyle w:val="TableContents"/>
              <w:spacing w:before="0" w:after="283"/>
              <w:jc w:val="left"/>
              <w:rPr/>
            </w:pPr>
            <w:r>
              <w:rPr/>
              <w:t> </w:t>
            </w:r>
          </w:p>
        </w:tc>
        <w:tc>
          <w:tcPr>
            <w:tcW w:w="60" w:type="dxa"/>
            <w:tcBorders/>
            <w:shd w:fill="auto" w:val="clear"/>
            <w:tcMar>
              <w:bottom w:w="0" w:type="dxa"/>
            </w:tcMar>
            <w:vAlign w:val="center"/>
          </w:tcPr>
          <w:p>
            <w:pPr>
              <w:pStyle w:val="TableContents"/>
              <w:spacing w:before="0" w:after="283"/>
              <w:rPr/>
            </w:pPr>
            <w:r>
              <w:rPr/>
              <w:t> </w:t>
            </w:r>
          </w:p>
        </w:tc>
        <w:tc>
          <w:tcPr>
            <w:tcW w:w="145" w:type="dxa"/>
            <w:tcBorders/>
            <w:shd w:fill="auto" w:val="clear"/>
            <w:tcMar>
              <w:bottom w:w="0" w:type="dxa"/>
            </w:tcMar>
            <w:vAlign w:val="center"/>
          </w:tcPr>
          <w:p>
            <w:pPr>
              <w:pStyle w:val="TableContents"/>
              <w:spacing w:before="0" w:after="283"/>
              <w:jc w:val="left"/>
              <w:rPr/>
            </w:pPr>
            <w:r>
              <w:rPr/>
              <w:t> </w:t>
            </w:r>
          </w:p>
        </w:tc>
        <w:tc>
          <w:tcPr>
            <w:tcW w:w="1270" w:type="dxa"/>
            <w:tcBorders/>
            <w:shd w:fill="auto" w:val="clear"/>
            <w:tcMar>
              <w:bottom w:w="0" w:type="dxa"/>
            </w:tcMar>
            <w:vAlign w:val="center"/>
          </w:tcPr>
          <w:p>
            <w:pPr>
              <w:pStyle w:val="TableContents"/>
              <w:spacing w:before="0" w:after="283"/>
              <w:jc w:val="right"/>
              <w:rPr/>
            </w:pPr>
            <w:r>
              <w:rPr/>
              <w:t> </w:t>
            </w:r>
          </w:p>
        </w:tc>
        <w:tc>
          <w:tcPr>
            <w:tcW w:w="75" w:type="dxa"/>
            <w:tcBorders/>
            <w:shd w:fill="auto" w:val="clear"/>
            <w:tcMar>
              <w:bottom w:w="0" w:type="dxa"/>
            </w:tcMar>
            <w:vAlign w:val="center"/>
          </w:tcPr>
          <w:p>
            <w:pPr>
              <w:pStyle w:val="TableContents"/>
              <w:spacing w:before="0" w:after="283"/>
              <w:ind w:left="0" w:right="0" w:hanging="180"/>
              <w:jc w:val="left"/>
              <w:rPr/>
            </w:pPr>
            <w:r>
              <w:rPr/>
              <w:t> </w:t>
            </w:r>
          </w:p>
        </w:tc>
      </w:tr>
      <w:tr>
        <w:trPr/>
        <w:tc>
          <w:tcPr>
            <w:tcW w:w="6480" w:type="dxa"/>
            <w:tcBorders/>
            <w:shd w:fill="CCEEFF" w:val="clear"/>
            <w:tcMar>
              <w:bottom w:w="0" w:type="dxa"/>
            </w:tcMar>
            <w:vAlign w:val="center"/>
          </w:tcPr>
          <w:p>
            <w:pPr>
              <w:pStyle w:val="TableContents"/>
              <w:spacing w:before="0" w:after="283"/>
              <w:jc w:val="left"/>
              <w:rPr/>
            </w:pPr>
            <w:r>
              <w:rPr/>
              <w:t>Investments held in Trust Account – U.S. Treasury Securities Money Market Fund</w:t>
            </w:r>
          </w:p>
        </w:tc>
        <w:tc>
          <w:tcPr>
            <w:tcW w:w="60" w:type="dxa"/>
            <w:tcBorders/>
            <w:shd w:fill="CCEEFF" w:val="clear"/>
            <w:tcMar>
              <w:bottom w:w="0" w:type="dxa"/>
            </w:tcMar>
            <w:vAlign w:val="center"/>
          </w:tcPr>
          <w:p>
            <w:pPr>
              <w:pStyle w:val="TableContents"/>
              <w:spacing w:before="0" w:after="283"/>
              <w:rPr/>
            </w:pPr>
            <w:r>
              <w:rPr/>
              <w:t> </w:t>
            </w:r>
          </w:p>
        </w:tc>
        <w:tc>
          <w:tcPr>
            <w:tcW w:w="575" w:type="dxa"/>
            <w:tcBorders/>
            <w:shd w:fill="CCEEFF" w:val="clear"/>
            <w:tcMar>
              <w:bottom w:w="0" w:type="dxa"/>
            </w:tcMar>
            <w:vAlign w:val="center"/>
          </w:tcPr>
          <w:p>
            <w:pPr>
              <w:pStyle w:val="TableContents"/>
              <w:spacing w:before="0" w:after="283"/>
              <w:jc w:val="center"/>
              <w:rPr/>
            </w:pPr>
            <w:r>
              <w:rPr/>
              <w:t>1</w:t>
            </w:r>
          </w:p>
        </w:tc>
        <w:tc>
          <w:tcPr>
            <w:tcW w:w="60"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pPr>
            <w:r>
              <w:rPr/>
              <w:t> </w:t>
            </w:r>
          </w:p>
        </w:tc>
        <w:tc>
          <w:tcPr>
            <w:tcW w:w="140" w:type="dxa"/>
            <w:tcBorders/>
            <w:shd w:fill="CCEEFF" w:val="clear"/>
            <w:tcMar>
              <w:bottom w:w="0" w:type="dxa"/>
            </w:tcMar>
            <w:vAlign w:val="center"/>
          </w:tcPr>
          <w:p>
            <w:pPr>
              <w:pStyle w:val="TableContents"/>
              <w:spacing w:before="0" w:after="283"/>
              <w:jc w:val="left"/>
              <w:rPr/>
            </w:pPr>
            <w:r>
              <w:rPr/>
              <w:t>$</w:t>
            </w:r>
          </w:p>
        </w:tc>
        <w:tc>
          <w:tcPr>
            <w:tcW w:w="1220" w:type="dxa"/>
            <w:tcBorders/>
            <w:shd w:fill="CCEEFF" w:val="clear"/>
            <w:tcMar>
              <w:bottom w:w="0" w:type="dxa"/>
            </w:tcMar>
            <w:vAlign w:val="center"/>
          </w:tcPr>
          <w:p>
            <w:pPr>
              <w:pStyle w:val="TableContents"/>
              <w:spacing w:before="0" w:after="283"/>
              <w:jc w:val="right"/>
              <w:rPr/>
            </w:pPr>
            <w:r>
              <w:rPr/>
              <w:t>176,009,525</w:t>
            </w:r>
          </w:p>
        </w:tc>
        <w:tc>
          <w:tcPr>
            <w:tcW w:w="60"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pPr>
            <w:r>
              <w:rPr/>
              <w:t> </w:t>
            </w:r>
          </w:p>
        </w:tc>
        <w:tc>
          <w:tcPr>
            <w:tcW w:w="145" w:type="dxa"/>
            <w:tcBorders/>
            <w:shd w:fill="CCEEFF" w:val="clear"/>
            <w:tcMar>
              <w:bottom w:w="0" w:type="dxa"/>
            </w:tcMar>
            <w:vAlign w:val="center"/>
          </w:tcPr>
          <w:p>
            <w:pPr>
              <w:pStyle w:val="TableContents"/>
              <w:spacing w:before="0" w:after="283"/>
              <w:jc w:val="left"/>
              <w:rPr/>
            </w:pPr>
            <w:r>
              <w:rPr/>
              <w:t>$</w:t>
            </w:r>
          </w:p>
        </w:tc>
        <w:tc>
          <w:tcPr>
            <w:tcW w:w="1270" w:type="dxa"/>
            <w:tcBorders/>
            <w:shd w:fill="CCEEFF" w:val="clear"/>
            <w:tcMar>
              <w:bottom w:w="0" w:type="dxa"/>
            </w:tcMar>
            <w:vAlign w:val="center"/>
          </w:tcPr>
          <w:p>
            <w:pPr>
              <w:pStyle w:val="TableContents"/>
              <w:spacing w:before="0" w:after="283"/>
              <w:jc w:val="right"/>
              <w:rPr/>
            </w:pPr>
            <w:r>
              <w:rPr/>
              <w:t>174,266,206</w:t>
            </w:r>
          </w:p>
        </w:tc>
        <w:tc>
          <w:tcPr>
            <w:tcW w:w="75" w:type="dxa"/>
            <w:tcBorders/>
            <w:shd w:fill="CCEEFF" w:val="clear"/>
            <w:tcMar>
              <w:bottom w:w="0" w:type="dxa"/>
            </w:tcMar>
            <w:vAlign w:val="center"/>
          </w:tcPr>
          <w:p>
            <w:pPr>
              <w:pStyle w:val="TableContents"/>
              <w:spacing w:before="0" w:after="283"/>
              <w:jc w:val="left"/>
              <w:rPr/>
            </w:pPr>
            <w:r>
              <w:rPr/>
              <w:t> </w:t>
            </w:r>
          </w:p>
        </w:tc>
      </w:tr>
    </w:tbl>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presents information about the Company’s liabilities that are measured at fair value on a recurring basis at March 31, 2022 and December 31, 2021, and indicates the fair value hierarchy of the valuation inputs the Company utilized to determine such fair value:</w:t>
      </w:r>
    </w:p>
    <w:p>
      <w:pPr>
        <w:pStyle w:val="TextBody"/>
        <w:spacing w:before="0" w:after="0"/>
        <w:ind w:left="0" w:right="0" w:hanging="0"/>
        <w:jc w:val="both"/>
        <w:rPr>
          <w:caps w:val="false"/>
          <w:smallCaps w:val="false"/>
        </w:rPr>
      </w:pPr>
      <w:r>
        <w:rPr>
          <w:caps w:val="false"/>
          <w:smallCaps w:val="false"/>
        </w:rPr>
        <w:t> </w:t>
      </w:r>
    </w:p>
    <w:tbl>
      <w:tblPr>
        <w:tblW w:w="7090" w:type="dxa"/>
        <w:jc w:val="left"/>
        <w:tblInd w:w="0" w:type="dxa"/>
        <w:tblCellMar>
          <w:top w:w="0" w:type="dxa"/>
          <w:left w:w="0" w:type="dxa"/>
          <w:bottom w:w="28" w:type="dxa"/>
          <w:right w:w="0" w:type="dxa"/>
        </w:tblCellMar>
      </w:tblPr>
      <w:tblGrid>
        <w:gridCol w:w="3605"/>
        <w:gridCol w:w="60"/>
        <w:gridCol w:w="575"/>
        <w:gridCol w:w="60"/>
        <w:gridCol w:w="60"/>
        <w:gridCol w:w="140"/>
        <w:gridCol w:w="980"/>
        <w:gridCol w:w="60"/>
        <w:gridCol w:w="60"/>
        <w:gridCol w:w="176"/>
        <w:gridCol w:w="1239"/>
        <w:gridCol w:w="75"/>
      </w:tblGrid>
      <w:tr>
        <w:trPr/>
        <w:tc>
          <w:tcPr>
            <w:tcW w:w="3605" w:type="dxa"/>
            <w:tcBorders>
              <w:bottom w:val="single" w:sz="12" w:space="0" w:color="000000"/>
            </w:tcBorders>
            <w:shd w:fill="auto" w:val="clear"/>
            <w:vAlign w:val="center"/>
          </w:tcPr>
          <w:p>
            <w:pPr>
              <w:pStyle w:val="TableContents"/>
              <w:spacing w:before="0" w:after="283"/>
              <w:jc w:val="left"/>
              <w:rPr>
                <w:b/>
              </w:rPr>
            </w:pPr>
            <w:r>
              <w:rPr>
                <w:b/>
              </w:rPr>
              <w:t>Description</w:t>
            </w:r>
          </w:p>
        </w:tc>
        <w:tc>
          <w:tcPr>
            <w:tcW w:w="60" w:type="dxa"/>
            <w:tcBorders/>
            <w:shd w:fill="auto" w:val="clear"/>
            <w:tcMar>
              <w:bottom w:w="0" w:type="dxa"/>
            </w:tcMar>
            <w:vAlign w:val="center"/>
          </w:tcPr>
          <w:p>
            <w:pPr>
              <w:pStyle w:val="TableContents"/>
              <w:spacing w:before="0" w:after="283"/>
              <w:rPr/>
            </w:pPr>
            <w:r>
              <w:rPr/>
              <w:t> </w:t>
            </w:r>
          </w:p>
        </w:tc>
        <w:tc>
          <w:tcPr>
            <w:tcW w:w="575" w:type="dxa"/>
            <w:tcBorders>
              <w:bottom w:val="single" w:sz="12" w:space="0" w:color="000000"/>
            </w:tcBorders>
            <w:shd w:fill="auto" w:val="clear"/>
            <w:vAlign w:val="center"/>
          </w:tcPr>
          <w:p>
            <w:pPr>
              <w:pStyle w:val="TableContents"/>
              <w:spacing w:before="0" w:after="283"/>
              <w:jc w:val="center"/>
              <w:rPr>
                <w:b/>
              </w:rPr>
            </w:pPr>
            <w:r>
              <w:rPr>
                <w:b/>
              </w:rPr>
              <w:t>Level</w:t>
            </w:r>
          </w:p>
        </w:tc>
        <w:tc>
          <w:tcPr>
            <w:tcW w:w="60"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rPr/>
            </w:pPr>
            <w:r>
              <w:rPr/>
              <w:t> </w:t>
            </w:r>
          </w:p>
        </w:tc>
        <w:tc>
          <w:tcPr>
            <w:tcW w:w="1120" w:type="dxa"/>
            <w:gridSpan w:val="2"/>
            <w:tcBorders>
              <w:bottom w:val="single" w:sz="12" w:space="0" w:color="000000"/>
            </w:tcBorders>
            <w:shd w:fill="auto" w:val="clear"/>
            <w:vAlign w:val="center"/>
          </w:tcPr>
          <w:p>
            <w:pPr>
              <w:pStyle w:val="TableContents"/>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March 31,</w:t>
              <w:br/>
              <w:t>2022</w:t>
            </w:r>
          </w:p>
        </w:tc>
        <w:tc>
          <w:tcPr>
            <w:tcW w:w="60"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rPr/>
            </w:pPr>
            <w:r>
              <w:rPr/>
              <w:t> </w:t>
            </w:r>
          </w:p>
        </w:tc>
        <w:tc>
          <w:tcPr>
            <w:tcW w:w="1415" w:type="dxa"/>
            <w:gridSpan w:val="2"/>
            <w:tcBorders>
              <w:bottom w:val="single" w:sz="12" w:space="0" w:color="000000"/>
            </w:tcBorders>
            <w:shd w:fill="auto" w:val="clear"/>
            <w:vAlign w:val="center"/>
          </w:tcPr>
          <w:p>
            <w:pPr>
              <w:pStyle w:val="TableContents"/>
              <w:spacing w:before="0" w:after="283"/>
              <w:jc w:val="center"/>
              <w:rPr>
                <w:b/>
              </w:rPr>
            </w:pPr>
            <w:r>
              <w:rPr>
                <w:b/>
              </w:rPr>
              <w:t>December 31,</w:t>
              <w:br/>
              <w:t>2021</w:t>
            </w:r>
          </w:p>
        </w:tc>
        <w:tc>
          <w:tcPr>
            <w:tcW w:w="75" w:type="dxa"/>
            <w:tcBorders/>
            <w:shd w:fill="auto" w:val="clear"/>
            <w:tcMar>
              <w:bottom w:w="0" w:type="dxa"/>
            </w:tcMar>
            <w:vAlign w:val="center"/>
          </w:tcPr>
          <w:p>
            <w:pPr>
              <w:pStyle w:val="TableContents"/>
              <w:spacing w:before="0" w:after="283"/>
              <w:ind w:left="0" w:right="0" w:hanging="180"/>
              <w:rPr/>
            </w:pPr>
            <w:r>
              <w:rPr/>
              <w:t> </w:t>
            </w:r>
          </w:p>
        </w:tc>
      </w:tr>
      <w:tr>
        <w:trPr/>
        <w:tc>
          <w:tcPr>
            <w:tcW w:w="3605" w:type="dxa"/>
            <w:tcBorders/>
            <w:shd w:fill="auto" w:val="clear"/>
            <w:tcMar>
              <w:bottom w:w="0" w:type="dxa"/>
            </w:tcMar>
            <w:vAlign w:val="center"/>
          </w:tcPr>
          <w:p>
            <w:pPr>
              <w:pStyle w:val="TableContents"/>
              <w:spacing w:before="0" w:after="283"/>
              <w:jc w:val="left"/>
              <w:rPr/>
            </w:pPr>
            <w:r>
              <w:rPr/>
              <w:t>Liabilities:</w:t>
            </w:r>
          </w:p>
        </w:tc>
        <w:tc>
          <w:tcPr>
            <w:tcW w:w="60" w:type="dxa"/>
            <w:tcBorders/>
            <w:shd w:fill="auto" w:val="clear"/>
            <w:tcMar>
              <w:bottom w:w="0" w:type="dxa"/>
            </w:tcMar>
            <w:vAlign w:val="center"/>
          </w:tcPr>
          <w:p>
            <w:pPr>
              <w:pStyle w:val="TableContents"/>
              <w:spacing w:before="0" w:after="283"/>
              <w:rPr/>
            </w:pPr>
            <w:r>
              <w:rPr/>
              <w:t> </w:t>
            </w:r>
          </w:p>
        </w:tc>
        <w:tc>
          <w:tcPr>
            <w:tcW w:w="575" w:type="dxa"/>
            <w:tcBorders/>
            <w:shd w:fill="auto" w:val="clear"/>
            <w:tcMar>
              <w:bottom w:w="0" w:type="dxa"/>
            </w:tcMar>
            <w:vAlign w:val="center"/>
          </w:tcPr>
          <w:p>
            <w:pPr>
              <w:pStyle w:val="TableContents"/>
              <w:spacing w:before="0" w:after="283"/>
              <w:jc w:val="center"/>
              <w:rPr/>
            </w:pPr>
            <w:r>
              <w:rPr/>
              <w:t> </w:t>
            </w:r>
          </w:p>
        </w:tc>
        <w:tc>
          <w:tcPr>
            <w:tcW w:w="60" w:type="dxa"/>
            <w:tcBorders/>
            <w:shd w:fill="auto" w:val="clear"/>
            <w:tcMar>
              <w:bottom w:w="0" w:type="dxa"/>
            </w:tcMar>
            <w:vAlign w:val="center"/>
          </w:tcPr>
          <w:p>
            <w:pPr>
              <w:pStyle w:val="TableContents"/>
              <w:spacing w:before="0" w:after="283"/>
              <w:jc w:val="left"/>
              <w:rPr/>
            </w:pPr>
            <w:r>
              <w:rPr/>
              <w:t> </w:t>
            </w:r>
          </w:p>
        </w:tc>
        <w:tc>
          <w:tcPr>
            <w:tcW w:w="60" w:type="dxa"/>
            <w:tcBorders/>
            <w:shd w:fill="auto" w:val="clear"/>
            <w:tcMar>
              <w:bottom w:w="0" w:type="dxa"/>
            </w:tcMar>
            <w:vAlign w:val="center"/>
          </w:tcPr>
          <w:p>
            <w:pPr>
              <w:pStyle w:val="TableContents"/>
              <w:spacing w:before="0" w:after="283"/>
              <w:rPr/>
            </w:pPr>
            <w:r>
              <w:rPr/>
              <w:t> </w:t>
            </w:r>
          </w:p>
        </w:tc>
        <w:tc>
          <w:tcPr>
            <w:tcW w:w="140" w:type="dxa"/>
            <w:tcBorders/>
            <w:shd w:fill="auto" w:val="clear"/>
            <w:tcMar>
              <w:bottom w:w="0" w:type="dxa"/>
            </w:tcMar>
            <w:vAlign w:val="center"/>
          </w:tcPr>
          <w:p>
            <w:pPr>
              <w:pStyle w:val="TableContents"/>
              <w:spacing w:before="0" w:after="283"/>
              <w:jc w:val="left"/>
              <w:rPr/>
            </w:pPr>
            <w:r>
              <w:rPr/>
              <w:t> </w:t>
            </w:r>
          </w:p>
        </w:tc>
        <w:tc>
          <w:tcPr>
            <w:tcW w:w="980" w:type="dxa"/>
            <w:tcBorders/>
            <w:shd w:fill="auto" w:val="clear"/>
            <w:tcMar>
              <w:bottom w:w="0" w:type="dxa"/>
            </w:tcMar>
            <w:vAlign w:val="center"/>
          </w:tcPr>
          <w:p>
            <w:pPr>
              <w:pStyle w:val="TableContents"/>
              <w:spacing w:before="0" w:after="283"/>
              <w:jc w:val="right"/>
              <w:rPr/>
            </w:pPr>
            <w:r>
              <w:rPr/>
              <w:t> </w:t>
            </w:r>
          </w:p>
        </w:tc>
        <w:tc>
          <w:tcPr>
            <w:tcW w:w="60" w:type="dxa"/>
            <w:tcBorders/>
            <w:shd w:fill="auto" w:val="clear"/>
            <w:tcMar>
              <w:bottom w:w="0" w:type="dxa"/>
            </w:tcMar>
            <w:vAlign w:val="center"/>
          </w:tcPr>
          <w:p>
            <w:pPr>
              <w:pStyle w:val="TableContents"/>
              <w:spacing w:before="0" w:after="283"/>
              <w:jc w:val="left"/>
              <w:rPr/>
            </w:pPr>
            <w:r>
              <w:rPr/>
              <w:t> </w:t>
            </w:r>
          </w:p>
        </w:tc>
        <w:tc>
          <w:tcPr>
            <w:tcW w:w="60" w:type="dxa"/>
            <w:tcBorders/>
            <w:shd w:fill="auto" w:val="clear"/>
            <w:tcMar>
              <w:bottom w:w="0" w:type="dxa"/>
            </w:tcMar>
            <w:vAlign w:val="center"/>
          </w:tcPr>
          <w:p>
            <w:pPr>
              <w:pStyle w:val="TableContents"/>
              <w:spacing w:before="0" w:after="283"/>
              <w:rPr/>
            </w:pPr>
            <w:r>
              <w:rPr/>
              <w:t> </w:t>
            </w:r>
          </w:p>
        </w:tc>
        <w:tc>
          <w:tcPr>
            <w:tcW w:w="176" w:type="dxa"/>
            <w:tcBorders/>
            <w:shd w:fill="auto" w:val="clear"/>
            <w:tcMar>
              <w:bottom w:w="0" w:type="dxa"/>
            </w:tcMar>
            <w:vAlign w:val="center"/>
          </w:tcPr>
          <w:p>
            <w:pPr>
              <w:pStyle w:val="TableContents"/>
              <w:spacing w:before="0" w:after="283"/>
              <w:jc w:val="left"/>
              <w:rPr/>
            </w:pPr>
            <w:r>
              <w:rPr/>
              <w:t> </w:t>
            </w:r>
          </w:p>
        </w:tc>
        <w:tc>
          <w:tcPr>
            <w:tcW w:w="1239" w:type="dxa"/>
            <w:tcBorders/>
            <w:shd w:fill="auto" w:val="clear"/>
            <w:tcMar>
              <w:bottom w:w="0" w:type="dxa"/>
            </w:tcMar>
            <w:vAlign w:val="center"/>
          </w:tcPr>
          <w:p>
            <w:pPr>
              <w:pStyle w:val="TableContents"/>
              <w:spacing w:before="0" w:after="283"/>
              <w:jc w:val="right"/>
              <w:rPr/>
            </w:pPr>
            <w:r>
              <w:rPr/>
              <w:t> </w:t>
            </w:r>
          </w:p>
        </w:tc>
        <w:tc>
          <w:tcPr>
            <w:tcW w:w="75" w:type="dxa"/>
            <w:tcBorders/>
            <w:shd w:fill="auto" w:val="clear"/>
            <w:tcMar>
              <w:bottom w:w="0" w:type="dxa"/>
            </w:tcMar>
            <w:vAlign w:val="center"/>
          </w:tcPr>
          <w:p>
            <w:pPr>
              <w:pStyle w:val="TableContents"/>
              <w:spacing w:before="0" w:after="283"/>
              <w:ind w:left="0" w:right="0" w:hanging="180"/>
              <w:jc w:val="left"/>
              <w:rPr/>
            </w:pPr>
            <w:r>
              <w:rPr/>
              <w:t> </w:t>
            </w:r>
          </w:p>
        </w:tc>
      </w:tr>
      <w:tr>
        <w:trPr/>
        <w:tc>
          <w:tcPr>
            <w:tcW w:w="3605" w:type="dxa"/>
            <w:tcBorders/>
            <w:shd w:fill="CCEEFF" w:val="clear"/>
            <w:tcMar>
              <w:bottom w:w="0" w:type="dxa"/>
            </w:tcMar>
            <w:vAlign w:val="center"/>
          </w:tcPr>
          <w:p>
            <w:pPr>
              <w:pStyle w:val="TableContents"/>
              <w:spacing w:before="0" w:after="283"/>
              <w:jc w:val="left"/>
              <w:rPr/>
            </w:pPr>
            <w:r>
              <w:rPr/>
              <w:t>Warrant Liabilities – Private Warrants</w:t>
            </w:r>
          </w:p>
        </w:tc>
        <w:tc>
          <w:tcPr>
            <w:tcW w:w="60" w:type="dxa"/>
            <w:tcBorders/>
            <w:shd w:fill="CCEEFF" w:val="clear"/>
            <w:tcMar>
              <w:bottom w:w="0" w:type="dxa"/>
            </w:tcMar>
            <w:vAlign w:val="center"/>
          </w:tcPr>
          <w:p>
            <w:pPr>
              <w:pStyle w:val="TableContents"/>
              <w:spacing w:before="0" w:after="283"/>
              <w:rPr/>
            </w:pPr>
            <w:r>
              <w:rPr/>
              <w:t> </w:t>
            </w:r>
          </w:p>
        </w:tc>
        <w:tc>
          <w:tcPr>
            <w:tcW w:w="575" w:type="dxa"/>
            <w:tcBorders/>
            <w:shd w:fill="CCEEFF" w:val="clear"/>
            <w:tcMar>
              <w:bottom w:w="0" w:type="dxa"/>
            </w:tcMar>
            <w:vAlign w:val="center"/>
          </w:tcPr>
          <w:p>
            <w:pPr>
              <w:pStyle w:val="TableContents"/>
              <w:spacing w:before="0" w:after="283"/>
              <w:jc w:val="center"/>
              <w:rPr/>
            </w:pPr>
            <w:r>
              <w:rPr/>
              <w:t>3</w:t>
            </w:r>
          </w:p>
        </w:tc>
        <w:tc>
          <w:tcPr>
            <w:tcW w:w="60"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pPr>
            <w:r>
              <w:rPr/>
              <w:t> </w:t>
            </w:r>
          </w:p>
        </w:tc>
        <w:tc>
          <w:tcPr>
            <w:tcW w:w="140" w:type="dxa"/>
            <w:tcBorders/>
            <w:shd w:fill="CCEEFF" w:val="clear"/>
            <w:tcMar>
              <w:bottom w:w="0" w:type="dxa"/>
            </w:tcMar>
            <w:vAlign w:val="center"/>
          </w:tcPr>
          <w:p>
            <w:pPr>
              <w:pStyle w:val="TableContents"/>
              <w:spacing w:before="0" w:after="283"/>
              <w:jc w:val="left"/>
              <w:rPr/>
            </w:pPr>
            <w:r>
              <w:rPr/>
              <w:t>$</w:t>
            </w:r>
          </w:p>
        </w:tc>
        <w:tc>
          <w:tcPr>
            <w:tcW w:w="980" w:type="dxa"/>
            <w:tcBorders/>
            <w:shd w:fill="CCEEFF" w:val="clear"/>
            <w:tcMar>
              <w:bottom w:w="0" w:type="dxa"/>
            </w:tcMar>
            <w:vAlign w:val="center"/>
          </w:tcPr>
          <w:p>
            <w:pPr>
              <w:pStyle w:val="TableContents"/>
              <w:spacing w:before="0" w:after="283"/>
              <w:jc w:val="right"/>
              <w:rPr/>
            </w:pPr>
            <w:r>
              <w:rPr/>
              <w:t>1,535,250</w:t>
            </w:r>
          </w:p>
        </w:tc>
        <w:tc>
          <w:tcPr>
            <w:tcW w:w="60"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pPr>
            <w:r>
              <w:rPr/>
              <w:t> </w:t>
            </w:r>
          </w:p>
        </w:tc>
        <w:tc>
          <w:tcPr>
            <w:tcW w:w="176" w:type="dxa"/>
            <w:tcBorders/>
            <w:shd w:fill="CCEEFF" w:val="clear"/>
            <w:tcMar>
              <w:bottom w:w="0" w:type="dxa"/>
            </w:tcMar>
            <w:vAlign w:val="center"/>
          </w:tcPr>
          <w:p>
            <w:pPr>
              <w:pStyle w:val="TableContents"/>
              <w:spacing w:before="0" w:after="283"/>
              <w:jc w:val="left"/>
              <w:rPr/>
            </w:pPr>
            <w:r>
              <w:rPr/>
              <w:t>$</w:t>
            </w:r>
          </w:p>
        </w:tc>
        <w:tc>
          <w:tcPr>
            <w:tcW w:w="1239" w:type="dxa"/>
            <w:tcBorders/>
            <w:shd w:fill="CCEEFF" w:val="clear"/>
            <w:tcMar>
              <w:bottom w:w="0" w:type="dxa"/>
            </w:tcMar>
            <w:vAlign w:val="center"/>
          </w:tcPr>
          <w:p>
            <w:pPr>
              <w:pStyle w:val="TableContents"/>
              <w:spacing w:before="0" w:after="283"/>
              <w:jc w:val="right"/>
              <w:rPr/>
            </w:pPr>
            <w:r>
              <w:rPr/>
              <w:t>3,204,000</w:t>
            </w:r>
          </w:p>
        </w:tc>
        <w:tc>
          <w:tcPr>
            <w:tcW w:w="75" w:type="dxa"/>
            <w:tcBorders/>
            <w:shd w:fill="CCEEFF" w:val="clear"/>
            <w:tcMar>
              <w:bottom w:w="0" w:type="dxa"/>
            </w:tcMar>
            <w:vAlign w:val="center"/>
          </w:tcPr>
          <w:p>
            <w:pPr>
              <w:pStyle w:val="TableContents"/>
              <w:spacing w:before="0" w:after="283"/>
              <w:jc w:val="left"/>
              <w:rPr/>
            </w:pPr>
            <w:r>
              <w:rPr/>
              <w:t> </w:t>
            </w:r>
          </w:p>
        </w:tc>
      </w:tr>
    </w:tbl>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Private Warrants were accounted for as liabilities in accordance with ASC 815-40 and are presented within warrant liabilities on the condensed consolidated balance sheets. The warrant liabilities are measured at fair value at inception and on a recurring basis, with changes in fair value presented in the condensed consolidated statements of operations.</w:t>
      </w:r>
    </w:p>
    <w:p>
      <w:pPr>
        <w:pStyle w:val="TextBody"/>
        <w:spacing w:before="0" w:after="0"/>
        <w:ind w:left="0" w:right="0" w:hanging="0"/>
        <w:jc w:val="both"/>
        <w:rPr>
          <w:caps w:val="false"/>
          <w:smallCaps w:val="false"/>
        </w:rPr>
      </w:pPr>
      <w:r>
        <w:rPr>
          <w:caps w:val="false"/>
          <w:smallCaps w:val="false"/>
        </w:rPr>
        <w:t> </w:t>
      </w:r>
    </w:p>
    <w:p>
      <w:pPr>
        <w:pStyle w:val="TextBody"/>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20</w:t>
      </w:r>
    </w:p>
    <w:p>
      <w:pPr>
        <w:pStyle w:val="TextBody"/>
        <w:spacing w:before="0" w:after="0"/>
        <w:ind w:left="0" w:right="0" w:hanging="0"/>
        <w:rPr/>
      </w:pPr>
      <w:r>
        <w:rPr/>
        <w:t> </w:t>
      </w:r>
    </w:p>
    <w:p>
      <w:pPr>
        <w:pStyle w:val="TextBody"/>
        <w:spacing w:before="0" w:after="0"/>
        <w:ind w:left="0" w:right="0" w:hanging="0"/>
        <w:jc w:val="both"/>
        <w:rPr>
          <w:caps w:val="false"/>
          <w:smallCaps w:val="false"/>
        </w:rPr>
      </w:pPr>
      <w:r>
        <w:rPr>
          <w:caps w:val="false"/>
          <w:smallCaps w:val="false"/>
        </w:rPr>
        <w:t> </w:t>
      </w:r>
    </w:p>
    <w:p>
      <w:pPr>
        <w:pStyle w:val="TextBody"/>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VENTOUX CCM ACQUISITION CORP.</w:t>
      </w:r>
    </w:p>
    <w:p>
      <w:pPr>
        <w:pStyle w:val="TextBody"/>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CONDENSED CONSOLIDATED FINANCIAL STATEMENTS</w:t>
      </w:r>
    </w:p>
    <w:p>
      <w:pPr>
        <w:pStyle w:val="TextBody"/>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MARCH 31, 2022</w:t>
      </w:r>
    </w:p>
    <w:p>
      <w:pPr>
        <w:pStyle w:val="TextBody"/>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Private Warrants were valued using a Modified Black-Scholes model, which is considered to be a Level 3 fair value measurement. The Modified Black-Scholes model’s primary unobservable input utilized in determining the fair value of the Private Warrants is the expected volatility of the common stock. The expected volatility was initially derived from observable public warrant pricing on comparable ‘blank-check’ companies without an identified target. The expected volatility as of subsequent valuation dates was implied from the Company’s own Public Warrant pricing. Inherent in a Black-Scholes model are assumptions related to expected stock-price volatility, expected life, risk-free interest rate and dividend yield. However, inherent uncertainties are involved. If factors or assumptions change, the estimated fair values could be materially different. The risk-free interest rate is based on the U.S. Treasury zero-coupon yield curve on the grant date for a maturity similar to the expected remaining life of the warrants. The expected life of the warrants is assumed to be equivalent to their remaining contractual term. The dividend rate is based on the historical rate, which the Company anticipates remaining at zero.</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presents the quantitative information regarding Level 3 fair value measurements of the warrant liabilities:</w:t>
      </w:r>
    </w:p>
    <w:p>
      <w:pPr>
        <w:pStyle w:val="TextBody"/>
        <w:spacing w:before="0" w:after="0"/>
        <w:ind w:left="0" w:right="0" w:hanging="0"/>
        <w:jc w:val="both"/>
        <w:rPr>
          <w:caps w:val="false"/>
          <w:smallCaps w:val="false"/>
        </w:rPr>
      </w:pPr>
      <w:r>
        <w:rPr>
          <w:caps w:val="false"/>
          <w:smallCaps w:val="false"/>
        </w:rPr>
        <w:t> </w:t>
      </w:r>
    </w:p>
    <w:tbl>
      <w:tblPr>
        <w:tblW w:w="4495" w:type="dxa"/>
        <w:jc w:val="left"/>
        <w:tblInd w:w="0" w:type="dxa"/>
        <w:tblCellMar>
          <w:top w:w="0" w:type="dxa"/>
          <w:left w:w="0" w:type="dxa"/>
          <w:bottom w:w="0" w:type="dxa"/>
          <w:right w:w="0" w:type="dxa"/>
        </w:tblCellMar>
      </w:tblPr>
      <w:tblGrid>
        <w:gridCol w:w="1445"/>
        <w:gridCol w:w="60"/>
        <w:gridCol w:w="214"/>
        <w:gridCol w:w="856"/>
        <w:gridCol w:w="215"/>
        <w:gridCol w:w="60"/>
        <w:gridCol w:w="283"/>
        <w:gridCol w:w="1132"/>
        <w:gridCol w:w="230"/>
      </w:tblGrid>
      <w:tr>
        <w:trPr/>
        <w:tc>
          <w:tcPr>
            <w:tcW w:w="1445" w:type="dxa"/>
            <w:tcBorders/>
            <w:shd w:fill="auto" w:val="clear"/>
            <w:vAlign w:val="center"/>
          </w:tcPr>
          <w:p>
            <w:pPr>
              <w:pStyle w:val="TableContents"/>
              <w:spacing w:before="0" w:after="283"/>
              <w:ind w:left="0" w:right="0" w:hanging="180"/>
              <w:jc w:val="left"/>
              <w:rPr/>
            </w:pPr>
            <w:r>
              <w:rPr/>
              <w:t> </w:t>
            </w:r>
          </w:p>
        </w:tc>
        <w:tc>
          <w:tcPr>
            <w:tcW w:w="60" w:type="dxa"/>
            <w:tcBorders/>
            <w:shd w:fill="auto" w:val="clear"/>
            <w:vAlign w:val="center"/>
          </w:tcPr>
          <w:p>
            <w:pPr>
              <w:pStyle w:val="TableContents"/>
              <w:spacing w:before="0" w:after="283"/>
              <w:rPr/>
            </w:pPr>
            <w:r>
              <w:rPr/>
              <w:t> </w:t>
            </w:r>
          </w:p>
        </w:tc>
        <w:tc>
          <w:tcPr>
            <w:tcW w:w="1070" w:type="dxa"/>
            <w:gridSpan w:val="2"/>
            <w:tcBorders>
              <w:bottom w:val="single" w:sz="12" w:space="0" w:color="000000"/>
            </w:tcBorders>
            <w:shd w:fill="auto" w:val="clear"/>
            <w:tcMar>
              <w:bottom w:w="28" w:type="dxa"/>
            </w:tcMar>
            <w:vAlign w:val="center"/>
          </w:tcPr>
          <w:p>
            <w:pPr>
              <w:pStyle w:val="TableContents"/>
              <w:spacing w:before="0" w:after="283"/>
              <w:jc w:val="center"/>
              <w:rPr>
                <w:b/>
              </w:rPr>
            </w:pPr>
            <w:r>
              <w:rPr>
                <w:b/>
              </w:rPr>
              <w:t>March 31,</w:t>
              <w:br/>
              <w:t>2022</w:t>
            </w:r>
          </w:p>
        </w:tc>
        <w:tc>
          <w:tcPr>
            <w:tcW w:w="21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15" w:type="dxa"/>
            <w:gridSpan w:val="2"/>
            <w:tcBorders>
              <w:bottom w:val="single" w:sz="12" w:space="0" w:color="000000"/>
            </w:tcBorders>
            <w:shd w:fill="auto" w:val="clear"/>
            <w:tcMar>
              <w:bottom w:w="28" w:type="dxa"/>
            </w:tcMar>
            <w:vAlign w:val="center"/>
          </w:tcPr>
          <w:p>
            <w:pPr>
              <w:pStyle w:val="TableContents"/>
              <w:spacing w:before="0" w:after="283"/>
              <w:jc w:val="center"/>
              <w:rPr>
                <w:b/>
              </w:rPr>
            </w:pPr>
            <w:r>
              <w:rPr>
                <w:b/>
              </w:rPr>
              <w:t>December 31,</w:t>
              <w:br/>
              <w:t>2021</w:t>
            </w:r>
          </w:p>
        </w:tc>
        <w:tc>
          <w:tcPr>
            <w:tcW w:w="230" w:type="dxa"/>
            <w:tcBorders/>
            <w:shd w:fill="auto" w:val="clear"/>
            <w:vAlign w:val="center"/>
          </w:tcPr>
          <w:p>
            <w:pPr>
              <w:pStyle w:val="TableContents"/>
              <w:spacing w:before="0" w:after="283"/>
              <w:ind w:left="0" w:right="0" w:hanging="180"/>
              <w:rPr/>
            </w:pPr>
            <w:r>
              <w:rPr/>
              <w:t> </w:t>
            </w:r>
          </w:p>
        </w:tc>
      </w:tr>
      <w:tr>
        <w:trPr/>
        <w:tc>
          <w:tcPr>
            <w:tcW w:w="1445" w:type="dxa"/>
            <w:tcBorders/>
            <w:shd w:fill="CCEEFF" w:val="clear"/>
            <w:vAlign w:val="center"/>
          </w:tcPr>
          <w:p>
            <w:pPr>
              <w:pStyle w:val="TableContents"/>
              <w:spacing w:before="0" w:after="283"/>
              <w:jc w:val="left"/>
              <w:rPr/>
            </w:pPr>
            <w:r>
              <w:rPr/>
              <w:t>Exercise price</w:t>
            </w:r>
          </w:p>
        </w:tc>
        <w:tc>
          <w:tcPr>
            <w:tcW w:w="60" w:type="dxa"/>
            <w:tcBorders/>
            <w:shd w:fill="CCEEFF" w:val="clear"/>
            <w:vAlign w:val="center"/>
          </w:tcPr>
          <w:p>
            <w:pPr>
              <w:pStyle w:val="TableContents"/>
              <w:spacing w:before="0" w:after="283"/>
              <w:rPr/>
            </w:pPr>
            <w:r>
              <w:rPr/>
              <w:t> </w:t>
            </w:r>
          </w:p>
        </w:tc>
        <w:tc>
          <w:tcPr>
            <w:tcW w:w="214" w:type="dxa"/>
            <w:tcBorders/>
            <w:shd w:fill="CCEEFF" w:val="clear"/>
            <w:vAlign w:val="center"/>
          </w:tcPr>
          <w:p>
            <w:pPr>
              <w:pStyle w:val="TableContents"/>
              <w:spacing w:before="0" w:after="283"/>
              <w:jc w:val="left"/>
              <w:rPr/>
            </w:pPr>
            <w:r>
              <w:rPr/>
              <w:t>$</w:t>
            </w:r>
          </w:p>
        </w:tc>
        <w:tc>
          <w:tcPr>
            <w:tcW w:w="856" w:type="dxa"/>
            <w:tcBorders/>
            <w:shd w:fill="CCEEFF" w:val="clear"/>
            <w:vAlign w:val="center"/>
          </w:tcPr>
          <w:p>
            <w:pPr>
              <w:pStyle w:val="TableContents"/>
              <w:spacing w:before="0" w:after="283"/>
              <w:jc w:val="right"/>
              <w:rPr/>
            </w:pPr>
            <w:r>
              <w:rPr/>
              <w:t>11.50</w:t>
            </w:r>
          </w:p>
        </w:tc>
        <w:tc>
          <w:tcPr>
            <w:tcW w:w="21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283" w:type="dxa"/>
            <w:tcBorders/>
            <w:shd w:fill="CCEEFF" w:val="clear"/>
            <w:vAlign w:val="center"/>
          </w:tcPr>
          <w:p>
            <w:pPr>
              <w:pStyle w:val="TableContents"/>
              <w:spacing w:before="0" w:after="283"/>
              <w:jc w:val="left"/>
              <w:rPr/>
            </w:pPr>
            <w:r>
              <w:rPr/>
              <w:t>$</w:t>
            </w:r>
          </w:p>
        </w:tc>
        <w:tc>
          <w:tcPr>
            <w:tcW w:w="1132" w:type="dxa"/>
            <w:tcBorders/>
            <w:shd w:fill="CCEEFF" w:val="clear"/>
            <w:vAlign w:val="center"/>
          </w:tcPr>
          <w:p>
            <w:pPr>
              <w:pStyle w:val="TableContents"/>
              <w:spacing w:before="0" w:after="283"/>
              <w:jc w:val="right"/>
              <w:rPr/>
            </w:pPr>
            <w:r>
              <w:rPr/>
              <w:t>11.50</w:t>
            </w:r>
          </w:p>
        </w:tc>
        <w:tc>
          <w:tcPr>
            <w:tcW w:w="230" w:type="dxa"/>
            <w:tcBorders/>
            <w:shd w:fill="CCEEFF" w:val="clear"/>
            <w:vAlign w:val="center"/>
          </w:tcPr>
          <w:p>
            <w:pPr>
              <w:pStyle w:val="TableContents"/>
              <w:spacing w:before="0" w:after="283"/>
              <w:ind w:left="0" w:right="0" w:hanging="180"/>
              <w:jc w:val="left"/>
              <w:rPr/>
            </w:pPr>
            <w:r>
              <w:rPr/>
              <w:t> </w:t>
            </w:r>
          </w:p>
        </w:tc>
      </w:tr>
      <w:tr>
        <w:trPr/>
        <w:tc>
          <w:tcPr>
            <w:tcW w:w="1445" w:type="dxa"/>
            <w:tcBorders/>
            <w:shd w:fill="auto" w:val="clear"/>
            <w:vAlign w:val="center"/>
          </w:tcPr>
          <w:p>
            <w:pPr>
              <w:pStyle w:val="TableContents"/>
              <w:spacing w:before="0" w:after="283"/>
              <w:jc w:val="left"/>
              <w:rPr/>
            </w:pPr>
            <w:r>
              <w:rPr/>
              <w:t>Stock price</w:t>
            </w:r>
          </w:p>
        </w:tc>
        <w:tc>
          <w:tcPr>
            <w:tcW w:w="60" w:type="dxa"/>
            <w:tcBorders/>
            <w:shd w:fill="auto" w:val="clear"/>
            <w:vAlign w:val="center"/>
          </w:tcPr>
          <w:p>
            <w:pPr>
              <w:pStyle w:val="TableContents"/>
              <w:spacing w:before="0" w:after="283"/>
              <w:rPr/>
            </w:pPr>
            <w:r>
              <w:rPr/>
              <w:t> </w:t>
            </w:r>
          </w:p>
        </w:tc>
        <w:tc>
          <w:tcPr>
            <w:tcW w:w="214" w:type="dxa"/>
            <w:tcBorders/>
            <w:shd w:fill="auto" w:val="clear"/>
            <w:vAlign w:val="center"/>
          </w:tcPr>
          <w:p>
            <w:pPr>
              <w:pStyle w:val="TableContents"/>
              <w:spacing w:before="0" w:after="283"/>
              <w:jc w:val="left"/>
              <w:rPr/>
            </w:pPr>
            <w:r>
              <w:rPr/>
              <w:t>$</w:t>
            </w:r>
          </w:p>
        </w:tc>
        <w:tc>
          <w:tcPr>
            <w:tcW w:w="856" w:type="dxa"/>
            <w:tcBorders/>
            <w:shd w:fill="auto" w:val="clear"/>
            <w:vAlign w:val="center"/>
          </w:tcPr>
          <w:p>
            <w:pPr>
              <w:pStyle w:val="TableContents"/>
              <w:spacing w:before="0" w:after="283"/>
              <w:jc w:val="right"/>
              <w:rPr/>
            </w:pPr>
            <w:r>
              <w:rPr/>
              <w:t>10.11</w:t>
            </w:r>
          </w:p>
        </w:tc>
        <w:tc>
          <w:tcPr>
            <w:tcW w:w="215"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283" w:type="dxa"/>
            <w:tcBorders/>
            <w:shd w:fill="auto" w:val="clear"/>
            <w:vAlign w:val="center"/>
          </w:tcPr>
          <w:p>
            <w:pPr>
              <w:pStyle w:val="TableContents"/>
              <w:spacing w:before="0" w:after="283"/>
              <w:jc w:val="left"/>
              <w:rPr/>
            </w:pPr>
            <w:r>
              <w:rPr/>
              <w:t>$</w:t>
            </w:r>
          </w:p>
        </w:tc>
        <w:tc>
          <w:tcPr>
            <w:tcW w:w="1132" w:type="dxa"/>
            <w:tcBorders/>
            <w:shd w:fill="auto" w:val="clear"/>
            <w:vAlign w:val="center"/>
          </w:tcPr>
          <w:p>
            <w:pPr>
              <w:pStyle w:val="TableContents"/>
              <w:spacing w:before="0" w:after="283"/>
              <w:jc w:val="right"/>
              <w:rPr/>
            </w:pPr>
            <w:r>
              <w:rPr/>
              <w:t>10.01</w:t>
            </w:r>
          </w:p>
        </w:tc>
        <w:tc>
          <w:tcPr>
            <w:tcW w:w="230" w:type="dxa"/>
            <w:tcBorders/>
            <w:shd w:fill="auto" w:val="clear"/>
            <w:vAlign w:val="center"/>
          </w:tcPr>
          <w:p>
            <w:pPr>
              <w:pStyle w:val="TableContents"/>
              <w:spacing w:before="0" w:after="283"/>
              <w:ind w:left="0" w:right="0" w:hanging="180"/>
              <w:jc w:val="left"/>
              <w:rPr/>
            </w:pPr>
            <w:r>
              <w:rPr/>
              <w:t> </w:t>
            </w:r>
          </w:p>
        </w:tc>
      </w:tr>
      <w:tr>
        <w:trPr/>
        <w:tc>
          <w:tcPr>
            <w:tcW w:w="1445" w:type="dxa"/>
            <w:tcBorders/>
            <w:shd w:fill="CCEEFF" w:val="clear"/>
            <w:vAlign w:val="center"/>
          </w:tcPr>
          <w:p>
            <w:pPr>
              <w:pStyle w:val="TableContents"/>
              <w:spacing w:before="0" w:after="283"/>
              <w:jc w:val="left"/>
              <w:rPr/>
            </w:pPr>
            <w:r>
              <w:rPr/>
              <w:t>Volatility</w:t>
            </w:r>
          </w:p>
        </w:tc>
        <w:tc>
          <w:tcPr>
            <w:tcW w:w="60" w:type="dxa"/>
            <w:tcBorders/>
            <w:shd w:fill="CCEEFF" w:val="clear"/>
            <w:vAlign w:val="center"/>
          </w:tcPr>
          <w:p>
            <w:pPr>
              <w:pStyle w:val="TableContents"/>
              <w:spacing w:before="0" w:after="283"/>
              <w:rPr/>
            </w:pPr>
            <w:r>
              <w:rPr/>
              <w:t> </w:t>
            </w:r>
          </w:p>
        </w:tc>
        <w:tc>
          <w:tcPr>
            <w:tcW w:w="214" w:type="dxa"/>
            <w:tcBorders/>
            <w:shd w:fill="CCEEFF" w:val="clear"/>
            <w:vAlign w:val="center"/>
          </w:tcPr>
          <w:p>
            <w:pPr>
              <w:pStyle w:val="TableContents"/>
              <w:spacing w:before="0" w:after="283"/>
              <w:jc w:val="left"/>
              <w:rPr/>
            </w:pPr>
            <w:r>
              <w:rPr/>
              <w:t> </w:t>
            </w:r>
          </w:p>
        </w:tc>
        <w:tc>
          <w:tcPr>
            <w:tcW w:w="856" w:type="dxa"/>
            <w:tcBorders/>
            <w:shd w:fill="CCEEFF" w:val="clear"/>
            <w:vAlign w:val="center"/>
          </w:tcPr>
          <w:p>
            <w:pPr>
              <w:pStyle w:val="TableContents"/>
              <w:spacing w:before="0" w:after="283"/>
              <w:jc w:val="right"/>
              <w:rPr/>
            </w:pPr>
            <w:r>
              <w:rPr/>
              <w:t>3.0</w:t>
            </w:r>
          </w:p>
        </w:tc>
        <w:tc>
          <w:tcPr>
            <w:tcW w:w="215" w:type="dxa"/>
            <w:tcBorders/>
            <w:shd w:fill="CCEEFF" w:val="clear"/>
            <w:vAlign w:val="center"/>
          </w:tcPr>
          <w:p>
            <w:pPr>
              <w:pStyle w:val="TableContents"/>
              <w:spacing w:before="0" w:after="283"/>
              <w:jc w:val="left"/>
              <w:rPr/>
            </w:pPr>
            <w:r>
              <w:rPr/>
              <w:t>%</w:t>
            </w:r>
          </w:p>
        </w:tc>
        <w:tc>
          <w:tcPr>
            <w:tcW w:w="60" w:type="dxa"/>
            <w:tcBorders/>
            <w:shd w:fill="CCEEFF" w:val="clear"/>
            <w:vAlign w:val="center"/>
          </w:tcPr>
          <w:p>
            <w:pPr>
              <w:pStyle w:val="TableContents"/>
              <w:spacing w:before="0" w:after="283"/>
              <w:rPr/>
            </w:pPr>
            <w:r>
              <w:rPr/>
              <w:t> </w:t>
            </w:r>
          </w:p>
        </w:tc>
        <w:tc>
          <w:tcPr>
            <w:tcW w:w="283" w:type="dxa"/>
            <w:tcBorders/>
            <w:shd w:fill="CCEEFF" w:val="clear"/>
            <w:vAlign w:val="center"/>
          </w:tcPr>
          <w:p>
            <w:pPr>
              <w:pStyle w:val="TableContents"/>
              <w:spacing w:before="0" w:after="283"/>
              <w:jc w:val="left"/>
              <w:rPr/>
            </w:pPr>
            <w:r>
              <w:rPr/>
              <w:t> </w:t>
            </w:r>
          </w:p>
        </w:tc>
        <w:tc>
          <w:tcPr>
            <w:tcW w:w="1132" w:type="dxa"/>
            <w:tcBorders/>
            <w:shd w:fill="CCEEFF" w:val="clear"/>
            <w:vAlign w:val="center"/>
          </w:tcPr>
          <w:p>
            <w:pPr>
              <w:pStyle w:val="TableContents"/>
              <w:spacing w:before="0" w:after="283"/>
              <w:jc w:val="right"/>
              <w:rPr/>
            </w:pPr>
            <w:r>
              <w:rPr/>
              <w:t>8.75</w:t>
            </w:r>
          </w:p>
        </w:tc>
        <w:tc>
          <w:tcPr>
            <w:tcW w:w="230" w:type="dxa"/>
            <w:tcBorders/>
            <w:shd w:fill="CCEEFF" w:val="clear"/>
            <w:vAlign w:val="center"/>
          </w:tcPr>
          <w:p>
            <w:pPr>
              <w:pStyle w:val="TableContents"/>
              <w:spacing w:before="0" w:after="283"/>
              <w:ind w:left="0" w:right="0" w:hanging="180"/>
              <w:jc w:val="left"/>
              <w:rPr/>
            </w:pPr>
            <w:r>
              <w:rPr/>
              <w:t>%</w:t>
            </w:r>
          </w:p>
        </w:tc>
      </w:tr>
      <w:tr>
        <w:trPr/>
        <w:tc>
          <w:tcPr>
            <w:tcW w:w="1445" w:type="dxa"/>
            <w:tcBorders/>
            <w:shd w:fill="auto" w:val="clear"/>
            <w:vAlign w:val="center"/>
          </w:tcPr>
          <w:p>
            <w:pPr>
              <w:pStyle w:val="TableContents"/>
              <w:spacing w:before="0" w:after="283"/>
              <w:jc w:val="left"/>
              <w:rPr/>
            </w:pPr>
            <w:r>
              <w:rPr/>
              <w:t>Term</w:t>
            </w:r>
          </w:p>
        </w:tc>
        <w:tc>
          <w:tcPr>
            <w:tcW w:w="60" w:type="dxa"/>
            <w:tcBorders/>
            <w:shd w:fill="auto" w:val="clear"/>
            <w:vAlign w:val="center"/>
          </w:tcPr>
          <w:p>
            <w:pPr>
              <w:pStyle w:val="TableContents"/>
              <w:spacing w:before="0" w:after="283"/>
              <w:rPr/>
            </w:pPr>
            <w:r>
              <w:rPr/>
              <w:t> </w:t>
            </w:r>
          </w:p>
        </w:tc>
        <w:tc>
          <w:tcPr>
            <w:tcW w:w="214" w:type="dxa"/>
            <w:tcBorders/>
            <w:shd w:fill="auto" w:val="clear"/>
            <w:vAlign w:val="center"/>
          </w:tcPr>
          <w:p>
            <w:pPr>
              <w:pStyle w:val="TableContents"/>
              <w:spacing w:before="0" w:after="283"/>
              <w:jc w:val="left"/>
              <w:rPr/>
            </w:pPr>
            <w:r>
              <w:rPr/>
              <w:t> </w:t>
            </w:r>
          </w:p>
        </w:tc>
        <w:tc>
          <w:tcPr>
            <w:tcW w:w="856" w:type="dxa"/>
            <w:tcBorders/>
            <w:shd w:fill="auto" w:val="clear"/>
            <w:vAlign w:val="center"/>
          </w:tcPr>
          <w:p>
            <w:pPr>
              <w:pStyle w:val="TableContents"/>
              <w:spacing w:before="0" w:after="283"/>
              <w:jc w:val="right"/>
              <w:rPr/>
            </w:pPr>
            <w:r>
              <w:rPr/>
              <w:t>5.00</w:t>
            </w:r>
          </w:p>
        </w:tc>
        <w:tc>
          <w:tcPr>
            <w:tcW w:w="215"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283" w:type="dxa"/>
            <w:tcBorders/>
            <w:shd w:fill="auto" w:val="clear"/>
            <w:vAlign w:val="center"/>
          </w:tcPr>
          <w:p>
            <w:pPr>
              <w:pStyle w:val="TableContents"/>
              <w:spacing w:before="0" w:after="283"/>
              <w:jc w:val="left"/>
              <w:rPr/>
            </w:pPr>
            <w:r>
              <w:rPr/>
              <w:t> </w:t>
            </w:r>
          </w:p>
        </w:tc>
        <w:tc>
          <w:tcPr>
            <w:tcW w:w="1132" w:type="dxa"/>
            <w:tcBorders/>
            <w:shd w:fill="auto" w:val="clear"/>
            <w:vAlign w:val="center"/>
          </w:tcPr>
          <w:p>
            <w:pPr>
              <w:pStyle w:val="TableContents"/>
              <w:spacing w:before="0" w:after="283"/>
              <w:jc w:val="right"/>
              <w:rPr/>
            </w:pPr>
            <w:r>
              <w:rPr/>
              <w:t>5.00</w:t>
            </w:r>
          </w:p>
        </w:tc>
        <w:tc>
          <w:tcPr>
            <w:tcW w:w="230" w:type="dxa"/>
            <w:tcBorders/>
            <w:shd w:fill="auto" w:val="clear"/>
            <w:vAlign w:val="center"/>
          </w:tcPr>
          <w:p>
            <w:pPr>
              <w:pStyle w:val="TableContents"/>
              <w:spacing w:before="0" w:after="283"/>
              <w:ind w:left="0" w:right="0" w:hanging="180"/>
              <w:jc w:val="left"/>
              <w:rPr/>
            </w:pPr>
            <w:r>
              <w:rPr/>
              <w:t> </w:t>
            </w:r>
          </w:p>
        </w:tc>
      </w:tr>
      <w:tr>
        <w:trPr/>
        <w:tc>
          <w:tcPr>
            <w:tcW w:w="1445" w:type="dxa"/>
            <w:tcBorders/>
            <w:shd w:fill="CCEEFF" w:val="clear"/>
            <w:vAlign w:val="center"/>
          </w:tcPr>
          <w:p>
            <w:pPr>
              <w:pStyle w:val="TableContents"/>
              <w:spacing w:before="0" w:after="283"/>
              <w:jc w:val="left"/>
              <w:rPr/>
            </w:pPr>
            <w:r>
              <w:rPr/>
              <w:t>Risk-free rate</w:t>
            </w:r>
          </w:p>
        </w:tc>
        <w:tc>
          <w:tcPr>
            <w:tcW w:w="60" w:type="dxa"/>
            <w:tcBorders/>
            <w:shd w:fill="CCEEFF" w:val="clear"/>
            <w:vAlign w:val="center"/>
          </w:tcPr>
          <w:p>
            <w:pPr>
              <w:pStyle w:val="TableContents"/>
              <w:spacing w:before="0" w:after="283"/>
              <w:rPr/>
            </w:pPr>
            <w:r>
              <w:rPr/>
              <w:t> </w:t>
            </w:r>
          </w:p>
        </w:tc>
        <w:tc>
          <w:tcPr>
            <w:tcW w:w="214" w:type="dxa"/>
            <w:tcBorders/>
            <w:shd w:fill="CCEEFF" w:val="clear"/>
            <w:vAlign w:val="center"/>
          </w:tcPr>
          <w:p>
            <w:pPr>
              <w:pStyle w:val="TableContents"/>
              <w:spacing w:before="0" w:after="283"/>
              <w:jc w:val="left"/>
              <w:rPr/>
            </w:pPr>
            <w:r>
              <w:rPr/>
              <w:t> </w:t>
            </w:r>
          </w:p>
        </w:tc>
        <w:tc>
          <w:tcPr>
            <w:tcW w:w="856" w:type="dxa"/>
            <w:tcBorders/>
            <w:shd w:fill="CCEEFF" w:val="clear"/>
            <w:vAlign w:val="center"/>
          </w:tcPr>
          <w:p>
            <w:pPr>
              <w:pStyle w:val="TableContents"/>
              <w:spacing w:before="0" w:after="283"/>
              <w:jc w:val="right"/>
              <w:rPr/>
            </w:pPr>
            <w:r>
              <w:rPr/>
              <w:t>2.42</w:t>
            </w:r>
          </w:p>
        </w:tc>
        <w:tc>
          <w:tcPr>
            <w:tcW w:w="215" w:type="dxa"/>
            <w:tcBorders/>
            <w:shd w:fill="CCEEFF" w:val="clear"/>
            <w:vAlign w:val="center"/>
          </w:tcPr>
          <w:p>
            <w:pPr>
              <w:pStyle w:val="TableContents"/>
              <w:spacing w:before="0" w:after="283"/>
              <w:jc w:val="left"/>
              <w:rPr/>
            </w:pPr>
            <w:r>
              <w:rPr/>
              <w:t>%</w:t>
            </w:r>
          </w:p>
        </w:tc>
        <w:tc>
          <w:tcPr>
            <w:tcW w:w="60" w:type="dxa"/>
            <w:tcBorders/>
            <w:shd w:fill="CCEEFF" w:val="clear"/>
            <w:vAlign w:val="center"/>
          </w:tcPr>
          <w:p>
            <w:pPr>
              <w:pStyle w:val="TableContents"/>
              <w:spacing w:before="0" w:after="283"/>
              <w:rPr/>
            </w:pPr>
            <w:r>
              <w:rPr/>
              <w:t> </w:t>
            </w:r>
          </w:p>
        </w:tc>
        <w:tc>
          <w:tcPr>
            <w:tcW w:w="283" w:type="dxa"/>
            <w:tcBorders/>
            <w:shd w:fill="CCEEFF" w:val="clear"/>
            <w:vAlign w:val="center"/>
          </w:tcPr>
          <w:p>
            <w:pPr>
              <w:pStyle w:val="TableContents"/>
              <w:spacing w:before="0" w:after="283"/>
              <w:jc w:val="left"/>
              <w:rPr/>
            </w:pPr>
            <w:r>
              <w:rPr/>
              <w:t> </w:t>
            </w:r>
          </w:p>
        </w:tc>
        <w:tc>
          <w:tcPr>
            <w:tcW w:w="1132" w:type="dxa"/>
            <w:tcBorders/>
            <w:shd w:fill="CCEEFF" w:val="clear"/>
            <w:vAlign w:val="center"/>
          </w:tcPr>
          <w:p>
            <w:pPr>
              <w:pStyle w:val="TableContents"/>
              <w:spacing w:before="0" w:after="283"/>
              <w:jc w:val="right"/>
              <w:rPr/>
            </w:pPr>
            <w:r>
              <w:rPr/>
              <w:t>1.26</w:t>
            </w:r>
          </w:p>
        </w:tc>
        <w:tc>
          <w:tcPr>
            <w:tcW w:w="230" w:type="dxa"/>
            <w:tcBorders/>
            <w:shd w:fill="CCEEFF" w:val="clear"/>
            <w:vAlign w:val="center"/>
          </w:tcPr>
          <w:p>
            <w:pPr>
              <w:pStyle w:val="TableContents"/>
              <w:spacing w:before="0" w:after="283"/>
              <w:ind w:left="0" w:right="0" w:hanging="180"/>
              <w:jc w:val="left"/>
              <w:rPr/>
            </w:pPr>
            <w:r>
              <w:rPr/>
              <w:t>%</w:t>
            </w:r>
          </w:p>
        </w:tc>
      </w:tr>
      <w:tr>
        <w:trPr/>
        <w:tc>
          <w:tcPr>
            <w:tcW w:w="1445" w:type="dxa"/>
            <w:tcBorders/>
            <w:shd w:fill="auto" w:val="clear"/>
            <w:vAlign w:val="center"/>
          </w:tcPr>
          <w:p>
            <w:pPr>
              <w:pStyle w:val="TableContents"/>
              <w:spacing w:before="0" w:after="283"/>
              <w:jc w:val="left"/>
              <w:rPr/>
            </w:pPr>
            <w:r>
              <w:rPr/>
              <w:t>Dividend yield</w:t>
            </w:r>
          </w:p>
        </w:tc>
        <w:tc>
          <w:tcPr>
            <w:tcW w:w="60" w:type="dxa"/>
            <w:tcBorders/>
            <w:shd w:fill="auto" w:val="clear"/>
            <w:vAlign w:val="center"/>
          </w:tcPr>
          <w:p>
            <w:pPr>
              <w:pStyle w:val="TableContents"/>
              <w:spacing w:before="0" w:after="283"/>
              <w:rPr/>
            </w:pPr>
            <w:r>
              <w:rPr/>
              <w:t> </w:t>
            </w:r>
          </w:p>
        </w:tc>
        <w:tc>
          <w:tcPr>
            <w:tcW w:w="214" w:type="dxa"/>
            <w:tcBorders/>
            <w:shd w:fill="auto" w:val="clear"/>
            <w:vAlign w:val="center"/>
          </w:tcPr>
          <w:p>
            <w:pPr>
              <w:pStyle w:val="TableContents"/>
              <w:spacing w:before="0" w:after="283"/>
              <w:jc w:val="left"/>
              <w:rPr/>
            </w:pPr>
            <w:r>
              <w:rPr/>
              <w:t> </w:t>
            </w:r>
          </w:p>
        </w:tc>
        <w:tc>
          <w:tcPr>
            <w:tcW w:w="856" w:type="dxa"/>
            <w:tcBorders/>
            <w:shd w:fill="auto" w:val="clear"/>
            <w:vAlign w:val="center"/>
          </w:tcPr>
          <w:p>
            <w:pPr>
              <w:pStyle w:val="TableContents"/>
              <w:spacing w:before="0" w:after="283"/>
              <w:jc w:val="right"/>
              <w:rPr/>
            </w:pPr>
            <w:r>
              <w:rPr/>
              <w:t>0.0</w:t>
            </w:r>
          </w:p>
        </w:tc>
        <w:tc>
          <w:tcPr>
            <w:tcW w:w="215"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283" w:type="dxa"/>
            <w:tcBorders/>
            <w:shd w:fill="auto" w:val="clear"/>
            <w:vAlign w:val="center"/>
          </w:tcPr>
          <w:p>
            <w:pPr>
              <w:pStyle w:val="TableContents"/>
              <w:spacing w:before="0" w:after="283"/>
              <w:jc w:val="left"/>
              <w:rPr/>
            </w:pPr>
            <w:r>
              <w:rPr/>
              <w:t> </w:t>
            </w:r>
          </w:p>
        </w:tc>
        <w:tc>
          <w:tcPr>
            <w:tcW w:w="1132" w:type="dxa"/>
            <w:tcBorders/>
            <w:shd w:fill="auto" w:val="clear"/>
            <w:vAlign w:val="center"/>
          </w:tcPr>
          <w:p>
            <w:pPr>
              <w:pStyle w:val="TableContents"/>
              <w:spacing w:before="0" w:after="283"/>
              <w:jc w:val="right"/>
              <w:rPr/>
            </w:pPr>
            <w:r>
              <w:rPr/>
              <w:t>0.0</w:t>
            </w:r>
          </w:p>
        </w:tc>
        <w:tc>
          <w:tcPr>
            <w:tcW w:w="230" w:type="dxa"/>
            <w:tcBorders/>
            <w:shd w:fill="auto" w:val="clear"/>
            <w:vAlign w:val="center"/>
          </w:tcPr>
          <w:p>
            <w:pPr>
              <w:pStyle w:val="TableContents"/>
              <w:spacing w:before="0" w:after="283"/>
              <w:jc w:val="left"/>
              <w:rPr/>
            </w:pPr>
            <w:r>
              <w:rPr/>
              <w:t>%</w:t>
            </w:r>
          </w:p>
        </w:tc>
      </w:tr>
    </w:tbl>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presents the changes in the fair value of level 3 warrant liabilities for the three months ended March 31, 2022:</w:t>
      </w:r>
    </w:p>
    <w:p>
      <w:pPr>
        <w:pStyle w:val="TextBody"/>
        <w:spacing w:before="0" w:after="0"/>
        <w:ind w:left="0" w:right="0" w:hanging="0"/>
        <w:jc w:val="both"/>
        <w:rPr>
          <w:caps w:val="false"/>
          <w:smallCaps w:val="false"/>
        </w:rPr>
      </w:pPr>
      <w:r>
        <w:rPr>
          <w:caps w:val="false"/>
          <w:smallCaps w:val="false"/>
        </w:rPr>
        <w:t> </w:t>
      </w:r>
    </w:p>
    <w:tbl>
      <w:tblPr>
        <w:tblW w:w="4430" w:type="dxa"/>
        <w:jc w:val="left"/>
        <w:tblInd w:w="0" w:type="dxa"/>
        <w:tblCellMar>
          <w:top w:w="0" w:type="dxa"/>
          <w:left w:w="0" w:type="dxa"/>
          <w:bottom w:w="0" w:type="dxa"/>
          <w:right w:w="0" w:type="dxa"/>
        </w:tblCellMar>
      </w:tblPr>
      <w:tblGrid>
        <w:gridCol w:w="3065"/>
        <w:gridCol w:w="60"/>
        <w:gridCol w:w="140"/>
        <w:gridCol w:w="1055"/>
        <w:gridCol w:w="110"/>
      </w:tblGrid>
      <w:tr>
        <w:trPr/>
        <w:tc>
          <w:tcPr>
            <w:tcW w:w="3065" w:type="dxa"/>
            <w:tcBorders/>
            <w:shd w:fill="CCEEFF" w:val="clear"/>
            <w:vAlign w:val="center"/>
          </w:tcPr>
          <w:p>
            <w:pPr>
              <w:pStyle w:val="TableContents"/>
              <w:spacing w:before="0" w:after="283"/>
              <w:ind w:left="0" w:right="0" w:hanging="180"/>
              <w:jc w:val="left"/>
              <w:rPr/>
            </w:pPr>
            <w:r>
              <w:rPr/>
              <w:t>Fair value as of January 1, 2022</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w:t>
            </w:r>
          </w:p>
        </w:tc>
        <w:tc>
          <w:tcPr>
            <w:tcW w:w="1055" w:type="dxa"/>
            <w:tcBorders/>
            <w:shd w:fill="CCEEFF" w:val="clear"/>
            <w:vAlign w:val="center"/>
          </w:tcPr>
          <w:p>
            <w:pPr>
              <w:pStyle w:val="TableContents"/>
              <w:spacing w:before="0" w:after="283"/>
              <w:jc w:val="right"/>
              <w:rPr/>
            </w:pPr>
            <w:r>
              <w:rPr/>
              <w:t>3,204,000</w:t>
            </w:r>
          </w:p>
        </w:tc>
        <w:tc>
          <w:tcPr>
            <w:tcW w:w="110" w:type="dxa"/>
            <w:tcBorders/>
            <w:shd w:fill="CCEEFF" w:val="clear"/>
            <w:vAlign w:val="center"/>
          </w:tcPr>
          <w:p>
            <w:pPr>
              <w:pStyle w:val="TableContents"/>
              <w:spacing w:before="0" w:after="283"/>
              <w:ind w:left="0" w:right="0" w:hanging="180"/>
              <w:jc w:val="left"/>
              <w:rPr/>
            </w:pPr>
            <w:r>
              <w:rPr/>
              <w:t> </w:t>
            </w:r>
          </w:p>
        </w:tc>
      </w:tr>
      <w:tr>
        <w:trPr/>
        <w:tc>
          <w:tcPr>
            <w:tcW w:w="3065" w:type="dxa"/>
            <w:tcBorders/>
            <w:shd w:fill="auto" w:val="clear"/>
            <w:vAlign w:val="center"/>
          </w:tcPr>
          <w:p>
            <w:pPr>
              <w:pStyle w:val="TableContents"/>
              <w:spacing w:before="0" w:after="283"/>
              <w:jc w:val="left"/>
              <w:rPr/>
            </w:pPr>
            <w:r>
              <w:rPr/>
              <w:t>Change in fair value</w:t>
            </w:r>
          </w:p>
        </w:tc>
        <w:tc>
          <w:tcPr>
            <w:tcW w:w="60" w:type="dxa"/>
            <w:tcBorders/>
            <w:shd w:fill="auto" w:val="clear"/>
            <w:vAlign w:val="center"/>
          </w:tcPr>
          <w:p>
            <w:pPr>
              <w:pStyle w:val="TableContents"/>
              <w:spacing w:before="0" w:after="283"/>
              <w:rPr/>
            </w:pPr>
            <w:r>
              <w:rPr/>
              <w:t> </w:t>
            </w:r>
          </w:p>
        </w:tc>
        <w:tc>
          <w:tcPr>
            <w:tcW w:w="140" w:type="dxa"/>
            <w:tcBorders>
              <w:bottom w:val="single" w:sz="12" w:space="0" w:color="000000"/>
            </w:tcBorders>
            <w:shd w:fill="auto" w:val="clear"/>
            <w:tcMar>
              <w:bottom w:w="28" w:type="dxa"/>
            </w:tcMar>
            <w:vAlign w:val="center"/>
          </w:tcPr>
          <w:p>
            <w:pPr>
              <w:pStyle w:val="TableContents"/>
              <w:spacing w:before="0" w:after="283"/>
              <w:jc w:val="left"/>
              <w:rPr/>
            </w:pPr>
            <w:r>
              <w:rPr/>
              <w:t> </w:t>
            </w:r>
          </w:p>
        </w:tc>
        <w:tc>
          <w:tcPr>
            <w:tcW w:w="1055" w:type="dxa"/>
            <w:tcBorders>
              <w:bottom w:val="single" w:sz="12" w:space="0" w:color="000000"/>
            </w:tcBorders>
            <w:shd w:fill="auto" w:val="clear"/>
            <w:tcMar>
              <w:bottom w:w="28" w:type="dxa"/>
            </w:tcMar>
            <w:vAlign w:val="center"/>
          </w:tcPr>
          <w:p>
            <w:pPr>
              <w:pStyle w:val="TableContents"/>
              <w:spacing w:before="0" w:after="283"/>
              <w:jc w:val="right"/>
              <w:rPr/>
            </w:pPr>
            <w:r>
              <w:rPr/>
              <w:t>(1,668,750</w:t>
            </w:r>
          </w:p>
        </w:tc>
        <w:tc>
          <w:tcPr>
            <w:tcW w:w="110" w:type="dxa"/>
            <w:tcBorders/>
            <w:shd w:fill="auto" w:val="clear"/>
            <w:vAlign w:val="center"/>
          </w:tcPr>
          <w:p>
            <w:pPr>
              <w:pStyle w:val="TableContents"/>
              <w:spacing w:before="0" w:after="283"/>
              <w:ind w:left="0" w:right="0" w:hanging="180"/>
              <w:jc w:val="left"/>
              <w:rPr/>
            </w:pPr>
            <w:r>
              <w:rPr/>
              <w:t>)</w:t>
            </w:r>
          </w:p>
        </w:tc>
      </w:tr>
      <w:tr>
        <w:trPr/>
        <w:tc>
          <w:tcPr>
            <w:tcW w:w="3065" w:type="dxa"/>
            <w:tcBorders/>
            <w:shd w:fill="CCEEFF" w:val="clear"/>
            <w:vAlign w:val="center"/>
          </w:tcPr>
          <w:p>
            <w:pPr>
              <w:pStyle w:val="TableContents"/>
              <w:spacing w:before="0" w:after="283"/>
              <w:jc w:val="left"/>
              <w:rPr/>
            </w:pPr>
            <w:r>
              <w:rPr/>
              <w:t>Fair value as of March 31, 2022</w:t>
            </w:r>
          </w:p>
        </w:tc>
        <w:tc>
          <w:tcPr>
            <w:tcW w:w="60" w:type="dxa"/>
            <w:tcBorders/>
            <w:shd w:fill="CCEEFF" w:val="clear"/>
            <w:vAlign w:val="center"/>
          </w:tcPr>
          <w:p>
            <w:pPr>
              <w:pStyle w:val="TableContents"/>
              <w:spacing w:before="0" w:after="283"/>
              <w:rPr/>
            </w:pPr>
            <w:r>
              <w:rPr/>
              <w:t> </w:t>
            </w:r>
          </w:p>
        </w:tc>
        <w:tc>
          <w:tcPr>
            <w:tcW w:w="140" w:type="dxa"/>
            <w:tcBorders>
              <w:bottom w:val="double" w:sz="10" w:space="0" w:color="000000"/>
            </w:tcBorders>
            <w:shd w:fill="CCEEFF" w:val="clear"/>
            <w:tcMar>
              <w:bottom w:w="28" w:type="dxa"/>
            </w:tcMar>
            <w:vAlign w:val="center"/>
          </w:tcPr>
          <w:p>
            <w:pPr>
              <w:pStyle w:val="TableContents"/>
              <w:spacing w:before="0" w:after="283"/>
              <w:jc w:val="left"/>
              <w:rPr/>
            </w:pPr>
            <w:r>
              <w:rPr/>
              <w:t> </w:t>
            </w:r>
          </w:p>
        </w:tc>
        <w:tc>
          <w:tcPr>
            <w:tcW w:w="1055" w:type="dxa"/>
            <w:tcBorders>
              <w:bottom w:val="double" w:sz="10" w:space="0" w:color="000000"/>
            </w:tcBorders>
            <w:shd w:fill="CCEEFF" w:val="clear"/>
            <w:tcMar>
              <w:bottom w:w="28" w:type="dxa"/>
            </w:tcMar>
            <w:vAlign w:val="center"/>
          </w:tcPr>
          <w:p>
            <w:pPr>
              <w:pStyle w:val="TableContents"/>
              <w:spacing w:before="0" w:after="283"/>
              <w:jc w:val="right"/>
              <w:rPr/>
            </w:pPr>
            <w:r>
              <w:rPr/>
              <w:t>1,535,250</w:t>
            </w:r>
          </w:p>
        </w:tc>
        <w:tc>
          <w:tcPr>
            <w:tcW w:w="110" w:type="dxa"/>
            <w:tcBorders/>
            <w:shd w:fill="CCEEFF" w:val="clear"/>
            <w:vAlign w:val="center"/>
          </w:tcPr>
          <w:p>
            <w:pPr>
              <w:pStyle w:val="TableContents"/>
              <w:spacing w:before="0" w:after="283"/>
              <w:jc w:val="left"/>
              <w:rPr/>
            </w:pPr>
            <w:r>
              <w:rPr/>
              <w:t> </w:t>
            </w:r>
          </w:p>
        </w:tc>
      </w:tr>
    </w:tbl>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presents the changes in the fair value of level 3 warrant liabilities for the three months ended March 31, 2021:</w:t>
      </w:r>
    </w:p>
    <w:p>
      <w:pPr>
        <w:pStyle w:val="TextBody"/>
        <w:spacing w:before="0" w:after="0"/>
        <w:ind w:left="0" w:right="0" w:hanging="0"/>
        <w:jc w:val="both"/>
        <w:rPr>
          <w:caps w:val="false"/>
          <w:smallCaps w:val="false"/>
        </w:rPr>
      </w:pPr>
      <w:r>
        <w:rPr>
          <w:caps w:val="false"/>
          <w:smallCaps w:val="false"/>
        </w:rPr>
        <w:t> </w:t>
      </w:r>
    </w:p>
    <w:tbl>
      <w:tblPr>
        <w:tblW w:w="6740" w:type="dxa"/>
        <w:jc w:val="left"/>
        <w:tblInd w:w="0" w:type="dxa"/>
        <w:tblCellMar>
          <w:top w:w="0" w:type="dxa"/>
          <w:left w:w="0" w:type="dxa"/>
          <w:bottom w:w="0" w:type="dxa"/>
          <w:right w:w="0" w:type="dxa"/>
        </w:tblCellMar>
      </w:tblPr>
      <w:tblGrid>
        <w:gridCol w:w="5375"/>
        <w:gridCol w:w="60"/>
        <w:gridCol w:w="140"/>
        <w:gridCol w:w="1055"/>
        <w:gridCol w:w="110"/>
      </w:tblGrid>
      <w:tr>
        <w:trPr/>
        <w:tc>
          <w:tcPr>
            <w:tcW w:w="5375" w:type="dxa"/>
            <w:tcBorders/>
            <w:shd w:fill="CCEEFF" w:val="clear"/>
            <w:vAlign w:val="center"/>
          </w:tcPr>
          <w:p>
            <w:pPr>
              <w:pStyle w:val="TableContents"/>
              <w:spacing w:before="0" w:after="283"/>
              <w:ind w:left="0" w:right="0" w:hanging="180"/>
              <w:rPr/>
            </w:pPr>
            <w:r>
              <w:rPr/>
              <w:t>Fair value as of January 1, 2021</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w:t>
            </w:r>
          </w:p>
        </w:tc>
        <w:tc>
          <w:tcPr>
            <w:tcW w:w="1055" w:type="dxa"/>
            <w:tcBorders/>
            <w:shd w:fill="CCEEFF" w:val="clear"/>
            <w:vAlign w:val="center"/>
          </w:tcPr>
          <w:p>
            <w:pPr>
              <w:pStyle w:val="TableContents"/>
              <w:spacing w:before="0" w:after="283"/>
              <w:jc w:val="right"/>
              <w:rPr/>
            </w:pPr>
            <w:r>
              <w:rPr/>
              <w:t>7,320,000</w:t>
            </w:r>
          </w:p>
        </w:tc>
        <w:tc>
          <w:tcPr>
            <w:tcW w:w="110" w:type="dxa"/>
            <w:tcBorders/>
            <w:shd w:fill="CCEEFF" w:val="clear"/>
            <w:vAlign w:val="center"/>
          </w:tcPr>
          <w:p>
            <w:pPr>
              <w:pStyle w:val="TableContents"/>
              <w:spacing w:before="0" w:after="283"/>
              <w:ind w:left="0" w:right="0" w:hanging="180"/>
              <w:jc w:val="left"/>
              <w:rPr/>
            </w:pPr>
            <w:r>
              <w:rPr/>
              <w:t> </w:t>
            </w:r>
          </w:p>
        </w:tc>
      </w:tr>
      <w:tr>
        <w:trPr/>
        <w:tc>
          <w:tcPr>
            <w:tcW w:w="5375" w:type="dxa"/>
            <w:tcBorders/>
            <w:shd w:fill="auto" w:val="clear"/>
            <w:vAlign w:val="center"/>
          </w:tcPr>
          <w:p>
            <w:pPr>
              <w:pStyle w:val="TableContents"/>
              <w:spacing w:before="0" w:after="283"/>
              <w:jc w:val="left"/>
              <w:rPr/>
            </w:pPr>
            <w:r>
              <w:rPr/>
              <w:t>Initial measurement on January 5, 2021 (Over allotment)</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jc w:val="left"/>
              <w:rPr/>
            </w:pPr>
            <w:r>
              <w:rPr/>
              <w:t> </w:t>
            </w:r>
          </w:p>
        </w:tc>
        <w:tc>
          <w:tcPr>
            <w:tcW w:w="1055" w:type="dxa"/>
            <w:tcBorders/>
            <w:shd w:fill="auto" w:val="clear"/>
            <w:vAlign w:val="center"/>
          </w:tcPr>
          <w:p>
            <w:pPr>
              <w:pStyle w:val="TableContents"/>
              <w:spacing w:before="0" w:after="283"/>
              <w:jc w:val="right"/>
              <w:rPr/>
            </w:pPr>
            <w:r>
              <w:rPr/>
              <w:t>837,000</w:t>
            </w:r>
          </w:p>
        </w:tc>
        <w:tc>
          <w:tcPr>
            <w:tcW w:w="110" w:type="dxa"/>
            <w:tcBorders/>
            <w:shd w:fill="auto" w:val="clear"/>
            <w:vAlign w:val="center"/>
          </w:tcPr>
          <w:p>
            <w:pPr>
              <w:pStyle w:val="TableContents"/>
              <w:spacing w:before="0" w:after="283"/>
              <w:ind w:left="0" w:right="0" w:hanging="180"/>
              <w:jc w:val="left"/>
              <w:rPr/>
            </w:pPr>
            <w:r>
              <w:rPr/>
              <w:t> </w:t>
            </w:r>
          </w:p>
        </w:tc>
      </w:tr>
      <w:tr>
        <w:trPr/>
        <w:tc>
          <w:tcPr>
            <w:tcW w:w="5375" w:type="dxa"/>
            <w:tcBorders/>
            <w:shd w:fill="CCEEFF" w:val="clear"/>
            <w:vAlign w:val="center"/>
          </w:tcPr>
          <w:p>
            <w:pPr>
              <w:pStyle w:val="TableContents"/>
              <w:spacing w:before="0" w:after="283"/>
              <w:jc w:val="left"/>
              <w:rPr/>
            </w:pPr>
            <w:r>
              <w:rPr/>
              <w:t>Change in fair value</w:t>
            </w:r>
          </w:p>
        </w:tc>
        <w:tc>
          <w:tcPr>
            <w:tcW w:w="60" w:type="dxa"/>
            <w:tcBorders/>
            <w:shd w:fill="CCEEFF" w:val="clear"/>
            <w:vAlign w:val="center"/>
          </w:tcPr>
          <w:p>
            <w:pPr>
              <w:pStyle w:val="TableContents"/>
              <w:spacing w:before="0" w:after="283"/>
              <w:rPr/>
            </w:pPr>
            <w:r>
              <w:rPr/>
              <w:t> </w:t>
            </w:r>
          </w:p>
        </w:tc>
        <w:tc>
          <w:tcPr>
            <w:tcW w:w="140" w:type="dxa"/>
            <w:tcBorders>
              <w:bottom w:val="single" w:sz="12" w:space="0" w:color="000000"/>
            </w:tcBorders>
            <w:shd w:fill="CCEEFF" w:val="clear"/>
            <w:tcMar>
              <w:bottom w:w="28" w:type="dxa"/>
            </w:tcMar>
            <w:vAlign w:val="center"/>
          </w:tcPr>
          <w:p>
            <w:pPr>
              <w:pStyle w:val="TableContents"/>
              <w:spacing w:before="0" w:after="283"/>
              <w:jc w:val="left"/>
              <w:rPr/>
            </w:pPr>
            <w:r>
              <w:rPr/>
              <w:t> </w:t>
            </w:r>
          </w:p>
        </w:tc>
        <w:tc>
          <w:tcPr>
            <w:tcW w:w="1055" w:type="dxa"/>
            <w:tcBorders>
              <w:bottom w:val="single" w:sz="12" w:space="0" w:color="000000"/>
            </w:tcBorders>
            <w:shd w:fill="CCEEFF" w:val="clear"/>
            <w:tcMar>
              <w:bottom w:w="28" w:type="dxa"/>
            </w:tcMar>
            <w:vAlign w:val="center"/>
          </w:tcPr>
          <w:p>
            <w:pPr>
              <w:pStyle w:val="TableContents"/>
              <w:spacing w:before="0" w:after="283"/>
              <w:jc w:val="right"/>
              <w:rPr/>
            </w:pPr>
            <w:r>
              <w:rPr/>
              <w:t>(3,818,250</w:t>
            </w:r>
          </w:p>
        </w:tc>
        <w:tc>
          <w:tcPr>
            <w:tcW w:w="110" w:type="dxa"/>
            <w:tcBorders/>
            <w:shd w:fill="CCEEFF" w:val="clear"/>
            <w:vAlign w:val="center"/>
          </w:tcPr>
          <w:p>
            <w:pPr>
              <w:pStyle w:val="TableContents"/>
              <w:spacing w:before="0" w:after="283"/>
              <w:ind w:left="0" w:right="0" w:hanging="180"/>
              <w:jc w:val="left"/>
              <w:rPr/>
            </w:pPr>
            <w:r>
              <w:rPr/>
              <w:t>)</w:t>
            </w:r>
          </w:p>
        </w:tc>
      </w:tr>
      <w:tr>
        <w:trPr/>
        <w:tc>
          <w:tcPr>
            <w:tcW w:w="5375" w:type="dxa"/>
            <w:tcBorders/>
            <w:shd w:fill="auto" w:val="clear"/>
            <w:vAlign w:val="center"/>
          </w:tcPr>
          <w:p>
            <w:pPr>
              <w:pStyle w:val="TableContents"/>
              <w:spacing w:before="0" w:after="283"/>
              <w:rPr/>
            </w:pPr>
            <w:r>
              <w:rPr/>
              <w:t>Fair value as of March 31, 2021</w:t>
            </w:r>
          </w:p>
        </w:tc>
        <w:tc>
          <w:tcPr>
            <w:tcW w:w="60" w:type="dxa"/>
            <w:tcBorders/>
            <w:shd w:fill="auto" w:val="clear"/>
            <w:vAlign w:val="center"/>
          </w:tcPr>
          <w:p>
            <w:pPr>
              <w:pStyle w:val="TableContents"/>
              <w:spacing w:before="0" w:after="283"/>
              <w:rPr/>
            </w:pPr>
            <w:r>
              <w:rPr/>
              <w:t> </w:t>
            </w:r>
          </w:p>
        </w:tc>
        <w:tc>
          <w:tcPr>
            <w:tcW w:w="140" w:type="dxa"/>
            <w:tcBorders>
              <w:bottom w:val="double" w:sz="10" w:space="0" w:color="000000"/>
            </w:tcBorders>
            <w:shd w:fill="auto" w:val="clear"/>
            <w:tcMar>
              <w:bottom w:w="28" w:type="dxa"/>
            </w:tcMar>
            <w:vAlign w:val="center"/>
          </w:tcPr>
          <w:p>
            <w:pPr>
              <w:pStyle w:val="TableContents"/>
              <w:spacing w:before="0" w:after="283"/>
              <w:jc w:val="left"/>
              <w:rPr/>
            </w:pPr>
            <w:r>
              <w:rPr/>
              <w:t> </w:t>
            </w:r>
          </w:p>
        </w:tc>
        <w:tc>
          <w:tcPr>
            <w:tcW w:w="1055" w:type="dxa"/>
            <w:tcBorders>
              <w:bottom w:val="double" w:sz="10" w:space="0" w:color="000000"/>
            </w:tcBorders>
            <w:shd w:fill="auto" w:val="clear"/>
            <w:tcMar>
              <w:bottom w:w="28" w:type="dxa"/>
            </w:tcMar>
            <w:vAlign w:val="center"/>
          </w:tcPr>
          <w:p>
            <w:pPr>
              <w:pStyle w:val="TableContents"/>
              <w:spacing w:before="0" w:after="283"/>
              <w:jc w:val="right"/>
              <w:rPr/>
            </w:pPr>
            <w:r>
              <w:rPr/>
              <w:t>4,338,750</w:t>
            </w:r>
          </w:p>
        </w:tc>
        <w:tc>
          <w:tcPr>
            <w:tcW w:w="110" w:type="dxa"/>
            <w:tcBorders/>
            <w:shd w:fill="auto" w:val="clear"/>
            <w:vAlign w:val="center"/>
          </w:tcPr>
          <w:p>
            <w:pPr>
              <w:pStyle w:val="TableContents"/>
              <w:spacing w:before="0" w:after="283"/>
              <w:jc w:val="left"/>
              <w:rPr/>
            </w:pPr>
            <w:r>
              <w:rPr/>
              <w:t> </w:t>
            </w:r>
          </w:p>
        </w:tc>
      </w:tr>
    </w:tbl>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Transfers to/from levels 1, 2, and 3 are recognized at the beginning of the reporting period. There were no transfers in or out of Level 3 from other levels in the fair value hierarchy during the three months ended March 31, 2022 and 2021.</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10. SUBSEQUENT EVENTS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evaluated subsequent events and transactions that occurred after the balance sheet date up to the date that the condensed consolidated financial statements were issued. Based upon this review, the Company did not identify any other subsequent events that would have required adjustment or disclosure in the condensed consolidated financial statements.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1, 2022, the parties amended the Merger Agreement, as discussed in Note 6.</w:t>
      </w:r>
    </w:p>
    <w:p>
      <w:pPr>
        <w:pStyle w:val="TextBody"/>
        <w:spacing w:before="0" w:after="0"/>
        <w:ind w:left="0" w:right="0" w:hanging="0"/>
        <w:jc w:val="both"/>
        <w:rPr>
          <w:caps w:val="false"/>
          <w:smallCaps w:val="false"/>
        </w:rPr>
      </w:pPr>
      <w:r>
        <w:rPr>
          <w:caps w:val="false"/>
          <w:smallCaps w:val="false"/>
        </w:rPr>
        <w:t> </w:t>
      </w:r>
    </w:p>
    <w:p>
      <w:pPr>
        <w:pStyle w:val="TextBody"/>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21</w:t>
      </w:r>
    </w:p>
    <w:p>
      <w:pPr>
        <w:pStyle w:val="TextBody"/>
        <w:spacing w:before="0" w:after="0"/>
        <w:ind w:left="0" w:right="0" w:hanging="0"/>
        <w:rPr/>
      </w:pPr>
      <w:r>
        <w:rPr/>
        <w:t> </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bookmarkStart w:id="9" w:name="a_008"/>
      <w:bookmarkEnd w:id="9"/>
      <w:r>
        <w:rPr>
          <w:rFonts w:ascii="Times New Roman;Times;Serif" w:hAnsi="Times New Roman;Times;Serif"/>
          <w:b/>
          <w:i w:val="false"/>
          <w:caps w:val="false"/>
          <w:smallCaps w:val="false"/>
          <w:sz w:val="20"/>
        </w:rPr>
        <w:t>Item 2. Management’s Discussion and Analysis of Financial Condition and Results of Operations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References in this report (this “Quarterly Report”) to “we,” “us” or the “Company” refer to Ventoux CCM Acquisition Corp. References to our “management” or our “management team” refer to our officers and directors, and references to the “co-sponsors” refer to Ventoux Acquisition Holdings LLC (“Ventoux Acquisition”) and Chardan International Investments, LLC (“Chardan Investments”). The following discussion and analysis of the Company’s financial condition and results of operations should be read in conjunction with the financial statements and the notes thereto contained elsewhere in this Quarterly Report. Certain information contained in the discussion and analysis set forth below includes forward-looking statements that involve risks and uncertainties.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Special Note Regarding Forward-Looking Statements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Quarterly Report includes “forward-looking statements” within the meaning of Section 27A of the Securities Act of 1933 and Section 21E of the Exchange Act that are not historical facts and involve risks and uncertainties that could cause actual results to differ materially from those expected and projected. All statements, other than statements of historical fact included in this Quarterly Report including, without limitation, statements in this “Management’s Discussion and Analysis of Financial Condition and Results of Operations” regarding the completion of the Proposed Business Combination (as defined below), the Company’s financial position, business strategy and the plans and objectives of management for future operations, are forward-looking statements. Words such as “expect,” “believe,” “anticipate,” “intend,” “estimate,” “seek” and variations and similar words and expressions are intended to identify such forward-looking statements. Such forward-looking statements relate to future events or future performance, but reflect management’s current beliefs, based on information currently available. A number of factors could cause actual events, performance or results to differ materially from the events, performance and results discussed in the forward-looking statements, including that the conditions of the Proposed Business Combination are not satisfied. For information identifying important factors that could cause actual results to differ materially from those anticipated in the forward-looking statements, please refer to the Risk Factors section of the Company’s final prospectus for its Initial Public Offering filed with the U.S. Securities and Exchange Commission (the “SEC”). The Company’s securities filings can be accessed on the EDGAR section of the SEC’s website at www.sec.gov. Except as expressly required by applicable securities law, the Company disclaims any intention or obligation to update or revise any forward-looking statements whether as a result of new information, future events or otherwise.</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Overview</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 blank check company formed under the laws of the State of Delaware on July 10, 2019 for the purpose of entering into a merger, share exchange, asset acquisition, stock purchase, recapitalization, reorganization or other similar business transaction with one or more businesses or entities (a “Business Combination”. We intend to effectuate our Business Combination using cash from the proceeds of the Initial Public Offering and the private placements of the private warrants, our shares, rights, new debt, or a combination of these. We expect to continue to incur significant costs in the pursuit of our acquisition plans. We cannot assure you that our plans to complete a Business Combination will be successful.</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Recent Developments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Proposed Business Combination</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November 10, 2021, the Company entered into the Merger Agreement. Pursuant to the Merger Agreement, the Company will acquire all of the outstanding equity interests of Presto, and stockholders of Presto will receive $800,000,000 in aggregate consideration (the “Aggregate Base Consideration”) in the form of newly issued common stock in New Presto, calculated based on a price of $10.00 per share.</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the Aggregate Base Consideration, Presto stockholders may be entitled to receive 15,000,000 additional shares of common stock of New Presto (the “Presto Earnout Shares”), to be issued as follows: (A) 7,500,000 Presto Earnout Shares, if, during the period from and after the Closing until the third anniversary of the Closing, the Volume Weighted Average Price (“VWAP” as defined in the Merger Agreement) of New Presto common stock is greater than or equal to $12.50 for any 20 trading days within a period of 30 consecutive trading days, and (B) an additional 7,500,000 Presto Earnout Shares, if, during the period from and after the Closing until the fifth anniversary of the Closing, the VWAP of New Presto common stock is greater than or equal to $15.00 for any 20 trading days within a period of 30 consecutive trading days.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entered into Equity Subscription Agreements with certain accredited investors, pursuant to which, among other things, the Company agreed to issue and sell, in private placements to close immediately prior to or substantially concurrently with the Closing, an aggregate of 1,500,000 shares of common stock for $10.00 per share.</w:t>
      </w:r>
    </w:p>
    <w:p>
      <w:pPr>
        <w:pStyle w:val="TextBody"/>
        <w:spacing w:before="0" w:after="0"/>
        <w:ind w:left="0" w:right="0" w:hanging="0"/>
        <w:jc w:val="both"/>
        <w:rPr>
          <w:caps w:val="false"/>
          <w:smallCaps w:val="false"/>
        </w:rPr>
      </w:pPr>
      <w:r>
        <w:rPr>
          <w:caps w:val="false"/>
          <w:smallCaps w:val="false"/>
        </w:rPr>
        <w:t> </w:t>
      </w:r>
    </w:p>
    <w:p>
      <w:pPr>
        <w:pStyle w:val="TextBody"/>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22</w:t>
      </w:r>
    </w:p>
    <w:p>
      <w:pPr>
        <w:pStyle w:val="TextBody"/>
        <w:spacing w:before="0" w:after="0"/>
        <w:ind w:left="0" w:right="0" w:hanging="0"/>
        <w:rPr/>
      </w:pPr>
      <w:r>
        <w:rPr/>
        <w:t> </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also entered into the Convertible Note Subscription Agreement with an institutional accredited investor, pursuant to which, among other things, the Company agreed to issue and sell, in a private placement to close immediately prior to the Closing, an aggregate of $55,000,000 in aggregate principal amount of convertible notes and an aggregate of 1,000,000 warrants.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a detailed description of the proposed business combination, please see the section of this Annual Report titled “Business—Proposed Business Combination.”</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Results of Operations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neither engaged in any operations nor generated any revenues to date. Our only activities through March 31, 2022 were organizational activities, those necessary to prepare for the Initial Public Offering, identifying a target company for a Business Combination and activities in connection with the proposed acquisition of Presto. We do not expect to generate any operating revenues until after the completion of our Business Combination. We generate non-operating income in the form of interest income on marketable securities held in the Trust Account. We incur expenses as a result of being a public company (for legal, financial reporting, accounting and auditing compliance), as well as for due diligence expenses.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three months ended March 31, 2022, we had a net income of $955,240, which consists of change in fair value of warrant liabilities of $1,668,750 and interest earned on marketable securities held in our Trust Account of $18,319, offset by general and administrative expenses of $731,829.</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three months ended March 31, 2021, we had a net income of $3,461,107, which consists of change in fair value of warrant liabilities of $3,818,250 and interest earned on marketable securities held in our Trust Account of $26,175, offset by general and administrative expenses of $216,976, loss on initial issuance of private warrants of $162,000 and a provision for income taxes of $4,342.</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Liquidity and Capital Resources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30, 2020, we completed the Initial Public Offering of 15,000,000 Units at $10.00 per Unit, generating gross proceeds of $150,000,000. Simultaneously with the closing of the Initial Public Offering, we completed the sale of 6,000,000 Private Warrants at a price of $1.00 per Private Warrant in a private placement to the co-sponsors, generating gross proceeds of $6,000,000.</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5, 2021, in connection with the underwriters’ exercise of their over-allotment option in full, we completed the sale of an additional 2,250,000 Units, at $10.00 per Unit, generating gross proceeds of $22,500,000. Simultaneously with the closing of the over-allotment option, we completed a sale of an additional 675,000 Private Warrants, at $1.00 per Private Warrant, generating total proceeds of $675,000.</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Following the Initial Public Offering, the full exercise of the over-allotment option, and the sale of the Private Units, a total of $174,225,000 was placed in the Trust Account. We incurred $3,993,017 in Initial Public Offering related costs, including $3,450,000 of underwriting fees and $543,017 of other costs.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will have until June 30, 2022 to consummate a Business Combination (the “Combination Period”). On March 29, 2022, the Company issued unsecured promissory notes in the amount of $1,150,000 and $575,000, to Ventoux Acquisition Holdings LLC and Chardan International Investments, LLC, respectively. The proceeds of $1,725,000 ($0.10 per Public Share) from the promissory notes were deposited into the Trust Account in order to extend the period of time the Company has to complete its Business Combination from March 30, 2022 to June 30, 2022.</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three months ended March 31, 2022, cash used in operating activities was $253,301. Net income of $955,240 was affected by interest earned on marketable securities held in the Trust Account of $18,319 and change in fair value of warrant liabilities of $1,668,750. Changes in operating assets and liabilities used $478,528 of cash for operating activities.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three months ended March 31, 2021, cash used in operating activities was $344,507. Net income of $3,461,107 was affected by the change in fair value of warrants of $3,818,250, loss on initial issuance of private warrants of $162,000 and interest earned on marketable securities held in Trust Account of $26,175. Changes in operating assets and liabilities used $24,638 of cash for operating activities.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March 31, 2022, we had cash and marketable securities held in the Trust Account of $176,009,525 (including approximately $60,000 of interest income) invested in a money market account that invests in US Treasury Bills. Interest income on the balance in the Trust Account may be used by us to pay taxes. Through March 31, 2022, we have not withdrawn any interest earned from the Trust Account.</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intend to use substantially all of the funds held in the Trust Account, including any amounts representing interest earned on the Trust Account (less income taxes payable), to complete our Business Combination. To the extent that our capital stock or debt is used, in whole or in part, as consideration to complete our Business Combination, the remaining proceeds held in the Trust Account will be used as working capital to finance the operations of the target business or businesses, make other acquisitions and pursue our growth strategies.</w:t>
      </w:r>
    </w:p>
    <w:p>
      <w:pPr>
        <w:pStyle w:val="TextBody"/>
        <w:spacing w:before="0" w:after="0"/>
        <w:ind w:left="0" w:right="0" w:hanging="0"/>
        <w:jc w:val="both"/>
        <w:rPr>
          <w:caps w:val="false"/>
          <w:smallCaps w:val="false"/>
        </w:rPr>
      </w:pPr>
      <w:r>
        <w:rPr>
          <w:caps w:val="false"/>
          <w:smallCaps w:val="false"/>
        </w:rPr>
        <w:t> </w:t>
      </w:r>
    </w:p>
    <w:p>
      <w:pPr>
        <w:pStyle w:val="TextBody"/>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23</w:t>
      </w:r>
    </w:p>
    <w:p>
      <w:pPr>
        <w:pStyle w:val="TextBody"/>
        <w:spacing w:before="0" w:after="0"/>
        <w:ind w:left="0" w:right="0" w:hanging="0"/>
        <w:rPr/>
      </w:pPr>
      <w:r>
        <w:rPr/>
        <w:t> </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March 31, 2022, we had cash of $259,857. We intend to use the funds held outside the Trust Account primarily to identify and evaluate target businesses, perform business due diligence on prospective target businesses, travel to and from the offices, plants or similar locations of prospective target businesses or their representatives or owners, review corporate documents and material agreements of prospective target businesses, and structure, negotiate and complete a Business Combination.</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order to fund working capital deficiencies or finance transaction costs in connection with a Business Combination, our initial stockholders, officers and directors or their affiliates may, but are not obligated to, loan us funds as may be required. If we complete a Business Combination, we would repay such loaned amounts. In the event that a Business Combination is not consummated, we may use a portion of the working capital held outside the Trust Account to repay such loaned amounts but no proceeds from our Trust Account would be used for such repayment. Up to $500,000 of such loans may be convertible into warrants at a price of $1.00 per unit, at the option of the lender. The units would be identical to the private warrants. Loans made by Chardan Capital Markets, LLC or any of its related persons will not be convertible into private warrants, and Chardan Capital Markets, LLC and its related persons will have no recourse with respect to their ability to convert their loans into Private Warrants.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29, 2022, the Company issued unsecured promissory notes of up to $375,000 with $250,000 to Ventoux Acquisition Holdings LLC and $125,000 to Chardan International Investments, LLC, respectively, in connection with providing the Company with additional working capital. The promissory notes are not convertible and bear no interest and are due and payable upon the date on which the Company consummates its initial Business Combination. As of March 31, 2022, the Company had borrowed a total of $133,333 and $66,667 from Ventoux Acquisition Holdings LLC and Chardan International Investments, LLC, respectively.</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29, 2022, the Company issued unsecured promissory notes in the amount of $1,150,000 and $575,000 to Ventoux Acquisition Holdings LLC and Chardan International Investments, LLC, respectively. The proceeds from the promissory notes were deposited into the Trust Account in order to extend the period of time the Company has to complete its Business Combination from March 30, 2022 to June 30, 2022. The promissory note bears no interest and is due and payable upon the date on which the Company consummates its initial Business Combination.</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are unable to raise additional capital, we may be required to take additional measures to conserve liquidity, which could include, but not necessarily be limited to, suspending the pursuit of a Business Combination. We cannot provide any assurance that new financing will be available to it on commercially acceptable terms, if at all.</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of the above, in connection with our assessment of going concern considerations in accordance with Financial Accounting Standard Board’s Accounting Standards Update (“ASU”) 2014-15, “Disclosures of Uncertainties about an Entity’s Ability to Continue as a Going Concern,” we have determined that the liquidity condition and date for mandatory liquidation and dissolution raise substantial doubt about our ability to continue as a going concern through June 30, 2022, the scheduled liquidation date of the Company if it does not complete a Business Combination prior to such date. These financial statements do not include any adjustments relating to the recovery of the recorded assets or the classification of the liabilities that might be necessary should we be unable to continue as a going concern.</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Off-Balance Sheet Arrangements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no obligations, assets or liabilities, which would be considered off-balance sheet arrangements as of March 31, 2022 and December 31, 2021. We do not participate in transactions that create relationships with unconsolidated entities or financial partnerships, often referred to as variable interest entities, which would have been established for the purpose of facilitating off-balance sheet arrangements. We have not entered into any off-balance sheet financing arrangements, established any special purpose entities, guaranteed any debt or commitments of other entities, or purchased any non-financial assets.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Contractual obligations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do not have any long-term debt, capital lease obligations, operating lease obligations or long-term liabilities, other than an agreement to pay Chardan Capital Markets, LLC a total of $10,000 per month for office space, utilities and secretarial support. We began incurring these fees on December 23, 2020 and will continue to incur these fees monthly until the earlier of the completion of the Business Combination and our liquidation.</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engaged Chardan Capital Markets, LLC as an advisor in connection with a Business Combination to assist us in holding meetings with stockholders to discuss the potential Business Combination and the target business’s attributes, introduce us to potential investors that are interested in purchasing our securities in connection with the potential Business Combination, assist us in obtaining stockholder approval for the Business Combination and assist us with press releases and public filings in connection with the Business Combination. We will pay Chardan Capital Markets, LLC a marketing fee for such services upon the completion of a Business Combination in an amount equal to, in the aggregate, 3.5% of the gross proceeds of the Initial Public Offering, including proceeds from the exercise of the underwriters’ over-allotment option. As a result, Chardan Capital Markets, LLC will not be entitled to such fee unless the Business Combination is consummated.</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Chardan Capital Markets, LLC, we have engaged certain advisors to assist in capital raising efforts in connection with the proposed Business Combination. The fee arrangement with the advisors, including William Blair &amp; Company LLC, Truist Securities Inc. and others are only payable upon the consummation of the Business Combination.</w:t>
      </w:r>
    </w:p>
    <w:p>
      <w:pPr>
        <w:pStyle w:val="TextBody"/>
        <w:spacing w:before="0" w:after="0"/>
        <w:ind w:left="0" w:right="0" w:hanging="0"/>
        <w:jc w:val="both"/>
        <w:rPr>
          <w:caps w:val="false"/>
          <w:smallCaps w:val="false"/>
        </w:rPr>
      </w:pPr>
      <w:r>
        <w:rPr>
          <w:caps w:val="false"/>
          <w:smallCaps w:val="false"/>
        </w:rPr>
        <w:t> </w:t>
      </w:r>
    </w:p>
    <w:p>
      <w:pPr>
        <w:pStyle w:val="TextBody"/>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24</w:t>
      </w:r>
    </w:p>
    <w:p>
      <w:pPr>
        <w:pStyle w:val="TextBody"/>
        <w:spacing w:before="0" w:after="0"/>
        <w:ind w:left="0" w:right="0" w:hanging="0"/>
        <w:rPr/>
      </w:pPr>
      <w:r>
        <w:rPr/>
        <w:t> </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Critical Accounting Policies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preparation of unaudited condensed consolidated financial statements and related disclosures in conformity with accounting principles generally accepted in the United States of America requires management to make estimates and assumptions that affect the reported amounts of assets and liabilities, disclosure of contingent assets and liabilities at the date of the financial statements, and income and expenses during the periods reported. Actual results could materially differ from those estimates. We have identified the following critical accounting policies: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Warrant Liabilities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do not use derivative instruments to hedge exposures to cash flow, market, or foreign currency risks. We evaluate all of our financial instruments, including issued warrants to purchase shares of common stock, to determine if such instruments are derivatives or contain features that qualify as embedded derivatives, pursuant to ASC 480 and ASC 815. We account for the Private Warrants in accordance with the guidance contained in ASC 815-40 under which the Private Warrants do not meet the criteria for equity treatment and must be recorded as liabilities. Accordingly, we classify the Private Warrants as liabilities at their fair value and adjust the Private Warrants to fair value at each reporting period. This liability is subject to re-measurement at each balance sheet date until exercised, and any change in fair value is recognized in our statements of operations. The Private Warrants are valued using a Modified Black Scholes model.</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Common Stock Subject to Possible Redemption</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accounts for its common stock subject to possible redemption in accordance with the guidance in Accounting Standards Codification (“ASC”) Topic 480 “Distinguishing Liabilities from Equity.” Shares of common stock subject to mandatory redemption are classified as a liability instrument and are measured at fair value. Conditionally redeemable common stock (including common stock that features redemption rights that is either within the control of the holder or subject to redemption upon the occurrence of uncertain events not solely within the Company’s control) is classified as temporary equity. At all other times, common stock is classified as stockholders’ equity. Certain of the Company’s common stock features certain redemption rights that are considered to be outside of the Company’s control and subject to occurrence of uncertain future events. Accordingly, at March 31, 2022 and December 31, 2021, common stock subject to possible redemption is presented as temporary equity, outside of the stockholders’ deficit section of the Company’s condensed consolidated balance sheets.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Net Income Per Share of Common Stock</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income per common stock is computed by dividing net income by the weighted average number of shares of common stock outstanding for the period. Accretion associated with the redeemable shares of common stock is excluded from earnings per share as the redemption value approximates fair value.</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Recent Accounting Standards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August 2020, the Financial Accounting Standards Board (“FASB”) issued ASU 2020-06, Debt — Debt with Conversion and Other Options (Subtopic 470-20) and Derivatives and Hedging — Contracts in Entity’s Own Equity (Subtopic 815-40) (“ASU 2020-06”) to simplify accounting for certain financial instruments. ASU 2020-06 eliminates the current models that require separation of beneficial conversion and cash conversion features from convertible instruments and simplifies the derivative scope exception guidance pertaining to equity classification of contracts in an entity’s own equity. The new standard also introduces additional disclosures for convertible debt and freestanding instruments that are indexed to and settled in an entity’s own equity. ASU 2020-06 amends the diluted earnings per share guidance, including the requirement to use the if-converted method for all convertible instruments. ASU 2020-06 is effective January 1, 2022 and should be applied on a full or modified retrospective basis, with early adoption permitted beginning on January 1, 2021. We are currently assessing the impact, if any, that ASU 2020-06 would have on its financial position, results of operations or cash flows.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Management does not believe that any other recently issued, but not yet effective, accounting standards, if currently adopted, would have a material effect on our financial statements.</w:t>
      </w:r>
    </w:p>
    <w:p>
      <w:pPr>
        <w:pStyle w:val="TextBody"/>
        <w:spacing w:before="0" w:after="0"/>
        <w:ind w:left="0" w:right="0" w:hanging="0"/>
        <w:jc w:val="both"/>
        <w:rPr>
          <w:caps w:val="false"/>
          <w:smallCaps w:val="false"/>
        </w:rPr>
      </w:pPr>
      <w:r>
        <w:rPr>
          <w:caps w:val="false"/>
          <w:smallCaps w:val="false"/>
        </w:rPr>
        <w:t> </w:t>
      </w:r>
    </w:p>
    <w:p>
      <w:pPr>
        <w:pStyle w:val="TextBody"/>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25</w:t>
      </w:r>
    </w:p>
    <w:p>
      <w:pPr>
        <w:pStyle w:val="TextBody"/>
        <w:spacing w:before="0" w:after="0"/>
        <w:ind w:left="0" w:right="0" w:hanging="0"/>
        <w:rPr/>
      </w:pPr>
      <w:r>
        <w:rPr/>
        <w:t> </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bookmarkStart w:id="10" w:name="a_009"/>
      <w:bookmarkEnd w:id="10"/>
      <w:r>
        <w:rPr>
          <w:rFonts w:ascii="Times New Roman;Times;Serif" w:hAnsi="Times New Roman;Times;Serif"/>
          <w:b/>
          <w:i w:val="false"/>
          <w:caps w:val="false"/>
          <w:smallCaps w:val="false"/>
          <w:sz w:val="20"/>
        </w:rPr>
        <w:t>Item 3. Quantitative and Qualitative Disclosures About Market Risk</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Following the consummation of our Initial Public Offering, the proceeds held in the Trust Account have been invested in U.S. government treasury obligations with a maturity of 183 days or less or in certain money market funds that invest solely in U.S. treasuries. Due to the short-term nature of these investments, we believe there will be no associated material exposure to interest rate risk.</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bookmarkStart w:id="11" w:name="a_010"/>
      <w:bookmarkEnd w:id="11"/>
      <w:r>
        <w:rPr>
          <w:rFonts w:ascii="Times New Roman;Times;Serif" w:hAnsi="Times New Roman;Times;Serif"/>
          <w:b/>
          <w:i w:val="false"/>
          <w:caps w:val="false"/>
          <w:smallCaps w:val="false"/>
          <w:sz w:val="20"/>
        </w:rPr>
        <w:t>Item 4. Controls and Procedures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Evaluation of Disclosure Controls and Procedures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Disclosure controls are procedures that are designed with the objective of ensuring that information required to be disclosed in our reports filed under the Exchange Act is recorded, processed, summarized, and reported within the time period specified in the SEC’s rules and forms. Disclosure controls are also designed with the objective of ensuring that such information is accumulated and communicated to our management, including the Chief Executive Officer and Chief Financial Officer, as appropriate to allow timely decisions regarding required disclosure.</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required by Rules 13a-15 and 15d-15 under the Exchange Act, our Chief Executive Officer and Chief Financial Officer carried out an evaluation of the effectiveness of the design and operation of our disclosure controls and procedures as of March 31, 2022. Based upon their evaluation, our Chief Executive Officer and Chief Financial Officer concluded that our disclosure controls and procedures (as defined in Rules 13a-15(e) and 15d-15(e) under the Exchange Act) were not effective, due solely to the material weakness in our internal control over financial reporting related to the Company’s accounting for complex financial instruments. As a result, we performed additional analysis as deemed necessary to ensure that our financial statements were prepared in accordance with U.S. generally accepted accounting principles. Accordingly, management believes that the financial statements included in this Form 10-Q present fairly in all material respects our financial position, results of operations and cash flows for the period presented.</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Changes in Internal Control Over Financial Reporting</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were no changes in our internal control over financial reporting (as such term is defined in Rules 13a-15(f) and 15d-15(f) of the Exchange Act) during the most recent fiscal quarter that have materially affected, or are reasonably likely to materially affect, our internal control over financial reporting.</w:t>
      </w:r>
    </w:p>
    <w:p>
      <w:pPr>
        <w:pStyle w:val="TextBody"/>
        <w:spacing w:before="0" w:after="0"/>
        <w:ind w:left="0" w:right="0" w:hanging="0"/>
        <w:jc w:val="both"/>
        <w:rPr>
          <w:caps w:val="false"/>
          <w:smallCaps w:val="false"/>
        </w:rPr>
      </w:pPr>
      <w:r>
        <w:rPr>
          <w:caps w:val="false"/>
          <w:smallCaps w:val="false"/>
        </w:rPr>
        <w:t> </w:t>
      </w:r>
    </w:p>
    <w:p>
      <w:pPr>
        <w:pStyle w:val="TextBody"/>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26</w:t>
      </w:r>
    </w:p>
    <w:p>
      <w:pPr>
        <w:pStyle w:val="TextBody"/>
        <w:spacing w:before="0" w:after="0"/>
        <w:ind w:left="0" w:right="0" w:hanging="0"/>
        <w:rPr/>
      </w:pPr>
      <w:r>
        <w:rPr/>
        <w:t> </w:t>
      </w:r>
    </w:p>
    <w:p>
      <w:pPr>
        <w:pStyle w:val="TextBody"/>
        <w:spacing w:before="0" w:after="0"/>
        <w:ind w:left="0" w:right="0" w:hanging="0"/>
        <w:jc w:val="both"/>
        <w:rPr>
          <w:caps w:val="false"/>
          <w:smallCaps w:val="false"/>
        </w:rPr>
      </w:pPr>
      <w:r>
        <w:rPr>
          <w:caps w:val="false"/>
          <w:smallCaps w:val="false"/>
        </w:rPr>
        <w:t> </w:t>
      </w:r>
    </w:p>
    <w:p>
      <w:pPr>
        <w:pStyle w:val="TextBody"/>
        <w:spacing w:before="0" w:after="0"/>
        <w:jc w:val="center"/>
        <w:rPr>
          <w:rFonts w:ascii="Times New Roman;Times;Serif" w:hAnsi="Times New Roman;Times;Serif"/>
          <w:b/>
          <w:i w:val="false"/>
          <w:caps w:val="false"/>
          <w:smallCaps w:val="false"/>
          <w:sz w:val="20"/>
        </w:rPr>
      </w:pPr>
      <w:bookmarkStart w:id="12" w:name="a_011"/>
      <w:bookmarkEnd w:id="12"/>
      <w:r>
        <w:rPr>
          <w:rFonts w:ascii="Times New Roman;Times;Serif" w:hAnsi="Times New Roman;Times;Serif"/>
          <w:b/>
          <w:i w:val="false"/>
          <w:caps w:val="false"/>
          <w:smallCaps w:val="false"/>
          <w:sz w:val="20"/>
        </w:rPr>
        <w:t>PART II - OTHER INFORMATION</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bookmarkStart w:id="13" w:name="a_012"/>
      <w:bookmarkEnd w:id="13"/>
      <w:r>
        <w:rPr>
          <w:rFonts w:ascii="Times New Roman;Times;Serif" w:hAnsi="Times New Roman;Times;Serif"/>
          <w:b/>
          <w:i w:val="false"/>
          <w:caps w:val="false"/>
          <w:smallCaps w:val="false"/>
          <w:sz w:val="20"/>
        </w:rPr>
        <w:t>Item 1. Legal Proceedings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bookmarkStart w:id="14" w:name="a_013"/>
      <w:bookmarkEnd w:id="14"/>
      <w:r>
        <w:rPr>
          <w:rFonts w:ascii="Times New Roman;Times;Serif" w:hAnsi="Times New Roman;Times;Serif"/>
          <w:b/>
          <w:i w:val="false"/>
          <w:caps w:val="false"/>
          <w:smallCaps w:val="false"/>
          <w:sz w:val="20"/>
        </w:rPr>
        <w:t>Item 1A. Risk Factors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smaller reporting company, we are not required to make disclosures under this Item.</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bookmarkStart w:id="15" w:name="a_014"/>
      <w:bookmarkEnd w:id="15"/>
      <w:r>
        <w:rPr>
          <w:rFonts w:ascii="Times New Roman;Times;Serif" w:hAnsi="Times New Roman;Times;Serif"/>
          <w:b/>
          <w:i w:val="false"/>
          <w:caps w:val="false"/>
          <w:smallCaps w:val="false"/>
          <w:sz w:val="20"/>
        </w:rPr>
        <w:t>Item 2. Unregistered Sales of Equity Securities and Use of Proceeds.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previously disclosed, on December 23, 2020, we consummated the Initial Public Offering of 15,000,000 units (the “Units”). Each Unit consists of one share of common stock, $0.0001 par value (“Common Stock”), one right entitling the holder thereof to receive one-twentieth (1/20) of one share of Common Stock upon the consummation of a Business Combination, and one warrant entitling the holder thereof to purchase one-half (1/2) of one share of Common Stock at a price of $11.50 per whole share. The Units were sold at an offering price of $10.00 per Unit, generating gross proceeds of $150,000,000. Chardan Capital Markets, LLC acted as sole-book running manager. The securities in the offering were registered under the Securities Act on a registration statement on Form S-1 (No. 333-251048). The Securities and Exchange Commission declared the registration statement effective on December 23, 2020.</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Simultaneously with the closing of the Initial Public Offering, we consummated the private placement with initial stockholders of the Company of 6,000,000 warrants (the “Private Warrants”), generating total proceeds of $6,000,000. The Private Warrants are identical to the warrants sold as part of the public Units in the Initial Public Offering except that (i) each Private Warrant is exercisable for one share of Common Stock at an exercise price of $11.50 per share, and (ii) the Private Warrants will be non-redeemable and may be exercised on a cashless basis, in each case so long as they continue to be held by the initial purchasers or their permitted transferees, as further described in the Registration Statement. Such initial purchasers were granted certain demand and piggyback registration rights in connection with the purchase of the Private Warrants. The Private Warrants were issued pursuant to the exemption from registration contained in Section 4(a)(2) of the Securities Act.</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5, 2021, we consummated the closing of the issuance and sale of additional Units (the “Over-Allotment Option Units”) upon exercise by the underwriters of their over-allotment option in full. The total aggregate issuance by the Company of 2,250,000 Units at a price of $10.00 per Unit resulted in total gross proceeds of $22,500,000. On January 5, 2021, simultaneously with the sale of the Over-Allotment Option Units, the Company consummated the private sale of an additional 675,000 Private Warrants, generating gross proceeds of $675,000. The Private Warrants were issued pursuant to the exemption from registration contained in Section 4(a)(2) of the Securities Act.</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total of $174,225,000 of the net proceeds from the sale of the Units in the Initial Public Offering (including the Over-Allotment Option Units) and the private placements on December 30, 2020 and January 5, 2021, were deposited in a trust account established for the benefit of the Company’s public stockholders.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paid a total of $3,993,017 in offering costs, consisting of $3,450,000 ($450,000 related to the underwriters’ exercise of their over-allotment option) in underwriting fees and $543,017 of other offering costs.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bookmarkStart w:id="16" w:name="a_015"/>
      <w:bookmarkEnd w:id="16"/>
      <w:r>
        <w:rPr>
          <w:rFonts w:ascii="Times New Roman;Times;Serif" w:hAnsi="Times New Roman;Times;Serif"/>
          <w:b/>
          <w:i w:val="false"/>
          <w:caps w:val="false"/>
          <w:smallCaps w:val="false"/>
          <w:sz w:val="20"/>
        </w:rPr>
        <w:t>Item 3. Defaults Upon Senior Securities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bookmarkStart w:id="17" w:name="a_016"/>
      <w:bookmarkEnd w:id="17"/>
      <w:r>
        <w:rPr>
          <w:rFonts w:ascii="Times New Roman;Times;Serif" w:hAnsi="Times New Roman;Times;Serif"/>
          <w:b/>
          <w:i w:val="false"/>
          <w:caps w:val="false"/>
          <w:smallCaps w:val="false"/>
          <w:sz w:val="20"/>
        </w:rPr>
        <w:t>Item 4. Mine Safety Disclosures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bookmarkStart w:id="18" w:name="a_017"/>
      <w:bookmarkEnd w:id="18"/>
      <w:r>
        <w:rPr>
          <w:rFonts w:ascii="Times New Roman;Times;Serif" w:hAnsi="Times New Roman;Times;Serif"/>
          <w:b/>
          <w:i w:val="false"/>
          <w:caps w:val="false"/>
          <w:smallCaps w:val="false"/>
          <w:sz w:val="20"/>
        </w:rPr>
        <w:t>Item 5. Other Information</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w:t>
      </w:r>
    </w:p>
    <w:p>
      <w:pPr>
        <w:pStyle w:val="TextBody"/>
        <w:spacing w:before="0" w:after="0"/>
        <w:ind w:left="0" w:right="0" w:hanging="0"/>
        <w:jc w:val="both"/>
        <w:rPr>
          <w:caps w:val="false"/>
          <w:smallCaps w:val="false"/>
        </w:rPr>
      </w:pPr>
      <w:r>
        <w:rPr>
          <w:caps w:val="false"/>
          <w:smallCaps w:val="false"/>
        </w:rPr>
        <w:t> </w:t>
      </w:r>
    </w:p>
    <w:p>
      <w:pPr>
        <w:pStyle w:val="TextBody"/>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27</w:t>
      </w:r>
    </w:p>
    <w:p>
      <w:pPr>
        <w:pStyle w:val="TextBody"/>
        <w:spacing w:before="0" w:after="0"/>
        <w:ind w:left="0" w:right="0" w:hanging="0"/>
        <w:rPr/>
      </w:pPr>
      <w:r>
        <w:rPr/>
        <w:t> </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bookmarkStart w:id="19" w:name="a_018"/>
      <w:bookmarkEnd w:id="19"/>
      <w:r>
        <w:rPr>
          <w:rFonts w:ascii="Times New Roman;Times;Serif" w:hAnsi="Times New Roman;Times;Serif"/>
          <w:b/>
          <w:i w:val="false"/>
          <w:caps w:val="false"/>
          <w:smallCaps w:val="false"/>
          <w:sz w:val="20"/>
        </w:rPr>
        <w:t>Item 6. Exhibits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exhibits are filed as part of, or incorporated by reference into, this Quarterly Report on Form 10-Q.</w:t>
      </w:r>
    </w:p>
    <w:p>
      <w:pPr>
        <w:pStyle w:val="TextBody"/>
        <w:spacing w:before="0" w:after="0"/>
        <w:ind w:left="0" w:right="0" w:hanging="0"/>
        <w:jc w:val="both"/>
        <w:rPr>
          <w:caps w:val="false"/>
          <w:smallCaps w:val="false"/>
        </w:rPr>
      </w:pPr>
      <w:r>
        <w:rPr>
          <w:caps w:val="false"/>
          <w:smallCaps w:val="false"/>
        </w:rPr>
        <w:t> </w:t>
      </w:r>
    </w:p>
    <w:tbl>
      <w:tblPr>
        <w:tblW w:w="10205" w:type="dxa"/>
        <w:jc w:val="left"/>
        <w:tblInd w:w="0" w:type="dxa"/>
        <w:tblCellMar>
          <w:top w:w="0" w:type="dxa"/>
          <w:left w:w="0" w:type="dxa"/>
          <w:bottom w:w="28" w:type="dxa"/>
          <w:right w:w="0" w:type="dxa"/>
        </w:tblCellMar>
      </w:tblPr>
      <w:tblGrid>
        <w:gridCol w:w="840"/>
        <w:gridCol w:w="60"/>
        <w:gridCol w:w="9305"/>
      </w:tblGrid>
      <w:tr>
        <w:trPr/>
        <w:tc>
          <w:tcPr>
            <w:tcW w:w="840" w:type="dxa"/>
            <w:tcBorders>
              <w:bottom w:val="single" w:sz="12" w:space="0" w:color="000000"/>
            </w:tcBorders>
            <w:shd w:fill="auto" w:val="clear"/>
            <w:vAlign w:val="center"/>
          </w:tcPr>
          <w:p>
            <w:pPr>
              <w:pStyle w:val="TableContents"/>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No.</w:t>
            </w:r>
          </w:p>
        </w:tc>
        <w:tc>
          <w:tcPr>
            <w:tcW w:w="60" w:type="dxa"/>
            <w:tcBorders/>
            <w:shd w:fill="auto"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9305" w:type="dxa"/>
            <w:tcBorders>
              <w:bottom w:val="single" w:sz="12" w:space="0" w:color="000000"/>
            </w:tcBorders>
            <w:shd w:fill="auto" w:val="clear"/>
            <w:vAlign w:val="center"/>
          </w:tcPr>
          <w:p>
            <w:pPr>
              <w:pStyle w:val="TableContents"/>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Description</w:t>
            </w:r>
          </w:p>
        </w:tc>
      </w:tr>
      <w:tr>
        <w:trPr/>
        <w:tc>
          <w:tcPr>
            <w:tcW w:w="840" w:type="dxa"/>
            <w:tcBorders/>
            <w:shd w:fill="CCEEFF" w:val="clear"/>
            <w:tcMar>
              <w:bottom w:w="0" w:type="dxa"/>
            </w:tcM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w:t>
            </w:r>
          </w:p>
        </w:tc>
        <w:tc>
          <w:tcPr>
            <w:tcW w:w="60" w:type="dxa"/>
            <w:tcBorders/>
            <w:shd w:fill="CCEEFF" w:val="clear"/>
            <w:tcMar>
              <w:bottom w:w="0" w:type="dxa"/>
            </w:tcMar>
            <w:vAlign w:val="center"/>
          </w:tcPr>
          <w:p>
            <w:pPr>
              <w:pStyle w:val="TableContents"/>
              <w:spacing w:before="0" w:after="283"/>
              <w:jc w:val="both"/>
              <w:rPr>
                <w:caps w:val="false"/>
                <w:smallCaps w:val="false"/>
              </w:rPr>
            </w:pPr>
            <w:r>
              <w:rPr>
                <w:caps w:val="false"/>
                <w:smallCaps w:val="false"/>
              </w:rPr>
              <w:t> </w:t>
            </w:r>
          </w:p>
        </w:tc>
        <w:tc>
          <w:tcPr>
            <w:tcW w:w="9305" w:type="dxa"/>
            <w:tcBorders/>
            <w:shd w:fill="CCEEFF" w:val="clear"/>
            <w:tcMar>
              <w:bottom w:w="0" w:type="dxa"/>
            </w:tcMar>
            <w:vAlign w:val="center"/>
          </w:tcPr>
          <w:p>
            <w:pPr>
              <w:pStyle w:val="TableContents"/>
              <w:spacing w:before="0" w:after="283"/>
              <w:jc w:val="both"/>
              <w:rPr/>
            </w:pPr>
            <w:hyperlink r:id="rId2">
              <w:r>
                <w:rPr>
                  <w:rStyle w:val="InternetLink"/>
                  <w:rFonts w:ascii="Times New Roman;Times;Serif" w:hAnsi="Times New Roman;Times;Serif"/>
                  <w:b w:val="false"/>
                  <w:i w:val="false"/>
                  <w:caps w:val="false"/>
                  <w:smallCaps w:val="false"/>
                  <w:sz w:val="20"/>
                </w:rPr>
                <w:t>Amendment to Agreement and Plan of Merger (1)</w:t>
              </w:r>
            </w:hyperlink>
          </w:p>
        </w:tc>
      </w:tr>
      <w:tr>
        <w:trPr/>
        <w:tc>
          <w:tcPr>
            <w:tcW w:w="840" w:type="dxa"/>
            <w:tcBorders/>
            <w:shd w:fill="auto" w:val="clear"/>
            <w:tcMar>
              <w:bottom w:w="0" w:type="dxa"/>
            </w:tcM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w:t>
            </w:r>
          </w:p>
        </w:tc>
        <w:tc>
          <w:tcPr>
            <w:tcW w:w="60" w:type="dxa"/>
            <w:tcBorders/>
            <w:shd w:fill="auto" w:val="clear"/>
            <w:tcMar>
              <w:bottom w:w="0" w:type="dxa"/>
            </w:tcMar>
            <w:vAlign w:val="center"/>
          </w:tcPr>
          <w:p>
            <w:pPr>
              <w:pStyle w:val="TableContents"/>
              <w:spacing w:before="0" w:after="283"/>
              <w:jc w:val="both"/>
              <w:rPr>
                <w:caps w:val="false"/>
                <w:smallCaps w:val="false"/>
              </w:rPr>
            </w:pPr>
            <w:r>
              <w:rPr>
                <w:caps w:val="false"/>
                <w:smallCaps w:val="false"/>
              </w:rPr>
              <w:t> </w:t>
            </w:r>
          </w:p>
        </w:tc>
        <w:tc>
          <w:tcPr>
            <w:tcW w:w="9305" w:type="dxa"/>
            <w:tcBorders/>
            <w:shd w:fill="auto" w:val="clear"/>
            <w:tcMar>
              <w:bottom w:w="0" w:type="dxa"/>
            </w:tcMar>
            <w:vAlign w:val="center"/>
          </w:tcPr>
          <w:p>
            <w:pPr>
              <w:pStyle w:val="TableContents"/>
              <w:spacing w:before="0" w:after="283"/>
              <w:jc w:val="both"/>
              <w:rPr/>
            </w:pPr>
            <w:hyperlink w:anchor="f10q0322ex4-1_ventouxccm.htm">
              <w:r>
                <w:rPr>
                  <w:rStyle w:val="InternetLink"/>
                  <w:rFonts w:ascii="Times New Roman;Times;Serif" w:hAnsi="Times New Roman;Times;Serif"/>
                  <w:b w:val="false"/>
                  <w:i w:val="false"/>
                  <w:caps w:val="false"/>
                  <w:smallCaps w:val="false"/>
                  <w:sz w:val="20"/>
                </w:rPr>
                <w:t>Warrant Agreement, dated December 23, 2020, by and between the Company and Continental Stock Transfer &amp; Trust Company.</w:t>
              </w:r>
            </w:hyperlink>
          </w:p>
        </w:tc>
      </w:tr>
      <w:tr>
        <w:trPr/>
        <w:tc>
          <w:tcPr>
            <w:tcW w:w="840" w:type="dxa"/>
            <w:tcBorders/>
            <w:shd w:fill="CCEEFF" w:val="clear"/>
            <w:tcMar>
              <w:bottom w:w="0" w:type="dxa"/>
            </w:tcM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w:t>
            </w:r>
          </w:p>
        </w:tc>
        <w:tc>
          <w:tcPr>
            <w:tcW w:w="60" w:type="dxa"/>
            <w:tcBorders/>
            <w:shd w:fill="CCEEFF" w:val="clear"/>
            <w:tcMar>
              <w:bottom w:w="0" w:type="dxa"/>
            </w:tcMar>
            <w:vAlign w:val="center"/>
          </w:tcPr>
          <w:p>
            <w:pPr>
              <w:pStyle w:val="TableContents"/>
              <w:spacing w:before="0" w:after="283"/>
              <w:jc w:val="both"/>
              <w:rPr>
                <w:caps w:val="false"/>
                <w:smallCaps w:val="false"/>
              </w:rPr>
            </w:pPr>
            <w:r>
              <w:rPr>
                <w:caps w:val="false"/>
                <w:smallCaps w:val="false"/>
              </w:rPr>
              <w:t> </w:t>
            </w:r>
          </w:p>
        </w:tc>
        <w:tc>
          <w:tcPr>
            <w:tcW w:w="9305" w:type="dxa"/>
            <w:tcBorders/>
            <w:shd w:fill="CCEEFF" w:val="clear"/>
            <w:tcMar>
              <w:bottom w:w="0" w:type="dxa"/>
            </w:tcMar>
            <w:vAlign w:val="center"/>
          </w:tcPr>
          <w:p>
            <w:pPr>
              <w:pStyle w:val="TableContents"/>
              <w:spacing w:before="0" w:after="283"/>
              <w:jc w:val="both"/>
              <w:rPr/>
            </w:pPr>
            <w:hyperlink r:id="rId3">
              <w:r>
                <w:rPr>
                  <w:rStyle w:val="InternetLink"/>
                  <w:rFonts w:ascii="Times New Roman;Times;Serif" w:hAnsi="Times New Roman;Times;Serif"/>
                  <w:b w:val="false"/>
                  <w:i w:val="false"/>
                  <w:caps w:val="false"/>
                  <w:smallCaps w:val="false"/>
                  <w:sz w:val="20"/>
                </w:rPr>
                <w:t>Promissory Note to Ventoux Acquisition Holdings LLC (1)</w:t>
              </w:r>
            </w:hyperlink>
          </w:p>
        </w:tc>
      </w:tr>
      <w:tr>
        <w:trPr/>
        <w:tc>
          <w:tcPr>
            <w:tcW w:w="840" w:type="dxa"/>
            <w:tcBorders/>
            <w:shd w:fill="auto" w:val="clear"/>
            <w:tcMar>
              <w:bottom w:w="0" w:type="dxa"/>
            </w:tcM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w:t>
            </w:r>
          </w:p>
        </w:tc>
        <w:tc>
          <w:tcPr>
            <w:tcW w:w="60" w:type="dxa"/>
            <w:tcBorders/>
            <w:shd w:fill="auto" w:val="clear"/>
            <w:tcMar>
              <w:bottom w:w="0" w:type="dxa"/>
            </w:tcMar>
            <w:vAlign w:val="center"/>
          </w:tcPr>
          <w:p>
            <w:pPr>
              <w:pStyle w:val="TableContents"/>
              <w:spacing w:before="0" w:after="283"/>
              <w:jc w:val="both"/>
              <w:rPr>
                <w:caps w:val="false"/>
                <w:smallCaps w:val="false"/>
              </w:rPr>
            </w:pPr>
            <w:r>
              <w:rPr>
                <w:caps w:val="false"/>
                <w:smallCaps w:val="false"/>
              </w:rPr>
              <w:t> </w:t>
            </w:r>
          </w:p>
        </w:tc>
        <w:tc>
          <w:tcPr>
            <w:tcW w:w="9305" w:type="dxa"/>
            <w:tcBorders/>
            <w:shd w:fill="auto" w:val="clear"/>
            <w:tcMar>
              <w:bottom w:w="0" w:type="dxa"/>
            </w:tcMar>
            <w:vAlign w:val="center"/>
          </w:tcPr>
          <w:p>
            <w:pPr>
              <w:pStyle w:val="TableContents"/>
              <w:spacing w:before="0" w:after="283"/>
              <w:jc w:val="both"/>
              <w:rPr/>
            </w:pPr>
            <w:hyperlink r:id="rId4">
              <w:r>
                <w:rPr>
                  <w:rStyle w:val="InternetLink"/>
                  <w:rFonts w:ascii="Times New Roman;Times;Serif" w:hAnsi="Times New Roman;Times;Serif"/>
                  <w:b w:val="false"/>
                  <w:i w:val="false"/>
                  <w:caps w:val="false"/>
                  <w:smallCaps w:val="false"/>
                  <w:sz w:val="20"/>
                </w:rPr>
                <w:t>Promissory Note to Chardan International Investments, LLC (1)</w:t>
              </w:r>
            </w:hyperlink>
          </w:p>
        </w:tc>
      </w:tr>
      <w:tr>
        <w:trPr/>
        <w:tc>
          <w:tcPr>
            <w:tcW w:w="840" w:type="dxa"/>
            <w:tcBorders/>
            <w:shd w:fill="CCEEFF" w:val="clear"/>
            <w:tcMar>
              <w:bottom w:w="0" w:type="dxa"/>
            </w:tcM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w:t>
            </w:r>
          </w:p>
        </w:tc>
        <w:tc>
          <w:tcPr>
            <w:tcW w:w="60" w:type="dxa"/>
            <w:tcBorders/>
            <w:shd w:fill="CCEEFF" w:val="clear"/>
            <w:tcMar>
              <w:bottom w:w="0" w:type="dxa"/>
            </w:tcMar>
            <w:vAlign w:val="center"/>
          </w:tcPr>
          <w:p>
            <w:pPr>
              <w:pStyle w:val="TableContents"/>
              <w:spacing w:before="0" w:after="283"/>
              <w:jc w:val="both"/>
              <w:rPr>
                <w:caps w:val="false"/>
                <w:smallCaps w:val="false"/>
              </w:rPr>
            </w:pPr>
            <w:r>
              <w:rPr>
                <w:caps w:val="false"/>
                <w:smallCaps w:val="false"/>
              </w:rPr>
              <w:t> </w:t>
            </w:r>
          </w:p>
        </w:tc>
        <w:tc>
          <w:tcPr>
            <w:tcW w:w="9305" w:type="dxa"/>
            <w:tcBorders/>
            <w:shd w:fill="CCEEFF" w:val="clear"/>
            <w:tcMar>
              <w:bottom w:w="0" w:type="dxa"/>
            </w:tcMar>
            <w:vAlign w:val="center"/>
          </w:tcPr>
          <w:p>
            <w:pPr>
              <w:pStyle w:val="TableContents"/>
              <w:spacing w:before="0" w:after="283"/>
              <w:jc w:val="both"/>
              <w:rPr/>
            </w:pPr>
            <w:hyperlink r:id="rId5">
              <w:r>
                <w:rPr>
                  <w:rStyle w:val="InternetLink"/>
                  <w:rFonts w:ascii="Times New Roman;Times;Serif" w:hAnsi="Times New Roman;Times;Serif"/>
                  <w:b w:val="false"/>
                  <w:i w:val="false"/>
                  <w:caps w:val="false"/>
                  <w:smallCaps w:val="false"/>
                  <w:sz w:val="20"/>
                </w:rPr>
                <w:t>Promissory Note to Ventoux Acquisition Holdings LLC (1)</w:t>
              </w:r>
            </w:hyperlink>
          </w:p>
        </w:tc>
      </w:tr>
      <w:tr>
        <w:trPr/>
        <w:tc>
          <w:tcPr>
            <w:tcW w:w="840" w:type="dxa"/>
            <w:tcBorders/>
            <w:shd w:fill="auto" w:val="clear"/>
            <w:tcMar>
              <w:bottom w:w="0" w:type="dxa"/>
            </w:tcM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w:t>
            </w:r>
          </w:p>
        </w:tc>
        <w:tc>
          <w:tcPr>
            <w:tcW w:w="60" w:type="dxa"/>
            <w:tcBorders/>
            <w:shd w:fill="auto" w:val="clear"/>
            <w:tcMar>
              <w:bottom w:w="0" w:type="dxa"/>
            </w:tcMar>
            <w:vAlign w:val="center"/>
          </w:tcPr>
          <w:p>
            <w:pPr>
              <w:pStyle w:val="TableContents"/>
              <w:spacing w:before="0" w:after="283"/>
              <w:jc w:val="both"/>
              <w:rPr>
                <w:caps w:val="false"/>
                <w:smallCaps w:val="false"/>
              </w:rPr>
            </w:pPr>
            <w:r>
              <w:rPr>
                <w:caps w:val="false"/>
                <w:smallCaps w:val="false"/>
              </w:rPr>
              <w:t> </w:t>
            </w:r>
          </w:p>
        </w:tc>
        <w:tc>
          <w:tcPr>
            <w:tcW w:w="9305" w:type="dxa"/>
            <w:tcBorders/>
            <w:shd w:fill="auto" w:val="clear"/>
            <w:tcMar>
              <w:bottom w:w="0" w:type="dxa"/>
            </w:tcMar>
            <w:vAlign w:val="center"/>
          </w:tcPr>
          <w:p>
            <w:pPr>
              <w:pStyle w:val="TableContents"/>
              <w:spacing w:before="0" w:after="283"/>
              <w:jc w:val="both"/>
              <w:rPr/>
            </w:pPr>
            <w:hyperlink r:id="rId6">
              <w:r>
                <w:rPr>
                  <w:rStyle w:val="InternetLink"/>
                  <w:rFonts w:ascii="Times New Roman;Times;Serif" w:hAnsi="Times New Roman;Times;Serif"/>
                  <w:b w:val="false"/>
                  <w:i w:val="false"/>
                  <w:caps w:val="false"/>
                  <w:smallCaps w:val="false"/>
                  <w:sz w:val="20"/>
                </w:rPr>
                <w:t>Promissory Note to Chardan International Investments, LLC (1)</w:t>
              </w:r>
            </w:hyperlink>
          </w:p>
        </w:tc>
      </w:tr>
      <w:tr>
        <w:trPr/>
        <w:tc>
          <w:tcPr>
            <w:tcW w:w="840" w:type="dxa"/>
            <w:tcBorders/>
            <w:shd w:fill="CCEEFF" w:val="clear"/>
            <w:tcMar>
              <w:bottom w:w="0" w:type="dxa"/>
            </w:tcM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31.1*</w:t>
            </w:r>
          </w:p>
        </w:tc>
        <w:tc>
          <w:tcPr>
            <w:tcW w:w="60" w:type="dxa"/>
            <w:tcBorders/>
            <w:shd w:fill="CCEEFF" w:val="clear"/>
            <w:tcMar>
              <w:bottom w:w="0" w:type="dxa"/>
            </w:tcMar>
            <w:vAlign w:val="center"/>
          </w:tcPr>
          <w:p>
            <w:pPr>
              <w:pStyle w:val="TableContents"/>
              <w:spacing w:before="0" w:after="283"/>
              <w:jc w:val="both"/>
              <w:rPr>
                <w:caps w:val="false"/>
                <w:smallCaps w:val="false"/>
              </w:rPr>
            </w:pPr>
            <w:r>
              <w:rPr>
                <w:caps w:val="false"/>
                <w:smallCaps w:val="false"/>
              </w:rPr>
              <w:t> </w:t>
            </w:r>
          </w:p>
        </w:tc>
        <w:tc>
          <w:tcPr>
            <w:tcW w:w="9305" w:type="dxa"/>
            <w:tcBorders/>
            <w:shd w:fill="CCEEFF" w:val="clear"/>
            <w:tcMar>
              <w:bottom w:w="0" w:type="dxa"/>
            </w:tcMar>
            <w:vAlign w:val="center"/>
          </w:tcPr>
          <w:p>
            <w:pPr>
              <w:pStyle w:val="TableContents"/>
              <w:spacing w:before="0" w:after="283"/>
              <w:jc w:val="both"/>
              <w:rPr/>
            </w:pPr>
            <w:hyperlink w:anchor="f10q0322ex31-1_ventouxccm.htm">
              <w:r>
                <w:rPr>
                  <w:rStyle w:val="InternetLink"/>
                  <w:rFonts w:ascii="Times New Roman;Times;Serif" w:hAnsi="Times New Roman;Times;Serif"/>
                  <w:b w:val="false"/>
                  <w:i w:val="false"/>
                  <w:caps w:val="false"/>
                  <w:smallCaps w:val="false"/>
                  <w:sz w:val="20"/>
                </w:rPr>
                <w:t>Certification of Principal Executive Officer pursuant to Rules 13a-14(a) and 15d-14(a) under the Securities Exchange Act of 1934, as adopted pursuant to Section 302 of the Sarbanes-Oxley Act of 2002.</w:t>
              </w:r>
            </w:hyperlink>
          </w:p>
        </w:tc>
      </w:tr>
      <w:tr>
        <w:trPr/>
        <w:tc>
          <w:tcPr>
            <w:tcW w:w="840" w:type="dxa"/>
            <w:tcBorders/>
            <w:shd w:fill="auto" w:val="clear"/>
            <w:tcMar>
              <w:bottom w:w="0" w:type="dxa"/>
            </w:tcM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31.2*</w:t>
            </w:r>
          </w:p>
        </w:tc>
        <w:tc>
          <w:tcPr>
            <w:tcW w:w="60" w:type="dxa"/>
            <w:tcBorders/>
            <w:shd w:fill="auto" w:val="clear"/>
            <w:tcMar>
              <w:bottom w:w="0" w:type="dxa"/>
            </w:tcMar>
            <w:vAlign w:val="center"/>
          </w:tcPr>
          <w:p>
            <w:pPr>
              <w:pStyle w:val="TableContents"/>
              <w:spacing w:before="0" w:after="283"/>
              <w:jc w:val="both"/>
              <w:rPr>
                <w:caps w:val="false"/>
                <w:smallCaps w:val="false"/>
              </w:rPr>
            </w:pPr>
            <w:r>
              <w:rPr>
                <w:caps w:val="false"/>
                <w:smallCaps w:val="false"/>
              </w:rPr>
              <w:t> </w:t>
            </w:r>
          </w:p>
        </w:tc>
        <w:tc>
          <w:tcPr>
            <w:tcW w:w="9305" w:type="dxa"/>
            <w:tcBorders/>
            <w:shd w:fill="auto" w:val="clear"/>
            <w:tcMar>
              <w:bottom w:w="0" w:type="dxa"/>
            </w:tcMar>
            <w:vAlign w:val="center"/>
          </w:tcPr>
          <w:p>
            <w:pPr>
              <w:pStyle w:val="TableContents"/>
              <w:spacing w:before="0" w:after="283"/>
              <w:jc w:val="both"/>
              <w:rPr/>
            </w:pPr>
            <w:hyperlink w:anchor="f10q0322ex31-2_ventouxccm.htm">
              <w:r>
                <w:rPr>
                  <w:rStyle w:val="InternetLink"/>
                  <w:rFonts w:ascii="Times New Roman;Times;Serif" w:hAnsi="Times New Roman;Times;Serif"/>
                  <w:b w:val="false"/>
                  <w:i w:val="false"/>
                  <w:caps w:val="false"/>
                  <w:smallCaps w:val="false"/>
                  <w:sz w:val="20"/>
                </w:rPr>
                <w:t>Certification of Principal Financial Officer pursuant to Rules 13a-14(a) and 15d-14(a) under the Securities Exchange Act of 1934, as adopted pursuant to Section 302 of the Sarbanes-Oxley Act of 2002.</w:t>
              </w:r>
            </w:hyperlink>
          </w:p>
        </w:tc>
      </w:tr>
      <w:tr>
        <w:trPr/>
        <w:tc>
          <w:tcPr>
            <w:tcW w:w="840" w:type="dxa"/>
            <w:tcBorders/>
            <w:shd w:fill="CCEEFF" w:val="clear"/>
            <w:tcMar>
              <w:bottom w:w="0" w:type="dxa"/>
            </w:tcM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32.1**</w:t>
            </w:r>
          </w:p>
        </w:tc>
        <w:tc>
          <w:tcPr>
            <w:tcW w:w="60" w:type="dxa"/>
            <w:tcBorders/>
            <w:shd w:fill="CCEEFF" w:val="clear"/>
            <w:tcMar>
              <w:bottom w:w="0" w:type="dxa"/>
            </w:tcMar>
            <w:vAlign w:val="center"/>
          </w:tcPr>
          <w:p>
            <w:pPr>
              <w:pStyle w:val="TableContents"/>
              <w:spacing w:before="0" w:after="283"/>
              <w:jc w:val="both"/>
              <w:rPr>
                <w:caps w:val="false"/>
                <w:smallCaps w:val="false"/>
              </w:rPr>
            </w:pPr>
            <w:r>
              <w:rPr>
                <w:caps w:val="false"/>
                <w:smallCaps w:val="false"/>
              </w:rPr>
              <w:t> </w:t>
            </w:r>
          </w:p>
        </w:tc>
        <w:tc>
          <w:tcPr>
            <w:tcW w:w="9305" w:type="dxa"/>
            <w:tcBorders/>
            <w:shd w:fill="CCEEFF" w:val="clear"/>
            <w:tcMar>
              <w:bottom w:w="0" w:type="dxa"/>
            </w:tcMar>
            <w:vAlign w:val="center"/>
          </w:tcPr>
          <w:p>
            <w:pPr>
              <w:pStyle w:val="TableContents"/>
              <w:spacing w:before="0" w:after="283"/>
              <w:jc w:val="both"/>
              <w:rPr/>
            </w:pPr>
            <w:hyperlink w:anchor="f10q0322ex32-1_ventouxccm.htm">
              <w:r>
                <w:rPr>
                  <w:rStyle w:val="InternetLink"/>
                  <w:rFonts w:ascii="Times New Roman;Times;Serif" w:hAnsi="Times New Roman;Times;Serif"/>
                  <w:b w:val="false"/>
                  <w:i w:val="false"/>
                  <w:caps w:val="false"/>
                  <w:smallCaps w:val="false"/>
                  <w:sz w:val="20"/>
                </w:rPr>
                <w:t>Certification of Principal Executive Officer pursuant to 18 U.S.C. Section 1350, as adopted pursuant to Section 906 of the Sarbanes-Oxley Act of 2002.</w:t>
              </w:r>
            </w:hyperlink>
          </w:p>
        </w:tc>
      </w:tr>
      <w:tr>
        <w:trPr/>
        <w:tc>
          <w:tcPr>
            <w:tcW w:w="840" w:type="dxa"/>
            <w:tcBorders/>
            <w:shd w:fill="auto" w:val="clear"/>
            <w:tcMar>
              <w:bottom w:w="0" w:type="dxa"/>
            </w:tcM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32.2**</w:t>
            </w:r>
          </w:p>
        </w:tc>
        <w:tc>
          <w:tcPr>
            <w:tcW w:w="60" w:type="dxa"/>
            <w:tcBorders/>
            <w:shd w:fill="auto" w:val="clear"/>
            <w:tcMar>
              <w:bottom w:w="0" w:type="dxa"/>
            </w:tcMar>
            <w:vAlign w:val="center"/>
          </w:tcPr>
          <w:p>
            <w:pPr>
              <w:pStyle w:val="TableContents"/>
              <w:spacing w:before="0" w:after="283"/>
              <w:jc w:val="both"/>
              <w:rPr>
                <w:caps w:val="false"/>
                <w:smallCaps w:val="false"/>
              </w:rPr>
            </w:pPr>
            <w:r>
              <w:rPr>
                <w:caps w:val="false"/>
                <w:smallCaps w:val="false"/>
              </w:rPr>
              <w:t> </w:t>
            </w:r>
          </w:p>
        </w:tc>
        <w:tc>
          <w:tcPr>
            <w:tcW w:w="9305" w:type="dxa"/>
            <w:tcBorders/>
            <w:shd w:fill="auto" w:val="clear"/>
            <w:tcMar>
              <w:bottom w:w="0" w:type="dxa"/>
            </w:tcMar>
            <w:vAlign w:val="center"/>
          </w:tcPr>
          <w:p>
            <w:pPr>
              <w:pStyle w:val="TableContents"/>
              <w:spacing w:before="0" w:after="283"/>
              <w:jc w:val="both"/>
              <w:rPr/>
            </w:pPr>
            <w:hyperlink w:anchor="f10q0322ex32-2_ventouxccm.htm">
              <w:r>
                <w:rPr>
                  <w:rStyle w:val="InternetLink"/>
                  <w:rFonts w:ascii="Times New Roman;Times;Serif" w:hAnsi="Times New Roman;Times;Serif"/>
                  <w:b w:val="false"/>
                  <w:i w:val="false"/>
                  <w:caps w:val="false"/>
                  <w:smallCaps w:val="false"/>
                  <w:sz w:val="20"/>
                </w:rPr>
                <w:t>Certification of Principal Financial Officer pursuant to 18 U.S.C. Section 1350, as adopted pursuant to Section 906 of the Sarbanes-Oxley Act of 2002.</w:t>
              </w:r>
            </w:hyperlink>
          </w:p>
        </w:tc>
      </w:tr>
      <w:tr>
        <w:trPr/>
        <w:tc>
          <w:tcPr>
            <w:tcW w:w="840" w:type="dxa"/>
            <w:tcBorders/>
            <w:shd w:fill="CCEEFF" w:val="clear"/>
            <w:tcMar>
              <w:bottom w:w="0" w:type="dxa"/>
            </w:tcM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101.INS</w:t>
            </w:r>
          </w:p>
        </w:tc>
        <w:tc>
          <w:tcPr>
            <w:tcW w:w="60" w:type="dxa"/>
            <w:tcBorders/>
            <w:shd w:fill="CCEEFF" w:val="clear"/>
            <w:tcMar>
              <w:bottom w:w="0" w:type="dxa"/>
            </w:tcMar>
            <w:vAlign w:val="center"/>
          </w:tcPr>
          <w:p>
            <w:pPr>
              <w:pStyle w:val="TableContents"/>
              <w:spacing w:before="0" w:after="283"/>
              <w:jc w:val="both"/>
              <w:rPr>
                <w:caps w:val="false"/>
                <w:smallCaps w:val="false"/>
              </w:rPr>
            </w:pPr>
            <w:r>
              <w:rPr>
                <w:caps w:val="false"/>
                <w:smallCaps w:val="false"/>
              </w:rPr>
              <w:t> </w:t>
            </w:r>
          </w:p>
        </w:tc>
        <w:tc>
          <w:tcPr>
            <w:tcW w:w="9305" w:type="dxa"/>
            <w:tcBorders/>
            <w:shd w:fill="CCEEFF" w:val="clear"/>
            <w:tcMar>
              <w:bottom w:w="0" w:type="dxa"/>
            </w:tcM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Inline XBRL Instance Document.</w:t>
            </w:r>
          </w:p>
        </w:tc>
      </w:tr>
      <w:tr>
        <w:trPr/>
        <w:tc>
          <w:tcPr>
            <w:tcW w:w="840" w:type="dxa"/>
            <w:tcBorders/>
            <w:shd w:fill="auto" w:val="clear"/>
            <w:tcMar>
              <w:bottom w:w="0" w:type="dxa"/>
            </w:tcM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101.SCH</w:t>
            </w:r>
          </w:p>
        </w:tc>
        <w:tc>
          <w:tcPr>
            <w:tcW w:w="60" w:type="dxa"/>
            <w:tcBorders/>
            <w:shd w:fill="auto" w:val="clear"/>
            <w:tcMar>
              <w:bottom w:w="0" w:type="dxa"/>
            </w:tcMar>
            <w:vAlign w:val="center"/>
          </w:tcPr>
          <w:p>
            <w:pPr>
              <w:pStyle w:val="TableContents"/>
              <w:spacing w:before="0" w:after="283"/>
              <w:jc w:val="both"/>
              <w:rPr>
                <w:caps w:val="false"/>
                <w:smallCaps w:val="false"/>
              </w:rPr>
            </w:pPr>
            <w:r>
              <w:rPr>
                <w:caps w:val="false"/>
                <w:smallCaps w:val="false"/>
              </w:rPr>
              <w:t> </w:t>
            </w:r>
          </w:p>
        </w:tc>
        <w:tc>
          <w:tcPr>
            <w:tcW w:w="9305" w:type="dxa"/>
            <w:tcBorders/>
            <w:shd w:fill="auto" w:val="clear"/>
            <w:tcMar>
              <w:bottom w:w="0" w:type="dxa"/>
            </w:tcM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Inline XBRL Taxonomy Extension Schema Document.</w:t>
            </w:r>
          </w:p>
        </w:tc>
      </w:tr>
      <w:tr>
        <w:trPr/>
        <w:tc>
          <w:tcPr>
            <w:tcW w:w="840" w:type="dxa"/>
            <w:tcBorders/>
            <w:shd w:fill="CCEEFF" w:val="clear"/>
            <w:tcMar>
              <w:bottom w:w="0" w:type="dxa"/>
            </w:tcM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101.CAL</w:t>
            </w:r>
          </w:p>
        </w:tc>
        <w:tc>
          <w:tcPr>
            <w:tcW w:w="60" w:type="dxa"/>
            <w:tcBorders/>
            <w:shd w:fill="CCEEFF" w:val="clear"/>
            <w:tcMar>
              <w:bottom w:w="0" w:type="dxa"/>
            </w:tcMar>
            <w:vAlign w:val="center"/>
          </w:tcPr>
          <w:p>
            <w:pPr>
              <w:pStyle w:val="TableContents"/>
              <w:spacing w:before="0" w:after="283"/>
              <w:jc w:val="both"/>
              <w:rPr>
                <w:caps w:val="false"/>
                <w:smallCaps w:val="false"/>
              </w:rPr>
            </w:pPr>
            <w:r>
              <w:rPr>
                <w:caps w:val="false"/>
                <w:smallCaps w:val="false"/>
              </w:rPr>
              <w:t> </w:t>
            </w:r>
          </w:p>
        </w:tc>
        <w:tc>
          <w:tcPr>
            <w:tcW w:w="9305" w:type="dxa"/>
            <w:tcBorders/>
            <w:shd w:fill="CCEEFF" w:val="clear"/>
            <w:tcMar>
              <w:bottom w:w="0" w:type="dxa"/>
            </w:tcM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Inline XBRL Taxonomy Extension Calculation Linkbase Document.</w:t>
            </w:r>
          </w:p>
        </w:tc>
      </w:tr>
      <w:tr>
        <w:trPr/>
        <w:tc>
          <w:tcPr>
            <w:tcW w:w="840" w:type="dxa"/>
            <w:tcBorders/>
            <w:shd w:fill="auto" w:val="clear"/>
            <w:tcMar>
              <w:bottom w:w="0" w:type="dxa"/>
            </w:tcM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101.DEF</w:t>
            </w:r>
          </w:p>
        </w:tc>
        <w:tc>
          <w:tcPr>
            <w:tcW w:w="60" w:type="dxa"/>
            <w:tcBorders/>
            <w:shd w:fill="auto" w:val="clear"/>
            <w:tcMar>
              <w:bottom w:w="0" w:type="dxa"/>
            </w:tcMar>
            <w:vAlign w:val="center"/>
          </w:tcPr>
          <w:p>
            <w:pPr>
              <w:pStyle w:val="TableContents"/>
              <w:spacing w:before="0" w:after="283"/>
              <w:jc w:val="both"/>
              <w:rPr>
                <w:caps w:val="false"/>
                <w:smallCaps w:val="false"/>
              </w:rPr>
            </w:pPr>
            <w:r>
              <w:rPr>
                <w:caps w:val="false"/>
                <w:smallCaps w:val="false"/>
              </w:rPr>
              <w:t> </w:t>
            </w:r>
          </w:p>
        </w:tc>
        <w:tc>
          <w:tcPr>
            <w:tcW w:w="9305" w:type="dxa"/>
            <w:tcBorders/>
            <w:shd w:fill="auto" w:val="clear"/>
            <w:tcMar>
              <w:bottom w:w="0" w:type="dxa"/>
            </w:tcM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Inline XBRL Taxonomy Extension Definition Linkbase Document.</w:t>
            </w:r>
          </w:p>
        </w:tc>
      </w:tr>
      <w:tr>
        <w:trPr/>
        <w:tc>
          <w:tcPr>
            <w:tcW w:w="840" w:type="dxa"/>
            <w:tcBorders/>
            <w:shd w:fill="CCEEFF" w:val="clear"/>
            <w:tcMar>
              <w:bottom w:w="0" w:type="dxa"/>
            </w:tcM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101.LAB</w:t>
            </w:r>
          </w:p>
        </w:tc>
        <w:tc>
          <w:tcPr>
            <w:tcW w:w="60" w:type="dxa"/>
            <w:tcBorders/>
            <w:shd w:fill="CCEEFF" w:val="clear"/>
            <w:tcMar>
              <w:bottom w:w="0" w:type="dxa"/>
            </w:tcMar>
            <w:vAlign w:val="center"/>
          </w:tcPr>
          <w:p>
            <w:pPr>
              <w:pStyle w:val="TableContents"/>
              <w:spacing w:before="0" w:after="283"/>
              <w:jc w:val="both"/>
              <w:rPr>
                <w:caps w:val="false"/>
                <w:smallCaps w:val="false"/>
              </w:rPr>
            </w:pPr>
            <w:r>
              <w:rPr>
                <w:caps w:val="false"/>
                <w:smallCaps w:val="false"/>
              </w:rPr>
              <w:t> </w:t>
            </w:r>
          </w:p>
        </w:tc>
        <w:tc>
          <w:tcPr>
            <w:tcW w:w="9305" w:type="dxa"/>
            <w:tcBorders/>
            <w:shd w:fill="CCEEFF" w:val="clear"/>
            <w:tcMar>
              <w:bottom w:w="0" w:type="dxa"/>
            </w:tcM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Inline XBRL Taxonomy Extension Label Linkbase Document.</w:t>
            </w:r>
          </w:p>
        </w:tc>
      </w:tr>
      <w:tr>
        <w:trPr/>
        <w:tc>
          <w:tcPr>
            <w:tcW w:w="840" w:type="dxa"/>
            <w:tcBorders/>
            <w:shd w:fill="auto" w:val="clear"/>
            <w:tcMar>
              <w:bottom w:w="0" w:type="dxa"/>
            </w:tcM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101.PRE</w:t>
            </w:r>
          </w:p>
        </w:tc>
        <w:tc>
          <w:tcPr>
            <w:tcW w:w="60" w:type="dxa"/>
            <w:tcBorders/>
            <w:shd w:fill="auto" w:val="clear"/>
            <w:tcMar>
              <w:bottom w:w="0" w:type="dxa"/>
            </w:tcMar>
            <w:vAlign w:val="center"/>
          </w:tcPr>
          <w:p>
            <w:pPr>
              <w:pStyle w:val="TableContents"/>
              <w:spacing w:before="0" w:after="283"/>
              <w:jc w:val="both"/>
              <w:rPr>
                <w:caps w:val="false"/>
                <w:smallCaps w:val="false"/>
              </w:rPr>
            </w:pPr>
            <w:r>
              <w:rPr>
                <w:caps w:val="false"/>
                <w:smallCaps w:val="false"/>
              </w:rPr>
              <w:t> </w:t>
            </w:r>
          </w:p>
        </w:tc>
        <w:tc>
          <w:tcPr>
            <w:tcW w:w="9305" w:type="dxa"/>
            <w:tcBorders/>
            <w:shd w:fill="auto" w:val="clear"/>
            <w:tcMar>
              <w:bottom w:w="0" w:type="dxa"/>
            </w:tcM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Inline XBRL Taxonomy Extension Presentation Linkbase Document.</w:t>
            </w:r>
          </w:p>
        </w:tc>
      </w:tr>
      <w:tr>
        <w:trPr/>
        <w:tc>
          <w:tcPr>
            <w:tcW w:w="840" w:type="dxa"/>
            <w:tcBorders/>
            <w:shd w:fill="CCEEFF" w:val="clear"/>
            <w:tcMar>
              <w:bottom w:w="0" w:type="dxa"/>
            </w:tcM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w:t>
            </w:r>
          </w:p>
        </w:tc>
        <w:tc>
          <w:tcPr>
            <w:tcW w:w="60" w:type="dxa"/>
            <w:tcBorders/>
            <w:shd w:fill="CCEEFF" w:val="clear"/>
            <w:tcMar>
              <w:bottom w:w="0" w:type="dxa"/>
            </w:tcMar>
            <w:vAlign w:val="center"/>
          </w:tcPr>
          <w:p>
            <w:pPr>
              <w:pStyle w:val="TableContents"/>
              <w:spacing w:before="0" w:after="283"/>
              <w:jc w:val="both"/>
              <w:rPr>
                <w:caps w:val="false"/>
                <w:smallCaps w:val="false"/>
              </w:rPr>
            </w:pPr>
            <w:r>
              <w:rPr>
                <w:caps w:val="false"/>
                <w:smallCaps w:val="false"/>
              </w:rPr>
              <w:t> </w:t>
            </w:r>
          </w:p>
        </w:tc>
        <w:tc>
          <w:tcPr>
            <w:tcW w:w="9305" w:type="dxa"/>
            <w:tcBorders/>
            <w:shd w:fill="CCEEFF" w:val="clear"/>
            <w:tcMar>
              <w:bottom w:w="0" w:type="dxa"/>
            </w:tcM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Cover Page Interactive Data File (formatted as Inline XBRL and contained in Exhibit 101).</w:t>
            </w:r>
          </w:p>
        </w:tc>
      </w:tr>
    </w:tbl>
    <w:p>
      <w:pPr>
        <w:pStyle w:val="TextBody"/>
        <w:spacing w:before="0" w:after="0"/>
        <w:ind w:left="0" w:right="0" w:hanging="0"/>
        <w:jc w:val="both"/>
        <w:rPr>
          <w:caps w:val="false"/>
          <w:smallCaps w:val="false"/>
        </w:rPr>
      </w:pPr>
      <w:r>
        <w:rPr>
          <w:caps w:val="false"/>
          <w:smallCaps w:val="false"/>
        </w:rPr>
        <w:t> </w:t>
      </w:r>
    </w:p>
    <w:p>
      <w:pPr>
        <w:pStyle w:val="TextBody"/>
        <w:spacing w:before="60" w:after="60"/>
        <w:rPr>
          <w:bdr w:val="single" w:sz="12" w:space="1" w:color="000000"/>
        </w:rPr>
      </w:pPr>
      <w:r>
        <w:rPr>
          <w:bdr w:val="single" w:sz="12" w:space="1" w:color="000000"/>
        </w:rPr>
        <w:t> </w:t>
      </w:r>
    </w:p>
    <w:tbl>
      <w:tblPr>
        <w:tblW w:w="10205" w:type="dxa"/>
        <w:jc w:val="left"/>
        <w:tblInd w:w="0" w:type="dxa"/>
        <w:tblCellMar>
          <w:top w:w="0" w:type="dxa"/>
          <w:left w:w="0" w:type="dxa"/>
          <w:bottom w:w="0" w:type="dxa"/>
          <w:right w:w="0" w:type="dxa"/>
        </w:tblCellMar>
      </w:tblPr>
      <w:tblGrid>
        <w:gridCol w:w="216"/>
        <w:gridCol w:w="9989"/>
      </w:tblGrid>
      <w:tr>
        <w:trPr/>
        <w:tc>
          <w:tcPr>
            <w:tcW w:w="216"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989"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Filed herewith.</w:t>
            </w:r>
          </w:p>
        </w:tc>
      </w:tr>
      <w:tr>
        <w:trPr/>
        <w:tc>
          <w:tcPr>
            <w:tcW w:w="216"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989"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Furnished herewith. This certification is being furnished solely to accompany this report pursuant to 18 U.S.C. Section 1350, and is not being filed for purposes of Section 18 of the Exchange Act of 1934, as amended, and is not to be incorporated by reference into any filings of the Company, whether made before or after the date hereof, regardless of any general incorporation language in such filing.</w:t>
            </w:r>
          </w:p>
        </w:tc>
      </w:tr>
      <w:tr>
        <w:trPr/>
        <w:tc>
          <w:tcPr>
            <w:tcW w:w="216"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9989" w:type="dxa"/>
            <w:tcBorders/>
            <w:shd w:fill="auto" w:val="clear"/>
            <w:vAlign w:val="center"/>
          </w:tcPr>
          <w:p>
            <w:pPr>
              <w:pStyle w:val="TableContents"/>
              <w:spacing w:before="0" w:after="283"/>
              <w:jc w:val="both"/>
              <w:rPr>
                <w:caps w:val="false"/>
                <w:smallCaps w:val="false"/>
              </w:rPr>
            </w:pPr>
            <w:r>
              <w:rPr>
                <w:caps w:val="false"/>
                <w:smallCaps w:val="false"/>
              </w:rPr>
              <w:t> </w:t>
            </w:r>
          </w:p>
        </w:tc>
      </w:tr>
      <w:tr>
        <w:trPr/>
        <w:tc>
          <w:tcPr>
            <w:tcW w:w="216"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989" w:type="dxa"/>
            <w:tcBorders/>
            <w:shd w:fill="auto" w:val="clear"/>
            <w:vAlign w:val="center"/>
          </w:tcPr>
          <w:p>
            <w:pPr>
              <w:pStyle w:val="TableContents"/>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Incorporated by reference to the Company’s Form 8-K, filed with the SEC on April 4, 2022.</w:t>
            </w:r>
          </w:p>
        </w:tc>
      </w:tr>
    </w:tbl>
    <w:p>
      <w:pPr>
        <w:pStyle w:val="TextBody"/>
        <w:spacing w:before="0" w:after="0"/>
        <w:ind w:left="0" w:right="0" w:hanging="0"/>
        <w:jc w:val="both"/>
        <w:rPr>
          <w:caps w:val="false"/>
          <w:smallCaps w:val="false"/>
        </w:rPr>
      </w:pPr>
      <w:r>
        <w:rPr>
          <w:caps w:val="false"/>
          <w:smallCaps w:val="false"/>
        </w:rPr>
        <w:t> </w:t>
      </w:r>
    </w:p>
    <w:p>
      <w:pPr>
        <w:pStyle w:val="TextBody"/>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28</w:t>
      </w:r>
    </w:p>
    <w:p>
      <w:pPr>
        <w:pStyle w:val="TextBody"/>
        <w:spacing w:before="0" w:after="0"/>
        <w:ind w:left="0" w:right="0" w:hanging="0"/>
        <w:rPr/>
      </w:pPr>
      <w:r>
        <w:rPr/>
        <w:t> </w:t>
      </w:r>
    </w:p>
    <w:p>
      <w:pPr>
        <w:pStyle w:val="TextBody"/>
        <w:spacing w:before="0" w:after="0"/>
        <w:ind w:left="0" w:right="0" w:hanging="0"/>
        <w:jc w:val="both"/>
        <w:rPr>
          <w:caps w:val="false"/>
          <w:smallCaps w:val="false"/>
        </w:rPr>
      </w:pPr>
      <w:r>
        <w:rPr>
          <w:caps w:val="false"/>
          <w:smallCaps w:val="false"/>
        </w:rPr>
        <w:t> </w:t>
      </w:r>
    </w:p>
    <w:p>
      <w:pPr>
        <w:pStyle w:val="TextBody"/>
        <w:spacing w:before="0" w:after="0"/>
        <w:jc w:val="center"/>
        <w:rPr>
          <w:rFonts w:ascii="Times New Roman;Times;Serif" w:hAnsi="Times New Roman;Times;Serif"/>
          <w:b/>
          <w:i w:val="false"/>
          <w:caps w:val="false"/>
          <w:smallCaps w:val="false"/>
          <w:sz w:val="20"/>
        </w:rPr>
      </w:pPr>
      <w:bookmarkStart w:id="20" w:name="a_019"/>
      <w:bookmarkEnd w:id="20"/>
      <w:r>
        <w:rPr>
          <w:rFonts w:ascii="Times New Roman;Times;Serif" w:hAnsi="Times New Roman;Times;Serif"/>
          <w:b/>
          <w:i w:val="false"/>
          <w:caps w:val="false"/>
          <w:smallCaps w:val="false"/>
          <w:sz w:val="20"/>
        </w:rPr>
        <w:t>SIGNATURES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accordance with the requirements of the Exchange Act, the registrant caused this report to be signed on its behalf by the undersigned, thereunto duly authorized.</w:t>
      </w:r>
    </w:p>
    <w:p>
      <w:pPr>
        <w:pStyle w:val="TextBody"/>
        <w:spacing w:before="0" w:after="0"/>
        <w:ind w:left="0" w:right="0" w:firstLine="360"/>
        <w:jc w:val="both"/>
        <w:rPr>
          <w:caps w:val="false"/>
          <w:smallCaps w:val="false"/>
        </w:rPr>
      </w:pPr>
      <w:r>
        <w:rPr>
          <w:caps w:val="false"/>
          <w:smallCaps w:val="false"/>
        </w:rPr>
        <w:t> </w:t>
      </w:r>
    </w:p>
    <w:tbl>
      <w:tblPr>
        <w:tblW w:w="5895" w:type="dxa"/>
        <w:jc w:val="left"/>
        <w:tblInd w:w="0" w:type="dxa"/>
        <w:tblCellMar>
          <w:top w:w="0" w:type="dxa"/>
          <w:left w:w="0" w:type="dxa"/>
          <w:bottom w:w="0" w:type="dxa"/>
          <w:right w:w="0" w:type="dxa"/>
        </w:tblCellMar>
      </w:tblPr>
      <w:tblGrid>
        <w:gridCol w:w="1655"/>
        <w:gridCol w:w="590"/>
        <w:gridCol w:w="3650"/>
      </w:tblGrid>
      <w:tr>
        <w:trPr/>
        <w:tc>
          <w:tcPr>
            <w:tcW w:w="1655" w:type="dxa"/>
            <w:tcBorders/>
            <w:shd w:fill="auto" w:val="clear"/>
            <w:vAlign w:val="center"/>
          </w:tcPr>
          <w:p>
            <w:pPr>
              <w:pStyle w:val="TableContents"/>
              <w:spacing w:before="0" w:after="283"/>
              <w:jc w:val="left"/>
              <w:rPr>
                <w:caps w:val="false"/>
                <w:smallCaps w:val="false"/>
              </w:rPr>
            </w:pPr>
            <w:r>
              <w:rPr>
                <w:caps w:val="false"/>
                <w:smallCaps w:val="false"/>
              </w:rPr>
              <w:t> </w:t>
            </w:r>
          </w:p>
        </w:tc>
        <w:tc>
          <w:tcPr>
            <w:tcW w:w="4240" w:type="dxa"/>
            <w:gridSpan w:val="2"/>
            <w:tcBorders/>
            <w:shd w:fill="auto" w:val="clear"/>
            <w:vAlign w:val="center"/>
          </w:tcPr>
          <w:p>
            <w:pPr>
              <w:pStyle w:val="TableContents"/>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VENTOUX CCM ACQUISITION CORP.</w:t>
            </w:r>
          </w:p>
        </w:tc>
      </w:tr>
      <w:tr>
        <w:trPr/>
        <w:tc>
          <w:tcPr>
            <w:tcW w:w="1655" w:type="dxa"/>
            <w:tcBorders/>
            <w:shd w:fill="auto" w:val="clear"/>
            <w:vAlign w:val="center"/>
          </w:tcPr>
          <w:p>
            <w:pPr>
              <w:pStyle w:val="TableContents"/>
              <w:spacing w:before="0" w:after="283"/>
              <w:jc w:val="left"/>
              <w:rPr>
                <w:caps w:val="false"/>
                <w:smallCaps w:val="false"/>
              </w:rPr>
            </w:pPr>
            <w:r>
              <w:rPr>
                <w:caps w:val="false"/>
                <w:smallCaps w:val="false"/>
              </w:rPr>
              <w:t> </w:t>
            </w:r>
          </w:p>
        </w:tc>
        <w:tc>
          <w:tcPr>
            <w:tcW w:w="590" w:type="dxa"/>
            <w:tcBorders/>
            <w:shd w:fill="auto" w:val="clear"/>
            <w:vAlign w:val="center"/>
          </w:tcPr>
          <w:p>
            <w:pPr>
              <w:pStyle w:val="TableContents"/>
              <w:spacing w:before="0" w:after="283"/>
              <w:jc w:val="left"/>
              <w:rPr>
                <w:caps w:val="false"/>
                <w:smallCaps w:val="false"/>
              </w:rPr>
            </w:pPr>
            <w:r>
              <w:rPr>
                <w:caps w:val="false"/>
                <w:smallCaps w:val="false"/>
              </w:rPr>
              <w:t> </w:t>
            </w:r>
          </w:p>
        </w:tc>
        <w:tc>
          <w:tcPr>
            <w:tcW w:w="3650" w:type="dxa"/>
            <w:tcBorders/>
            <w:shd w:fill="auto" w:val="clear"/>
            <w:vAlign w:val="center"/>
          </w:tcPr>
          <w:p>
            <w:pPr>
              <w:pStyle w:val="TableContents"/>
              <w:spacing w:before="0" w:after="283"/>
              <w:jc w:val="left"/>
              <w:rPr>
                <w:caps w:val="false"/>
                <w:smallCaps w:val="false"/>
              </w:rPr>
            </w:pPr>
            <w:r>
              <w:rPr>
                <w:caps w:val="false"/>
                <w:smallCaps w:val="false"/>
              </w:rPr>
              <w:t> </w:t>
            </w:r>
          </w:p>
        </w:tc>
      </w:tr>
      <w:tr>
        <w:trPr/>
        <w:tc>
          <w:tcPr>
            <w:tcW w:w="1655" w:type="dxa"/>
            <w:tcBorders/>
            <w:shd w:fill="auto"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May 13, 2022</w:t>
            </w:r>
          </w:p>
        </w:tc>
        <w:tc>
          <w:tcPr>
            <w:tcW w:w="590" w:type="dxa"/>
            <w:tcBorders/>
            <w:shd w:fill="auto"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3650" w:type="dxa"/>
            <w:tcBorders>
              <w:bottom w:val="single" w:sz="12" w:space="0" w:color="000000"/>
            </w:tcBorders>
            <w:shd w:fill="auto" w:val="clear"/>
            <w:tcMar>
              <w:bottom w:w="28" w:type="dxa"/>
            </w:tcM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Edward Scheetz</w:t>
            </w:r>
          </w:p>
        </w:tc>
      </w:tr>
      <w:tr>
        <w:trPr/>
        <w:tc>
          <w:tcPr>
            <w:tcW w:w="1655" w:type="dxa"/>
            <w:tcBorders/>
            <w:shd w:fill="auto" w:val="clear"/>
            <w:vAlign w:val="center"/>
          </w:tcPr>
          <w:p>
            <w:pPr>
              <w:pStyle w:val="TableContents"/>
              <w:spacing w:before="0" w:after="283"/>
              <w:jc w:val="left"/>
              <w:rPr>
                <w:caps w:val="false"/>
                <w:smallCaps w:val="false"/>
              </w:rPr>
            </w:pPr>
            <w:r>
              <w:rPr>
                <w:caps w:val="false"/>
                <w:smallCaps w:val="false"/>
              </w:rPr>
              <w:t> </w:t>
            </w:r>
          </w:p>
        </w:tc>
        <w:tc>
          <w:tcPr>
            <w:tcW w:w="590" w:type="dxa"/>
            <w:tcBorders/>
            <w:shd w:fill="auto"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Name: </w:t>
            </w:r>
          </w:p>
        </w:tc>
        <w:tc>
          <w:tcPr>
            <w:tcW w:w="3650" w:type="dxa"/>
            <w:tcBorders/>
            <w:shd w:fill="auto"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Edward Scheetz</w:t>
            </w:r>
          </w:p>
        </w:tc>
      </w:tr>
      <w:tr>
        <w:trPr/>
        <w:tc>
          <w:tcPr>
            <w:tcW w:w="1655" w:type="dxa"/>
            <w:tcBorders/>
            <w:shd w:fill="auto" w:val="clear"/>
            <w:vAlign w:val="center"/>
          </w:tcPr>
          <w:p>
            <w:pPr>
              <w:pStyle w:val="TableContents"/>
              <w:spacing w:before="0" w:after="283"/>
              <w:jc w:val="left"/>
              <w:rPr>
                <w:caps w:val="false"/>
                <w:smallCaps w:val="false"/>
              </w:rPr>
            </w:pPr>
            <w:r>
              <w:rPr>
                <w:caps w:val="false"/>
                <w:smallCaps w:val="false"/>
              </w:rPr>
              <w:t> </w:t>
            </w:r>
          </w:p>
        </w:tc>
        <w:tc>
          <w:tcPr>
            <w:tcW w:w="590" w:type="dxa"/>
            <w:tcBorders/>
            <w:shd w:fill="auto"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3650" w:type="dxa"/>
            <w:tcBorders/>
            <w:shd w:fill="auto"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Chairman and Chief Executive Officer</w:t>
            </w:r>
          </w:p>
        </w:tc>
      </w:tr>
      <w:tr>
        <w:trPr/>
        <w:tc>
          <w:tcPr>
            <w:tcW w:w="1655" w:type="dxa"/>
            <w:tcBorders/>
            <w:shd w:fill="auto" w:val="clear"/>
            <w:vAlign w:val="center"/>
          </w:tcPr>
          <w:p>
            <w:pPr>
              <w:pStyle w:val="TableContents"/>
              <w:spacing w:before="0" w:after="283"/>
              <w:jc w:val="left"/>
              <w:rPr>
                <w:caps w:val="false"/>
                <w:smallCaps w:val="false"/>
              </w:rPr>
            </w:pPr>
            <w:r>
              <w:rPr>
                <w:caps w:val="false"/>
                <w:smallCaps w:val="false"/>
              </w:rPr>
              <w:t> </w:t>
            </w:r>
          </w:p>
        </w:tc>
        <w:tc>
          <w:tcPr>
            <w:tcW w:w="590" w:type="dxa"/>
            <w:tcBorders/>
            <w:shd w:fill="auto" w:val="clear"/>
            <w:vAlign w:val="center"/>
          </w:tcPr>
          <w:p>
            <w:pPr>
              <w:pStyle w:val="TableContents"/>
              <w:spacing w:before="0" w:after="283"/>
              <w:jc w:val="left"/>
              <w:rPr>
                <w:caps w:val="false"/>
                <w:smallCaps w:val="false"/>
              </w:rPr>
            </w:pPr>
            <w:r>
              <w:rPr>
                <w:caps w:val="false"/>
                <w:smallCaps w:val="false"/>
              </w:rPr>
              <w:t> </w:t>
            </w:r>
          </w:p>
        </w:tc>
        <w:tc>
          <w:tcPr>
            <w:tcW w:w="3650" w:type="dxa"/>
            <w:tcBorders/>
            <w:shd w:fill="auto"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(Principal Executive Officer)</w:t>
            </w:r>
          </w:p>
        </w:tc>
      </w:tr>
      <w:tr>
        <w:trPr/>
        <w:tc>
          <w:tcPr>
            <w:tcW w:w="1655" w:type="dxa"/>
            <w:tcBorders/>
            <w:shd w:fill="auto" w:val="clear"/>
            <w:vAlign w:val="center"/>
          </w:tcPr>
          <w:p>
            <w:pPr>
              <w:pStyle w:val="TableContents"/>
              <w:spacing w:before="0" w:after="283"/>
              <w:jc w:val="left"/>
              <w:rPr>
                <w:caps w:val="false"/>
                <w:smallCaps w:val="false"/>
              </w:rPr>
            </w:pPr>
            <w:r>
              <w:rPr>
                <w:caps w:val="false"/>
                <w:smallCaps w:val="false"/>
              </w:rPr>
              <w:t> </w:t>
            </w:r>
          </w:p>
        </w:tc>
        <w:tc>
          <w:tcPr>
            <w:tcW w:w="590" w:type="dxa"/>
            <w:tcBorders/>
            <w:shd w:fill="auto" w:val="clear"/>
            <w:vAlign w:val="center"/>
          </w:tcPr>
          <w:p>
            <w:pPr>
              <w:pStyle w:val="TableContents"/>
              <w:spacing w:before="0" w:after="283"/>
              <w:jc w:val="left"/>
              <w:rPr>
                <w:caps w:val="false"/>
                <w:smallCaps w:val="false"/>
              </w:rPr>
            </w:pPr>
            <w:r>
              <w:rPr>
                <w:caps w:val="false"/>
                <w:smallCaps w:val="false"/>
              </w:rPr>
              <w:t> </w:t>
            </w:r>
          </w:p>
        </w:tc>
        <w:tc>
          <w:tcPr>
            <w:tcW w:w="3650" w:type="dxa"/>
            <w:tcBorders/>
            <w:shd w:fill="auto" w:val="clear"/>
            <w:vAlign w:val="center"/>
          </w:tcPr>
          <w:p>
            <w:pPr>
              <w:pStyle w:val="TableContents"/>
              <w:spacing w:before="0" w:after="283"/>
              <w:jc w:val="left"/>
              <w:rPr>
                <w:caps w:val="false"/>
                <w:smallCaps w:val="false"/>
              </w:rPr>
            </w:pPr>
            <w:r>
              <w:rPr>
                <w:caps w:val="false"/>
                <w:smallCaps w:val="false"/>
              </w:rPr>
              <w:t> </w:t>
            </w:r>
          </w:p>
        </w:tc>
      </w:tr>
      <w:tr>
        <w:trPr/>
        <w:tc>
          <w:tcPr>
            <w:tcW w:w="1655" w:type="dxa"/>
            <w:tcBorders/>
            <w:shd w:fill="auto"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May 13, 2022</w:t>
            </w:r>
          </w:p>
        </w:tc>
        <w:tc>
          <w:tcPr>
            <w:tcW w:w="590" w:type="dxa"/>
            <w:tcBorders/>
            <w:shd w:fill="auto"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3650" w:type="dxa"/>
            <w:tcBorders>
              <w:bottom w:val="single" w:sz="12" w:space="0" w:color="000000"/>
            </w:tcBorders>
            <w:shd w:fill="auto" w:val="clear"/>
            <w:tcMar>
              <w:bottom w:w="28" w:type="dxa"/>
            </w:tcM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Matthew MacDonald</w:t>
            </w:r>
          </w:p>
        </w:tc>
      </w:tr>
      <w:tr>
        <w:trPr/>
        <w:tc>
          <w:tcPr>
            <w:tcW w:w="1655" w:type="dxa"/>
            <w:tcBorders/>
            <w:shd w:fill="auto" w:val="clear"/>
            <w:vAlign w:val="center"/>
          </w:tcPr>
          <w:p>
            <w:pPr>
              <w:pStyle w:val="TableContents"/>
              <w:spacing w:before="0" w:after="283"/>
              <w:jc w:val="left"/>
              <w:rPr>
                <w:caps w:val="false"/>
                <w:smallCaps w:val="false"/>
              </w:rPr>
            </w:pPr>
            <w:r>
              <w:rPr>
                <w:caps w:val="false"/>
                <w:smallCaps w:val="false"/>
              </w:rPr>
              <w:t> </w:t>
            </w:r>
          </w:p>
        </w:tc>
        <w:tc>
          <w:tcPr>
            <w:tcW w:w="590" w:type="dxa"/>
            <w:tcBorders/>
            <w:shd w:fill="auto"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3650" w:type="dxa"/>
            <w:tcBorders/>
            <w:shd w:fill="auto"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Matthew MacDonald</w:t>
            </w:r>
          </w:p>
        </w:tc>
      </w:tr>
      <w:tr>
        <w:trPr/>
        <w:tc>
          <w:tcPr>
            <w:tcW w:w="1655" w:type="dxa"/>
            <w:tcBorders/>
            <w:shd w:fill="auto" w:val="clear"/>
            <w:vAlign w:val="center"/>
          </w:tcPr>
          <w:p>
            <w:pPr>
              <w:pStyle w:val="TableContents"/>
              <w:spacing w:before="0" w:after="283"/>
              <w:jc w:val="left"/>
              <w:rPr>
                <w:caps w:val="false"/>
                <w:smallCaps w:val="false"/>
              </w:rPr>
            </w:pPr>
            <w:r>
              <w:rPr>
                <w:caps w:val="false"/>
                <w:smallCaps w:val="false"/>
              </w:rPr>
              <w:t> </w:t>
            </w:r>
          </w:p>
        </w:tc>
        <w:tc>
          <w:tcPr>
            <w:tcW w:w="590" w:type="dxa"/>
            <w:tcBorders/>
            <w:shd w:fill="auto"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3650" w:type="dxa"/>
            <w:tcBorders/>
            <w:shd w:fill="auto"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Financial Officer</w:t>
            </w:r>
          </w:p>
        </w:tc>
      </w:tr>
      <w:tr>
        <w:trPr/>
        <w:tc>
          <w:tcPr>
            <w:tcW w:w="1655" w:type="dxa"/>
            <w:tcBorders/>
            <w:shd w:fill="auto" w:val="clear"/>
            <w:vAlign w:val="center"/>
          </w:tcPr>
          <w:p>
            <w:pPr>
              <w:pStyle w:val="TableContents"/>
              <w:spacing w:before="0" w:after="283"/>
              <w:jc w:val="left"/>
              <w:rPr>
                <w:caps w:val="false"/>
                <w:smallCaps w:val="false"/>
              </w:rPr>
            </w:pPr>
            <w:r>
              <w:rPr>
                <w:caps w:val="false"/>
                <w:smallCaps w:val="false"/>
              </w:rPr>
              <w:t> </w:t>
            </w:r>
          </w:p>
        </w:tc>
        <w:tc>
          <w:tcPr>
            <w:tcW w:w="590" w:type="dxa"/>
            <w:tcBorders/>
            <w:shd w:fill="auto" w:val="clear"/>
            <w:vAlign w:val="center"/>
          </w:tcPr>
          <w:p>
            <w:pPr>
              <w:pStyle w:val="TableContents"/>
              <w:spacing w:before="0" w:after="283"/>
              <w:jc w:val="left"/>
              <w:rPr>
                <w:caps w:val="false"/>
                <w:smallCaps w:val="false"/>
              </w:rPr>
            </w:pPr>
            <w:r>
              <w:rPr>
                <w:caps w:val="false"/>
                <w:smallCaps w:val="false"/>
              </w:rPr>
              <w:t> </w:t>
            </w:r>
          </w:p>
        </w:tc>
        <w:tc>
          <w:tcPr>
            <w:tcW w:w="3650" w:type="dxa"/>
            <w:tcBorders/>
            <w:shd w:fill="auto"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(Principal Accounting and Financial Officer)</w:t>
            </w:r>
          </w:p>
        </w:tc>
      </w:tr>
    </w:tbl>
    <w:p>
      <w:pPr>
        <w:pStyle w:val="TextBody"/>
        <w:spacing w:before="0" w:after="0"/>
        <w:ind w:left="0" w:right="0" w:hanging="0"/>
        <w:jc w:val="both"/>
        <w:rPr>
          <w:caps w:val="false"/>
          <w:smallCaps w:val="false"/>
        </w:rPr>
      </w:pPr>
      <w:r>
        <w:rPr>
          <w:caps w:val="false"/>
          <w:smallCaps w:val="false"/>
        </w:rPr>
        <w:t> </w:t>
      </w:r>
    </w:p>
    <w:p>
      <w:pPr>
        <w:pStyle w:val="TextBody"/>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29</w:t>
      </w:r>
      <w:r>
        <w:br w:type="page"/>
      </w:r>
    </w:p>
    <w:p>
      <w:pPr>
        <w:pStyle w:val="TextBody"/>
        <w:spacing w:before="0" w:after="0"/>
        <w:jc w:val="right"/>
        <w:rPr>
          <w:rFonts w:ascii="Times New Roman;Times;Serif" w:hAnsi="Times New Roman;Times;Serif"/>
          <w:b/>
          <w:i w:val="false"/>
          <w:caps w:val="false"/>
          <w:smallCaps w:val="false"/>
          <w:sz w:val="20"/>
        </w:rPr>
      </w:pPr>
      <w:bookmarkStart w:id="21" w:name="f10q0322ex4-1_ventouxccm.htm"/>
      <w:bookmarkStart w:id="22" w:name="ksf10q0322ex41_ventouxccm"/>
      <w:bookmarkEnd w:id="21"/>
      <w:bookmarkEnd w:id="22"/>
      <w:r>
        <w:rPr>
          <w:rFonts w:ascii="Times New Roman;Times;Serif" w:hAnsi="Times New Roman;Times;Serif"/>
          <w:b/>
          <w:i w:val="false"/>
          <w:caps w:val="false"/>
          <w:smallCaps w:val="false"/>
          <w:sz w:val="20"/>
        </w:rPr>
        <w:t>Exhibit 4.1</w:t>
      </w:r>
    </w:p>
    <w:p>
      <w:pPr>
        <w:pStyle w:val="TextBody"/>
        <w:spacing w:before="0" w:after="0"/>
        <w:jc w:val="center"/>
        <w:rPr>
          <w:caps w:val="false"/>
          <w:smallCaps w:val="false"/>
        </w:rPr>
      </w:pPr>
      <w:r>
        <w:rPr>
          <w:caps w:val="false"/>
          <w:smallCaps w:val="false"/>
        </w:rPr>
        <w:t> </w:t>
      </w:r>
    </w:p>
    <w:p>
      <w:pPr>
        <w:pStyle w:val="TextBody"/>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WARRANT AGREEMENT</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Warrant Agreement (“</w:t>
      </w:r>
      <w:r>
        <w:rPr>
          <w:rFonts w:ascii="Times New Roman;Times;Serif" w:hAnsi="Times New Roman;Times;Serif"/>
          <w:b/>
          <w:i w:val="false"/>
          <w:caps w:val="false"/>
          <w:smallCaps w:val="false"/>
          <w:sz w:val="20"/>
        </w:rPr>
        <w:t>Warrant Agreement</w:t>
      </w:r>
      <w:r>
        <w:rPr>
          <w:rFonts w:ascii="Times New Roman;Times;Serif" w:hAnsi="Times New Roman;Times;Serif"/>
          <w:b w:val="false"/>
          <w:i w:val="false"/>
          <w:caps w:val="false"/>
          <w:smallCaps w:val="false"/>
          <w:sz w:val="20"/>
        </w:rPr>
        <w:t>”) is made as of December 23, 2020, by and between Ventoux CCM Acquisition Corp., a Delaware corporation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and Continental Stock Transfer &amp; Trust Company (the “</w:t>
      </w:r>
      <w:r>
        <w:rPr>
          <w:rFonts w:ascii="Times New Roman;Times;Serif" w:hAnsi="Times New Roman;Times;Serif"/>
          <w:b/>
          <w:i w:val="false"/>
          <w:caps w:val="false"/>
          <w:smallCaps w:val="false"/>
          <w:sz w:val="20"/>
        </w:rPr>
        <w:t>Warrant Agent</w:t>
      </w:r>
      <w:r>
        <w:rPr>
          <w:rFonts w:ascii="Times New Roman;Times;Serif" w:hAnsi="Times New Roman;Times;Serif"/>
          <w:b w:val="false"/>
          <w:i w:val="false"/>
          <w:caps w:val="false"/>
          <w:smallCaps w:val="false"/>
          <w:sz w:val="20"/>
        </w:rPr>
        <w:t>”).</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the Company is engaged in a public offering (the “</w:t>
      </w:r>
      <w:r>
        <w:rPr>
          <w:rFonts w:ascii="Times New Roman;Times;Serif" w:hAnsi="Times New Roman;Times;Serif"/>
          <w:b/>
          <w:i w:val="false"/>
          <w:caps w:val="false"/>
          <w:smallCaps w:val="false"/>
          <w:sz w:val="20"/>
        </w:rPr>
        <w:t>Public Offering</w:t>
      </w:r>
      <w:r>
        <w:rPr>
          <w:rFonts w:ascii="Times New Roman;Times;Serif" w:hAnsi="Times New Roman;Times;Serif"/>
          <w:b w:val="false"/>
          <w:i w:val="false"/>
          <w:caps w:val="false"/>
          <w:smallCaps w:val="false"/>
          <w:sz w:val="20"/>
        </w:rPr>
        <w:t>”) of 15,000,000 units (the “</w:t>
      </w:r>
      <w:r>
        <w:rPr>
          <w:rFonts w:ascii="Times New Roman;Times;Serif" w:hAnsi="Times New Roman;Times;Serif"/>
          <w:b/>
          <w:i w:val="false"/>
          <w:caps w:val="false"/>
          <w:smallCaps w:val="false"/>
          <w:sz w:val="20"/>
        </w:rPr>
        <w:t>Units</w:t>
      </w:r>
      <w:r>
        <w:rPr>
          <w:rFonts w:ascii="Times New Roman;Times;Serif" w:hAnsi="Times New Roman;Times;Serif"/>
          <w:b w:val="false"/>
          <w:i w:val="false"/>
          <w:caps w:val="false"/>
          <w:smallCaps w:val="false"/>
          <w:sz w:val="20"/>
        </w:rPr>
        <w:t>”) of the Company (and up to 2,250,000 additional Units if the underwriters’ over-allotment option is exercised in full), each Unit consisting of one share of common stock, par value $0.0001 per share (the “</w:t>
      </w:r>
      <w:r>
        <w:rPr>
          <w:rFonts w:ascii="Times New Roman;Times;Serif" w:hAnsi="Times New Roman;Times;Serif"/>
          <w:b/>
          <w:i w:val="false"/>
          <w:caps w:val="false"/>
          <w:smallCaps w:val="false"/>
          <w:sz w:val="20"/>
        </w:rPr>
        <w:t>Common Stock</w:t>
      </w:r>
      <w:r>
        <w:rPr>
          <w:rFonts w:ascii="Times New Roman;Times;Serif" w:hAnsi="Times New Roman;Times;Serif"/>
          <w:b w:val="false"/>
          <w:i w:val="false"/>
          <w:caps w:val="false"/>
          <w:smallCaps w:val="false"/>
          <w:sz w:val="20"/>
        </w:rPr>
        <w:t>”), one right to receive one-twentieth of one share of Common Stock, and one warrant (the “</w:t>
      </w:r>
      <w:r>
        <w:rPr>
          <w:rFonts w:ascii="Times New Roman;Times;Serif" w:hAnsi="Times New Roman;Times;Serif"/>
          <w:b/>
          <w:i w:val="false"/>
          <w:caps w:val="false"/>
          <w:smallCaps w:val="false"/>
          <w:sz w:val="20"/>
        </w:rPr>
        <w:t>Public Warrant</w:t>
      </w:r>
      <w:r>
        <w:rPr>
          <w:rFonts w:ascii="Times New Roman;Times;Serif" w:hAnsi="Times New Roman;Times;Serif"/>
          <w:b w:val="false"/>
          <w:i w:val="false"/>
          <w:caps w:val="false"/>
          <w:smallCaps w:val="false"/>
          <w:sz w:val="20"/>
        </w:rPr>
        <w:t>” or “</w:t>
      </w:r>
      <w:r>
        <w:rPr>
          <w:rFonts w:ascii="Times New Roman;Times;Serif" w:hAnsi="Times New Roman;Times;Serif"/>
          <w:b/>
          <w:i w:val="false"/>
          <w:caps w:val="false"/>
          <w:smallCaps w:val="false"/>
          <w:sz w:val="20"/>
        </w:rPr>
        <w:t>Public Warrants</w:t>
      </w:r>
      <w:r>
        <w:rPr>
          <w:rFonts w:ascii="Times New Roman;Times;Serif" w:hAnsi="Times New Roman;Times;Serif"/>
          <w:b w:val="false"/>
          <w:i w:val="false"/>
          <w:caps w:val="false"/>
          <w:smallCaps w:val="false"/>
          <w:sz w:val="20"/>
        </w:rPr>
        <w:t>”), each whole Public Warrant entitling its holder to purchase one-half of one share of Common Stock (the “</w:t>
      </w:r>
      <w:r>
        <w:rPr>
          <w:rFonts w:ascii="Times New Roman;Times;Serif" w:hAnsi="Times New Roman;Times;Serif"/>
          <w:b/>
          <w:i w:val="false"/>
          <w:caps w:val="false"/>
          <w:smallCaps w:val="false"/>
          <w:sz w:val="20"/>
        </w:rPr>
        <w:t>Public Warrant Shares</w:t>
      </w: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the Company has received a binding commitment from Ventoux Acquisition Holdings LLC to purchase up to 4,450,000 warrants and Chardan International Investments, LLC to purchase up to 2,225,000 warrants, each for a purchase price of $1.00 per warrant, pursuant to the Subscription Agreements, dated as of December 23, 2020 (collectively, the “</w:t>
      </w:r>
      <w:r>
        <w:rPr>
          <w:rFonts w:ascii="Times New Roman;Times;Serif" w:hAnsi="Times New Roman;Times;Serif"/>
          <w:b/>
          <w:i w:val="false"/>
          <w:caps w:val="false"/>
          <w:smallCaps w:val="false"/>
          <w:sz w:val="20"/>
        </w:rPr>
        <w:t>Subscription Agreements</w:t>
      </w:r>
      <w:r>
        <w:rPr>
          <w:rFonts w:ascii="Times New Roman;Times;Serif" w:hAnsi="Times New Roman;Times;Serif"/>
          <w:b w:val="false"/>
          <w:i w:val="false"/>
          <w:caps w:val="false"/>
          <w:smallCaps w:val="false"/>
          <w:sz w:val="20"/>
        </w:rPr>
        <w:t>”), and in connection therewith, will issue and deliver up to 6,675,000 warrants (the “</w:t>
      </w:r>
      <w:r>
        <w:rPr>
          <w:rFonts w:ascii="Times New Roman;Times;Serif" w:hAnsi="Times New Roman;Times;Serif"/>
          <w:b/>
          <w:i w:val="false"/>
          <w:caps w:val="false"/>
          <w:smallCaps w:val="false"/>
          <w:sz w:val="20"/>
        </w:rPr>
        <w:t>Private Warrants</w:t>
      </w:r>
      <w:r>
        <w:rPr>
          <w:rFonts w:ascii="Times New Roman;Times;Serif" w:hAnsi="Times New Roman;Times;Serif"/>
          <w:b w:val="false"/>
          <w:i w:val="false"/>
          <w:caps w:val="false"/>
          <w:smallCaps w:val="false"/>
          <w:sz w:val="20"/>
        </w:rPr>
        <w:t>”, together with the Public Warrants, the “</w:t>
      </w:r>
      <w:r>
        <w:rPr>
          <w:rFonts w:ascii="Times New Roman;Times;Serif" w:hAnsi="Times New Roman;Times;Serif"/>
          <w:b/>
          <w:i w:val="false"/>
          <w:caps w:val="false"/>
          <w:smallCaps w:val="false"/>
          <w:sz w:val="20"/>
        </w:rPr>
        <w:t>Warrants</w:t>
      </w:r>
      <w:r>
        <w:rPr>
          <w:rFonts w:ascii="Times New Roman;Times;Serif" w:hAnsi="Times New Roman;Times;Serif"/>
          <w:b w:val="false"/>
          <w:i w:val="false"/>
          <w:caps w:val="false"/>
          <w:smallCaps w:val="false"/>
          <w:sz w:val="20"/>
        </w:rPr>
        <w:t>”), each whole Private Warrant entitling its holder to purchase one share of Common Stock (“</w:t>
      </w:r>
      <w:r>
        <w:rPr>
          <w:rFonts w:ascii="Times New Roman;Times;Serif" w:hAnsi="Times New Roman;Times;Serif"/>
          <w:b/>
          <w:i w:val="false"/>
          <w:caps w:val="false"/>
          <w:smallCaps w:val="false"/>
          <w:sz w:val="20"/>
        </w:rPr>
        <w:t>Private Warrant Shares</w:t>
      </w:r>
      <w:r>
        <w:rPr>
          <w:rFonts w:ascii="Times New Roman;Times;Serif" w:hAnsi="Times New Roman;Times;Serif"/>
          <w:b w:val="false"/>
          <w:i w:val="false"/>
          <w:caps w:val="false"/>
          <w:smallCaps w:val="false"/>
          <w:sz w:val="20"/>
        </w:rPr>
        <w:t>”, and together with the Public Warrant Shares, the “</w:t>
      </w:r>
      <w:r>
        <w:rPr>
          <w:rFonts w:ascii="Times New Roman;Times;Serif" w:hAnsi="Times New Roman;Times;Serif"/>
          <w:b/>
          <w:i w:val="false"/>
          <w:caps w:val="false"/>
          <w:smallCaps w:val="false"/>
          <w:sz w:val="20"/>
        </w:rPr>
        <w:t>Warrant Shares</w:t>
      </w:r>
      <w:r>
        <w:rPr>
          <w:rFonts w:ascii="Times New Roman;Times;Serif" w:hAnsi="Times New Roman;Times;Serif"/>
          <w:b w:val="false"/>
          <w:i w:val="false"/>
          <w:caps w:val="false"/>
          <w:smallCaps w:val="false"/>
          <w:sz w:val="20"/>
        </w:rPr>
        <w:t>”);</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the Company may issue such additional warrants to purchase shares of Common Stock hereunder from time to time (together with the Public Warrants and the Private Warrants, the “</w:t>
      </w:r>
      <w:r>
        <w:rPr>
          <w:rFonts w:ascii="Times New Roman;Times;Serif" w:hAnsi="Times New Roman;Times;Serif"/>
          <w:b/>
          <w:i w:val="false"/>
          <w:caps w:val="false"/>
          <w:smallCaps w:val="false"/>
          <w:sz w:val="20"/>
        </w:rPr>
        <w:t>Warrants</w:t>
      </w:r>
      <w:r>
        <w:rPr>
          <w:rFonts w:ascii="Times New Roman;Times;Serif" w:hAnsi="Times New Roman;Times;Serif"/>
          <w:b w:val="false"/>
          <w:i w:val="false"/>
          <w:caps w:val="false"/>
          <w:smallCaps w:val="false"/>
          <w:sz w:val="20"/>
        </w:rPr>
        <w:t>”);</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the Company has filed with the Securities and Exchange Commission (the “</w:t>
      </w:r>
      <w:r>
        <w:rPr>
          <w:rFonts w:ascii="Times New Roman;Times;Serif" w:hAnsi="Times New Roman;Times;Serif"/>
          <w:b/>
          <w:i w:val="false"/>
          <w:caps w:val="false"/>
          <w:smallCaps w:val="false"/>
          <w:sz w:val="20"/>
        </w:rPr>
        <w:t>SEC</w:t>
      </w:r>
      <w:r>
        <w:rPr>
          <w:rFonts w:ascii="Times New Roman;Times;Serif" w:hAnsi="Times New Roman;Times;Serif"/>
          <w:b w:val="false"/>
          <w:i w:val="false"/>
          <w:caps w:val="false"/>
          <w:smallCaps w:val="false"/>
          <w:sz w:val="20"/>
        </w:rPr>
        <w:t>”) a Registration Statement on Form S-1, No. 333-251048 (“</w:t>
      </w:r>
      <w:r>
        <w:rPr>
          <w:rFonts w:ascii="Times New Roman;Times;Serif" w:hAnsi="Times New Roman;Times;Serif"/>
          <w:b/>
          <w:i w:val="false"/>
          <w:caps w:val="false"/>
          <w:smallCaps w:val="false"/>
          <w:sz w:val="20"/>
        </w:rPr>
        <w:t>Registration Statement</w:t>
      </w:r>
      <w:r>
        <w:rPr>
          <w:rFonts w:ascii="Times New Roman;Times;Serif" w:hAnsi="Times New Roman;Times;Serif"/>
          <w:b w:val="false"/>
          <w:i w:val="false"/>
          <w:caps w:val="false"/>
          <w:smallCaps w:val="false"/>
          <w:sz w:val="20"/>
        </w:rPr>
        <w:t>”), for the registration, under the Securities Act of 1933, as amended (the “</w:t>
      </w:r>
      <w:r>
        <w:rPr>
          <w:rFonts w:ascii="Times New Roman;Times;Serif" w:hAnsi="Times New Roman;Times;Serif"/>
          <w:b/>
          <w:i w:val="false"/>
          <w:caps w:val="false"/>
          <w:smallCaps w:val="false"/>
          <w:sz w:val="20"/>
        </w:rPr>
        <w:t>Act</w:t>
      </w:r>
      <w:r>
        <w:rPr>
          <w:rFonts w:ascii="Times New Roman;Times;Serif" w:hAnsi="Times New Roman;Times;Serif"/>
          <w:b w:val="false"/>
          <w:i w:val="false"/>
          <w:caps w:val="false"/>
          <w:smallCaps w:val="false"/>
          <w:sz w:val="20"/>
        </w:rPr>
        <w:t>”) of, among other securities, the Public Warrants;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the Company desires the Warrant Agent to act on behalf of the Company, and the Warrant Agent is willing to so act, in connection with the issuance, registration, transfer, exchange, redemption and exercise of the Warrants;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the Company desires to provide for the form, terms and provisions of the Warrants, including the terms upon which they shall be issued and exercised, and the respective rights, limitation of rights and immunities of the Company, the Warrant Agent and the holders of the Warrants; and</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all acts and things have been done and performed which are necessary to make the Warrants, when executed on behalf of the Company and countersigned by or on behalf of the Warrant Agent, as provided herein, the legally valid and binding obligations of the Company, and to authorize the execution and delivery of this Warrant Agreement.</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NOW, THEREFORE, in consideration of the mutual agreements herein contained, the parties hereto agree as follows: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 </w:t>
      </w:r>
      <w:r>
        <w:rPr>
          <w:rFonts w:ascii="Times New Roman;Times;Serif" w:hAnsi="Times New Roman;Times;Serif"/>
          <w:b w:val="false"/>
          <w:i w:val="false"/>
          <w:caps w:val="false"/>
          <w:smallCaps w:val="false"/>
          <w:sz w:val="20"/>
          <w:u w:val="single"/>
        </w:rPr>
        <w:t>Appointment of Warrant Agent</w:t>
      </w:r>
      <w:r>
        <w:rPr>
          <w:rFonts w:ascii="Times New Roman;Times;Serif" w:hAnsi="Times New Roman;Times;Serif"/>
          <w:b w:val="false"/>
          <w:i w:val="false"/>
          <w:caps w:val="false"/>
          <w:smallCaps w:val="false"/>
          <w:sz w:val="20"/>
        </w:rPr>
        <w:t>. The Company hereby appoints the Warrant Agent to act as agent for the Company for the Warrants, and the Warrant Agent hereby accepts such appointment and agrees to perform the same in accordance with the terms and conditions set forth in this Warrant Agreement.</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 </w:t>
      </w:r>
      <w:r>
        <w:rPr>
          <w:rFonts w:ascii="Times New Roman;Times;Serif" w:hAnsi="Times New Roman;Times;Serif"/>
          <w:b w:val="false"/>
          <w:i w:val="false"/>
          <w:caps w:val="false"/>
          <w:smallCaps w:val="false"/>
          <w:sz w:val="20"/>
          <w:u w:val="single"/>
        </w:rPr>
        <w:t>Warrants</w:t>
      </w:r>
      <w:r>
        <w:rPr>
          <w:rFonts w:ascii="Times New Roman;Times;Serif" w:hAnsi="Times New Roman;Times;Serif"/>
          <w:b w:val="false"/>
          <w:i w:val="false"/>
          <w:caps w:val="false"/>
          <w:smallCaps w:val="false"/>
          <w:sz w:val="20"/>
        </w:rPr>
        <w:t>.</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2.1 </w:t>
      </w:r>
      <w:r>
        <w:rPr>
          <w:rFonts w:ascii="Times New Roman;Times;Serif" w:hAnsi="Times New Roman;Times;Serif"/>
          <w:b w:val="false"/>
          <w:i w:val="false"/>
          <w:caps w:val="false"/>
          <w:smallCaps w:val="false"/>
          <w:sz w:val="20"/>
          <w:u w:val="single"/>
        </w:rPr>
        <w:t>Form of Warrant</w:t>
      </w:r>
      <w:r>
        <w:rPr>
          <w:rFonts w:ascii="Times New Roman;Times;Serif" w:hAnsi="Times New Roman;Times;Serif"/>
          <w:b w:val="false"/>
          <w:i w:val="false"/>
          <w:caps w:val="false"/>
          <w:smallCaps w:val="false"/>
          <w:sz w:val="20"/>
        </w:rPr>
        <w:t xml:space="preserve">. Each Warrant other than a Private Warrant shall be: (a) issued in registered form only, (b) in substantially the form of </w:t>
      </w:r>
      <w:r>
        <w:rPr>
          <w:rFonts w:ascii="Times New Roman;Times;Serif" w:hAnsi="Times New Roman;Times;Serif"/>
          <w:b/>
          <w:i w:val="false"/>
          <w:caps w:val="false"/>
          <w:smallCaps w:val="false"/>
          <w:sz w:val="20"/>
        </w:rPr>
        <w:t>Exhibit A</w:t>
      </w:r>
      <w:r>
        <w:rPr>
          <w:rFonts w:ascii="Times New Roman;Times;Serif" w:hAnsi="Times New Roman;Times;Serif"/>
          <w:b w:val="false"/>
          <w:i w:val="false"/>
          <w:caps w:val="false"/>
          <w:smallCaps w:val="false"/>
          <w:sz w:val="20"/>
        </w:rPr>
        <w:t xml:space="preserve"> hereto, the provisions of which are incorporated herein and (c) signed by, or bear the facsimile signature of, the Chairman of the Board, the Chief Executive Officer or the Chief Financial Officer of the Company. In the event the person whose facsimile signature has been placed upon any Warrant shall have ceased to serve in the capacity in which such person signed the Warrant before such Warrant is issued, it may be issued with the same effect as if he or she had not ceased to be such at the date of issuance.</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center"/>
        <w:rPr>
          <w:caps w:val="false"/>
          <w:smallCaps w:val="false"/>
          <w:bdr w:val="single" w:sz="12" w:space="1" w:color="000000"/>
        </w:rPr>
      </w:pPr>
      <w:r>
        <w:rPr>
          <w:caps w:val="false"/>
          <w:smallCaps w:val="false"/>
          <w:bdr w:val="single" w:sz="12" w:space="1" w:color="000000"/>
        </w:rPr>
        <w:t> </w:t>
      </w:r>
    </w:p>
    <w:p>
      <w:pPr>
        <w:pStyle w:val="TextBody"/>
        <w:spacing w:before="0" w:after="0"/>
        <w:ind w:left="0" w:right="0" w:hanging="0"/>
        <w:rPr/>
      </w:pPr>
      <w:r>
        <w:rPr/>
        <w:t> </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2.2 </w:t>
      </w:r>
      <w:r>
        <w:rPr>
          <w:rFonts w:ascii="Times New Roman;Times;Serif" w:hAnsi="Times New Roman;Times;Serif"/>
          <w:b w:val="false"/>
          <w:i w:val="false"/>
          <w:caps w:val="false"/>
          <w:smallCaps w:val="false"/>
          <w:sz w:val="20"/>
          <w:u w:val="single"/>
        </w:rPr>
        <w:t>Effect of Countersignature</w:t>
      </w:r>
      <w:r>
        <w:rPr>
          <w:rFonts w:ascii="Times New Roman;Times;Serif" w:hAnsi="Times New Roman;Times;Serif"/>
          <w:b w:val="false"/>
          <w:i w:val="false"/>
          <w:caps w:val="false"/>
          <w:smallCaps w:val="false"/>
          <w:sz w:val="20"/>
        </w:rPr>
        <w:t>. Unless and until countersigned by the Warrant Agent pursuant to this Warrant Agreement, a Warrant shall be invalid and of no effect and may not be exercised by the holder thereof.</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2.3 </w:t>
      </w:r>
      <w:r>
        <w:rPr>
          <w:rFonts w:ascii="Times New Roman;Times;Serif" w:hAnsi="Times New Roman;Times;Serif"/>
          <w:b w:val="false"/>
          <w:i w:val="false"/>
          <w:caps w:val="false"/>
          <w:smallCaps w:val="false"/>
          <w:sz w:val="20"/>
          <w:u w:val="single"/>
        </w:rPr>
        <w:t>Registration</w:t>
      </w:r>
      <w:r>
        <w:rPr>
          <w:rFonts w:ascii="Times New Roman;Times;Serif" w:hAnsi="Times New Roman;Times;Serif"/>
          <w:b w:val="false"/>
          <w:i w:val="false"/>
          <w:caps w:val="false"/>
          <w:smallCaps w:val="false"/>
          <w:sz w:val="20"/>
        </w:rPr>
        <w:t>.</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2.3.1 </w:t>
      </w:r>
      <w:r>
        <w:rPr>
          <w:rFonts w:ascii="Times New Roman;Times;Serif" w:hAnsi="Times New Roman;Times;Serif"/>
          <w:b w:val="false"/>
          <w:i w:val="false"/>
          <w:caps w:val="false"/>
          <w:smallCaps w:val="false"/>
          <w:sz w:val="20"/>
          <w:u w:val="single"/>
        </w:rPr>
        <w:t>Warrant Register</w:t>
      </w:r>
      <w:r>
        <w:rPr>
          <w:rFonts w:ascii="Times New Roman;Times;Serif" w:hAnsi="Times New Roman;Times;Serif"/>
          <w:b w:val="false"/>
          <w:i w:val="false"/>
          <w:caps w:val="false"/>
          <w:smallCaps w:val="false"/>
          <w:sz w:val="20"/>
        </w:rPr>
        <w:t>. The Warrant Agent shall maintain books (the “</w:t>
      </w:r>
      <w:r>
        <w:rPr>
          <w:rFonts w:ascii="Times New Roman;Times;Serif" w:hAnsi="Times New Roman;Times;Serif"/>
          <w:b/>
          <w:i w:val="false"/>
          <w:caps w:val="false"/>
          <w:smallCaps w:val="false"/>
          <w:sz w:val="20"/>
        </w:rPr>
        <w:t>Warrant Register</w:t>
      </w:r>
      <w:r>
        <w:rPr>
          <w:rFonts w:ascii="Times New Roman;Times;Serif" w:hAnsi="Times New Roman;Times;Serif"/>
          <w:b w:val="false"/>
          <w:i w:val="false"/>
          <w:caps w:val="false"/>
          <w:smallCaps w:val="false"/>
          <w:sz w:val="20"/>
        </w:rPr>
        <w:t>”), for the registration of the original issuance and transfers of the Warrants. Upon the initial issuance of the Warrants, the Warrant Agent shall issue and register the Warrants in the names of the respective holders thereof in such denominations and otherwise in accordance with instructions delivered to the Warrant Agent by the Company.</w:t>
      </w:r>
    </w:p>
    <w:p>
      <w:pPr>
        <w:pStyle w:val="TextBody"/>
        <w:spacing w:before="0" w:after="0"/>
        <w:ind w:left="0" w:right="0" w:firstLine="1440"/>
        <w:jc w:val="both"/>
        <w:rPr>
          <w:caps w:val="false"/>
          <w:smallCaps w:val="false"/>
        </w:rPr>
      </w:pPr>
      <w:r>
        <w:rPr>
          <w:caps w:val="false"/>
          <w:smallCaps w:val="false"/>
        </w:rPr>
        <w:t> </w:t>
      </w:r>
    </w:p>
    <w:p>
      <w:pPr>
        <w:pStyle w:val="TextBody"/>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2.3.2 </w:t>
      </w:r>
      <w:r>
        <w:rPr>
          <w:rFonts w:ascii="Times New Roman;Times;Serif" w:hAnsi="Times New Roman;Times;Serif"/>
          <w:b w:val="false"/>
          <w:i w:val="false"/>
          <w:caps w:val="false"/>
          <w:smallCaps w:val="false"/>
          <w:sz w:val="20"/>
          <w:u w:val="single"/>
        </w:rPr>
        <w:t>Registered Holder</w:t>
      </w:r>
      <w:r>
        <w:rPr>
          <w:rFonts w:ascii="Times New Roman;Times;Serif" w:hAnsi="Times New Roman;Times;Serif"/>
          <w:b w:val="false"/>
          <w:i w:val="false"/>
          <w:caps w:val="false"/>
          <w:smallCaps w:val="false"/>
          <w:sz w:val="20"/>
        </w:rPr>
        <w:t>. Prior to due presentment for registration of transfer of any Warrant, the Company and the Warrant Agent may deem and treat the person in whose name such Warrant shall be registered upon the Warrant Register (“</w:t>
      </w:r>
      <w:r>
        <w:rPr>
          <w:rFonts w:ascii="Times New Roman;Times;Serif" w:hAnsi="Times New Roman;Times;Serif"/>
          <w:b/>
          <w:i w:val="false"/>
          <w:caps w:val="false"/>
          <w:smallCaps w:val="false"/>
          <w:sz w:val="20"/>
        </w:rPr>
        <w:t>Registered Holder</w:t>
      </w:r>
      <w:r>
        <w:rPr>
          <w:rFonts w:ascii="Times New Roman;Times;Serif" w:hAnsi="Times New Roman;Times;Serif"/>
          <w:b w:val="false"/>
          <w:i w:val="false"/>
          <w:caps w:val="false"/>
          <w:smallCaps w:val="false"/>
          <w:sz w:val="20"/>
        </w:rPr>
        <w:t>”) as the absolute owner of such Warrant and of each Warrant represented thereby (notwithstanding any notation of ownership or other writing on the Warrant certificate made by anyone other than the Company or the Warrant Agent), for the purpose of any exercise thereof, and for all other purposes, and neither the Company nor the Warrant Agent shall be affected by any notice to the contrary.</w:t>
      </w:r>
    </w:p>
    <w:p>
      <w:pPr>
        <w:pStyle w:val="TextBody"/>
        <w:spacing w:before="0" w:after="0"/>
        <w:ind w:left="0" w:right="0" w:firstLine="144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2.4 </w:t>
      </w:r>
      <w:r>
        <w:rPr>
          <w:rFonts w:ascii="Times New Roman;Times;Serif" w:hAnsi="Times New Roman;Times;Serif"/>
          <w:b w:val="false"/>
          <w:i w:val="false"/>
          <w:caps w:val="false"/>
          <w:smallCaps w:val="false"/>
          <w:sz w:val="20"/>
          <w:u w:val="single"/>
        </w:rPr>
        <w:t>Detachability of Warrants</w:t>
      </w:r>
      <w:r>
        <w:rPr>
          <w:rFonts w:ascii="Times New Roman;Times;Serif" w:hAnsi="Times New Roman;Times;Serif"/>
          <w:b w:val="false"/>
          <w:i w:val="false"/>
          <w:caps w:val="false"/>
          <w:smallCaps w:val="false"/>
          <w:sz w:val="20"/>
        </w:rPr>
        <w:t>. Each of the securities comprising the Units will begin to trade separately on (i) the 90th day after the effectiveness of the Registration Statement, or (ii) such earlier date as Chardan Capital Markets, LLC, as representative of the underwriters (the “</w:t>
      </w:r>
      <w:r>
        <w:rPr>
          <w:rFonts w:ascii="Times New Roman;Times;Serif" w:hAnsi="Times New Roman;Times;Serif"/>
          <w:b/>
          <w:i w:val="false"/>
          <w:caps w:val="false"/>
          <w:smallCaps w:val="false"/>
          <w:sz w:val="20"/>
        </w:rPr>
        <w:t>Representative</w:t>
      </w:r>
      <w:r>
        <w:rPr>
          <w:rFonts w:ascii="Times New Roman;Times;Serif" w:hAnsi="Times New Roman;Times;Serif"/>
          <w:b w:val="false"/>
          <w:i w:val="false"/>
          <w:caps w:val="false"/>
          <w:smallCaps w:val="false"/>
          <w:sz w:val="20"/>
        </w:rPr>
        <w:t>”), shall determine is acceptable (such date, the “</w:t>
      </w:r>
      <w:r>
        <w:rPr>
          <w:rFonts w:ascii="Times New Roman;Times;Serif" w:hAnsi="Times New Roman;Times;Serif"/>
          <w:b/>
          <w:i w:val="false"/>
          <w:caps w:val="false"/>
          <w:smallCaps w:val="false"/>
          <w:sz w:val="20"/>
        </w:rPr>
        <w:t>Detachment Date</w:t>
      </w:r>
      <w:r>
        <w:rPr>
          <w:rFonts w:ascii="Times New Roman;Times;Serif" w:hAnsi="Times New Roman;Times;Serif"/>
          <w:b w:val="false"/>
          <w:i w:val="false"/>
          <w:caps w:val="false"/>
          <w:smallCaps w:val="false"/>
          <w:sz w:val="20"/>
        </w:rPr>
        <w:t>”). In no event will separate trading of the securities comprising the Units commence until the Company (i) files a Current Report on Form 8-K with the SEC including audited balance sheet reflecting the Company’s receipt of the gross proceeds of the Public Offering and (ii) issues a press release announcing when such separate trading will begin.</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2.5 </w:t>
      </w:r>
      <w:r>
        <w:rPr>
          <w:rFonts w:ascii="Times New Roman;Times;Serif" w:hAnsi="Times New Roman;Times;Serif"/>
          <w:b w:val="false"/>
          <w:i w:val="false"/>
          <w:caps w:val="false"/>
          <w:smallCaps w:val="false"/>
          <w:sz w:val="20"/>
          <w:u w:val="single"/>
        </w:rPr>
        <w:t>Private Warrants</w:t>
      </w:r>
      <w:r>
        <w:rPr>
          <w:rFonts w:ascii="Times New Roman;Times;Serif" w:hAnsi="Times New Roman;Times;Serif"/>
          <w:b w:val="false"/>
          <w:i w:val="false"/>
          <w:caps w:val="false"/>
          <w:smallCaps w:val="false"/>
          <w:sz w:val="20"/>
        </w:rPr>
        <w:t xml:space="preserve">. The Private Warrants (i) will be exercisable either for cash or on a cashless basis at the holder’s option pursuant to </w:t>
      </w:r>
      <w:r>
        <w:rPr>
          <w:rFonts w:ascii="Times New Roman;Times;Serif" w:hAnsi="Times New Roman;Times;Serif"/>
          <w:b w:val="false"/>
          <w:i w:val="false"/>
          <w:caps w:val="false"/>
          <w:smallCaps w:val="false"/>
          <w:sz w:val="20"/>
          <w:u w:val="single"/>
        </w:rPr>
        <w:t xml:space="preserve">Section 3.3 </w:t>
      </w:r>
      <w:r>
        <w:rPr>
          <w:rFonts w:ascii="Times New Roman;Times;Serif" w:hAnsi="Times New Roman;Times;Serif"/>
          <w:b w:val="false"/>
          <w:i w:val="false"/>
          <w:caps w:val="false"/>
          <w:smallCaps w:val="false"/>
          <w:sz w:val="20"/>
        </w:rPr>
        <w:t>hereof and (ii) will not be redeemable by the Company, in either case as long as the Private Warrants are held by the initial purchasers or any of their permitted transferees (as prescribed in the Subscription Agreements). The Private Warrants may not be sold, transferred, assigned, pledged or hypothecated, or be the subject of any hedging, short sale, derivative, put, or call transaction that would result in the effective economic disposition of, the Private Warrants (or any securities underlying the Private Warrants) for a period of three hundred sixty (360) days following the effective date of the Registration Statement to anyone other than any member participating in the Public Offering and the officers or partners thereof, if all securities so transferred remain subject to the lock-up restriction set forth above for the remainder of the time period.</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 </w:t>
      </w:r>
      <w:r>
        <w:rPr>
          <w:rFonts w:ascii="Times New Roman;Times;Serif" w:hAnsi="Times New Roman;Times;Serif"/>
          <w:b w:val="false"/>
          <w:i w:val="false"/>
          <w:caps w:val="false"/>
          <w:smallCaps w:val="false"/>
          <w:sz w:val="20"/>
          <w:u w:val="single"/>
        </w:rPr>
        <w:t>Terms and Exercise of Warrants</w:t>
      </w:r>
      <w:r>
        <w:rPr>
          <w:rFonts w:ascii="Times New Roman;Times;Serif" w:hAnsi="Times New Roman;Times;Serif"/>
          <w:b w:val="false"/>
          <w:i w:val="false"/>
          <w:caps w:val="false"/>
          <w:smallCaps w:val="false"/>
          <w:sz w:val="20"/>
        </w:rPr>
        <w:t>.</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3.1 </w:t>
      </w:r>
      <w:r>
        <w:rPr>
          <w:rFonts w:ascii="Times New Roman;Times;Serif" w:hAnsi="Times New Roman;Times;Serif"/>
          <w:b w:val="false"/>
          <w:i w:val="false"/>
          <w:caps w:val="false"/>
          <w:smallCaps w:val="false"/>
          <w:sz w:val="20"/>
          <w:u w:val="single"/>
        </w:rPr>
        <w:t>Warrant Price</w:t>
      </w:r>
      <w:r>
        <w:rPr>
          <w:rFonts w:ascii="Times New Roman;Times;Serif" w:hAnsi="Times New Roman;Times;Serif"/>
          <w:b w:val="false"/>
          <w:i w:val="false"/>
          <w:caps w:val="false"/>
          <w:smallCaps w:val="false"/>
          <w:sz w:val="20"/>
        </w:rPr>
        <w:t>. Each Warrant shall, when countersigned by the Warrant Agent, entitle the Registered Holder thereof, subject to the provisions of such Warrant and of this Warrant Agreement, to purchase from the Company the number of shares of Common Stock stated therein, at $11.50 per full share, subject to the adjustments provided in Section 4 hereof. The term “</w:t>
      </w:r>
      <w:r>
        <w:rPr>
          <w:rFonts w:ascii="Times New Roman;Times;Serif" w:hAnsi="Times New Roman;Times;Serif"/>
          <w:b/>
          <w:i w:val="false"/>
          <w:caps w:val="false"/>
          <w:smallCaps w:val="false"/>
          <w:sz w:val="20"/>
        </w:rPr>
        <w:t>Warrant Price</w:t>
      </w:r>
      <w:r>
        <w:rPr>
          <w:rFonts w:ascii="Times New Roman;Times;Serif" w:hAnsi="Times New Roman;Times;Serif"/>
          <w:b w:val="false"/>
          <w:i w:val="false"/>
          <w:caps w:val="false"/>
          <w:smallCaps w:val="false"/>
          <w:sz w:val="20"/>
        </w:rPr>
        <w:t>” as used in this Warrant Agreement refers to the price per whole share at which shares of Common Stock may be purchased at the time such Warrant is exercised. The Public Warrants may only be exercised for a whole number of Warrant Shares by a Registered Holder.</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3.2 </w:t>
      </w:r>
      <w:r>
        <w:rPr>
          <w:rFonts w:ascii="Times New Roman;Times;Serif" w:hAnsi="Times New Roman;Times;Serif"/>
          <w:b w:val="false"/>
          <w:i w:val="false"/>
          <w:caps w:val="false"/>
          <w:smallCaps w:val="false"/>
          <w:sz w:val="20"/>
          <w:u w:val="single"/>
        </w:rPr>
        <w:t>Duration of Warrants</w:t>
      </w:r>
      <w:r>
        <w:rPr>
          <w:rFonts w:ascii="Times New Roman;Times;Serif" w:hAnsi="Times New Roman;Times;Serif"/>
          <w:b w:val="false"/>
          <w:i w:val="false"/>
          <w:caps w:val="false"/>
          <w:smallCaps w:val="false"/>
          <w:sz w:val="20"/>
        </w:rPr>
        <w:t>. A Warrant may be exercised only during the period (“</w:t>
      </w:r>
      <w:r>
        <w:rPr>
          <w:rFonts w:ascii="Times New Roman;Times;Serif" w:hAnsi="Times New Roman;Times;Serif"/>
          <w:b/>
          <w:i w:val="false"/>
          <w:caps w:val="false"/>
          <w:smallCaps w:val="false"/>
          <w:sz w:val="20"/>
        </w:rPr>
        <w:t>Exercise Period</w:t>
      </w:r>
      <w:r>
        <w:rPr>
          <w:rFonts w:ascii="Times New Roman;Times;Serif" w:hAnsi="Times New Roman;Times;Serif"/>
          <w:b w:val="false"/>
          <w:i w:val="false"/>
          <w:caps w:val="false"/>
          <w:smallCaps w:val="false"/>
          <w:sz w:val="20"/>
        </w:rPr>
        <w:t xml:space="preserve">”) commencing on the later to occur of (i) the completion of the Company’s initial business combination and (ii) 12 months following the closing of the Public Offering, and terminating at 5:00 p.m., New York City time, on the earlier to occur of (i) (A) five years following the completion of the Company’s initial business combination with respect to the Public Warrants, and (B) five years from the effective date of the Registration Statement with respect to the Private Warrants purchased by Chardan International Investments, LLC,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once the Private Warrants are not beneficially owned by Chardan Capital Markets, LLC or any of its related persons anymore, the Private Warrants may not be exercised five years following the completion of the Company’s initial business combination, and (ii) the date fixed for redemption of the Warrants as provided in Section 6 of this Warrant Agreement (“</w:t>
      </w:r>
      <w:r>
        <w:rPr>
          <w:rFonts w:ascii="Times New Roman;Times;Serif" w:hAnsi="Times New Roman;Times;Serif"/>
          <w:b/>
          <w:i w:val="false"/>
          <w:caps w:val="false"/>
          <w:smallCaps w:val="false"/>
          <w:sz w:val="20"/>
        </w:rPr>
        <w:t>Expiration Date</w:t>
      </w:r>
      <w:r>
        <w:rPr>
          <w:rFonts w:ascii="Times New Roman;Times;Serif" w:hAnsi="Times New Roman;Times;Serif"/>
          <w:b w:val="false"/>
          <w:i w:val="false"/>
          <w:caps w:val="false"/>
          <w:smallCaps w:val="false"/>
          <w:sz w:val="20"/>
        </w:rPr>
        <w:t>”). Except with respect to the right to receive the Redemption Price (as set forth in Section 6 hereunder), each Warrant not exercised on or before the Expiration Date shall become void, and all rights thereunder and all rights in respect thereof under this Warrant Agreement shall cease at the close of business on the Expiration Date. The Company may extend the duration of the Warrants by delaying the Expiration Date; provided, however, that the Company will provide written notice of not less than 10 days to Registered Holders of such extension and that such extension shall be identical in duration among all of the then outstanding Warrants. Notwithstanding the above, the Private Warrants (and the Private Warrant Shares that are issuable upon exercise of the Private Warrants) to be purchased by Chardan International Investments, LLC have been deemed compensation by Financial Industry Regulatory Authority, Inc. (“FINRA”) and are therefore subject to a 180-day lock-up described in the following sentence pursuant to FINRA Rule 5110(e)(1) commencing on the effective date of the Registration Statement as long as Chardan Capital Markets, LLC or any of its related persons beneficially own these Private Warrants. Pursuant to FINRA Rule 5110(e)(1), the Private Warrants (and the Private Warrant Shares that are issuable upon exercise of the Private Warrants) purchased by Chardan International Investments, LLC will not be sold during the offering, or sold, transferred, assigned, pledged, or hypothecated, or be the subject of any hedging, short sale, derivative, put or call transaction that would result in the economic disposition of such securities by any person for a period of 180 days immediately following the effective date of the Registration Statement, except to any underwriter and selected dealer participating in the initial public offering made pursuant to the Registration Statement and their bona fide officers or partners, provided that all such securities so transferred remain subject to the lockup restriction above for the remainder of the time period.</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spacing w:before="0" w:after="0"/>
        <w:ind w:left="0" w:right="0" w:hanging="0"/>
        <w:rPr/>
      </w:pPr>
      <w:r>
        <w:rPr/>
        <w:t> </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3.3 </w:t>
      </w:r>
      <w:r>
        <w:rPr>
          <w:rFonts w:ascii="Times New Roman;Times;Serif" w:hAnsi="Times New Roman;Times;Serif"/>
          <w:b w:val="false"/>
          <w:i w:val="false"/>
          <w:caps w:val="false"/>
          <w:smallCaps w:val="false"/>
          <w:sz w:val="20"/>
          <w:u w:val="single"/>
        </w:rPr>
        <w:t>Exercise of Warrants</w:t>
      </w:r>
      <w:r>
        <w:rPr>
          <w:rFonts w:ascii="Times New Roman;Times;Serif" w:hAnsi="Times New Roman;Times;Serif"/>
          <w:b w:val="false"/>
          <w:i w:val="false"/>
          <w:caps w:val="false"/>
          <w:smallCaps w:val="false"/>
          <w:sz w:val="20"/>
        </w:rPr>
        <w:t>.</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3.3.1 </w:t>
      </w:r>
      <w:r>
        <w:rPr>
          <w:rFonts w:ascii="Times New Roman;Times;Serif" w:hAnsi="Times New Roman;Times;Serif"/>
          <w:b w:val="false"/>
          <w:i w:val="false"/>
          <w:caps w:val="false"/>
          <w:smallCaps w:val="false"/>
          <w:sz w:val="20"/>
          <w:u w:val="single"/>
        </w:rPr>
        <w:t>Cash Exercise</w:t>
      </w:r>
      <w:r>
        <w:rPr>
          <w:rFonts w:ascii="Times New Roman;Times;Serif" w:hAnsi="Times New Roman;Times;Serif"/>
          <w:b w:val="false"/>
          <w:i w:val="false"/>
          <w:caps w:val="false"/>
          <w:smallCaps w:val="false"/>
          <w:sz w:val="20"/>
        </w:rPr>
        <w:t>. Subject to the provisions of the Warrant and this Warrant Agreement, a Warrant, when countersigned by the Company, may be exercised by the Registered Holder thereof by surrendering it at the office of the Warrant Agent, or at the office of its successor as Warrant Agent, currently being:</w:t>
      </w:r>
    </w:p>
    <w:p>
      <w:pPr>
        <w:pStyle w:val="TextBody"/>
        <w:spacing w:before="0" w:after="0"/>
        <w:ind w:left="0" w:right="0" w:firstLine="1440"/>
        <w:jc w:val="both"/>
        <w:rPr>
          <w:caps w:val="false"/>
          <w:smallCaps w:val="false"/>
        </w:rPr>
      </w:pPr>
      <w:r>
        <w:rPr>
          <w:caps w:val="false"/>
          <w:smallCaps w:val="false"/>
        </w:rPr>
        <w:t> </w:t>
      </w:r>
    </w:p>
    <w:p>
      <w:pPr>
        <w:pStyle w:val="TextBody"/>
        <w:spacing w:before="0" w:after="0"/>
        <w:ind w:left="21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Continental Stock Transfer &amp; Trust Company</w:t>
        <w:br/>
        <w:t>1 State Street, 30</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Floor</w:t>
        <w:br/>
        <w:t>New York, New York 10004</w:t>
      </w:r>
    </w:p>
    <w:p>
      <w:pPr>
        <w:pStyle w:val="TextBody"/>
        <w:spacing w:before="0" w:after="0"/>
        <w:ind w:left="21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Attn: Compliance Department</w:t>
      </w:r>
    </w:p>
    <w:p>
      <w:pPr>
        <w:pStyle w:val="TextBody"/>
        <w:spacing w:before="0" w:after="0"/>
        <w:ind w:left="216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the subscription form, as set forth in the Warrant, duly executed, and by paying in full, in lawful money of the United States, by certified or bank cashier’s check payable to the order of the Warrant Agent or by wire transfer to the Warrant Agent’s bank account, the Warrant Price for each whole Warrant Share as to which the Warrant is exercised and any and all applicable taxes due in connection with the exercise of the Warrant, the exchange of the Warrant for the Warrant Shares, and the issuance of the Warrant Shares (such exercise, a “</w:t>
      </w:r>
      <w:r>
        <w:rPr>
          <w:rFonts w:ascii="Times New Roman;Times;Serif" w:hAnsi="Times New Roman;Times;Serif"/>
          <w:b/>
          <w:i w:val="false"/>
          <w:caps w:val="false"/>
          <w:smallCaps w:val="false"/>
          <w:sz w:val="20"/>
        </w:rPr>
        <w:t>Cash Exercise</w:t>
      </w:r>
      <w:r>
        <w:rPr>
          <w:rFonts w:ascii="Times New Roman;Times;Serif" w:hAnsi="Times New Roman;Times;Serif"/>
          <w:b w:val="false"/>
          <w:i w:val="false"/>
          <w:caps w:val="false"/>
          <w:smallCaps w:val="false"/>
          <w:sz w:val="20"/>
        </w:rPr>
        <w:t>”). A Cash Exercise in accordance with this Section 3.3.1 is available to the Registered Holder only during such times that there is an effective registration statement registering the Warrant Shares, with the prospectus contained therein being available for the resale of the Warrant Shares.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3.3.2 </w:t>
      </w:r>
      <w:r>
        <w:rPr>
          <w:rFonts w:ascii="Times New Roman;Times;Serif" w:hAnsi="Times New Roman;Times;Serif"/>
          <w:b w:val="false"/>
          <w:i w:val="false"/>
          <w:caps w:val="false"/>
          <w:smallCaps w:val="false"/>
          <w:sz w:val="20"/>
          <w:u w:val="single"/>
        </w:rPr>
        <w:t>Cashless Exercise</w:t>
      </w:r>
      <w:r>
        <w:rPr>
          <w:rFonts w:ascii="Times New Roman;Times;Serif" w:hAnsi="Times New Roman;Times;Serif"/>
          <w:b w:val="false"/>
          <w:i w:val="false"/>
          <w:caps w:val="false"/>
          <w:smallCaps w:val="false"/>
          <w:sz w:val="20"/>
        </w:rPr>
        <w:t>. Subject to Section 2.4, notwithstanding anything contained herein to the contrary, if there is no effective registration statement registering the Warrant Shares on any day the Registered Holder desires to exercise the Warrants and more than 120 days have passed since the Company complete its initial business combination, the Registered Holder may exercise the Warrants in whole or in part in lieu of making a cash payment for whole numbers of Warrant Shares, by providing notice to the Chief Financial Officer of the Company in a subscription form of its election to utilize cashless exercise, in which event the Company shall issue to the Holder the number of Warrant Shares determined as follows:</w:t>
      </w:r>
    </w:p>
    <w:p>
      <w:pPr>
        <w:pStyle w:val="TextBody"/>
        <w:spacing w:before="0" w:after="0"/>
        <w:ind w:left="0" w:right="0" w:firstLine="1440"/>
        <w:jc w:val="both"/>
        <w:rPr>
          <w:caps w:val="false"/>
          <w:smallCaps w:val="false"/>
        </w:rPr>
      </w:pPr>
      <w:r>
        <w:rPr>
          <w:caps w:val="false"/>
          <w:smallCaps w:val="false"/>
        </w:rPr>
        <w:t> </w:t>
      </w:r>
    </w:p>
    <w:p>
      <w:pPr>
        <w:pStyle w:val="TextBody"/>
        <w:spacing w:before="0" w:after="0"/>
        <w:ind w:left="21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 = Y [(A-B)/A]</w:t>
      </w:r>
    </w:p>
    <w:p>
      <w:pPr>
        <w:pStyle w:val="TextBody"/>
        <w:spacing w:before="0" w:after="0"/>
        <w:ind w:left="2160" w:right="0" w:hanging="0"/>
        <w:jc w:val="both"/>
        <w:rPr>
          <w:caps w:val="false"/>
          <w:smallCaps w:val="false"/>
        </w:rPr>
      </w:pPr>
      <w:r>
        <w:rPr>
          <w:caps w:val="false"/>
          <w:smallCaps w:val="false"/>
        </w:rPr>
        <w:t> </w:t>
      </w:r>
    </w:p>
    <w:p>
      <w:pPr>
        <w:pStyle w:val="TextBody"/>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w:t>
      </w:r>
    </w:p>
    <w:p>
      <w:pPr>
        <w:pStyle w:val="TextBody"/>
        <w:spacing w:before="0" w:after="0"/>
        <w:ind w:left="1440" w:right="0" w:hanging="0"/>
        <w:jc w:val="both"/>
        <w:rPr>
          <w:caps w:val="false"/>
          <w:smallCaps w:val="false"/>
        </w:rPr>
      </w:pPr>
      <w:r>
        <w:rPr>
          <w:caps w:val="false"/>
          <w:smallCaps w:val="false"/>
        </w:rPr>
        <w:t> </w:t>
      </w:r>
    </w:p>
    <w:p>
      <w:pPr>
        <w:pStyle w:val="TextBody"/>
        <w:spacing w:before="0" w:after="0"/>
        <w:ind w:left="21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 = the number of Warrant Shares to be issued to the Holder.</w:t>
      </w:r>
    </w:p>
    <w:p>
      <w:pPr>
        <w:pStyle w:val="TextBody"/>
        <w:spacing w:before="0" w:after="0"/>
        <w:ind w:left="21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 = the number of Warrant Shares with respect to which this Warrant is being exercised.</w:t>
      </w:r>
    </w:p>
    <w:p>
      <w:pPr>
        <w:pStyle w:val="TextBody"/>
        <w:spacing w:before="0" w:after="0"/>
        <w:ind w:left="21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 the fair market value of one share of Common Stock.</w:t>
      </w:r>
    </w:p>
    <w:p>
      <w:pPr>
        <w:pStyle w:val="TextBody"/>
        <w:spacing w:before="0" w:after="0"/>
        <w:ind w:left="21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 the Warrant Price.</w:t>
      </w:r>
    </w:p>
    <w:p>
      <w:pPr>
        <w:pStyle w:val="TextBody"/>
        <w:spacing w:before="0" w:after="0"/>
        <w:ind w:left="216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Registered Holder may not exercise any Warrants in the absence of a registration statement except pursuant to this </w:t>
      </w:r>
      <w:r>
        <w:rPr>
          <w:rFonts w:ascii="Times New Roman;Times;Serif" w:hAnsi="Times New Roman;Times;Serif"/>
          <w:b w:val="false"/>
          <w:i w:val="false"/>
          <w:caps w:val="false"/>
          <w:smallCaps w:val="false"/>
          <w:sz w:val="20"/>
          <w:u w:val="single"/>
        </w:rPr>
        <w:t>Section 3.3.2</w:t>
      </w:r>
      <w:r>
        <w:rPr>
          <w:rFonts w:ascii="Times New Roman;Times;Serif" w:hAnsi="Times New Roman;Times;Serif"/>
          <w:b w:val="false"/>
          <w:i w:val="false"/>
          <w:caps w:val="false"/>
          <w:smallCaps w:val="false"/>
          <w:sz w:val="20"/>
        </w:rPr>
        <w:t xml:space="preserve">. For purposes of this </w:t>
      </w:r>
      <w:r>
        <w:rPr>
          <w:rFonts w:ascii="Times New Roman;Times;Serif" w:hAnsi="Times New Roman;Times;Serif"/>
          <w:b w:val="false"/>
          <w:i w:val="false"/>
          <w:caps w:val="false"/>
          <w:smallCaps w:val="false"/>
          <w:sz w:val="20"/>
          <w:u w:val="single"/>
        </w:rPr>
        <w:t>Section 3.3.2</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4.1</w:t>
      </w:r>
      <w:r>
        <w:rPr>
          <w:rFonts w:ascii="Times New Roman;Times;Serif" w:hAnsi="Times New Roman;Times;Serif"/>
          <w:b w:val="false"/>
          <w:i w:val="false"/>
          <w:caps w:val="false"/>
          <w:smallCaps w:val="false"/>
          <w:sz w:val="20"/>
        </w:rPr>
        <w:t>, the fair market value of one share of Common Stock is defined as follows: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21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if the Company’s shares of Common Stock are listed and traded on the New York Stock Exchange, the NYSE American, the NASDAQ Global Select Market, the NASDAQ Global Market or the NASDAQ Capital Market (each, a “</w:t>
      </w:r>
      <w:r>
        <w:rPr>
          <w:rFonts w:ascii="Times New Roman;Times;Serif" w:hAnsi="Times New Roman;Times;Serif"/>
          <w:b/>
          <w:i w:val="false"/>
          <w:caps w:val="false"/>
          <w:smallCaps w:val="false"/>
          <w:sz w:val="20"/>
        </w:rPr>
        <w:t>Trading Market</w:t>
      </w:r>
      <w:r>
        <w:rPr>
          <w:rFonts w:ascii="Times New Roman;Times;Serif" w:hAnsi="Times New Roman;Times;Serif"/>
          <w:b w:val="false"/>
          <w:i w:val="false"/>
          <w:caps w:val="false"/>
          <w:smallCaps w:val="false"/>
          <w:sz w:val="20"/>
        </w:rPr>
        <w:t>”), the fair market value shall be deemed the average of the closing price on such Trading Market for the 10 trading days ending on the third trading day immediately prior to the date the subscription form is submitted to the Company in connection with the exercise of the Warrant; or</w:t>
      </w:r>
    </w:p>
    <w:p>
      <w:pPr>
        <w:pStyle w:val="TextBody"/>
        <w:spacing w:before="0" w:after="0"/>
        <w:ind w:left="2160" w:right="0" w:hanging="0"/>
        <w:jc w:val="both"/>
        <w:rPr>
          <w:caps w:val="false"/>
          <w:smallCaps w:val="false"/>
        </w:rPr>
      </w:pPr>
      <w:r>
        <w:rPr>
          <w:caps w:val="false"/>
          <w:smallCaps w:val="false"/>
        </w:rPr>
        <w:t> </w:t>
      </w:r>
    </w:p>
    <w:p>
      <w:pPr>
        <w:pStyle w:val="TextBody"/>
        <w:spacing w:before="0" w:after="0"/>
        <w:ind w:left="216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spacing w:before="0" w:after="0"/>
        <w:ind w:left="0" w:right="0" w:hanging="0"/>
        <w:rPr/>
      </w:pPr>
      <w:r>
        <w:rPr/>
        <w:t> </w:t>
      </w:r>
    </w:p>
    <w:p>
      <w:pPr>
        <w:pStyle w:val="TextBody"/>
        <w:spacing w:before="0" w:after="0"/>
        <w:ind w:left="2160" w:right="0" w:hanging="0"/>
        <w:jc w:val="both"/>
        <w:rPr>
          <w:caps w:val="false"/>
          <w:smallCaps w:val="false"/>
        </w:rPr>
      </w:pPr>
      <w:r>
        <w:rPr>
          <w:caps w:val="false"/>
          <w:smallCaps w:val="false"/>
        </w:rPr>
        <w:t> </w:t>
      </w:r>
    </w:p>
    <w:p>
      <w:pPr>
        <w:pStyle w:val="TextBody"/>
        <w:spacing w:before="0" w:after="0"/>
        <w:ind w:left="21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if the Company’s shares of Common Stock are not listed on a Trading Market, but is traded in the over-the-counter market, the fair market value shall be deemed to be the average of the bid price on such Trading Market for the 10 trading days ending on the third trading day immediately prior to the date the subscription form is submitted in connection with the exercise of the Warrant; or</w:t>
      </w:r>
    </w:p>
    <w:p>
      <w:pPr>
        <w:pStyle w:val="TextBody"/>
        <w:spacing w:before="0" w:after="0"/>
        <w:ind w:left="2160" w:right="0" w:hanging="0"/>
        <w:jc w:val="both"/>
        <w:rPr>
          <w:caps w:val="false"/>
          <w:smallCaps w:val="false"/>
        </w:rPr>
      </w:pPr>
      <w:r>
        <w:rPr>
          <w:caps w:val="false"/>
          <w:smallCaps w:val="false"/>
        </w:rPr>
        <w:t> </w:t>
      </w:r>
    </w:p>
    <w:p>
      <w:pPr>
        <w:pStyle w:val="TextBody"/>
        <w:spacing w:before="0" w:after="0"/>
        <w:ind w:left="21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if there is no active public market for the Company’s shares of Common Stock, the fair market value of the shares of Common Stock shall be determined in good faith by the Company’s board of directors.</w:t>
      </w:r>
    </w:p>
    <w:p>
      <w:pPr>
        <w:pStyle w:val="TextBody"/>
        <w:spacing w:before="0" w:after="0"/>
        <w:ind w:left="2160" w:right="0" w:hanging="0"/>
        <w:jc w:val="both"/>
        <w:rPr>
          <w:caps w:val="false"/>
          <w:smallCaps w:val="false"/>
        </w:rPr>
      </w:pPr>
      <w:r>
        <w:rPr>
          <w:caps w:val="false"/>
          <w:smallCaps w:val="false"/>
        </w:rPr>
        <w:t> </w:t>
      </w:r>
    </w:p>
    <w:p>
      <w:pPr>
        <w:pStyle w:val="TextBody"/>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3.3.3 </w:t>
      </w:r>
      <w:r>
        <w:rPr>
          <w:rFonts w:ascii="Times New Roman;Times;Serif" w:hAnsi="Times New Roman;Times;Serif"/>
          <w:b w:val="false"/>
          <w:i w:val="false"/>
          <w:caps w:val="false"/>
          <w:smallCaps w:val="false"/>
          <w:sz w:val="20"/>
          <w:u w:val="single"/>
        </w:rPr>
        <w:t>Fractional Shares</w:t>
      </w:r>
      <w:r>
        <w:rPr>
          <w:rFonts w:ascii="Times New Roman;Times;Serif" w:hAnsi="Times New Roman;Times;Serif"/>
          <w:b w:val="false"/>
          <w:i w:val="false"/>
          <w:caps w:val="false"/>
          <w:smallCaps w:val="false"/>
          <w:sz w:val="20"/>
        </w:rPr>
        <w:t>. Notwithstanding any provision to the contrary contained in this Warrant Agreement, the Company shall not be required to issue any fraction of a Warrant Share in connection with the exercise of Warrants, and in any case where the Registered Holder would be entitled under the terms of the Warrants to receive a fraction of a Warrant Share upon the exercise of such Registered Holder’s Warrants, issue or cause to be issued only the largest whole number of Warrant Shares issuable on such exercise (and such fraction of a Warrant Share will be disregarded); provided, that if more than one Warrant certificate is presented for exercise at the same time by the same Registered Holder, the number of whole Warrant Shares which shall be issuable upon the exercise thereof shall be computed on the basis of the aggregate number of Warrant Shares issuable on exercise of all such Warrants.</w:t>
      </w:r>
    </w:p>
    <w:p>
      <w:pPr>
        <w:pStyle w:val="TextBody"/>
        <w:spacing w:before="0" w:after="0"/>
        <w:ind w:left="0" w:right="0" w:firstLine="1440"/>
        <w:jc w:val="both"/>
        <w:rPr>
          <w:caps w:val="false"/>
          <w:smallCaps w:val="false"/>
        </w:rPr>
      </w:pPr>
      <w:r>
        <w:rPr>
          <w:caps w:val="false"/>
          <w:smallCaps w:val="false"/>
        </w:rPr>
        <w:t> </w:t>
      </w:r>
    </w:p>
    <w:p>
      <w:pPr>
        <w:pStyle w:val="TextBody"/>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3.3.4 </w:t>
      </w:r>
      <w:r>
        <w:rPr>
          <w:rFonts w:ascii="Times New Roman;Times;Serif" w:hAnsi="Times New Roman;Times;Serif"/>
          <w:b w:val="false"/>
          <w:i w:val="false"/>
          <w:caps w:val="false"/>
          <w:smallCaps w:val="false"/>
          <w:sz w:val="20"/>
          <w:u w:val="single"/>
        </w:rPr>
        <w:t>Issuance of Certificates</w:t>
      </w:r>
      <w:r>
        <w:rPr>
          <w:rFonts w:ascii="Times New Roman;Times;Serif" w:hAnsi="Times New Roman;Times;Serif"/>
          <w:b w:val="false"/>
          <w:i w:val="false"/>
          <w:caps w:val="false"/>
          <w:smallCaps w:val="false"/>
          <w:sz w:val="20"/>
        </w:rPr>
        <w:t>. No later than three (3) business days following the exercise of any Warrant and the clearance of the funds in payment of the Warrant Price pursuant to Section 3.3.1 or cashless exercise pursuant to Section 3.3.2, the Company shall issue, or cause to be issued, to the Registered Holder of such Warrant a certificate or certificates representing (or at the option of the Registered Holder, deliver electronically through the facilities of the Depository Trust Corporation) the number of full shares of Common Stock to which he, she or it is entitled, registered in such name or names as may be directed by him, her or it, and, if such Warrant shall not have been exercised or surrendered in full, a new countersigned Warrant for the number of shares as to which such Warrant shall not have been exercised or surrendered. Notwithstanding the foregoing, the Company shall not deliver, or cause to be delivered, any securities without applicable restrictive legend pursuant to the exercise of a Warrant unless (a) a registration statement under the Act with respect to the shares of Common Stock issuable upon exercise of such Warrants is effective and a current prospectus relating to the shares of Common Stock issuable upon exercise of the Warrants is available for delivery to the Registered Holder of the Warrant or (b) in the opinion of counsel to the Company, the exercise of the Warrants is exempt from the registration requirements of the Act and such securities are qualified for sale or exempt from qualification under applicable securities laws of the states or other jurisdictions in which the Registered Holder resides. Warrants may not be exercised by, or securities issued to, any Registered Holder in any state in which such exercise or issuance would be unlawful. In addition, in no event will the Company be obligated to pay such Registered Holder any cash consideration upon exercise or otherwise “net cash settle” the Warrant.</w:t>
      </w:r>
    </w:p>
    <w:p>
      <w:pPr>
        <w:pStyle w:val="TextBody"/>
        <w:spacing w:before="0" w:after="0"/>
        <w:ind w:left="0" w:right="0" w:firstLine="1440"/>
        <w:jc w:val="both"/>
        <w:rPr>
          <w:caps w:val="false"/>
          <w:smallCaps w:val="false"/>
        </w:rPr>
      </w:pPr>
      <w:r>
        <w:rPr>
          <w:caps w:val="false"/>
          <w:smallCaps w:val="false"/>
        </w:rPr>
        <w:t> </w:t>
      </w:r>
    </w:p>
    <w:p>
      <w:pPr>
        <w:pStyle w:val="TextBody"/>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3.3.5 </w:t>
      </w:r>
      <w:r>
        <w:rPr>
          <w:rFonts w:ascii="Times New Roman;Times;Serif" w:hAnsi="Times New Roman;Times;Serif"/>
          <w:b w:val="false"/>
          <w:i w:val="false"/>
          <w:caps w:val="false"/>
          <w:smallCaps w:val="false"/>
          <w:sz w:val="20"/>
          <w:u w:val="single"/>
        </w:rPr>
        <w:t>Valid Issuance</w:t>
      </w:r>
      <w:r>
        <w:rPr>
          <w:rFonts w:ascii="Times New Roman;Times;Serif" w:hAnsi="Times New Roman;Times;Serif"/>
          <w:b w:val="false"/>
          <w:i w:val="false"/>
          <w:caps w:val="false"/>
          <w:smallCaps w:val="false"/>
          <w:sz w:val="20"/>
        </w:rPr>
        <w:t>. All shares of Common Stock issued upon the proper exercise or surrender of a Warrant in conformity with this Warrant Agreement shall be validly issued, fully paid and non-assessable.</w:t>
      </w:r>
    </w:p>
    <w:p>
      <w:pPr>
        <w:pStyle w:val="TextBody"/>
        <w:spacing w:before="0" w:after="0"/>
        <w:ind w:left="0" w:right="0" w:firstLine="1440"/>
        <w:jc w:val="both"/>
        <w:rPr>
          <w:caps w:val="false"/>
          <w:smallCaps w:val="false"/>
        </w:rPr>
      </w:pPr>
      <w:r>
        <w:rPr>
          <w:caps w:val="false"/>
          <w:smallCaps w:val="false"/>
        </w:rPr>
        <w:t> </w:t>
      </w:r>
    </w:p>
    <w:p>
      <w:pPr>
        <w:pStyle w:val="TextBody"/>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3.3.6 </w:t>
      </w:r>
      <w:r>
        <w:rPr>
          <w:rFonts w:ascii="Times New Roman;Times;Serif" w:hAnsi="Times New Roman;Times;Serif"/>
          <w:b w:val="false"/>
          <w:i w:val="false"/>
          <w:caps w:val="false"/>
          <w:smallCaps w:val="false"/>
          <w:sz w:val="20"/>
          <w:u w:val="single"/>
        </w:rPr>
        <w:t>Date of Issuance</w:t>
      </w:r>
      <w:r>
        <w:rPr>
          <w:rFonts w:ascii="Times New Roman;Times;Serif" w:hAnsi="Times New Roman;Times;Serif"/>
          <w:b w:val="false"/>
          <w:i w:val="false"/>
          <w:caps w:val="false"/>
          <w:smallCaps w:val="false"/>
          <w:sz w:val="20"/>
        </w:rPr>
        <w:t>. Each person or entity in whose name any such certificate for shares of Common Stock is issued shall, for all purposes, be deemed to have become the holder of record of such shares on the date on which the Warrant was surrendered and payment of the Warrant Price was made, irrespective of the date of delivery of such certificate, except that, if the date of such surrender and payment is a date when the stock transfer books of the Company are closed, such person shall be deemed to have become the holder of such shares at the close of business on the next succeeding date on which the stock transfer books are open.</w:t>
      </w:r>
    </w:p>
    <w:p>
      <w:pPr>
        <w:pStyle w:val="TextBody"/>
        <w:spacing w:before="0" w:after="0"/>
        <w:ind w:left="0" w:right="0" w:firstLine="1440"/>
        <w:jc w:val="both"/>
        <w:rPr>
          <w:caps w:val="false"/>
          <w:smallCaps w:val="false"/>
        </w:rPr>
      </w:pPr>
      <w:r>
        <w:rPr>
          <w:caps w:val="false"/>
          <w:smallCaps w:val="false"/>
        </w:rPr>
        <w:t> </w:t>
      </w:r>
    </w:p>
    <w:p>
      <w:pPr>
        <w:pStyle w:val="TextBody"/>
        <w:spacing w:before="0" w:after="0"/>
        <w:ind w:left="0" w:right="0" w:firstLine="144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spacing w:before="0" w:after="0"/>
        <w:ind w:left="0" w:right="0" w:hanging="0"/>
        <w:rPr/>
      </w:pPr>
      <w:r>
        <w:rPr/>
        <w:t> </w:t>
      </w:r>
    </w:p>
    <w:p>
      <w:pPr>
        <w:pStyle w:val="TextBody"/>
        <w:spacing w:before="0" w:after="0"/>
        <w:ind w:left="0" w:right="0" w:firstLine="1440"/>
        <w:jc w:val="both"/>
        <w:rPr>
          <w:caps w:val="false"/>
          <w:smallCaps w:val="false"/>
        </w:rPr>
      </w:pPr>
      <w:r>
        <w:rPr>
          <w:caps w:val="false"/>
          <w:smallCaps w:val="false"/>
        </w:rPr>
        <w:t> </w:t>
      </w:r>
    </w:p>
    <w:p>
      <w:pPr>
        <w:pStyle w:val="TextBody"/>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3.3.7 </w:t>
      </w:r>
      <w:r>
        <w:rPr>
          <w:rFonts w:ascii="Times New Roman;Times;Serif" w:hAnsi="Times New Roman;Times;Serif"/>
          <w:b w:val="false"/>
          <w:i w:val="false"/>
          <w:caps w:val="false"/>
          <w:smallCaps w:val="false"/>
          <w:sz w:val="20"/>
          <w:u w:val="single"/>
        </w:rPr>
        <w:t>Maximum Percentage</w:t>
      </w:r>
      <w:r>
        <w:rPr>
          <w:rFonts w:ascii="Times New Roman;Times;Serif" w:hAnsi="Times New Roman;Times;Serif"/>
          <w:b w:val="false"/>
          <w:i w:val="false"/>
          <w:caps w:val="false"/>
          <w:smallCaps w:val="false"/>
          <w:sz w:val="20"/>
        </w:rPr>
        <w:t>. A holder of a Warrant may notify the Company in writing in the event it elects to be subject to the provisions contained in this subsection 3.3.7; however, no holder of a Warrant shall be subject to this subsection 3.3.7 unless he, she or it makes such election. If the election is made by a holder, the Warrant Agent shall not effect the exercise of the holder’s Warrant, and such holder shall not have the right to exercise such Warrant, to the extent that after giving effect to such exercise, such person (together with such person’s affiliates), to the Warrant Agent’s actual knowledge, would beneficially own in excess of 9.9% (the “</w:t>
      </w:r>
      <w:r>
        <w:rPr>
          <w:rFonts w:ascii="Times New Roman;Times;Serif" w:hAnsi="Times New Roman;Times;Serif"/>
          <w:b/>
          <w:i w:val="false"/>
          <w:caps w:val="false"/>
          <w:smallCaps w:val="false"/>
          <w:sz w:val="20"/>
        </w:rPr>
        <w:t>Maximum Percentage</w:t>
      </w:r>
      <w:r>
        <w:rPr>
          <w:rFonts w:ascii="Times New Roman;Times;Serif" w:hAnsi="Times New Roman;Times;Serif"/>
          <w:b w:val="false"/>
          <w:i w:val="false"/>
          <w:caps w:val="false"/>
          <w:smallCaps w:val="false"/>
          <w:sz w:val="20"/>
        </w:rPr>
        <w:t>”) of the shares of Common Stock outstanding immediately after giving effect to such exercise. For purposes of the foregoing sentence, the aggregate number of shares of Common Stock beneficially owned by such person and its affiliates shall include the number of shares of Common Stock issuable upon exercise of the Warrant with respect to which the determination of such sentence is being made, but shall exclude the shares of Common Stock that would be issuable upon (x) exercise of the remaining, unexercised portion of the Warrant beneficially owned by such person and its affiliates and (y) exercise or conversion of the unexercised or unconverted portion of any other securities of the Company beneficially owned by such person and its affiliates (including, without limitation, any convertible notes or convertible preferred shares or warrants) subject to a limitation on conversion or exercise analogous to the limitation contained herein. Except as set forth in the preceding sentence, for purposes of this paragraph, beneficial ownership shall be calculated in accordance with Section 13(d) of the Securities Exchange Act of 1934, as amended (the “</w:t>
      </w:r>
      <w:r>
        <w:rPr>
          <w:rFonts w:ascii="Times New Roman;Times;Serif" w:hAnsi="Times New Roman;Times;Serif"/>
          <w:b/>
          <w:i w:val="false"/>
          <w:caps w:val="false"/>
          <w:smallCaps w:val="false"/>
          <w:sz w:val="20"/>
        </w:rPr>
        <w:t>Exchange Act</w:t>
      </w:r>
      <w:r>
        <w:rPr>
          <w:rFonts w:ascii="Times New Roman;Times;Serif" w:hAnsi="Times New Roman;Times;Serif"/>
          <w:b w:val="false"/>
          <w:i w:val="false"/>
          <w:caps w:val="false"/>
          <w:smallCaps w:val="false"/>
          <w:sz w:val="20"/>
        </w:rPr>
        <w:t>”). For purposes of the Warrant, in determining the number of outstanding shares of Common Stock, the holder may rely on the number of outstanding shares of Common Stock as reflected in (1) the Company’s most recent annual report on Form 10-K, quarterly report on Form 10-Q, current report on Form 8-K or other public filing with the SEC as the case may be, (2) a more recent public announcement by the Company, or (3) any other notice by the Company or the Warrant Agent setting forth the number of shares of Common Stock outstanding. For any reason at any time, upon the written request of the holder of the Warrant, the Company shall, within two (2) business days, confirm orally and in writing to such holder the number of shares of Common Stock then outstanding. In any case, the number of outstanding shares of Common Stock shall be determined after giving effect to the conversion or exercise of equity securities of the Company by the holder and its affiliates since the date as of which such number of outstanding shares of Common Stock was reported. By written notice to the Company, the holder of a Warrant may from time to time increase or decrease the Maximum Percentage applicable to such holder to any other percentage specified in such notice; provided, however, that any such increase shall not be effective until the sixty-first (61st) day after such notice is delivered to the Company.</w:t>
      </w:r>
    </w:p>
    <w:p>
      <w:pPr>
        <w:pStyle w:val="TextBody"/>
        <w:spacing w:before="0" w:after="0"/>
        <w:ind w:left="0" w:right="0" w:firstLine="144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 </w:t>
      </w:r>
      <w:r>
        <w:rPr>
          <w:rFonts w:ascii="Times New Roman;Times;Serif" w:hAnsi="Times New Roman;Times;Serif"/>
          <w:b w:val="false"/>
          <w:i w:val="false"/>
          <w:caps w:val="false"/>
          <w:smallCaps w:val="false"/>
          <w:sz w:val="20"/>
          <w:u w:val="single"/>
        </w:rPr>
        <w:t>Adjustments</w:t>
      </w:r>
      <w:r>
        <w:rPr>
          <w:rFonts w:ascii="Times New Roman;Times;Serif" w:hAnsi="Times New Roman;Times;Serif"/>
          <w:b w:val="false"/>
          <w:i w:val="false"/>
          <w:caps w:val="false"/>
          <w:smallCaps w:val="false"/>
          <w:sz w:val="20"/>
        </w:rPr>
        <w:t>.</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4.1 </w:t>
      </w:r>
      <w:r>
        <w:rPr>
          <w:rFonts w:ascii="Times New Roman;Times;Serif" w:hAnsi="Times New Roman;Times;Serif"/>
          <w:b w:val="false"/>
          <w:i w:val="false"/>
          <w:caps w:val="false"/>
          <w:smallCaps w:val="false"/>
          <w:sz w:val="20"/>
          <w:u w:val="single"/>
        </w:rPr>
        <w:t>Stock Dividends, Splits</w:t>
      </w:r>
      <w:r>
        <w:rPr>
          <w:rFonts w:ascii="Times New Roman;Times;Serif" w:hAnsi="Times New Roman;Times;Serif"/>
          <w:b w:val="false"/>
          <w:i w:val="false"/>
          <w:caps w:val="false"/>
          <w:smallCaps w:val="false"/>
          <w:sz w:val="20"/>
        </w:rPr>
        <w:t>. If, after the date hereof, and subject to the provisions of Section 4.5 below, the number of outstanding shares of Common Stock is increased by a stock dividend payable in shares of Common Stock, or by a forward or reverse split of shares of Common Stock, or other similar event, then, on the effective date of such stock dividend, split or similar event, the number of shares of Common Stock issuable on exercise of each Warrant shall be increased or decreased in proportion to such increase or decrease in outstanding shares of Common Stock. A rights offering to all holders of the shares of Common Stock entitling holders to purchase shares of Common Stock at a price less than the Fair Market Value shall be deemed a stock dividend of a number of shares of Common Stock equal to the product of (i) the number of shares of Common Stock actually sold in such rights offering (or issuable under any other equity securities sold in such rights offering that are convertible into or exercisable for the shares of Common Stock) multiplied by (ii) one (1) minus the quotient of (x) the price per share of Common Stock paid in such rights offering divided by (y) the Fair Market Value. For purposes of this subsection 4.1, if the rights offering is for securities convertible into or exercisable for shares of Common Stock, in determining the price payable for the shares of Common Stock, there shall be taken into account any consideration received for such rights, as well as any additional amount payable upon exercise or conversion.</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4.2 </w:t>
      </w:r>
      <w:r>
        <w:rPr>
          <w:rFonts w:ascii="Times New Roman;Times;Serif" w:hAnsi="Times New Roman;Times;Serif"/>
          <w:b w:val="false"/>
          <w:i w:val="false"/>
          <w:caps w:val="false"/>
          <w:smallCaps w:val="false"/>
          <w:sz w:val="20"/>
          <w:u w:val="single"/>
        </w:rPr>
        <w:t>Aggregation of Shares</w:t>
      </w:r>
      <w:r>
        <w:rPr>
          <w:rFonts w:ascii="Times New Roman;Times;Serif" w:hAnsi="Times New Roman;Times;Serif"/>
          <w:b w:val="false"/>
          <w:i w:val="false"/>
          <w:caps w:val="false"/>
          <w:smallCaps w:val="false"/>
          <w:sz w:val="20"/>
        </w:rPr>
        <w:t>. If, after the date hereof, and subject to the provisions of Section 4.6, the number of outstanding shares of Common Stock is decreased by a consolidation, combination or reclassification of shares of Common Stock or other similar event, then, on the effective date of such consolidation, combination, reclassification or similar event, the number of shares of Common Stock issuable on exercise of each Warrant shall be decreased in proportion to such decrease in outstanding shares of Common Stock.</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w:t>
      </w:r>
    </w:p>
    <w:p>
      <w:pPr>
        <w:pStyle w:val="TextBody"/>
        <w:spacing w:before="0" w:after="0"/>
        <w:ind w:left="0" w:right="0" w:hanging="0"/>
        <w:rPr/>
      </w:pPr>
      <w:r>
        <w:rPr/>
        <w:t> </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4.3 </w:t>
      </w:r>
      <w:r>
        <w:rPr>
          <w:rFonts w:ascii="Times New Roman;Times;Serif" w:hAnsi="Times New Roman;Times;Serif"/>
          <w:b w:val="false"/>
          <w:i w:val="false"/>
          <w:caps w:val="false"/>
          <w:smallCaps w:val="false"/>
          <w:sz w:val="20"/>
          <w:u w:val="single"/>
        </w:rPr>
        <w:t>Extraordinary Dividends</w:t>
      </w:r>
      <w:r>
        <w:rPr>
          <w:rFonts w:ascii="Times New Roman;Times;Serif" w:hAnsi="Times New Roman;Times;Serif"/>
          <w:b w:val="false"/>
          <w:i w:val="false"/>
          <w:caps w:val="false"/>
          <w:smallCaps w:val="false"/>
          <w:sz w:val="20"/>
        </w:rPr>
        <w:t>. If the Company, at any time while the Warrants (or rights to purchase the Warrants) are outstanding and unexpired, shall pay a dividend or make a distribution in cash, securities or other assets to the holders of the shares of Common Stock on account of such shares of Common Stock (or other shares of the Company’s capital stock into which the Warrants are convertible), other than (a) as described in subsection 4.1 above, (b) Ordinary Cash Dividends (as defined below), (c) to satisfy the conversion rights of the holders of the shares of Common Stock in connection with a proposed initial Business Combination or vote to extend the time period to complete an initial Business Combination, (d) as a result of the repurchase of shares of Common Stock by the Company in connection with an initial Business Combination or as otherwise permitted by the Investment Management Trust Agreement between the Company and the Warrant Agent dated of even date herewith or (e) in connection with the Company’s liquidation and the distribution of its assets upon its failure to consummate a Business Combination (any such non-excluded event being referred to herein as an “Extraordinary Dividend”), then the Warrant Price shall be decreased, effective immediately after the effective date of such Extraordinary Dividend, by the amount of cash and the fair market value (as determined by the Company’s board of directors, in good faith) of any securities or other assets paid on each share of Common Stock in respect of such Extraordinary Dividend. For purposes of this subsection 4.3, “Ordinary Cash Dividends” means any cash dividend or cash distribution which, when combined on a per share basis with the per share amounts of all other cash dividends and cash distributions paid on the shares of Common Stock during the 365-day period ending on the date of declaration of such dividend or distribution (as adjusted to appropriately reflect any of the events referred to in other subsections of this Section 4 and excluding cash dividends or cash distributions that resulted in an adjustment to the Warrant Price or to the number of shares of Common Stock issuable on exercise of each Warrant) does not exceed $0.50 (being 5% of the offering price of the Units in the Offering). The foregoing adjustment shall not apply to the Private Warrants.</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4.4 </w:t>
      </w:r>
      <w:r>
        <w:rPr>
          <w:rFonts w:ascii="Times New Roman;Times;Serif" w:hAnsi="Times New Roman;Times;Serif"/>
          <w:b w:val="false"/>
          <w:i w:val="false"/>
          <w:caps w:val="false"/>
          <w:smallCaps w:val="false"/>
          <w:sz w:val="20"/>
          <w:u w:val="single"/>
        </w:rPr>
        <w:t>Adjustments in Exercise Price</w:t>
      </w:r>
      <w:r>
        <w:rPr>
          <w:rFonts w:ascii="Times New Roman;Times;Serif" w:hAnsi="Times New Roman;Times;Serif"/>
          <w:b w:val="false"/>
          <w:i w:val="false"/>
          <w:caps w:val="false"/>
          <w:smallCaps w:val="false"/>
          <w:sz w:val="20"/>
        </w:rPr>
        <w:t>.</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4.4.1 Whenever the number of shares of Common Stock purchasable upon the exercise of the Warrants is adjusted, as provided in Sections 4.1 and 4.2 above, the Warrant Price shall be adjusted (to the nearest cent) by multiplying such Warrant Price, immediately prior to such adjustment, by a fraction, (a) the numerator of which shall be the number of shares of Common Stock purchasable upon the exercise of the Warrants immediately prior to such adjustment, and (b) the denominator of which shall be the number of shares of Common Stock so purchasable immediately thereafter.</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4.4.2 If the Company issues additional common stock or equity-linked securities for capital raising purposes in connection with the closing of a Business Combination at an issue price or effective issue price of less than $9.20 per common stock (with such issue price or effective issue price to be determined in good faith by the Company’s board of directors and, in the case of any such issuance to the co-sponsors or their affiliates, without taking into account any Founder Shares held by the co-sponsors or such affiliates, as applicable, prior to such issuance) (the “</w:t>
      </w:r>
      <w:r>
        <w:rPr>
          <w:rFonts w:ascii="Times New Roman;Times;Serif" w:hAnsi="Times New Roman;Times;Serif"/>
          <w:b/>
          <w:i w:val="false"/>
          <w:caps w:val="false"/>
          <w:smallCaps w:val="false"/>
          <w:sz w:val="20"/>
        </w:rPr>
        <w:t>Newly Issued Price</w:t>
      </w:r>
      <w:r>
        <w:rPr>
          <w:rFonts w:ascii="Times New Roman;Times;Serif" w:hAnsi="Times New Roman;Times;Serif"/>
          <w:b w:val="false"/>
          <w:i w:val="false"/>
          <w:caps w:val="false"/>
          <w:smallCaps w:val="false"/>
          <w:sz w:val="20"/>
        </w:rPr>
        <w:t>”), the exercise price of the Warrants will be adjusted (to the nearest cent) to be equal to 115% of the Newly Issued Price, and the $16.50 per share redemption trigger price will be adjusted (to the nearest cent) to be equal to 165% of the market value (the volume weighted average trading price of its common stock during the 20 trading day period starting on the trading day prior to the day on which the Company consummates its Business Combination).</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4.5 </w:t>
      </w:r>
      <w:r>
        <w:rPr>
          <w:rFonts w:ascii="Times New Roman;Times;Serif" w:hAnsi="Times New Roman;Times;Serif"/>
          <w:b w:val="false"/>
          <w:i w:val="false"/>
          <w:caps w:val="false"/>
          <w:smallCaps w:val="false"/>
          <w:sz w:val="20"/>
          <w:u w:val="single"/>
        </w:rPr>
        <w:t>Replacement of Securities upon Reorganization, etc.</w:t>
      </w:r>
      <w:r>
        <w:rPr>
          <w:rFonts w:ascii="Times New Roman;Times;Serif" w:hAnsi="Times New Roman;Times;Serif"/>
          <w:b w:val="false"/>
          <w:i w:val="false"/>
          <w:caps w:val="false"/>
          <w:smallCaps w:val="false"/>
          <w:sz w:val="20"/>
        </w:rPr>
        <w:t xml:space="preserve"> In case of any reclassification or reorganization of the outstanding shares of Common Stock (other than a change covered by Sections 4.1, 4.2 or 4.3 hereof or one that solely affects the par value of such shares of Common Stock), or, in the case of any merger or consolidation of the Company with or into another corporation (other than a consolidation or merger in which the Company is the continuing corporation and that does not result in any reclassification or reorganization of the outstanding shares of Common Stock), or, in the case of any sale or conveyance to another corporation or entity of the assets or other property of the Company as an entirety or substantially as an entirety, in connection with which the Company is dissolved, the Registered Holders shall thereafter have the right to purchase and receive, upon the basis and upon the terms and conditions specified in the Warrants and in lieu of the shares of Common Stock of the Company immediately theretofore purchasable and receivable upon the exercise of the rights represented thereby, the kind and amount of shares of stock or other securities or property (including cash) receivable upon such reclassification, reorganization, merger or consolidation, or upon a dissolution following any such sale or transfer, that the Registered Holder would have received if such Registered Holder had exercised his, her or its Warrant(s) immediately prior to such event; and if any reclassification also results in a change in shares of Common Stock covered by Sections 4.1, 4.2 or 4.3, then such adjustment shall be made pursuant to Sections 4.1, 4.2, 4.3 and this Section 4.5. The provisions of this Section 4.5 shall similarly apply to successive reclassifications, reorganizations, mergers or consolidations, sales or other transfers.</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w:t>
      </w:r>
    </w:p>
    <w:p>
      <w:pPr>
        <w:pStyle w:val="TextBody"/>
        <w:spacing w:before="0" w:after="0"/>
        <w:ind w:left="0" w:right="0" w:hanging="0"/>
        <w:rPr/>
      </w:pPr>
      <w:r>
        <w:rPr/>
        <w:t> </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4.6 </w:t>
      </w:r>
      <w:r>
        <w:rPr>
          <w:rFonts w:ascii="Times New Roman;Times;Serif" w:hAnsi="Times New Roman;Times;Serif"/>
          <w:b w:val="false"/>
          <w:i w:val="false"/>
          <w:caps w:val="false"/>
          <w:smallCaps w:val="false"/>
          <w:sz w:val="20"/>
          <w:u w:val="single"/>
        </w:rPr>
        <w:t>Notices of Changes in Warrant</w:t>
      </w:r>
      <w:r>
        <w:rPr>
          <w:rFonts w:ascii="Times New Roman;Times;Serif" w:hAnsi="Times New Roman;Times;Serif"/>
          <w:b w:val="false"/>
          <w:i w:val="false"/>
          <w:caps w:val="false"/>
          <w:smallCaps w:val="false"/>
          <w:sz w:val="20"/>
        </w:rPr>
        <w:t xml:space="preserve">. Upon every adjustment of the Warrant Price or the number of shares issuable upon exercise of a Warrant, the Company shall give written notice thereof to the Warrant Agent, which notice shall state the Warrant Price resulting from such adjustment and the increase or decrease, if any, in the number of shares purchasable at such price upon the exercise of a Warrant, setting forth in reasonable detail the method of calculation and the facts upon which such calculation is based. Upon the occurrence of any event specified in </w:t>
      </w:r>
      <w:r>
        <w:rPr>
          <w:rFonts w:ascii="Times New Roman;Times;Serif" w:hAnsi="Times New Roman;Times;Serif"/>
          <w:b w:val="false"/>
          <w:i w:val="false"/>
          <w:caps w:val="false"/>
          <w:smallCaps w:val="false"/>
          <w:sz w:val="20"/>
          <w:u w:val="single"/>
        </w:rPr>
        <w:t>Sections 4.1 – 4.5</w:t>
      </w:r>
      <w:r>
        <w:rPr>
          <w:rFonts w:ascii="Times New Roman;Times;Serif" w:hAnsi="Times New Roman;Times;Serif"/>
          <w:b w:val="false"/>
          <w:i w:val="false"/>
          <w:caps w:val="false"/>
          <w:smallCaps w:val="false"/>
          <w:sz w:val="20"/>
        </w:rPr>
        <w:t xml:space="preserve"> the Company shall give written notice to each Registered Holder, at the last address set forth for such Registered Holder in the Warrant Register, of the record date or the effective date of the event. Failure to give such notice, or any defect therein, shall not affect the legality or validity of such event.</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4.7 </w:t>
      </w:r>
      <w:r>
        <w:rPr>
          <w:rFonts w:ascii="Times New Roman;Times;Serif" w:hAnsi="Times New Roman;Times;Serif"/>
          <w:b w:val="false"/>
          <w:i w:val="false"/>
          <w:caps w:val="false"/>
          <w:smallCaps w:val="false"/>
          <w:sz w:val="20"/>
          <w:u w:val="single"/>
        </w:rPr>
        <w:t>Form of Warrant</w:t>
      </w:r>
      <w:r>
        <w:rPr>
          <w:rFonts w:ascii="Times New Roman;Times;Serif" w:hAnsi="Times New Roman;Times;Serif"/>
          <w:b w:val="false"/>
          <w:i w:val="false"/>
          <w:caps w:val="false"/>
          <w:smallCaps w:val="false"/>
          <w:sz w:val="20"/>
        </w:rPr>
        <w:t>. The form of Warrant need not be changed because of any adjustment pursuant to this Section 4, and Warrants issued after such adjustment may state the same Warrant Price and the same number of shares as is stated in the Warrants initially issued pursuant to this Warrant Agreement. However, the Company may, at any time, in its sole discretion, make any change in the form of Warrant that the Company may deem appropriate and that does not affect the substance thereof, and any Warrant thereafter issued or countersigned, whether in exchange or substitution for an outstanding Warrant or otherwise, may be in the form as so changed.</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4.8 </w:t>
      </w:r>
      <w:r>
        <w:rPr>
          <w:rFonts w:ascii="Times New Roman;Times;Serif" w:hAnsi="Times New Roman;Times;Serif"/>
          <w:b w:val="false"/>
          <w:i w:val="false"/>
          <w:caps w:val="false"/>
          <w:smallCaps w:val="false"/>
          <w:sz w:val="20"/>
          <w:u w:val="single"/>
        </w:rPr>
        <w:t>Notice of Certain Transactions</w:t>
      </w:r>
      <w:r>
        <w:rPr>
          <w:rFonts w:ascii="Times New Roman;Times;Serif" w:hAnsi="Times New Roman;Times;Serif"/>
          <w:b w:val="false"/>
          <w:i w:val="false"/>
          <w:caps w:val="false"/>
          <w:smallCaps w:val="false"/>
          <w:sz w:val="20"/>
        </w:rPr>
        <w:t>. In the event that the Company shall (a) offer to holders of all its shares of Common Stock rights to subscribe for or to purchase any securities convertible into shares of Common Stock or shares of stock of any class or any other securities, rights or options, (b) issue any rights, options or warrants entitling all the holders of shares of Common Stock to subscribe for shares of Common Stock, or (c) make a tender offer, redemption offer or exchange offer with respect to the shares of Common Stock, the Company shall send to the Registered Holders a notice of such action or offer. Such notice shall be mailed to the Registered Holders at their addresses as they appear in the Warrant Register, which shall specify the record date for the purposes of such dividend, distribution or rights, or the date such issuance or event is to take place and the date of participation therein by the holders of shares of Common Stock, if any such date is to be fixed, and shall briefly indicate the effect of such action on the shares of Common Stock and on the number and kind of any other shares of stock and on other property, if any, and the number of shares of Common Stock and other property, if any, issuable upon exercise of each Warrant and the Warrant Price after giving effect to any adjustment pursuant to this Section 4 which would be required as a result of such action. Such notice shall be given as promptly as practicable after the Company has taken any such action.</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 </w:t>
      </w:r>
      <w:r>
        <w:rPr>
          <w:rFonts w:ascii="Times New Roman;Times;Serif" w:hAnsi="Times New Roman;Times;Serif"/>
          <w:b w:val="false"/>
          <w:i w:val="false"/>
          <w:caps w:val="false"/>
          <w:smallCaps w:val="false"/>
          <w:sz w:val="20"/>
          <w:u w:val="single"/>
        </w:rPr>
        <w:t>Transfer and Exchange of Warrants</w:t>
      </w:r>
      <w:r>
        <w:rPr>
          <w:rFonts w:ascii="Times New Roman;Times;Serif" w:hAnsi="Times New Roman;Times;Serif"/>
          <w:b w:val="false"/>
          <w:i w:val="false"/>
          <w:caps w:val="false"/>
          <w:smallCaps w:val="false"/>
          <w:sz w:val="20"/>
        </w:rPr>
        <w:t>.</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5.1 </w:t>
      </w:r>
      <w:r>
        <w:rPr>
          <w:rFonts w:ascii="Times New Roman;Times;Serif" w:hAnsi="Times New Roman;Times;Serif"/>
          <w:b w:val="false"/>
          <w:i w:val="false"/>
          <w:caps w:val="false"/>
          <w:smallCaps w:val="false"/>
          <w:sz w:val="20"/>
          <w:u w:val="single"/>
        </w:rPr>
        <w:t>Transfer of Warrants</w:t>
      </w:r>
      <w:r>
        <w:rPr>
          <w:rFonts w:ascii="Times New Roman;Times;Serif" w:hAnsi="Times New Roman;Times;Serif"/>
          <w:b w:val="false"/>
          <w:i w:val="false"/>
          <w:caps w:val="false"/>
          <w:smallCaps w:val="false"/>
          <w:sz w:val="20"/>
        </w:rPr>
        <w:t>. Prior to the Detachment Date, the Warrants may be transferred or exchanged only together with the Unit in which such Warrant is included, and only for the purpose of effecting, or in conjunction with, a transfer or exchange of such Unit. Furthermore, each transfer of a Unit on the register relating to such Units shall operate also to transfer the Warrants included in such Unit. From and after the Detachment Date, this Section 5.1 will have no further force and effect.</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5.2 </w:t>
      </w:r>
      <w:r>
        <w:rPr>
          <w:rFonts w:ascii="Times New Roman;Times;Serif" w:hAnsi="Times New Roman;Times;Serif"/>
          <w:b w:val="false"/>
          <w:i w:val="false"/>
          <w:caps w:val="false"/>
          <w:smallCaps w:val="false"/>
          <w:sz w:val="20"/>
          <w:u w:val="single"/>
        </w:rPr>
        <w:t>Registration of Transfer</w:t>
      </w:r>
      <w:r>
        <w:rPr>
          <w:rFonts w:ascii="Times New Roman;Times;Serif" w:hAnsi="Times New Roman;Times;Serif"/>
          <w:b w:val="false"/>
          <w:i w:val="false"/>
          <w:caps w:val="false"/>
          <w:smallCaps w:val="false"/>
          <w:sz w:val="20"/>
        </w:rPr>
        <w:t>. The Warrant Agent shall register the transfer, from time to time, of any outstanding Warrant into the Warrant Register, upon surrender of such Warrant for transfer, properly endorsed with signatures properly guaranteed and accompanied by appropriate instructions for transfer. Upon any such transfer, a new Warrant representing an equal aggregate number of Warrants shall be issued and the old Warrant shall be cancelled by the Warrant Agent. The Warrants so cancelled shall be delivered by the Warrant Agent to the Company from time to time upon the Company’s request.</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5.3 </w:t>
      </w:r>
      <w:r>
        <w:rPr>
          <w:rFonts w:ascii="Times New Roman;Times;Serif" w:hAnsi="Times New Roman;Times;Serif"/>
          <w:b w:val="false"/>
          <w:i w:val="false"/>
          <w:caps w:val="false"/>
          <w:smallCaps w:val="false"/>
          <w:sz w:val="20"/>
          <w:u w:val="single"/>
        </w:rPr>
        <w:t>Procedure for Surrender of Warrants</w:t>
      </w:r>
      <w:r>
        <w:rPr>
          <w:rFonts w:ascii="Times New Roman;Times;Serif" w:hAnsi="Times New Roman;Times;Serif"/>
          <w:b w:val="false"/>
          <w:i w:val="false"/>
          <w:caps w:val="false"/>
          <w:smallCaps w:val="false"/>
          <w:sz w:val="20"/>
        </w:rPr>
        <w:t>. Warrants may be surrendered to the Warrant Agent, together with a written request for exchange or transfer, and, thereupon, the Warrant Agent shall issue in exchange therefor one or more new Warrants as requested by the Registered Holder of the Warrants so surrendered, representing an equal aggregate number of Warrants; provided, however, that, in the event a Warrant surrendered for transfer bears a restrictive legend, the Warrant Agent shall not cancel such Warrant and shall issue new Warrants in exchange therefor until the Warrant Agent has received an opinion of counsel for the Company stating that such transfer may be made and indicating whether the new Warrants must also bear a restrictive legend.</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5.4 </w:t>
      </w:r>
      <w:r>
        <w:rPr>
          <w:rFonts w:ascii="Times New Roman;Times;Serif" w:hAnsi="Times New Roman;Times;Serif"/>
          <w:b w:val="false"/>
          <w:i w:val="false"/>
          <w:caps w:val="false"/>
          <w:smallCaps w:val="false"/>
          <w:sz w:val="20"/>
          <w:u w:val="single"/>
        </w:rPr>
        <w:t>Fractional Warrants</w:t>
      </w:r>
      <w:r>
        <w:rPr>
          <w:rFonts w:ascii="Times New Roman;Times;Serif" w:hAnsi="Times New Roman;Times;Serif"/>
          <w:b w:val="false"/>
          <w:i w:val="false"/>
          <w:caps w:val="false"/>
          <w:smallCaps w:val="false"/>
          <w:sz w:val="20"/>
        </w:rPr>
        <w:t>. The Warrant Agent shall not be required to effect any registration of transfer or exchange which will result in the issuance of a warrant certificate for a fraction of a warrant.</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w:t>
      </w:r>
    </w:p>
    <w:p>
      <w:pPr>
        <w:pStyle w:val="TextBody"/>
        <w:spacing w:before="0" w:after="0"/>
        <w:ind w:left="0" w:right="0" w:hanging="0"/>
        <w:rPr/>
      </w:pPr>
      <w:r>
        <w:rPr/>
        <w:t> </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5.5 </w:t>
      </w:r>
      <w:r>
        <w:rPr>
          <w:rFonts w:ascii="Times New Roman;Times;Serif" w:hAnsi="Times New Roman;Times;Serif"/>
          <w:b w:val="false"/>
          <w:i w:val="false"/>
          <w:caps w:val="false"/>
          <w:smallCaps w:val="false"/>
          <w:sz w:val="20"/>
          <w:u w:val="single"/>
        </w:rPr>
        <w:t>Service Charges</w:t>
      </w:r>
      <w:r>
        <w:rPr>
          <w:rFonts w:ascii="Times New Roman;Times;Serif" w:hAnsi="Times New Roman;Times;Serif"/>
          <w:b w:val="false"/>
          <w:i w:val="false"/>
          <w:caps w:val="false"/>
          <w:smallCaps w:val="false"/>
          <w:sz w:val="20"/>
        </w:rPr>
        <w:t>. No service charge shall be made for any exchange or registration of transfer of Warrants.</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5.6 </w:t>
      </w:r>
      <w:r>
        <w:rPr>
          <w:rFonts w:ascii="Times New Roman;Times;Serif" w:hAnsi="Times New Roman;Times;Serif"/>
          <w:b w:val="false"/>
          <w:i w:val="false"/>
          <w:caps w:val="false"/>
          <w:smallCaps w:val="false"/>
          <w:sz w:val="20"/>
          <w:u w:val="single"/>
        </w:rPr>
        <w:t>Warrant Execution and Countersignature</w:t>
      </w:r>
      <w:r>
        <w:rPr>
          <w:rFonts w:ascii="Times New Roman;Times;Serif" w:hAnsi="Times New Roman;Times;Serif"/>
          <w:b w:val="false"/>
          <w:i w:val="false"/>
          <w:caps w:val="false"/>
          <w:smallCaps w:val="false"/>
          <w:sz w:val="20"/>
        </w:rPr>
        <w:t>. The Warrant Agent is hereby authorized to countersign and to deliver, in accordance with the terms of this Warrant Agreement, the Warrants required to be issued pursuant to the provisions of this Section 5, and the Company, whenever required by the Warrant Agent, will supply the Warrant Agent with Warrants duly executed on behalf of the Company for such purpose.</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 </w:t>
      </w:r>
      <w:r>
        <w:rPr>
          <w:rFonts w:ascii="Times New Roman;Times;Serif" w:hAnsi="Times New Roman;Times;Serif"/>
          <w:b w:val="false"/>
          <w:i w:val="false"/>
          <w:caps w:val="false"/>
          <w:smallCaps w:val="false"/>
          <w:sz w:val="20"/>
          <w:u w:val="single"/>
        </w:rPr>
        <w:t>Redemption</w:t>
      </w:r>
      <w:r>
        <w:rPr>
          <w:rFonts w:ascii="Times New Roman;Times;Serif" w:hAnsi="Times New Roman;Times;Serif"/>
          <w:b w:val="false"/>
          <w:i w:val="false"/>
          <w:caps w:val="false"/>
          <w:smallCaps w:val="false"/>
          <w:sz w:val="20"/>
        </w:rPr>
        <w:t>.</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6.1 </w:t>
      </w:r>
      <w:r>
        <w:rPr>
          <w:rFonts w:ascii="Times New Roman;Times;Serif" w:hAnsi="Times New Roman;Times;Serif"/>
          <w:b w:val="false"/>
          <w:i w:val="false"/>
          <w:caps w:val="false"/>
          <w:smallCaps w:val="false"/>
          <w:sz w:val="20"/>
          <w:u w:val="single"/>
        </w:rPr>
        <w:t>Redemption</w:t>
      </w:r>
      <w:r>
        <w:rPr>
          <w:rFonts w:ascii="Times New Roman;Times;Serif" w:hAnsi="Times New Roman;Times;Serif"/>
          <w:b w:val="false"/>
          <w:i w:val="false"/>
          <w:caps w:val="false"/>
          <w:smallCaps w:val="false"/>
          <w:sz w:val="20"/>
        </w:rPr>
        <w:t>. Subject to the second sentence of this Section 6.1, all (and not less than all) of the outstanding Warrants may be redeemed, in whole and not in part, at the option of the Company, at any time from and after the Warrants become exercisable, and prior to their expiration, at the office of the Warrant Agent, upon the notice referred to in Section 6.2, at the price of $0.01 per Warrant (“</w:t>
      </w:r>
      <w:r>
        <w:rPr>
          <w:rFonts w:ascii="Times New Roman;Times;Serif" w:hAnsi="Times New Roman;Times;Serif"/>
          <w:b/>
          <w:i w:val="false"/>
          <w:caps w:val="false"/>
          <w:smallCaps w:val="false"/>
          <w:sz w:val="20"/>
        </w:rPr>
        <w:t>Redemption Price</w:t>
      </w:r>
      <w:r>
        <w:rPr>
          <w:rFonts w:ascii="Times New Roman;Times;Serif" w:hAnsi="Times New Roman;Times;Serif"/>
          <w:b w:val="false"/>
          <w:i w:val="false"/>
          <w:caps w:val="false"/>
          <w:smallCaps w:val="false"/>
          <w:sz w:val="20"/>
        </w:rPr>
        <w:t>”); provided that the last sales price of the shares of Common Stock has been equal to or greater than $16.50 per share (subject to adjustment for splits, dividends, recapitalizations and other similar events), for any twenty (20) trading days within a thirty (30) trading day period ending on the third business day prior to the date on which notice of redemption is given and provided further that there is a current registration statement in effect with respect to the shares of Common Stock underlying the Warrants for each day in the aforementioned 30-day trading period and continuing each day thereafter until the Redemption Date (defined below). For avoidance of doubt, if and when the warrants become redeemable by the Company under this Section, the Company may exercise its redemption right, even if it is unable to register or qualify the Warrant Shares for sale under all applicable state securities laws.</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6.2 </w:t>
      </w:r>
      <w:r>
        <w:rPr>
          <w:rFonts w:ascii="Times New Roman;Times;Serif" w:hAnsi="Times New Roman;Times;Serif"/>
          <w:b w:val="false"/>
          <w:i w:val="false"/>
          <w:caps w:val="false"/>
          <w:smallCaps w:val="false"/>
          <w:sz w:val="20"/>
          <w:u w:val="single"/>
        </w:rPr>
        <w:t>Date Fixed for, and Notice of, Redemption</w:t>
      </w:r>
      <w:r>
        <w:rPr>
          <w:rFonts w:ascii="Times New Roman;Times;Serif" w:hAnsi="Times New Roman;Times;Serif"/>
          <w:b w:val="false"/>
          <w:i w:val="false"/>
          <w:caps w:val="false"/>
          <w:smallCaps w:val="false"/>
          <w:sz w:val="20"/>
        </w:rPr>
        <w:t>. In the event the Company shall elect to redeem all of the Warrants, the Company shall fix a date for the redemption (the “</w:t>
      </w:r>
      <w:r>
        <w:rPr>
          <w:rFonts w:ascii="Times New Roman;Times;Serif" w:hAnsi="Times New Roman;Times;Serif"/>
          <w:b/>
          <w:i w:val="false"/>
          <w:caps w:val="false"/>
          <w:smallCaps w:val="false"/>
          <w:sz w:val="20"/>
        </w:rPr>
        <w:t>Redemption Date</w:t>
      </w:r>
      <w:r>
        <w:rPr>
          <w:rFonts w:ascii="Times New Roman;Times;Serif" w:hAnsi="Times New Roman;Times;Serif"/>
          <w:b w:val="false"/>
          <w:i w:val="false"/>
          <w:caps w:val="false"/>
          <w:smallCaps w:val="false"/>
          <w:sz w:val="20"/>
        </w:rPr>
        <w:t>”). Notice of redemption shall be mailed by first class mail, postage prepaid, by the Company not less than 30 days prior to the date fixed for redemption to the Registered Holders of the Warrants to be redeemed at their last addresses as they shall appear on the Warrant Register. Any notice mailed in the manner herein provided shall be conclusively presumed to have been duly given, whether or not the Registered Holder received such notice.</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6.3 </w:t>
      </w:r>
      <w:r>
        <w:rPr>
          <w:rFonts w:ascii="Times New Roman;Times;Serif" w:hAnsi="Times New Roman;Times;Serif"/>
          <w:b w:val="false"/>
          <w:i w:val="false"/>
          <w:caps w:val="false"/>
          <w:smallCaps w:val="false"/>
          <w:sz w:val="20"/>
          <w:u w:val="single"/>
        </w:rPr>
        <w:t>Exercise After Notice of Redemption</w:t>
      </w:r>
      <w:r>
        <w:rPr>
          <w:rFonts w:ascii="Times New Roman;Times;Serif" w:hAnsi="Times New Roman;Times;Serif"/>
          <w:b w:val="false"/>
          <w:i w:val="false"/>
          <w:caps w:val="false"/>
          <w:smallCaps w:val="false"/>
          <w:sz w:val="20"/>
        </w:rPr>
        <w:t>. The Warrants may be exercised in accordance with Section 3 of this Warrant Agreement at any time after notice of redemption shall have been given by the Company pursuant to Section 6.2 hereof and prior to the Redemption Date; provided that the Company may require the Registered Holder who desires to exercise the Warrant to elect cashless exercise as set forth under Section 3.3.2, and such Registered Holder must exercise the Warrants on a cashless basis if the Company so requires. On and after the Redemption Date, the Registered Holder of the Warrants shall have no further rights except to receive, upon surrender of the Warrants, the Redemption Price.</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6.4 </w:t>
      </w:r>
      <w:r>
        <w:rPr>
          <w:rFonts w:ascii="Times New Roman;Times;Serif" w:hAnsi="Times New Roman;Times;Serif"/>
          <w:b w:val="false"/>
          <w:i w:val="false"/>
          <w:caps w:val="false"/>
          <w:smallCaps w:val="false"/>
          <w:sz w:val="20"/>
          <w:u w:val="single"/>
        </w:rPr>
        <w:t>No Other Rights to Cash Payment</w:t>
      </w:r>
      <w:r>
        <w:rPr>
          <w:rFonts w:ascii="Times New Roman;Times;Serif" w:hAnsi="Times New Roman;Times;Serif"/>
          <w:b w:val="false"/>
          <w:i w:val="false"/>
          <w:caps w:val="false"/>
          <w:smallCaps w:val="false"/>
          <w:sz w:val="20"/>
        </w:rPr>
        <w:t>. Except for a redemption in accordance with this Section 6, no Registered Holder of any Warrant shall be entitled to any cash payment whatsoever from the Company in connection with the ownership, exercise or surrender of any Warrant under this Warrant Agreement.</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7. </w:t>
      </w:r>
      <w:r>
        <w:rPr>
          <w:rFonts w:ascii="Times New Roman;Times;Serif" w:hAnsi="Times New Roman;Times;Serif"/>
          <w:b w:val="false"/>
          <w:i w:val="false"/>
          <w:caps w:val="false"/>
          <w:smallCaps w:val="false"/>
          <w:sz w:val="20"/>
          <w:u w:val="single"/>
        </w:rPr>
        <w:t>Other Provisions Relating to Rights of Registered Holders of Warrants</w:t>
      </w:r>
      <w:r>
        <w:rPr>
          <w:rFonts w:ascii="Times New Roman;Times;Serif" w:hAnsi="Times New Roman;Times;Serif"/>
          <w:b w:val="false"/>
          <w:i w:val="false"/>
          <w:caps w:val="false"/>
          <w:smallCaps w:val="false"/>
          <w:sz w:val="20"/>
        </w:rPr>
        <w:t>.</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7.1 </w:t>
      </w:r>
      <w:r>
        <w:rPr>
          <w:rFonts w:ascii="Times New Roman;Times;Serif" w:hAnsi="Times New Roman;Times;Serif"/>
          <w:b w:val="false"/>
          <w:i w:val="false"/>
          <w:caps w:val="false"/>
          <w:smallCaps w:val="false"/>
          <w:sz w:val="20"/>
          <w:u w:val="single"/>
        </w:rPr>
        <w:t>No Rights as Stockholder</w:t>
      </w:r>
      <w:r>
        <w:rPr>
          <w:rFonts w:ascii="Times New Roman;Times;Serif" w:hAnsi="Times New Roman;Times;Serif"/>
          <w:b w:val="false"/>
          <w:i w:val="false"/>
          <w:caps w:val="false"/>
          <w:smallCaps w:val="false"/>
          <w:sz w:val="20"/>
        </w:rPr>
        <w:t>. A Warrant does not entitle the Registered Holder thereof to any of the rights of a stockholder of the Company, including, without limitation, the right to receive dividends, or other distributions, exercise any preemptive rights to vote or to consent or to receive notice as stockholders in respect of the meetings of stockholders or the election of directors of the Company or any other matter.</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7.2 </w:t>
      </w:r>
      <w:r>
        <w:rPr>
          <w:rFonts w:ascii="Times New Roman;Times;Serif" w:hAnsi="Times New Roman;Times;Serif"/>
          <w:b w:val="false"/>
          <w:i w:val="false"/>
          <w:caps w:val="false"/>
          <w:smallCaps w:val="false"/>
          <w:sz w:val="20"/>
          <w:u w:val="single"/>
        </w:rPr>
        <w:t>Lost, Stolen Mutilated or Destroyed Warrants</w:t>
      </w:r>
      <w:r>
        <w:rPr>
          <w:rFonts w:ascii="Times New Roman;Times;Serif" w:hAnsi="Times New Roman;Times;Serif"/>
          <w:b w:val="false"/>
          <w:i w:val="false"/>
          <w:caps w:val="false"/>
          <w:smallCaps w:val="false"/>
          <w:sz w:val="20"/>
        </w:rPr>
        <w:t>. If any Warrant is lost, stolen, mutilated or destroyed, the Company and the Warrant Agent may, on such terms as to indemnity or otherwise as they may in their discretion impose (which terms shall, in the case of a mutilated Warrant, include the surrender thereof), issue a new Warrant of like denomination, tenor and date as the Warrant so lost, stolen, mutilated or destroyed. Any such new Warrant shall constitute a substitute contractual obligation of the Company, whether or not the allegedly lost, stolen, mutilated or destroyed Warrant shall be at any time enforceable by anyone.</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w:t>
      </w:r>
    </w:p>
    <w:p>
      <w:pPr>
        <w:pStyle w:val="TextBody"/>
        <w:spacing w:before="0" w:after="0"/>
        <w:ind w:left="0" w:right="0" w:hanging="0"/>
        <w:rPr/>
      </w:pPr>
      <w:r>
        <w:rPr/>
        <w:t> </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7.3 </w:t>
      </w:r>
      <w:r>
        <w:rPr>
          <w:rFonts w:ascii="Times New Roman;Times;Serif" w:hAnsi="Times New Roman;Times;Serif"/>
          <w:b w:val="false"/>
          <w:i w:val="false"/>
          <w:caps w:val="false"/>
          <w:smallCaps w:val="false"/>
          <w:sz w:val="20"/>
          <w:u w:val="single"/>
        </w:rPr>
        <w:t>Reservation of shares of Common Stock</w:t>
      </w:r>
      <w:r>
        <w:rPr>
          <w:rFonts w:ascii="Times New Roman;Times;Serif" w:hAnsi="Times New Roman;Times;Serif"/>
          <w:b w:val="false"/>
          <w:i w:val="false"/>
          <w:caps w:val="false"/>
          <w:smallCaps w:val="false"/>
          <w:sz w:val="20"/>
        </w:rPr>
        <w:t>. The Company shall at all times reserve and keep available a number of its authorized but unissued shares of Common Stock that will be sufficient to permit the exercise in full of all outstanding Warrants issued pursuant to this Warrant Agreement.</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7.4 </w:t>
      </w:r>
      <w:r>
        <w:rPr>
          <w:rFonts w:ascii="Times New Roman;Times;Serif" w:hAnsi="Times New Roman;Times;Serif"/>
          <w:b w:val="false"/>
          <w:i w:val="false"/>
          <w:caps w:val="false"/>
          <w:smallCaps w:val="false"/>
          <w:sz w:val="20"/>
          <w:u w:val="single"/>
        </w:rPr>
        <w:t>Registration of shares of Common Stock</w:t>
      </w:r>
      <w:r>
        <w:rPr>
          <w:rFonts w:ascii="Times New Roman;Times;Serif" w:hAnsi="Times New Roman;Times;Serif"/>
          <w:b w:val="false"/>
          <w:i w:val="false"/>
          <w:caps w:val="false"/>
          <w:smallCaps w:val="false"/>
          <w:sz w:val="20"/>
        </w:rPr>
        <w:t>. The Company agrees that as soon as practicable, but in no event later than thirty (30) business days after the closing of a Business Combination, it shall use its best efforts to file with the SEC a registration statement for the registration under the Act of the shares of Common Stock issuable upon exercise of the Warrants, and to cause the same to become effective and to maintain the effectiveness of such registration statement, and a current prospectus relating thereto, until the expiration of the Warrants in accordance with the provisions of this Warrant Agreement. In addition, the Company agrees to use its best efforts to register the shares of Common Stock issuable upon exercise of the Warrants under state blue sky laws, to the extent an exemption is not available.</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8. </w:t>
      </w:r>
      <w:r>
        <w:rPr>
          <w:rFonts w:ascii="Times New Roman;Times;Serif" w:hAnsi="Times New Roman;Times;Serif"/>
          <w:b w:val="false"/>
          <w:i w:val="false"/>
          <w:caps w:val="false"/>
          <w:smallCaps w:val="false"/>
          <w:sz w:val="20"/>
          <w:u w:val="single"/>
        </w:rPr>
        <w:t>Concerning the Warrant Agent and Other Matters</w:t>
      </w:r>
      <w:r>
        <w:rPr>
          <w:rFonts w:ascii="Times New Roman;Times;Serif" w:hAnsi="Times New Roman;Times;Serif"/>
          <w:b w:val="false"/>
          <w:i w:val="false"/>
          <w:caps w:val="false"/>
          <w:smallCaps w:val="false"/>
          <w:sz w:val="20"/>
        </w:rPr>
        <w:t>.</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8.1 </w:t>
      </w:r>
      <w:r>
        <w:rPr>
          <w:rFonts w:ascii="Times New Roman;Times;Serif" w:hAnsi="Times New Roman;Times;Serif"/>
          <w:b w:val="false"/>
          <w:i w:val="false"/>
          <w:caps w:val="false"/>
          <w:smallCaps w:val="false"/>
          <w:sz w:val="20"/>
          <w:u w:val="single"/>
        </w:rPr>
        <w:t>Payment of Taxes</w:t>
      </w:r>
      <w:r>
        <w:rPr>
          <w:rFonts w:ascii="Times New Roman;Times;Serif" w:hAnsi="Times New Roman;Times;Serif"/>
          <w:b w:val="false"/>
          <w:i w:val="false"/>
          <w:caps w:val="false"/>
          <w:smallCaps w:val="false"/>
          <w:sz w:val="20"/>
        </w:rPr>
        <w:t>. The Company will, from time to time, promptly pay all taxes and charges that may be imposed upon the Company or the Warrant Agent in respect of the issuance or delivery of shares of Common Stock upon the exercise of Warrants, but the Company shall not be obligated to pay any transfer taxes in respect of the Warrants or such shares.</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8.2 </w:t>
      </w:r>
      <w:r>
        <w:rPr>
          <w:rFonts w:ascii="Times New Roman;Times;Serif" w:hAnsi="Times New Roman;Times;Serif"/>
          <w:b w:val="false"/>
          <w:i w:val="false"/>
          <w:caps w:val="false"/>
          <w:smallCaps w:val="false"/>
          <w:sz w:val="20"/>
          <w:u w:val="single"/>
        </w:rPr>
        <w:t>Resignation, Consolidation, or Merger of Warrant Agent</w:t>
      </w:r>
      <w:r>
        <w:rPr>
          <w:rFonts w:ascii="Times New Roman;Times;Serif" w:hAnsi="Times New Roman;Times;Serif"/>
          <w:b w:val="false"/>
          <w:i w:val="false"/>
          <w:caps w:val="false"/>
          <w:smallCaps w:val="false"/>
          <w:sz w:val="20"/>
        </w:rPr>
        <w:t>.</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8.2.1 </w:t>
      </w:r>
      <w:r>
        <w:rPr>
          <w:rFonts w:ascii="Times New Roman;Times;Serif" w:hAnsi="Times New Roman;Times;Serif"/>
          <w:b w:val="false"/>
          <w:i w:val="false"/>
          <w:caps w:val="false"/>
          <w:smallCaps w:val="false"/>
          <w:sz w:val="20"/>
          <w:u w:val="single"/>
        </w:rPr>
        <w:t>Appointment of Successor Warrant Agent</w:t>
      </w:r>
      <w:r>
        <w:rPr>
          <w:rFonts w:ascii="Times New Roman;Times;Serif" w:hAnsi="Times New Roman;Times;Serif"/>
          <w:b w:val="false"/>
          <w:i w:val="false"/>
          <w:caps w:val="false"/>
          <w:smallCaps w:val="false"/>
          <w:sz w:val="20"/>
        </w:rPr>
        <w:t>. The Warrant Agent, or any successor to it hereafter appointed, may resign its duties and be discharged from all further duties and liabilities hereunder after giving sixty (60) days’ notice in writing to the Company. If the office of the Warrant Agent becomes vacant by resignation or incapacity to act or otherwise, the Company shall appoint, in writing, a successor Warrant Agent in place of the Warrant Agent. If the Company shall fail to make such appointment within a period of 30 days after it has been notified in writing of such resignation or incapacity by the Warrant Agent or by the Registered Holder of the Warrant (who shall, with such notice, submit his, her or its Warrant for inspection by the Company), then the Registered Holder of any Warrant may apply to the Supreme Court of the State of New York for the County of New York for the appointment of a successor Warrant Agent. Any successor Warrant Agent, whether appointed by the Company or by such court, shall be a corporation organized and existing under the laws of the State of New York, in good standing and having its principal office in the Borough of Manhattan, City and State of New York, and be authorized under such laws to exercise corporate trust powers and subject to supervision or examination by federal or state authorities. After appointment, any successor Warrant Agent shall be vested with all the authority, powers, rights, immunities, duties and obligations of its predecessor Warrant Agent with like effect as if originally named as Warrant Agent hereunder, without any further act or deed; but, if for any reason it becomes necessary or appropriate, the predecessor Warrant Agent shall execute and deliver, at the expense of the Company, an instrument transferring to such successor Warrant Agent all the authority, powers, and rights of such predecessor Warrant Agent hereunder; and, upon request of any successor Warrant Agent, the Company shall make, execute, acknowledge, and deliver any and all instruments in writing for more fully and effectually vesting in and confirming to such successor Warrant Agent all such authority, powers, rights, immunities, duties and obligations.</w:t>
      </w:r>
    </w:p>
    <w:p>
      <w:pPr>
        <w:pStyle w:val="TextBody"/>
        <w:spacing w:before="0" w:after="0"/>
        <w:ind w:left="0" w:right="0" w:firstLine="1440"/>
        <w:jc w:val="both"/>
        <w:rPr>
          <w:caps w:val="false"/>
          <w:smallCaps w:val="false"/>
        </w:rPr>
      </w:pPr>
      <w:r>
        <w:rPr>
          <w:caps w:val="false"/>
          <w:smallCaps w:val="false"/>
        </w:rPr>
        <w:t> </w:t>
      </w:r>
    </w:p>
    <w:p>
      <w:pPr>
        <w:pStyle w:val="TextBody"/>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8.2.2 </w:t>
      </w:r>
      <w:r>
        <w:rPr>
          <w:rFonts w:ascii="Times New Roman;Times;Serif" w:hAnsi="Times New Roman;Times;Serif"/>
          <w:b w:val="false"/>
          <w:i w:val="false"/>
          <w:caps w:val="false"/>
          <w:smallCaps w:val="false"/>
          <w:sz w:val="20"/>
          <w:u w:val="single"/>
        </w:rPr>
        <w:t>Notice of Successor Warrant Agent</w:t>
      </w:r>
      <w:r>
        <w:rPr>
          <w:rFonts w:ascii="Times New Roman;Times;Serif" w:hAnsi="Times New Roman;Times;Serif"/>
          <w:b w:val="false"/>
          <w:i w:val="false"/>
          <w:caps w:val="false"/>
          <w:smallCaps w:val="false"/>
          <w:sz w:val="20"/>
        </w:rPr>
        <w:t>. In the event a successor Warrant Agent shall be appointed, the Company shall give notice thereof to the predecessor Warrant Agent and the transfer agent for the shares of Common Stock not later than the effective date of any such appointment.</w:t>
      </w:r>
    </w:p>
    <w:p>
      <w:pPr>
        <w:pStyle w:val="TextBody"/>
        <w:spacing w:before="0" w:after="0"/>
        <w:ind w:left="0" w:right="0" w:firstLine="1440"/>
        <w:jc w:val="both"/>
        <w:rPr>
          <w:caps w:val="false"/>
          <w:smallCaps w:val="false"/>
        </w:rPr>
      </w:pPr>
      <w:r>
        <w:rPr>
          <w:caps w:val="false"/>
          <w:smallCaps w:val="false"/>
        </w:rPr>
        <w:t> </w:t>
      </w:r>
    </w:p>
    <w:p>
      <w:pPr>
        <w:pStyle w:val="TextBody"/>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8.2.3 </w:t>
      </w:r>
      <w:r>
        <w:rPr>
          <w:rFonts w:ascii="Times New Roman;Times;Serif" w:hAnsi="Times New Roman;Times;Serif"/>
          <w:b w:val="false"/>
          <w:i w:val="false"/>
          <w:caps w:val="false"/>
          <w:smallCaps w:val="false"/>
          <w:sz w:val="20"/>
          <w:u w:val="single"/>
        </w:rPr>
        <w:t>Merger or Consolidation of Warrant Agent</w:t>
      </w:r>
      <w:r>
        <w:rPr>
          <w:rFonts w:ascii="Times New Roman;Times;Serif" w:hAnsi="Times New Roman;Times;Serif"/>
          <w:b w:val="false"/>
          <w:i w:val="false"/>
          <w:caps w:val="false"/>
          <w:smallCaps w:val="false"/>
          <w:sz w:val="20"/>
        </w:rPr>
        <w:t>. Any corporation into which the Warrant Agent may be merged or with which it may be consolidated or any corporation resulting from any merger or consolidation to which the Warrant Agent shall be a party shall be the successor Warrant Agent under this Warrant Agreement without any further act on the part of the Company or the Warrant Agent.</w:t>
      </w:r>
    </w:p>
    <w:p>
      <w:pPr>
        <w:pStyle w:val="TextBody"/>
        <w:spacing w:before="0" w:after="0"/>
        <w:ind w:left="0" w:right="0" w:firstLine="1440"/>
        <w:jc w:val="both"/>
        <w:rPr>
          <w:caps w:val="false"/>
          <w:smallCaps w:val="false"/>
        </w:rPr>
      </w:pPr>
      <w:r>
        <w:rPr>
          <w:caps w:val="false"/>
          <w:smallCaps w:val="false"/>
        </w:rPr>
        <w:t> </w:t>
      </w:r>
    </w:p>
    <w:p>
      <w:pPr>
        <w:pStyle w:val="TextBody"/>
        <w:spacing w:before="0" w:after="0"/>
        <w:ind w:left="0" w:right="0" w:firstLine="144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w:t>
      </w:r>
    </w:p>
    <w:p>
      <w:pPr>
        <w:pStyle w:val="TextBody"/>
        <w:spacing w:before="0" w:after="0"/>
        <w:ind w:left="0" w:right="0" w:hanging="0"/>
        <w:rPr/>
      </w:pPr>
      <w:r>
        <w:rPr/>
        <w:t> </w:t>
      </w:r>
    </w:p>
    <w:p>
      <w:pPr>
        <w:pStyle w:val="TextBody"/>
        <w:spacing w:before="0" w:after="0"/>
        <w:ind w:left="0" w:right="0" w:firstLine="144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8.3 </w:t>
      </w:r>
      <w:r>
        <w:rPr>
          <w:rFonts w:ascii="Times New Roman;Times;Serif" w:hAnsi="Times New Roman;Times;Serif"/>
          <w:b w:val="false"/>
          <w:i w:val="false"/>
          <w:caps w:val="false"/>
          <w:smallCaps w:val="false"/>
          <w:sz w:val="20"/>
          <w:u w:val="single"/>
        </w:rPr>
        <w:t>Fees and Expenses of Warrant Agent</w:t>
      </w:r>
      <w:r>
        <w:rPr>
          <w:rFonts w:ascii="Times New Roman;Times;Serif" w:hAnsi="Times New Roman;Times;Serif"/>
          <w:b w:val="false"/>
          <w:i w:val="false"/>
          <w:caps w:val="false"/>
          <w:smallCaps w:val="false"/>
          <w:sz w:val="20"/>
        </w:rPr>
        <w:t>.</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8.3.1 </w:t>
      </w:r>
      <w:r>
        <w:rPr>
          <w:rFonts w:ascii="Times New Roman;Times;Serif" w:hAnsi="Times New Roman;Times;Serif"/>
          <w:b w:val="false"/>
          <w:i w:val="false"/>
          <w:caps w:val="false"/>
          <w:smallCaps w:val="false"/>
          <w:sz w:val="20"/>
          <w:u w:val="single"/>
        </w:rPr>
        <w:t>Remuneration</w:t>
      </w:r>
      <w:r>
        <w:rPr>
          <w:rFonts w:ascii="Times New Roman;Times;Serif" w:hAnsi="Times New Roman;Times;Serif"/>
          <w:b w:val="false"/>
          <w:i w:val="false"/>
          <w:caps w:val="false"/>
          <w:smallCaps w:val="false"/>
          <w:sz w:val="20"/>
        </w:rPr>
        <w:t>. The Company agrees to pay the Warrant Agent reasonable remuneration for its services as Warrant Agent hereunder and will reimburse the Warrant Agent upon demand for all expenditures that the Warrant Agent may reasonably incur in the execution of its duties hereunder.</w:t>
      </w:r>
    </w:p>
    <w:p>
      <w:pPr>
        <w:pStyle w:val="TextBody"/>
        <w:spacing w:before="0" w:after="0"/>
        <w:ind w:left="0" w:right="0" w:firstLine="1440"/>
        <w:jc w:val="both"/>
        <w:rPr>
          <w:caps w:val="false"/>
          <w:smallCaps w:val="false"/>
        </w:rPr>
      </w:pPr>
      <w:r>
        <w:rPr>
          <w:caps w:val="false"/>
          <w:smallCaps w:val="false"/>
        </w:rPr>
        <w:t> </w:t>
      </w:r>
    </w:p>
    <w:p>
      <w:pPr>
        <w:pStyle w:val="TextBody"/>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8.3.2 </w:t>
      </w:r>
      <w:r>
        <w:rPr>
          <w:rFonts w:ascii="Times New Roman;Times;Serif" w:hAnsi="Times New Roman;Times;Serif"/>
          <w:b w:val="false"/>
          <w:i w:val="false"/>
          <w:caps w:val="false"/>
          <w:smallCaps w:val="false"/>
          <w:sz w:val="20"/>
          <w:u w:val="single"/>
        </w:rPr>
        <w:t>Further Assurances</w:t>
      </w:r>
      <w:r>
        <w:rPr>
          <w:rFonts w:ascii="Times New Roman;Times;Serif" w:hAnsi="Times New Roman;Times;Serif"/>
          <w:b w:val="false"/>
          <w:i w:val="false"/>
          <w:caps w:val="false"/>
          <w:smallCaps w:val="false"/>
          <w:sz w:val="20"/>
        </w:rPr>
        <w:t>. The Company agrees to perform, execute, acknowledge and deliver, or cause to be performed, executed, acknowledged and delivered, all such further and other acts, instruments and assurances as may reasonably be required by the Warrant Agent for the carrying out or performing of the provisions of this Warrant Agreement.</w:t>
      </w:r>
    </w:p>
    <w:p>
      <w:pPr>
        <w:pStyle w:val="TextBody"/>
        <w:spacing w:before="0" w:after="0"/>
        <w:ind w:left="0" w:right="0" w:firstLine="144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8.4 </w:t>
      </w:r>
      <w:r>
        <w:rPr>
          <w:rFonts w:ascii="Times New Roman;Times;Serif" w:hAnsi="Times New Roman;Times;Serif"/>
          <w:b w:val="false"/>
          <w:i w:val="false"/>
          <w:caps w:val="false"/>
          <w:smallCaps w:val="false"/>
          <w:sz w:val="20"/>
          <w:u w:val="single"/>
        </w:rPr>
        <w:t>Liability of Warrant Agent</w:t>
      </w:r>
      <w:r>
        <w:rPr>
          <w:rFonts w:ascii="Times New Roman;Times;Serif" w:hAnsi="Times New Roman;Times;Serif"/>
          <w:b w:val="false"/>
          <w:i w:val="false"/>
          <w:caps w:val="false"/>
          <w:smallCaps w:val="false"/>
          <w:sz w:val="20"/>
        </w:rPr>
        <w:t>.</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8.4.1 </w:t>
      </w:r>
      <w:r>
        <w:rPr>
          <w:rFonts w:ascii="Times New Roman;Times;Serif" w:hAnsi="Times New Roman;Times;Serif"/>
          <w:b w:val="false"/>
          <w:i w:val="false"/>
          <w:caps w:val="false"/>
          <w:smallCaps w:val="false"/>
          <w:sz w:val="20"/>
          <w:u w:val="single"/>
        </w:rPr>
        <w:t>Reliance on Company Statement</w:t>
      </w:r>
      <w:r>
        <w:rPr>
          <w:rFonts w:ascii="Times New Roman;Times;Serif" w:hAnsi="Times New Roman;Times;Serif"/>
          <w:b w:val="false"/>
          <w:i w:val="false"/>
          <w:caps w:val="false"/>
          <w:smallCaps w:val="false"/>
          <w:sz w:val="20"/>
        </w:rPr>
        <w:t>. Whenever, in the performance of its duties under this Warrant Agreement, the Warrant Agent shall deem it necessary or desirable that any fact or matter be proved or established by the Company prior to taking or suffering any action hereunder, such fact or matter (unless other evidence in respect thereof be herein specifically prescribed) may be deemed to be conclusively proved and established by a statement signed by the Chief Executive Officer, Chief Financial Officer or Chairman of the Board of the Company and delivered to the Warrant Agent. The Warrant Agent may rely upon such statement for any action taken or suffered in good faith by it pursuant to the provisions of this Warrant Agreement.</w:t>
      </w:r>
    </w:p>
    <w:p>
      <w:pPr>
        <w:pStyle w:val="TextBody"/>
        <w:spacing w:before="0" w:after="0"/>
        <w:ind w:left="0" w:right="0" w:firstLine="1440"/>
        <w:jc w:val="both"/>
        <w:rPr>
          <w:caps w:val="false"/>
          <w:smallCaps w:val="false"/>
        </w:rPr>
      </w:pPr>
      <w:r>
        <w:rPr>
          <w:caps w:val="false"/>
          <w:smallCaps w:val="false"/>
        </w:rPr>
        <w:t> </w:t>
      </w:r>
    </w:p>
    <w:p>
      <w:pPr>
        <w:pStyle w:val="TextBody"/>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8.4.2 </w:t>
      </w:r>
      <w:r>
        <w:rPr>
          <w:rFonts w:ascii="Times New Roman;Times;Serif" w:hAnsi="Times New Roman;Times;Serif"/>
          <w:b w:val="false"/>
          <w:i w:val="false"/>
          <w:caps w:val="false"/>
          <w:smallCaps w:val="false"/>
          <w:sz w:val="20"/>
          <w:u w:val="single"/>
        </w:rPr>
        <w:t>Indemnity</w:t>
      </w:r>
      <w:r>
        <w:rPr>
          <w:rFonts w:ascii="Times New Roman;Times;Serif" w:hAnsi="Times New Roman;Times;Serif"/>
          <w:b w:val="false"/>
          <w:i w:val="false"/>
          <w:caps w:val="false"/>
          <w:smallCaps w:val="false"/>
          <w:sz w:val="20"/>
        </w:rPr>
        <w:t>. The Warrant Agent shall be liable hereunder only for its own gross negligence, willful misconduct or bad faith. The Company agrees to indemnify the Warrant Agent and hold it harmless against any and all liabilities, including judgments, costs and reasonable counsel fees, for anything done or omitted by the Warrant Agent in the execution of this Warrant Agreement, except as a result of the Warrant Agent’s gross negligence, willful misconduct or bad faith.</w:t>
      </w:r>
    </w:p>
    <w:p>
      <w:pPr>
        <w:pStyle w:val="TextBody"/>
        <w:spacing w:before="0" w:after="0"/>
        <w:ind w:left="0" w:right="0" w:firstLine="1440"/>
        <w:jc w:val="both"/>
        <w:rPr>
          <w:caps w:val="false"/>
          <w:smallCaps w:val="false"/>
        </w:rPr>
      </w:pPr>
      <w:r>
        <w:rPr>
          <w:caps w:val="false"/>
          <w:smallCaps w:val="false"/>
        </w:rPr>
        <w:t> </w:t>
      </w:r>
    </w:p>
    <w:p>
      <w:pPr>
        <w:pStyle w:val="TextBody"/>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8.4.3 </w:t>
      </w:r>
      <w:r>
        <w:rPr>
          <w:rFonts w:ascii="Times New Roman;Times;Serif" w:hAnsi="Times New Roman;Times;Serif"/>
          <w:b w:val="false"/>
          <w:i w:val="false"/>
          <w:caps w:val="false"/>
          <w:smallCaps w:val="false"/>
          <w:sz w:val="20"/>
          <w:u w:val="single"/>
        </w:rPr>
        <w:t>Exclusions</w:t>
      </w:r>
      <w:r>
        <w:rPr>
          <w:rFonts w:ascii="Times New Roman;Times;Serif" w:hAnsi="Times New Roman;Times;Serif"/>
          <w:b w:val="false"/>
          <w:i w:val="false"/>
          <w:caps w:val="false"/>
          <w:smallCaps w:val="false"/>
          <w:sz w:val="20"/>
        </w:rPr>
        <w:t>. The Warrant Agent shall have no responsibility with respect to the validity of this Warrant Agreement or with respect to the validity or execution of any Warrant (except its countersignature thereof); nor shall it be responsible for any breach by the Company of any covenant or condition contained in this Warrant Agreement or in any Warrant; nor shall it be responsible to make any adjustments required under the provisions of Section 4 hereof or responsible for the manner, method or amount of any such adjustment or the ascertaining of the existence of facts that would require any such adjustment; nor shall it, by any act hereunder, be deemed to make any representation or warranty as to the authorization or reservation of any shares of Common Stock to be issued pursuant to this Warrant Agreement or any Warrant or as to whether any shares of Common Stock will when issued be valid and fully paid and non-assessable.</w:t>
      </w:r>
    </w:p>
    <w:p>
      <w:pPr>
        <w:pStyle w:val="TextBody"/>
        <w:spacing w:before="0" w:after="0"/>
        <w:ind w:left="0" w:right="0" w:firstLine="144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8.5 </w:t>
      </w:r>
      <w:r>
        <w:rPr>
          <w:rFonts w:ascii="Times New Roman;Times;Serif" w:hAnsi="Times New Roman;Times;Serif"/>
          <w:b w:val="false"/>
          <w:i w:val="false"/>
          <w:caps w:val="false"/>
          <w:smallCaps w:val="false"/>
          <w:sz w:val="20"/>
          <w:u w:val="single"/>
        </w:rPr>
        <w:t>Acceptance of Agency</w:t>
      </w:r>
      <w:r>
        <w:rPr>
          <w:rFonts w:ascii="Times New Roman;Times;Serif" w:hAnsi="Times New Roman;Times;Serif"/>
          <w:b w:val="false"/>
          <w:i w:val="false"/>
          <w:caps w:val="false"/>
          <w:smallCaps w:val="false"/>
          <w:sz w:val="20"/>
        </w:rPr>
        <w:t>. The Warrant Agent hereby accepts the agency established by this Warrant Agreement and agrees to perform the same upon the terms and conditions herein set forth and, among other things, shall account promptly to the Company with respect to Warrants exercised and concurrently account for, and pay to the Company, all moneys received by the Warrant Agent for the purchase of shares of the Company’s shares of Common Stock through the exercise of Warrants.</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8.6 </w:t>
      </w:r>
      <w:r>
        <w:rPr>
          <w:rFonts w:ascii="Times New Roman;Times;Serif" w:hAnsi="Times New Roman;Times;Serif"/>
          <w:b w:val="false"/>
          <w:i w:val="false"/>
          <w:caps w:val="false"/>
          <w:smallCaps w:val="false"/>
          <w:sz w:val="20"/>
          <w:u w:val="single"/>
        </w:rPr>
        <w:t>Waiver</w:t>
      </w:r>
      <w:r>
        <w:rPr>
          <w:rFonts w:ascii="Times New Roman;Times;Serif" w:hAnsi="Times New Roman;Times;Serif"/>
          <w:b w:val="false"/>
          <w:i w:val="false"/>
          <w:caps w:val="false"/>
          <w:smallCaps w:val="false"/>
          <w:sz w:val="20"/>
        </w:rPr>
        <w:t>. The Warrant Agent hereby waives any right of set-off or any other right, title, interest or claim of any kind (“Claim”) in or to any distribution of the Trust Account (as defined in that certain Investment Management Trust Agreement, dated as of the date hereof, by and between the Company and the Warrant Agent as trustee thereunder) and hereby agrees not to seek recourse, reimbursement, payment or satisfaction for any Claim against the Trust Account for any reason whatsoever.</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9. </w:t>
      </w:r>
      <w:r>
        <w:rPr>
          <w:rFonts w:ascii="Times New Roman;Times;Serif" w:hAnsi="Times New Roman;Times;Serif"/>
          <w:b w:val="false"/>
          <w:i w:val="false"/>
          <w:caps w:val="false"/>
          <w:smallCaps w:val="false"/>
          <w:sz w:val="20"/>
          <w:u w:val="single"/>
        </w:rPr>
        <w:t>Miscellaneous Provisions</w:t>
      </w:r>
      <w:r>
        <w:rPr>
          <w:rFonts w:ascii="Times New Roman;Times;Serif" w:hAnsi="Times New Roman;Times;Serif"/>
          <w:b w:val="false"/>
          <w:i w:val="false"/>
          <w:caps w:val="false"/>
          <w:smallCaps w:val="false"/>
          <w:sz w:val="20"/>
        </w:rPr>
        <w:t>.</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9.1 </w:t>
      </w:r>
      <w:r>
        <w:rPr>
          <w:rFonts w:ascii="Times New Roman;Times;Serif" w:hAnsi="Times New Roman;Times;Serif"/>
          <w:b w:val="false"/>
          <w:i w:val="false"/>
          <w:caps w:val="false"/>
          <w:smallCaps w:val="false"/>
          <w:sz w:val="20"/>
          <w:u w:val="single"/>
        </w:rPr>
        <w:t>Successors</w:t>
      </w:r>
      <w:r>
        <w:rPr>
          <w:rFonts w:ascii="Times New Roman;Times;Serif" w:hAnsi="Times New Roman;Times;Serif"/>
          <w:b w:val="false"/>
          <w:i w:val="false"/>
          <w:caps w:val="false"/>
          <w:smallCaps w:val="false"/>
          <w:sz w:val="20"/>
        </w:rPr>
        <w:t>. All the covenants and provisions of this Warrant Agreement by or for the benefit of the Company or the Warrant Agent shall bind and inure to the benefit of their respective successors and assigns.</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w:t>
      </w:r>
    </w:p>
    <w:p>
      <w:pPr>
        <w:pStyle w:val="TextBody"/>
        <w:spacing w:before="0" w:after="0"/>
        <w:ind w:left="0" w:right="0" w:hanging="0"/>
        <w:rPr/>
      </w:pPr>
      <w:r>
        <w:rPr/>
        <w:t> </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9.2 </w:t>
      </w:r>
      <w:r>
        <w:rPr>
          <w:rFonts w:ascii="Times New Roman;Times;Serif" w:hAnsi="Times New Roman;Times;Serif"/>
          <w:b w:val="false"/>
          <w:i w:val="false"/>
          <w:caps w:val="false"/>
          <w:smallCaps w:val="false"/>
          <w:sz w:val="20"/>
          <w:u w:val="single"/>
        </w:rPr>
        <w:t>Notices</w:t>
      </w:r>
      <w:r>
        <w:rPr>
          <w:rFonts w:ascii="Times New Roman;Times;Serif" w:hAnsi="Times New Roman;Times;Serif"/>
          <w:b w:val="false"/>
          <w:i w:val="false"/>
          <w:caps w:val="false"/>
          <w:smallCaps w:val="false"/>
          <w:sz w:val="20"/>
        </w:rPr>
        <w:t>. Any notice, statement or demand authorized by this Warrant Agreement to be given or made by the Warrant Agent or by the Registered Holder of any Warrant to or on the Company shall be delivered by hand or sent by registered or certified mail or overnight courier service, addressed (until another address is filed in writing by the Company with the Warrant Agent) as follows:</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Ventoux CCM Acquisition Corp.</w:t>
        <w:br/>
        <w:t>1 East Putnam Avenue, Floor 4</w:t>
      </w:r>
    </w:p>
    <w:p>
      <w:pPr>
        <w:pStyle w:val="TextBody"/>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Greenwich, CT 06830</w:t>
      </w:r>
    </w:p>
    <w:p>
      <w:pPr>
        <w:pStyle w:val="TextBody"/>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a copy (which shall not constitute notice) to:</w:t>
      </w:r>
    </w:p>
    <w:p>
      <w:pPr>
        <w:pStyle w:val="TextBody"/>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Loeb &amp; Loeb LLP</w:t>
        <w:br/>
        <w:t>345 Park Avenue</w:t>
        <w:br/>
        <w:t>New York, New York 10154</w:t>
        <w:br/>
        <w:t>Attn: Giovanni Caruso</w:t>
      </w:r>
    </w:p>
    <w:p>
      <w:pPr>
        <w:pStyle w:val="TextBody"/>
        <w:spacing w:before="0" w:after="0"/>
        <w:ind w:left="144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notice, statement or demand authorized by this Warrant Agreement to be given or made by the Registered Holder of any Warrant or by the Company to or on the Warrant Agent shall be delivered by hand or sent by registered or certified mail or overnight courier service, addressed (until another address is filed in writing by the Warrant Agent with the Company), as follows: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Continental Stock Transfer &amp; Trust Company</w:t>
        <w:br/>
        <w:t>1 State Street, 30</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Floor</w:t>
        <w:br/>
        <w:t>New York, New York 10004</w:t>
      </w:r>
    </w:p>
    <w:p>
      <w:pPr>
        <w:pStyle w:val="TextBody"/>
        <w:spacing w:before="0" w:after="0"/>
        <w:ind w:left="144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notice, sent pursuant to this Warrant Agreement shall be effective, if delivered by hand, upon receipt thereof by the party to whom it is addressed, if sent by overnight courier, on the next business day of the delivery to the courier, and if sent by registered or certified mail on the third day after registration or certification thereof.</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9.3 </w:t>
      </w:r>
      <w:r>
        <w:rPr>
          <w:rFonts w:ascii="Times New Roman;Times;Serif" w:hAnsi="Times New Roman;Times;Serif"/>
          <w:b w:val="false"/>
          <w:i w:val="false"/>
          <w:caps w:val="false"/>
          <w:smallCaps w:val="false"/>
          <w:sz w:val="20"/>
          <w:u w:val="single"/>
        </w:rPr>
        <w:t>Applicable Law</w:t>
      </w:r>
      <w:r>
        <w:rPr>
          <w:rFonts w:ascii="Times New Roman;Times;Serif" w:hAnsi="Times New Roman;Times;Serif"/>
          <w:b w:val="false"/>
          <w:i w:val="false"/>
          <w:caps w:val="false"/>
          <w:smallCaps w:val="false"/>
          <w:sz w:val="20"/>
        </w:rPr>
        <w:t>. The validity, interpretation, and performance of this Warrant Agreement and of the Warrants shall be governed in all respects by the laws of the State of New York, without giving effect to conflict of laws. Subject to applicable law, the Company and the Warrant Agent hereby agree that any action, proceeding or claim against either of them arising out of or relating in any way to this Warrant Agreement shall be brought and enforced in the courts of the State of New York or the United States District Court for the Southern District of New York, and irrevocably submits to such jurisdiction, which jurisdiction shall be exclusive forum for any such action, proceeding or claim. The Company and the Warrant Agent hereby waive any objection to such exclusive jurisdiction and that such courts represent an inconvenient forum. Notwithstanding the foregoing, the provisions of this paragraph will not apply to suits brought to enforce any liability or duty created by the Exchange Act or any other claim for which the federal district courts of the United States of America are the sole and exclusive forum.</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Any person or entity purchasing or otherwise acquiring any interest in the Warrants shall be deemed to have notice of and to have consented to the forum provisions in this </w:t>
      </w:r>
      <w:r>
        <w:rPr>
          <w:rFonts w:ascii="Times New Roman;Times;Serif" w:hAnsi="Times New Roman;Times;Serif"/>
          <w:b w:val="false"/>
          <w:i w:val="false"/>
          <w:caps w:val="false"/>
          <w:smallCaps w:val="false"/>
          <w:sz w:val="20"/>
          <w:u w:val="single"/>
        </w:rPr>
        <w:t>Section 9.3</w:t>
      </w:r>
      <w:r>
        <w:rPr>
          <w:rFonts w:ascii="Times New Roman;Times;Serif" w:hAnsi="Times New Roman;Times;Serif"/>
          <w:b w:val="false"/>
          <w:i w:val="false"/>
          <w:caps w:val="false"/>
          <w:smallCaps w:val="false"/>
          <w:sz w:val="20"/>
        </w:rPr>
        <w:t>. If any action, the subject matter of which is within the scope the forum provisions above, is filed in a court other than a court located within the State of New York or the United States District Court for the Southern District of New York (a “</w:t>
      </w:r>
      <w:r>
        <w:rPr>
          <w:rFonts w:ascii="Times New Roman;Times;Serif" w:hAnsi="Times New Roman;Times;Serif"/>
          <w:b/>
          <w:i w:val="false"/>
          <w:caps w:val="false"/>
          <w:smallCaps w:val="false"/>
          <w:sz w:val="20"/>
        </w:rPr>
        <w:t>foreign action</w:t>
      </w:r>
      <w:r>
        <w:rPr>
          <w:rFonts w:ascii="Times New Roman;Times;Serif" w:hAnsi="Times New Roman;Times;Serif"/>
          <w:b w:val="false"/>
          <w:i w:val="false"/>
          <w:caps w:val="false"/>
          <w:smallCaps w:val="false"/>
          <w:sz w:val="20"/>
        </w:rPr>
        <w:t>”) in the name of any Warrant holder, such Warrant holder shall be deemed to have consented to: (x) the personal jurisdiction of the state and federal courts located within the State of New York or the United States District Court for the Southern District of New York in connection with any action brought in any such court to enforce the forum provisions (an “</w:t>
      </w:r>
      <w:r>
        <w:rPr>
          <w:rFonts w:ascii="Times New Roman;Times;Serif" w:hAnsi="Times New Roman;Times;Serif"/>
          <w:b/>
          <w:i w:val="false"/>
          <w:caps w:val="false"/>
          <w:smallCaps w:val="false"/>
          <w:sz w:val="20"/>
        </w:rPr>
        <w:t>enforcement action</w:t>
      </w:r>
      <w:r>
        <w:rPr>
          <w:rFonts w:ascii="Times New Roman;Times;Serif" w:hAnsi="Times New Roman;Times;Serif"/>
          <w:b w:val="false"/>
          <w:i w:val="false"/>
          <w:caps w:val="false"/>
          <w:smallCaps w:val="false"/>
          <w:sz w:val="20"/>
        </w:rPr>
        <w:t>”), and (y) having service of process made upon such Warrant holder in any such enforcement action by service upon such Warrant holder’s counsel in the foreign action as agent for such Warrant holder.</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Any such process or summons to be served upon the Company or the Warrant Agent may be served by transmitting a copy thereof by registered or certified mail, return receipt requested, postage prepaid, addressed to it at the address set forth in </w:t>
      </w:r>
      <w:r>
        <w:rPr>
          <w:rFonts w:ascii="Times New Roman;Times;Serif" w:hAnsi="Times New Roman;Times;Serif"/>
          <w:b w:val="false"/>
          <w:i w:val="false"/>
          <w:caps w:val="false"/>
          <w:smallCaps w:val="false"/>
          <w:sz w:val="20"/>
          <w:u w:val="single"/>
        </w:rPr>
        <w:t>Section 9.2</w:t>
      </w:r>
      <w:r>
        <w:rPr>
          <w:rFonts w:ascii="Times New Roman;Times;Serif" w:hAnsi="Times New Roman;Times;Serif"/>
          <w:b w:val="false"/>
          <w:i w:val="false"/>
          <w:caps w:val="false"/>
          <w:smallCaps w:val="false"/>
          <w:sz w:val="20"/>
        </w:rPr>
        <w:t xml:space="preserve"> hereof. Such mailing shall be deemed personal service and shall be legal and binding upon the party receiving such service in any action, proceeding or claim.</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w:t>
      </w:r>
    </w:p>
    <w:p>
      <w:pPr>
        <w:pStyle w:val="TextBody"/>
        <w:spacing w:before="0" w:after="0"/>
        <w:ind w:left="0" w:right="0" w:hanging="0"/>
        <w:rPr/>
      </w:pPr>
      <w:r>
        <w:rPr/>
        <w:t> </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9.4 </w:t>
      </w:r>
      <w:r>
        <w:rPr>
          <w:rFonts w:ascii="Times New Roman;Times;Serif" w:hAnsi="Times New Roman;Times;Serif"/>
          <w:b w:val="false"/>
          <w:i w:val="false"/>
          <w:caps w:val="false"/>
          <w:smallCaps w:val="false"/>
          <w:sz w:val="20"/>
          <w:u w:val="single"/>
        </w:rPr>
        <w:t>Persons Having Rights under this Warrant Agreement</w:t>
      </w:r>
      <w:r>
        <w:rPr>
          <w:rFonts w:ascii="Times New Roman;Times;Serif" w:hAnsi="Times New Roman;Times;Serif"/>
          <w:b w:val="false"/>
          <w:i w:val="false"/>
          <w:caps w:val="false"/>
          <w:smallCaps w:val="false"/>
          <w:sz w:val="20"/>
        </w:rPr>
        <w:t xml:space="preserve">. Nothing in this Warrant Agreement expressed and nothing that may be implied from any of the provisions hereof is intended, or shall be construed, to confer upon, or give to, any person or corporation other than the parties hereto and the Registered Holders of the Warrants and, for the purposes of </w:t>
      </w:r>
      <w:r>
        <w:rPr>
          <w:rFonts w:ascii="Times New Roman;Times;Serif" w:hAnsi="Times New Roman;Times;Serif"/>
          <w:b w:val="false"/>
          <w:i w:val="false"/>
          <w:caps w:val="false"/>
          <w:smallCaps w:val="false"/>
          <w:sz w:val="20"/>
          <w:u w:val="single"/>
        </w:rPr>
        <w:t>Sections 2.5</w:t>
      </w:r>
      <w:r>
        <w:rPr>
          <w:rFonts w:ascii="Times New Roman;Times;Serif" w:hAnsi="Times New Roman;Times;Serif"/>
          <w:b w:val="false"/>
          <w:i w:val="false"/>
          <w:caps w:val="false"/>
          <w:smallCaps w:val="false"/>
          <w:sz w:val="20"/>
        </w:rPr>
        <w:t xml:space="preserve"> hereof, the Representative and the underwriters, any right, remedy, or claim under or by reason of this Warrant Agreement or of any covenant, condition, stipulation, promise, or agreement hereof. All covenants, conditions, stipulations, promises, and agreements contained in this Warrant Agreement shall be for the sole and exclusive benefit of the parties hereto and their successors and assigns and of the Registered Holders of the Warrants.</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9.5 </w:t>
      </w:r>
      <w:r>
        <w:rPr>
          <w:rFonts w:ascii="Times New Roman;Times;Serif" w:hAnsi="Times New Roman;Times;Serif"/>
          <w:b w:val="false"/>
          <w:i w:val="false"/>
          <w:caps w:val="false"/>
          <w:smallCaps w:val="false"/>
          <w:sz w:val="20"/>
          <w:u w:val="single"/>
        </w:rPr>
        <w:t>Examination of the Warrant Agreement</w:t>
      </w:r>
      <w:r>
        <w:rPr>
          <w:rFonts w:ascii="Times New Roman;Times;Serif" w:hAnsi="Times New Roman;Times;Serif"/>
          <w:b w:val="false"/>
          <w:i w:val="false"/>
          <w:caps w:val="false"/>
          <w:smallCaps w:val="false"/>
          <w:sz w:val="20"/>
        </w:rPr>
        <w:t>. A copy of this Warrant Agreement shall be available at all reasonable times at the office of the Warrant Agent in the Borough of Manhattan, City and State of New York, for inspection by the Registered Holder of any Warrant. The Warrant Agent may require any such Registered Holder to submit his, her or its Warrant for inspection.</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9.6 </w:t>
      </w:r>
      <w:r>
        <w:rPr>
          <w:rFonts w:ascii="Times New Roman;Times;Serif" w:hAnsi="Times New Roman;Times;Serif"/>
          <w:b w:val="false"/>
          <w:i w:val="false"/>
          <w:caps w:val="false"/>
          <w:smallCaps w:val="false"/>
          <w:sz w:val="20"/>
          <w:u w:val="single"/>
        </w:rPr>
        <w:t>Counterparts- Facsimile Signatures</w:t>
      </w:r>
      <w:r>
        <w:rPr>
          <w:rFonts w:ascii="Times New Roman;Times;Serif" w:hAnsi="Times New Roman;Times;Serif"/>
          <w:b w:val="false"/>
          <w:i w:val="false"/>
          <w:caps w:val="false"/>
          <w:smallCaps w:val="false"/>
          <w:sz w:val="20"/>
        </w:rPr>
        <w:t>. This Warrant Agreement may be executed in any number of counterparts, and each of such counterparts shall, for all purposes, be deemed to be an original, and all such counterparts shall together constitute one and the same instrument. Facsimile signatures shall constitute original signatures for all purposes of this Warrant Agreement.</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9.7 </w:t>
      </w:r>
      <w:r>
        <w:rPr>
          <w:rFonts w:ascii="Times New Roman;Times;Serif" w:hAnsi="Times New Roman;Times;Serif"/>
          <w:b w:val="false"/>
          <w:i w:val="false"/>
          <w:caps w:val="false"/>
          <w:smallCaps w:val="false"/>
          <w:sz w:val="20"/>
          <w:u w:val="single"/>
        </w:rPr>
        <w:t>Effect of Headings</w:t>
      </w:r>
      <w:r>
        <w:rPr>
          <w:rFonts w:ascii="Times New Roman;Times;Serif" w:hAnsi="Times New Roman;Times;Serif"/>
          <w:b w:val="false"/>
          <w:i w:val="false"/>
          <w:caps w:val="false"/>
          <w:smallCaps w:val="false"/>
          <w:sz w:val="20"/>
        </w:rPr>
        <w:t>. The section headings herein are for convenience only and are not part of this Warrant Agreement and shall not affect the interpretation thereof</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9.8 </w:t>
      </w:r>
      <w:r>
        <w:rPr>
          <w:rFonts w:ascii="Times New Roman;Times;Serif" w:hAnsi="Times New Roman;Times;Serif"/>
          <w:b w:val="false"/>
          <w:i w:val="false"/>
          <w:caps w:val="false"/>
          <w:smallCaps w:val="false"/>
          <w:sz w:val="20"/>
          <w:u w:val="single"/>
        </w:rPr>
        <w:t>Amendments</w:t>
      </w:r>
      <w:r>
        <w:rPr>
          <w:rFonts w:ascii="Times New Roman;Times;Serif" w:hAnsi="Times New Roman;Times;Serif"/>
          <w:b w:val="false"/>
          <w:i w:val="false"/>
          <w:caps w:val="false"/>
          <w:smallCaps w:val="false"/>
          <w:sz w:val="20"/>
        </w:rPr>
        <w:t>. This Warrant Agreement and any Warrant certificate may be amended by the parties hereto by executing a supplemental warrant agreement (a “</w:t>
      </w:r>
      <w:r>
        <w:rPr>
          <w:rFonts w:ascii="Times New Roman;Times;Serif" w:hAnsi="Times New Roman;Times;Serif"/>
          <w:b/>
          <w:i w:val="false"/>
          <w:caps w:val="false"/>
          <w:smallCaps w:val="false"/>
          <w:sz w:val="20"/>
        </w:rPr>
        <w:t>Supplemental Agreement</w:t>
      </w:r>
      <w:r>
        <w:rPr>
          <w:rFonts w:ascii="Times New Roman;Times;Serif" w:hAnsi="Times New Roman;Times;Serif"/>
          <w:b w:val="false"/>
          <w:i w:val="false"/>
          <w:caps w:val="false"/>
          <w:smallCaps w:val="false"/>
          <w:sz w:val="20"/>
        </w:rPr>
        <w:t>”), without the consent of any of the Warrant holders, for the purpose of (i) curing any ambiguity, or curing, correcting or supplementing any defective provision contained herein, or making any other provisions with respect to matters or questions arising under this Warrant Agreement that is not inconsistent with the provisions of this Warrant Agreement or the Warrant certificates, (ii) evidencing the succession of another corporation to the Company and the assumption by any such successor of the covenants of the Company contained in this Warrant Agreement and the Warrants, (iii) evidencing and providing for the acceptance of appointment by a successor Warrant Agent with respect to the Warrants, (iv) adding to the covenants of the Company for the benefit of the Registered Holders or surrendering any right or power conferred upon the Company under this Warrant Agreement, or (viii) amending this Warrant Agreement and the Warrants in any manner that the Company may deem to be necessary or desirable and that will not adversely affect the interests of the Registered Holders in any material respect. All other modifications or amendments to this Warrant Agreement, including any amendment to increase the Warrant Price or shorten the Exercise Period, shall require the written consent of the Registered Holders of a majority of the then outstanding Warrants. Notwithstanding the foregoing, the Company may extend the duration of the Exercise Period in accordance with Section 3.2 without such consent.</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9.9 </w:t>
      </w:r>
      <w:r>
        <w:rPr>
          <w:rFonts w:ascii="Times New Roman;Times;Serif" w:hAnsi="Times New Roman;Times;Serif"/>
          <w:b w:val="false"/>
          <w:i w:val="false"/>
          <w:caps w:val="false"/>
          <w:smallCaps w:val="false"/>
          <w:sz w:val="20"/>
          <w:u w:val="single"/>
        </w:rPr>
        <w:t>Severability</w:t>
      </w:r>
      <w:r>
        <w:rPr>
          <w:rFonts w:ascii="Times New Roman;Times;Serif" w:hAnsi="Times New Roman;Times;Serif"/>
          <w:b w:val="false"/>
          <w:i w:val="false"/>
          <w:caps w:val="false"/>
          <w:smallCaps w:val="false"/>
          <w:sz w:val="20"/>
        </w:rPr>
        <w:t>. This Warrant Agreement shall be deemed severable, and the invalidity or unenforceability of any term or provision hereof shall not affect the validity or enforceability of this Warrant Agreement or of any other term or provision hereof. Furthermore, in lieu of any such invalid or unenforceable term or provision, the parties hereto intend that there shall be added as a part of this Warrant Agreement a provision as similar in terms to such invalid or unenforceable provision as may be possible and be valid and enforceable.</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PAGE FOLLOWS]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12</w:t>
      </w:r>
    </w:p>
    <w:p>
      <w:pPr>
        <w:pStyle w:val="TextBody"/>
        <w:spacing w:before="0" w:after="0"/>
        <w:ind w:left="0" w:right="0" w:hanging="0"/>
        <w:rPr/>
      </w:pPr>
      <w:r>
        <w:rPr/>
        <w:t> </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this Warrant Agreement has been duly executed by the parties hereto as of the day and year first above written.</w:t>
      </w:r>
    </w:p>
    <w:p>
      <w:pPr>
        <w:pStyle w:val="TextBody"/>
        <w:spacing w:before="0" w:after="0"/>
        <w:ind w:left="0" w:right="0" w:hanging="0"/>
        <w:jc w:val="both"/>
        <w:rPr>
          <w:caps w:val="false"/>
          <w:smallCaps w:val="false"/>
        </w:rPr>
      </w:pPr>
      <w:r>
        <w:rPr>
          <w:caps w:val="false"/>
          <w:smallCaps w:val="false"/>
        </w:rPr>
        <w:t> </w:t>
      </w:r>
    </w:p>
    <w:tbl>
      <w:tblPr>
        <w:tblW w:w="5284" w:type="dxa"/>
        <w:jc w:val="left"/>
        <w:tblInd w:w="0" w:type="dxa"/>
        <w:tblCellMar>
          <w:top w:w="0" w:type="dxa"/>
          <w:left w:w="0" w:type="dxa"/>
          <w:bottom w:w="0" w:type="dxa"/>
          <w:right w:w="0" w:type="dxa"/>
        </w:tblCellMar>
      </w:tblPr>
      <w:tblGrid>
        <w:gridCol w:w="75"/>
        <w:gridCol w:w="590"/>
        <w:gridCol w:w="1006"/>
        <w:gridCol w:w="3613"/>
      </w:tblGrid>
      <w:tr>
        <w:trPr/>
        <w:tc>
          <w:tcPr>
            <w:tcW w:w="75" w:type="dxa"/>
            <w:tcBorders/>
            <w:shd w:fill="auto" w:val="clear"/>
            <w:vAlign w:val="center"/>
          </w:tcPr>
          <w:p>
            <w:pPr>
              <w:pStyle w:val="TableContents"/>
              <w:spacing w:before="0" w:after="283"/>
              <w:jc w:val="left"/>
              <w:rPr/>
            </w:pPr>
            <w:r>
              <w:rPr/>
              <w:t> </w:t>
            </w:r>
          </w:p>
        </w:tc>
        <w:tc>
          <w:tcPr>
            <w:tcW w:w="5209" w:type="dxa"/>
            <w:gridSpan w:val="3"/>
            <w:tcBorders/>
            <w:shd w:fill="auto" w:val="clear"/>
            <w:vAlign w:val="center"/>
          </w:tcPr>
          <w:p>
            <w:pPr>
              <w:pStyle w:val="TableContents"/>
              <w:spacing w:before="0" w:after="283"/>
              <w:jc w:val="left"/>
              <w:rPr>
                <w:rFonts w:ascii="Times New Roman;Times;Serif" w:hAnsi="Times New Roman;Times;Serif"/>
                <w:b/>
                <w:sz w:val="20"/>
              </w:rPr>
            </w:pPr>
            <w:r>
              <w:rPr>
                <w:rFonts w:ascii="Times New Roman;Times;Serif" w:hAnsi="Times New Roman;Times;Serif"/>
                <w:b/>
                <w:sz w:val="20"/>
              </w:rPr>
              <w:t>VENTOUX CCM ACQUISITION CORP.</w:t>
            </w:r>
          </w:p>
        </w:tc>
      </w:tr>
      <w:tr>
        <w:trPr/>
        <w:tc>
          <w:tcPr>
            <w:tcW w:w="75" w:type="dxa"/>
            <w:tcBorders/>
            <w:shd w:fill="auto" w:val="clear"/>
            <w:vAlign w:val="center"/>
          </w:tcPr>
          <w:p>
            <w:pPr>
              <w:pStyle w:val="TableContents"/>
              <w:spacing w:before="0" w:after="283"/>
              <w:jc w:val="left"/>
              <w:rPr/>
            </w:pPr>
            <w:r>
              <w:rPr/>
              <w:t> </w:t>
            </w:r>
          </w:p>
        </w:tc>
        <w:tc>
          <w:tcPr>
            <w:tcW w:w="5209" w:type="dxa"/>
            <w:gridSpan w:val="3"/>
            <w:tcBorders/>
            <w:shd w:fill="auto" w:val="clear"/>
            <w:vAlign w:val="center"/>
          </w:tcPr>
          <w:p>
            <w:pPr>
              <w:pStyle w:val="TableContents"/>
              <w:spacing w:before="0" w:after="283"/>
              <w:jc w:val="left"/>
              <w:rPr/>
            </w:pPr>
            <w:r>
              <w:rPr/>
              <w:t> </w:t>
            </w:r>
          </w:p>
        </w:tc>
      </w:tr>
      <w:tr>
        <w:trPr/>
        <w:tc>
          <w:tcPr>
            <w:tcW w:w="75" w:type="dxa"/>
            <w:tcBorders/>
            <w:shd w:fill="auto" w:val="clear"/>
            <w:vAlign w:val="center"/>
          </w:tcPr>
          <w:p>
            <w:pPr>
              <w:pStyle w:val="TableContents"/>
              <w:spacing w:before="0" w:after="283"/>
              <w:jc w:val="left"/>
              <w:rPr/>
            </w:pPr>
            <w:r>
              <w:rPr/>
              <w:t> </w:t>
            </w:r>
          </w:p>
        </w:tc>
        <w:tc>
          <w:tcPr>
            <w:tcW w:w="590" w:type="dxa"/>
            <w:tcBorders/>
            <w:shd w:fill="auto" w:val="clear"/>
            <w:vAlign w:val="center"/>
          </w:tcPr>
          <w:p>
            <w:pPr>
              <w:pStyle w:val="TableContents"/>
              <w:spacing w:before="0" w:after="283"/>
              <w:jc w:val="left"/>
              <w:rPr>
                <w:rFonts w:ascii="Times New Roman;Times;Serif" w:hAnsi="Times New Roman;Times;Serif"/>
                <w:sz w:val="20"/>
              </w:rPr>
            </w:pPr>
            <w:r>
              <w:rPr>
                <w:rFonts w:ascii="Times New Roman;Times;Serif" w:hAnsi="Times New Roman;Times;Serif"/>
                <w:sz w:val="20"/>
              </w:rPr>
              <w:t>By:</w:t>
            </w:r>
          </w:p>
        </w:tc>
        <w:tc>
          <w:tcPr>
            <w:tcW w:w="4619" w:type="dxa"/>
            <w:gridSpan w:val="2"/>
            <w:tcBorders>
              <w:bottom w:val="single" w:sz="12" w:space="0" w:color="000000"/>
            </w:tcBorders>
            <w:shd w:fill="auto" w:val="clear"/>
            <w:tcMar>
              <w:bottom w:w="28" w:type="dxa"/>
            </w:tcMar>
            <w:vAlign w:val="center"/>
          </w:tcPr>
          <w:p>
            <w:pPr>
              <w:pStyle w:val="TableContents"/>
              <w:spacing w:before="0" w:after="283"/>
              <w:jc w:val="left"/>
              <w:rPr>
                <w:rFonts w:ascii="Times New Roman;Times;Serif" w:hAnsi="Times New Roman;Times;Serif"/>
                <w:sz w:val="20"/>
              </w:rPr>
            </w:pPr>
            <w:r>
              <w:rPr>
                <w:rFonts w:ascii="Times New Roman;Times;Serif" w:hAnsi="Times New Roman;Times;Serif"/>
                <w:sz w:val="20"/>
              </w:rPr>
              <w:t>/s/ Edward Scheetz</w:t>
            </w:r>
          </w:p>
        </w:tc>
      </w:tr>
      <w:tr>
        <w:trPr/>
        <w:tc>
          <w:tcPr>
            <w:tcW w:w="75" w:type="dxa"/>
            <w:tcBorders/>
            <w:shd w:fill="auto" w:val="clear"/>
            <w:vAlign w:val="center"/>
          </w:tcPr>
          <w:p>
            <w:pPr>
              <w:pStyle w:val="TableContents"/>
              <w:spacing w:before="0" w:after="283"/>
              <w:jc w:val="left"/>
              <w:rPr/>
            </w:pPr>
            <w:r>
              <w:rPr/>
              <w:t> </w:t>
            </w:r>
          </w:p>
        </w:tc>
        <w:tc>
          <w:tcPr>
            <w:tcW w:w="590" w:type="dxa"/>
            <w:tcBorders/>
            <w:shd w:fill="auto" w:val="clear"/>
            <w:vAlign w:val="center"/>
          </w:tcPr>
          <w:p>
            <w:pPr>
              <w:pStyle w:val="TableContents"/>
              <w:spacing w:before="0" w:after="283"/>
              <w:jc w:val="left"/>
              <w:rPr/>
            </w:pPr>
            <w:r>
              <w:rPr/>
              <w:t> </w:t>
            </w:r>
          </w:p>
        </w:tc>
        <w:tc>
          <w:tcPr>
            <w:tcW w:w="1006" w:type="dxa"/>
            <w:tcBorders/>
            <w:shd w:fill="auto" w:val="clear"/>
            <w:vAlign w:val="center"/>
          </w:tcPr>
          <w:p>
            <w:pPr>
              <w:pStyle w:val="TableContents"/>
              <w:spacing w:before="0" w:after="283"/>
              <w:jc w:val="left"/>
              <w:rPr>
                <w:rFonts w:ascii="Times New Roman;Times;Serif" w:hAnsi="Times New Roman;Times;Serif"/>
                <w:sz w:val="20"/>
              </w:rPr>
            </w:pPr>
            <w:r>
              <w:rPr>
                <w:rFonts w:ascii="Times New Roman;Times;Serif" w:hAnsi="Times New Roman;Times;Serif"/>
                <w:sz w:val="20"/>
              </w:rPr>
              <w:t>Name:</w:t>
            </w:r>
          </w:p>
        </w:tc>
        <w:tc>
          <w:tcPr>
            <w:tcW w:w="3613" w:type="dxa"/>
            <w:tcBorders/>
            <w:shd w:fill="auto" w:val="clear"/>
            <w:vAlign w:val="center"/>
          </w:tcPr>
          <w:p>
            <w:pPr>
              <w:pStyle w:val="TableContents"/>
              <w:spacing w:before="0" w:after="283"/>
              <w:jc w:val="left"/>
              <w:rPr>
                <w:rFonts w:ascii="Times New Roman;Times;Serif" w:hAnsi="Times New Roman;Times;Serif"/>
                <w:sz w:val="20"/>
              </w:rPr>
            </w:pPr>
            <w:r>
              <w:rPr>
                <w:rFonts w:ascii="Times New Roman;Times;Serif" w:hAnsi="Times New Roman;Times;Serif"/>
                <w:sz w:val="20"/>
              </w:rPr>
              <w:t>Edward Scheetz</w:t>
            </w:r>
          </w:p>
        </w:tc>
      </w:tr>
      <w:tr>
        <w:trPr/>
        <w:tc>
          <w:tcPr>
            <w:tcW w:w="75" w:type="dxa"/>
            <w:tcBorders/>
            <w:shd w:fill="auto" w:val="clear"/>
            <w:vAlign w:val="center"/>
          </w:tcPr>
          <w:p>
            <w:pPr>
              <w:pStyle w:val="TableContents"/>
              <w:spacing w:before="0" w:after="283"/>
              <w:jc w:val="left"/>
              <w:rPr/>
            </w:pPr>
            <w:r>
              <w:rPr/>
              <w:t> </w:t>
            </w:r>
          </w:p>
        </w:tc>
        <w:tc>
          <w:tcPr>
            <w:tcW w:w="590" w:type="dxa"/>
            <w:tcBorders/>
            <w:shd w:fill="auto" w:val="clear"/>
            <w:vAlign w:val="center"/>
          </w:tcPr>
          <w:p>
            <w:pPr>
              <w:pStyle w:val="TableContents"/>
              <w:spacing w:before="0" w:after="283"/>
              <w:jc w:val="left"/>
              <w:rPr/>
            </w:pPr>
            <w:r>
              <w:rPr/>
              <w:t> </w:t>
            </w:r>
          </w:p>
        </w:tc>
        <w:tc>
          <w:tcPr>
            <w:tcW w:w="1006" w:type="dxa"/>
            <w:tcBorders/>
            <w:shd w:fill="auto" w:val="clear"/>
            <w:vAlign w:val="center"/>
          </w:tcPr>
          <w:p>
            <w:pPr>
              <w:pStyle w:val="TableContents"/>
              <w:spacing w:before="0" w:after="283"/>
              <w:jc w:val="left"/>
              <w:rPr>
                <w:rFonts w:ascii="Times New Roman;Times;Serif" w:hAnsi="Times New Roman;Times;Serif"/>
                <w:sz w:val="20"/>
              </w:rPr>
            </w:pPr>
            <w:r>
              <w:rPr>
                <w:rFonts w:ascii="Times New Roman;Times;Serif" w:hAnsi="Times New Roman;Times;Serif"/>
                <w:sz w:val="20"/>
              </w:rPr>
              <w:t>Title:</w:t>
            </w:r>
          </w:p>
        </w:tc>
        <w:tc>
          <w:tcPr>
            <w:tcW w:w="3613" w:type="dxa"/>
            <w:tcBorders/>
            <w:shd w:fill="auto" w:val="clear"/>
            <w:vAlign w:val="center"/>
          </w:tcPr>
          <w:p>
            <w:pPr>
              <w:pStyle w:val="TableContents"/>
              <w:spacing w:before="0" w:after="283"/>
              <w:jc w:val="left"/>
              <w:rPr>
                <w:rFonts w:ascii="Times New Roman;Times;Serif" w:hAnsi="Times New Roman;Times;Serif"/>
                <w:sz w:val="20"/>
              </w:rPr>
            </w:pPr>
            <w:r>
              <w:rPr>
                <w:rFonts w:ascii="Times New Roman;Times;Serif" w:hAnsi="Times New Roman;Times;Serif"/>
                <w:sz w:val="20"/>
              </w:rPr>
              <w:t>Chief Executive Officer</w:t>
            </w:r>
          </w:p>
        </w:tc>
      </w:tr>
      <w:tr>
        <w:trPr/>
        <w:tc>
          <w:tcPr>
            <w:tcW w:w="75" w:type="dxa"/>
            <w:tcBorders/>
            <w:shd w:fill="auto" w:val="clear"/>
            <w:vAlign w:val="center"/>
          </w:tcPr>
          <w:p>
            <w:pPr>
              <w:pStyle w:val="TableContents"/>
              <w:spacing w:before="0" w:after="283"/>
              <w:jc w:val="left"/>
              <w:rPr/>
            </w:pPr>
            <w:r>
              <w:rPr/>
              <w:t> </w:t>
            </w:r>
          </w:p>
        </w:tc>
        <w:tc>
          <w:tcPr>
            <w:tcW w:w="590" w:type="dxa"/>
            <w:tcBorders/>
            <w:shd w:fill="auto" w:val="clear"/>
            <w:vAlign w:val="center"/>
          </w:tcPr>
          <w:p>
            <w:pPr>
              <w:pStyle w:val="TableContents"/>
              <w:spacing w:before="0" w:after="283"/>
              <w:jc w:val="left"/>
              <w:rPr/>
            </w:pPr>
            <w:r>
              <w:rPr/>
              <w:t> </w:t>
            </w:r>
          </w:p>
        </w:tc>
        <w:tc>
          <w:tcPr>
            <w:tcW w:w="1006" w:type="dxa"/>
            <w:tcBorders/>
            <w:shd w:fill="auto" w:val="clear"/>
            <w:vAlign w:val="center"/>
          </w:tcPr>
          <w:p>
            <w:pPr>
              <w:pStyle w:val="TableContents"/>
              <w:spacing w:before="0" w:after="283"/>
              <w:jc w:val="left"/>
              <w:rPr/>
            </w:pPr>
            <w:r>
              <w:rPr/>
              <w:t> </w:t>
            </w:r>
          </w:p>
        </w:tc>
        <w:tc>
          <w:tcPr>
            <w:tcW w:w="3613" w:type="dxa"/>
            <w:tcBorders/>
            <w:shd w:fill="auto" w:val="clear"/>
            <w:vAlign w:val="center"/>
          </w:tcPr>
          <w:p>
            <w:pPr>
              <w:pStyle w:val="TableContents"/>
              <w:spacing w:before="0" w:after="283"/>
              <w:jc w:val="left"/>
              <w:rPr/>
            </w:pPr>
            <w:r>
              <w:rPr/>
              <w:t> </w:t>
            </w:r>
          </w:p>
        </w:tc>
      </w:tr>
      <w:tr>
        <w:trPr/>
        <w:tc>
          <w:tcPr>
            <w:tcW w:w="75" w:type="dxa"/>
            <w:tcBorders/>
            <w:shd w:fill="auto" w:val="clear"/>
            <w:vAlign w:val="center"/>
          </w:tcPr>
          <w:p>
            <w:pPr>
              <w:pStyle w:val="TableContents"/>
              <w:spacing w:before="0" w:after="283"/>
              <w:jc w:val="left"/>
              <w:rPr/>
            </w:pPr>
            <w:r>
              <w:rPr/>
              <w:t> </w:t>
            </w:r>
          </w:p>
        </w:tc>
        <w:tc>
          <w:tcPr>
            <w:tcW w:w="5209" w:type="dxa"/>
            <w:gridSpan w:val="3"/>
            <w:tcBorders/>
            <w:shd w:fill="auto" w:val="clear"/>
            <w:vAlign w:val="center"/>
          </w:tcPr>
          <w:p>
            <w:pPr>
              <w:pStyle w:val="TableContents"/>
              <w:spacing w:before="0" w:after="283"/>
              <w:jc w:val="left"/>
              <w:rPr>
                <w:rFonts w:ascii="Times New Roman;Times;Serif" w:hAnsi="Times New Roman;Times;Serif"/>
                <w:b/>
                <w:sz w:val="20"/>
              </w:rPr>
            </w:pPr>
            <w:r>
              <w:rPr>
                <w:rFonts w:ascii="Times New Roman;Times;Serif" w:hAnsi="Times New Roman;Times;Serif"/>
                <w:b/>
                <w:sz w:val="20"/>
              </w:rPr>
              <w:t>CONTINENTAL STOCK TRANSFER &amp; TRUST COMPANY</w:t>
            </w:r>
          </w:p>
        </w:tc>
      </w:tr>
      <w:tr>
        <w:trPr/>
        <w:tc>
          <w:tcPr>
            <w:tcW w:w="75" w:type="dxa"/>
            <w:tcBorders/>
            <w:shd w:fill="auto" w:val="clear"/>
            <w:vAlign w:val="center"/>
          </w:tcPr>
          <w:p>
            <w:pPr>
              <w:pStyle w:val="TableContents"/>
              <w:spacing w:before="0" w:after="283"/>
              <w:jc w:val="left"/>
              <w:rPr/>
            </w:pPr>
            <w:r>
              <w:rPr/>
              <w:t> </w:t>
            </w:r>
          </w:p>
        </w:tc>
        <w:tc>
          <w:tcPr>
            <w:tcW w:w="5209" w:type="dxa"/>
            <w:gridSpan w:val="3"/>
            <w:tcBorders/>
            <w:shd w:fill="auto" w:val="clear"/>
            <w:vAlign w:val="center"/>
          </w:tcPr>
          <w:p>
            <w:pPr>
              <w:pStyle w:val="TableContents"/>
              <w:spacing w:before="0" w:after="283"/>
              <w:jc w:val="left"/>
              <w:rPr/>
            </w:pPr>
            <w:r>
              <w:rPr/>
              <w:t> </w:t>
            </w:r>
          </w:p>
        </w:tc>
      </w:tr>
      <w:tr>
        <w:trPr/>
        <w:tc>
          <w:tcPr>
            <w:tcW w:w="75" w:type="dxa"/>
            <w:tcBorders/>
            <w:shd w:fill="auto" w:val="clear"/>
            <w:vAlign w:val="center"/>
          </w:tcPr>
          <w:p>
            <w:pPr>
              <w:pStyle w:val="TableContents"/>
              <w:spacing w:before="0" w:after="283"/>
              <w:jc w:val="left"/>
              <w:rPr/>
            </w:pPr>
            <w:r>
              <w:rPr/>
              <w:t> </w:t>
            </w:r>
          </w:p>
        </w:tc>
        <w:tc>
          <w:tcPr>
            <w:tcW w:w="590" w:type="dxa"/>
            <w:tcBorders/>
            <w:shd w:fill="auto" w:val="clear"/>
            <w:vAlign w:val="center"/>
          </w:tcPr>
          <w:p>
            <w:pPr>
              <w:pStyle w:val="TableContents"/>
              <w:spacing w:before="0" w:after="283"/>
              <w:jc w:val="left"/>
              <w:rPr>
                <w:rFonts w:ascii="Times New Roman;Times;Serif" w:hAnsi="Times New Roman;Times;Serif"/>
                <w:sz w:val="20"/>
              </w:rPr>
            </w:pPr>
            <w:r>
              <w:rPr>
                <w:rFonts w:ascii="Times New Roman;Times;Serif" w:hAnsi="Times New Roman;Times;Serif"/>
                <w:sz w:val="20"/>
              </w:rPr>
              <w:t>By:</w:t>
            </w:r>
          </w:p>
        </w:tc>
        <w:tc>
          <w:tcPr>
            <w:tcW w:w="4619" w:type="dxa"/>
            <w:gridSpan w:val="2"/>
            <w:tcBorders>
              <w:bottom w:val="single" w:sz="12" w:space="0" w:color="000000"/>
            </w:tcBorders>
            <w:shd w:fill="auto" w:val="clear"/>
            <w:tcMar>
              <w:bottom w:w="28" w:type="dxa"/>
            </w:tcMar>
            <w:vAlign w:val="center"/>
          </w:tcPr>
          <w:p>
            <w:pPr>
              <w:pStyle w:val="TableContents"/>
              <w:spacing w:before="0" w:after="283"/>
              <w:jc w:val="left"/>
              <w:rPr>
                <w:rFonts w:ascii="Times New Roman;Times;Serif" w:hAnsi="Times New Roman;Times;Serif"/>
                <w:sz w:val="20"/>
              </w:rPr>
            </w:pPr>
            <w:r>
              <w:rPr>
                <w:rFonts w:ascii="Times New Roman;Times;Serif" w:hAnsi="Times New Roman;Times;Serif"/>
                <w:sz w:val="20"/>
              </w:rPr>
              <w:t>/s/ Douglas Reed</w:t>
            </w:r>
          </w:p>
        </w:tc>
      </w:tr>
      <w:tr>
        <w:trPr/>
        <w:tc>
          <w:tcPr>
            <w:tcW w:w="75" w:type="dxa"/>
            <w:tcBorders/>
            <w:shd w:fill="auto" w:val="clear"/>
            <w:vAlign w:val="center"/>
          </w:tcPr>
          <w:p>
            <w:pPr>
              <w:pStyle w:val="TableContents"/>
              <w:spacing w:before="0" w:after="283"/>
              <w:jc w:val="left"/>
              <w:rPr/>
            </w:pPr>
            <w:r>
              <w:rPr/>
              <w:t> </w:t>
            </w:r>
          </w:p>
        </w:tc>
        <w:tc>
          <w:tcPr>
            <w:tcW w:w="590" w:type="dxa"/>
            <w:tcBorders/>
            <w:shd w:fill="auto" w:val="clear"/>
            <w:vAlign w:val="center"/>
          </w:tcPr>
          <w:p>
            <w:pPr>
              <w:pStyle w:val="TableContents"/>
              <w:spacing w:before="0" w:after="283"/>
              <w:jc w:val="left"/>
              <w:rPr/>
            </w:pPr>
            <w:r>
              <w:rPr/>
              <w:t> </w:t>
            </w:r>
          </w:p>
        </w:tc>
        <w:tc>
          <w:tcPr>
            <w:tcW w:w="1006" w:type="dxa"/>
            <w:tcBorders/>
            <w:shd w:fill="auto" w:val="clear"/>
            <w:vAlign w:val="center"/>
          </w:tcPr>
          <w:p>
            <w:pPr>
              <w:pStyle w:val="TableContents"/>
              <w:spacing w:before="0" w:after="283"/>
              <w:jc w:val="left"/>
              <w:rPr>
                <w:rFonts w:ascii="Times New Roman;Times;Serif" w:hAnsi="Times New Roman;Times;Serif"/>
                <w:sz w:val="20"/>
              </w:rPr>
            </w:pPr>
            <w:r>
              <w:rPr>
                <w:rFonts w:ascii="Times New Roman;Times;Serif" w:hAnsi="Times New Roman;Times;Serif"/>
                <w:sz w:val="20"/>
              </w:rPr>
              <w:t>Name:</w:t>
            </w:r>
          </w:p>
        </w:tc>
        <w:tc>
          <w:tcPr>
            <w:tcW w:w="3613" w:type="dxa"/>
            <w:tcBorders/>
            <w:shd w:fill="auto" w:val="clear"/>
            <w:vAlign w:val="center"/>
          </w:tcPr>
          <w:p>
            <w:pPr>
              <w:pStyle w:val="TableContents"/>
              <w:spacing w:before="0" w:after="283"/>
              <w:jc w:val="left"/>
              <w:rPr>
                <w:rFonts w:ascii="Times New Roman;Times;Serif" w:hAnsi="Times New Roman;Times;Serif"/>
                <w:sz w:val="20"/>
              </w:rPr>
            </w:pPr>
            <w:r>
              <w:rPr>
                <w:rFonts w:ascii="Times New Roman;Times;Serif" w:hAnsi="Times New Roman;Times;Serif"/>
                <w:sz w:val="20"/>
              </w:rPr>
              <w:t>Douglas Reed</w:t>
            </w:r>
          </w:p>
        </w:tc>
      </w:tr>
      <w:tr>
        <w:trPr/>
        <w:tc>
          <w:tcPr>
            <w:tcW w:w="75" w:type="dxa"/>
            <w:tcBorders/>
            <w:shd w:fill="auto" w:val="clear"/>
            <w:vAlign w:val="center"/>
          </w:tcPr>
          <w:p>
            <w:pPr>
              <w:pStyle w:val="TableContents"/>
              <w:spacing w:before="0" w:after="283"/>
              <w:jc w:val="left"/>
              <w:rPr/>
            </w:pPr>
            <w:r>
              <w:rPr/>
              <w:t> </w:t>
            </w:r>
          </w:p>
        </w:tc>
        <w:tc>
          <w:tcPr>
            <w:tcW w:w="590" w:type="dxa"/>
            <w:tcBorders/>
            <w:shd w:fill="auto" w:val="clear"/>
            <w:vAlign w:val="center"/>
          </w:tcPr>
          <w:p>
            <w:pPr>
              <w:pStyle w:val="TableContents"/>
              <w:spacing w:before="0" w:after="283"/>
              <w:jc w:val="left"/>
              <w:rPr/>
            </w:pPr>
            <w:r>
              <w:rPr/>
              <w:t> </w:t>
            </w:r>
          </w:p>
        </w:tc>
        <w:tc>
          <w:tcPr>
            <w:tcW w:w="1006" w:type="dxa"/>
            <w:tcBorders/>
            <w:shd w:fill="auto" w:val="clear"/>
            <w:vAlign w:val="center"/>
          </w:tcPr>
          <w:p>
            <w:pPr>
              <w:pStyle w:val="TableContents"/>
              <w:spacing w:before="0" w:after="283"/>
              <w:jc w:val="left"/>
              <w:rPr>
                <w:rFonts w:ascii="Times New Roman;Times;Serif" w:hAnsi="Times New Roman;Times;Serif"/>
                <w:sz w:val="20"/>
              </w:rPr>
            </w:pPr>
            <w:r>
              <w:rPr>
                <w:rFonts w:ascii="Times New Roman;Times;Serif" w:hAnsi="Times New Roman;Times;Serif"/>
                <w:sz w:val="20"/>
              </w:rPr>
              <w:t>Title:</w:t>
            </w:r>
          </w:p>
        </w:tc>
        <w:tc>
          <w:tcPr>
            <w:tcW w:w="3613" w:type="dxa"/>
            <w:tcBorders/>
            <w:shd w:fill="auto" w:val="clear"/>
            <w:vAlign w:val="center"/>
          </w:tcPr>
          <w:p>
            <w:pPr>
              <w:pStyle w:val="TableContents"/>
              <w:spacing w:before="0" w:after="283"/>
              <w:jc w:val="left"/>
              <w:rPr>
                <w:rFonts w:ascii="Times New Roman;Times;Serif" w:hAnsi="Times New Roman;Times;Serif"/>
                <w:sz w:val="20"/>
              </w:rPr>
            </w:pPr>
            <w:r>
              <w:rPr>
                <w:rFonts w:ascii="Times New Roman;Times;Serif" w:hAnsi="Times New Roman;Times;Serif"/>
                <w:sz w:val="20"/>
              </w:rPr>
              <w:t>Vice President</w:t>
            </w:r>
          </w:p>
        </w:tc>
      </w:tr>
    </w:tbl>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caps w:val="false"/>
          <w:smallCaps w:val="false"/>
        </w:rPr>
      </w:pPr>
      <w:r>
        <w:rPr>
          <w:caps w:val="false"/>
          <w:smallCaps w:val="false"/>
        </w:rPr>
        <w:t> </w:t>
      </w:r>
    </w:p>
    <w:p>
      <w:pPr>
        <w:pStyle w:val="TextBody"/>
        <w:spacing w:before="0" w:after="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[Signature Page to Warrant Agreement]</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13</w:t>
      </w:r>
    </w:p>
    <w:p>
      <w:pPr>
        <w:pStyle w:val="TextBody"/>
        <w:spacing w:before="0" w:after="0"/>
        <w:ind w:left="0" w:right="0" w:hanging="0"/>
        <w:rPr/>
      </w:pPr>
      <w:r>
        <w:rPr/>
        <w:t> </w:t>
      </w:r>
    </w:p>
    <w:p>
      <w:pPr>
        <w:pStyle w:val="TextBody"/>
        <w:spacing w:before="0" w:after="0"/>
        <w:ind w:left="0" w:right="0" w:hanging="0"/>
        <w:jc w:val="both"/>
        <w:rPr>
          <w:caps w:val="false"/>
          <w:smallCaps w:val="false"/>
        </w:rPr>
      </w:pPr>
      <w:r>
        <w:rPr>
          <w:caps w:val="false"/>
          <w:smallCaps w:val="false"/>
        </w:rPr>
        <w:t> </w:t>
      </w:r>
    </w:p>
    <w:p>
      <w:pPr>
        <w:pStyle w:val="TextBody"/>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A</w:t>
      </w:r>
    </w:p>
    <w:p>
      <w:pPr>
        <w:pStyle w:val="TextBody"/>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of Warrant</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A-1</w:t>
      </w:r>
    </w:p>
    <w:p>
      <w:pPr>
        <w:pStyle w:val="TextBody"/>
        <w:spacing w:before="0" w:after="0"/>
        <w:ind w:left="0" w:right="0" w:hanging="0"/>
        <w:rPr/>
      </w:pPr>
      <w:r>
        <w:rPr/>
        <w:t> </w:t>
      </w:r>
    </w:p>
    <w:p>
      <w:pPr>
        <w:pStyle w:val="TextBody"/>
        <w:spacing w:before="0" w:after="0"/>
        <w:ind w:left="0" w:right="0" w:hanging="0"/>
        <w:jc w:val="both"/>
        <w:rPr>
          <w:caps w:val="false"/>
          <w:smallCaps w:val="false"/>
        </w:rPr>
      </w:pPr>
      <w:r>
        <w:rPr>
          <w:caps w:val="false"/>
          <w:smallCaps w:val="false"/>
        </w:rPr>
        <w:t> </w:t>
      </w:r>
    </w:p>
    <w:p>
      <w:pPr>
        <w:pStyle w:val="TextBody"/>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of Warrant</w:t>
        <w:br/>
        <w:t>SPECIMEN WARRANT CERTIFICATE</w:t>
      </w:r>
    </w:p>
    <w:p>
      <w:pPr>
        <w:pStyle w:val="TextBody"/>
        <w:spacing w:before="0" w:after="0"/>
        <w:ind w:left="0" w:right="0" w:hanging="0"/>
        <w:jc w:val="both"/>
        <w:rPr>
          <w:caps w:val="false"/>
          <w:smallCaps w:val="false"/>
        </w:rPr>
      </w:pPr>
      <w:r>
        <w:rPr>
          <w:caps w:val="false"/>
          <w:smallCaps w:val="false"/>
        </w:rPr>
        <w:t> </w:t>
      </w:r>
    </w:p>
    <w:tbl>
      <w:tblPr>
        <w:tblW w:w="2245" w:type="dxa"/>
        <w:jc w:val="left"/>
        <w:tblInd w:w="0" w:type="dxa"/>
        <w:shd w:fill="FFFFFF" w:val="clear"/>
        <w:tblCellMar>
          <w:top w:w="0" w:type="dxa"/>
          <w:left w:w="0" w:type="dxa"/>
          <w:bottom w:w="0" w:type="dxa"/>
          <w:right w:w="0" w:type="dxa"/>
        </w:tblCellMar>
      </w:tblPr>
      <w:tblGrid>
        <w:gridCol w:w="875"/>
        <w:gridCol w:w="1370"/>
      </w:tblGrid>
      <w:tr>
        <w:trPr/>
        <w:tc>
          <w:tcPr>
            <w:tcW w:w="875" w:type="dxa"/>
            <w:tcBorders/>
            <w:shd w:fill="FFFFFF" w:val="clear"/>
            <w:vAlign w:val="center"/>
          </w:tcPr>
          <w:p>
            <w:pPr>
              <w:pStyle w:val="TableContents"/>
              <w:spacing w:before="0" w:after="283"/>
              <w:jc w:val="both"/>
              <w:rPr>
                <w:rFonts w:ascii="Times New Roman;Times;Serif" w:hAnsi="Times New Roman;Times;Serif"/>
                <w:sz w:val="20"/>
              </w:rPr>
            </w:pPr>
            <w:r>
              <w:rPr>
                <w:rFonts w:ascii="Times New Roman;Times;Serif" w:hAnsi="Times New Roman;Times;Serif"/>
                <w:sz w:val="20"/>
              </w:rPr>
              <w:t>NUMBER</w:t>
            </w:r>
          </w:p>
        </w:tc>
        <w:tc>
          <w:tcPr>
            <w:tcW w:w="1370" w:type="dxa"/>
            <w:tcBorders/>
            <w:shd w:fill="FFFFFF"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  ] WARRANTS</w:t>
            </w:r>
          </w:p>
        </w:tc>
      </w:tr>
      <w:tr>
        <w:trPr/>
        <w:tc>
          <w:tcPr>
            <w:tcW w:w="875" w:type="dxa"/>
            <w:tcBorders/>
            <w:shd w:fill="FFFFFF" w:val="clear"/>
            <w:vAlign w:val="center"/>
          </w:tcPr>
          <w:p>
            <w:pPr>
              <w:pStyle w:val="TableContents"/>
              <w:spacing w:before="0" w:after="283"/>
              <w:jc w:val="both"/>
              <w:rPr>
                <w:rFonts w:ascii="Times New Roman;Times;Serif" w:hAnsi="Times New Roman;Times;Serif"/>
                <w:sz w:val="20"/>
              </w:rPr>
            </w:pPr>
            <w:r>
              <w:rPr>
                <w:rFonts w:ascii="Times New Roman;Times;Serif" w:hAnsi="Times New Roman;Times;Serif"/>
                <w:sz w:val="20"/>
              </w:rPr>
              <w:t>WA-</w:t>
            </w:r>
          </w:p>
        </w:tc>
        <w:tc>
          <w:tcPr>
            <w:tcW w:w="1370" w:type="dxa"/>
            <w:tcBorders/>
            <w:shd w:fill="FFFFFF" w:val="clear"/>
            <w:vAlign w:val="center"/>
          </w:tcPr>
          <w:p>
            <w:pPr>
              <w:pStyle w:val="TableContents"/>
              <w:spacing w:before="0" w:after="283"/>
              <w:jc w:val="both"/>
              <w:rPr/>
            </w:pPr>
            <w:r>
              <w:rPr/>
              <w:t> </w:t>
            </w:r>
          </w:p>
        </w:tc>
      </w:tr>
    </w:tbl>
    <w:p>
      <w:pPr>
        <w:pStyle w:val="TextBody"/>
        <w:spacing w:before="0" w:after="0"/>
        <w:ind w:left="0" w:right="0" w:hanging="0"/>
        <w:jc w:val="both"/>
        <w:rPr>
          <w:caps w:val="false"/>
          <w:smallCaps w:val="false"/>
        </w:rPr>
      </w:pPr>
      <w:r>
        <w:rPr>
          <w:caps w:val="false"/>
          <w:smallCaps w:val="false"/>
        </w:rPr>
        <w:t> </w:t>
      </w:r>
    </w:p>
    <w:p>
      <w:pPr>
        <w:pStyle w:val="TextBody"/>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WARRANT WILL BE VOID IF NOT EXERCISED PRIOR TO 5:00 P.M.</w:t>
        <w:br/>
        <w:t>NEW YORK CITY TIME, FIVE YEARS FROM THE CLOSING DATE OF</w:t>
        <w:br/>
        <w:t>THE COMPANY’S INITIAL BUSINESS COMBINATION)</w:t>
      </w:r>
    </w:p>
    <w:p>
      <w:pPr>
        <w:pStyle w:val="TextBody"/>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VENTOUX CCM ACQUISITION CORP.</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CUSIP 92280L119</w:t>
      </w:r>
    </w:p>
    <w:p>
      <w:pPr>
        <w:pStyle w:val="TextBody"/>
        <w:spacing w:before="0" w:after="0"/>
        <w:ind w:left="0" w:right="0" w:hanging="0"/>
        <w:jc w:val="both"/>
        <w:rPr>
          <w:caps w:val="false"/>
          <w:smallCaps w:val="false"/>
        </w:rPr>
      </w:pPr>
      <w:r>
        <w:rPr>
          <w:caps w:val="false"/>
          <w:smallCaps w:val="false"/>
        </w:rPr>
        <w:t> </w:t>
      </w:r>
    </w:p>
    <w:p>
      <w:pPr>
        <w:pStyle w:val="TextBody"/>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WARRANT</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WARRANT CERTIFIES THAT, for value received, or registered assigns, is the registered holder of a Warrant or Warrants (the “Warrant”), expiring on a date which is five (5) years from the completion of the Company’s initial business combination, to purchase one-half of one</w:t>
      </w:r>
      <w:r>
        <w:rPr>
          <w:rFonts w:ascii="Times New Roman;Times;Serif" w:hAnsi="Times New Roman;Times;Serif"/>
          <w:b w:val="false"/>
          <w:i w:val="false"/>
          <w:caps w:val="false"/>
          <w:smallCaps w:val="false"/>
          <w:position w:val="7"/>
          <w:sz w:val="16"/>
          <w:sz w:val="20"/>
        </w:rPr>
        <w:t>1</w:t>
      </w:r>
      <w:r>
        <w:rPr>
          <w:rFonts w:ascii="Times New Roman;Times;Serif" w:hAnsi="Times New Roman;Times;Serif"/>
          <w:b w:val="false"/>
          <w:i w:val="false"/>
          <w:caps w:val="false"/>
          <w:smallCaps w:val="false"/>
          <w:sz w:val="20"/>
        </w:rPr>
        <w:t xml:space="preserve"> fully paid and non-assessable share (the “Warrant Shares”), of common stock, par value $0.0001 per share (the “Common Stock”), of Ventoux CCM Acquisition Corp., a Delaware corporation (the “Company”), for each Warrant evidenced by this Warrant Certificate. This Warrant Certificate is subject to and shall be interpreted under the terms and conditions of the Warrant Agreement (as defined below).</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Warrant entitles the holder thereof to purchase from the Company, from time to time, in whole or in part, commencing on the later to occur of (i) the completion of the Company’s initial business combination or (ii) twelve (12) months following the closing of the Company’s initial public offering, such number of Warrant Shares at the price of $11.50 per share (the “Warrant Price”), upon surrender of this Warrant Certificate and payment of the Warrant Price at the office or agency of Continental Stock Transfer &amp; Trust Company (the “Warrant Agent”), such payment to be made subject to the conditions set forth herein and in the Warrant Agreement, dated [●], 2020, between the Company and the Warrant Agent (the “Warrant Agreement”). In no event shall the registered holder(s) of this Warrant be entitled to receive a net-cash settlement in lieu of physical settlement in Warrant Shares of the Company. The Warrant Agreement provides that, upon the occurrence of certain events, the Warrant Price and the number of Warrant Shares purchasable hereunder, set forth on the face hereof, may be adjusted, subject to certain conditions. The term Warrant Price as used in this Warrant Certificate refers to the price per full Warrant Share at which Warrant Shares may be purchased at the time the Warrant is exercised.</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Warrant will expire on the date first referenced above if it is not exercised prior to such date by the registered holder pursuant to the terms of the Warrant Agreement or if it is not redeemed by the Company prior to such date.</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fractional shares will be issued upon any exercise of a Warrant. If, upon exercise of a Warrant, a holder would be entitled to receive a fractional interest in a share, the Company will, upon exercise, issue or cause to be issued only the largest whole number of Warrant Shares issuable on such exercise (and such fraction of a share will be disregarded).</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any exercise of the Warrant for less than the total number of full Warrant Shares provided for herein, there shall be issued to the registered holder(s) hereof or its assignee(s) a new Warrant Certificate covering the number of Warrant Shares for which the Warrant has not been exercised.</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caps w:val="false"/>
          <w:smallCaps w:val="false"/>
        </w:rPr>
      </w:pPr>
      <w:r>
        <w:rPr>
          <w:caps w:val="false"/>
          <w:smallCaps w:val="false"/>
        </w:rPr>
        <w:t> </w:t>
      </w:r>
    </w:p>
    <w:p>
      <w:pPr>
        <w:pStyle w:val="TextBody"/>
        <w:rPr>
          <w:bdr w:val="single" w:sz="12" w:space="1" w:color="000000"/>
        </w:rPr>
      </w:pPr>
      <w:r>
        <w:rPr>
          <w:bdr w:val="single" w:sz="12" w:space="1" w:color="000000"/>
        </w:rPr>
        <w:t> </w:t>
      </w:r>
    </w:p>
    <w:tbl>
      <w:tblPr>
        <w:tblW w:w="6423" w:type="dxa"/>
        <w:jc w:val="left"/>
        <w:tblInd w:w="0" w:type="dxa"/>
        <w:tblCellMar>
          <w:top w:w="0" w:type="dxa"/>
          <w:left w:w="0" w:type="dxa"/>
          <w:bottom w:w="0" w:type="dxa"/>
          <w:right w:w="0" w:type="dxa"/>
        </w:tblCellMar>
      </w:tblPr>
      <w:tblGrid>
        <w:gridCol w:w="38"/>
        <w:gridCol w:w="110"/>
        <w:gridCol w:w="6275"/>
      </w:tblGrid>
      <w:tr>
        <w:trPr/>
        <w:tc>
          <w:tcPr>
            <w:tcW w:w="38"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jc w:val="left"/>
              <w:rPr>
                <w:rFonts w:ascii="Times New Roman;Times;Serif" w:hAnsi="Times New Roman;Times;Serif"/>
                <w:position w:val="7"/>
                <w:sz w:val="16"/>
                <w:sz w:val="20"/>
              </w:rPr>
            </w:pPr>
            <w:r>
              <w:rPr>
                <w:rFonts w:ascii="Times New Roman;Times;Serif" w:hAnsi="Times New Roman;Times;Serif"/>
                <w:position w:val="7"/>
                <w:sz w:val="16"/>
                <w:sz w:val="20"/>
              </w:rPr>
              <w:t>1</w:t>
            </w:r>
          </w:p>
        </w:tc>
        <w:tc>
          <w:tcPr>
            <w:tcW w:w="6275" w:type="dxa"/>
            <w:tcBorders/>
            <w:shd w:fill="auto" w:val="clear"/>
            <w:vAlign w:val="center"/>
          </w:tcPr>
          <w:p>
            <w:pPr>
              <w:pStyle w:val="TableContents"/>
              <w:spacing w:before="0" w:after="283"/>
              <w:jc w:val="both"/>
              <w:rPr>
                <w:rFonts w:ascii="Times New Roman;Times;Serif" w:hAnsi="Times New Roman;Times;Serif"/>
                <w:sz w:val="20"/>
              </w:rPr>
            </w:pPr>
            <w:r>
              <w:rPr>
                <w:rFonts w:ascii="Times New Roman;Times;Serif" w:hAnsi="Times New Roman;Times;Serif"/>
                <w:sz w:val="20"/>
              </w:rPr>
              <w:t>Each Note Financing Warrant is exercisable into one share of Common Stock</w:t>
            </w:r>
          </w:p>
        </w:tc>
      </w:tr>
    </w:tbl>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A-2</w:t>
      </w:r>
    </w:p>
    <w:p>
      <w:pPr>
        <w:pStyle w:val="TextBody"/>
        <w:spacing w:before="0" w:after="0"/>
        <w:ind w:left="0" w:right="0" w:hanging="0"/>
        <w:rPr/>
      </w:pPr>
      <w:r>
        <w:rPr/>
        <w:t> </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Warrant Certificates, when surrendered at the office or agency of the Warrant Agent by the registered holder(s) hereof in person or by attorney duly authorized in writing, may be exchanged in the manner and subject to the limitations provided in the Warrant Agreement, but without payment of any service charge, for another Warrant Certificate or Warrant Certificates of like tenor and evidencing in the aggregate a like number of Warrants.</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due presentment for registration of transfer of the Warrant Certificate at the office or agency of the Warrant Agent, a new Warrant Certificate or Warrant Certificates of like tenor and evidencing in the aggregate a like number of Warrants shall be issued to the transferee(s) in exchange for this Warrant Certificate, subject to the limitations provided in the Warrant Agreement, without charge except for any applicable tax or other governmental charge.</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and the Warrant Agent may deem and treat the registered holder(s) as the absolute owner(s) of this Warrant Certificate (notwithstanding any notation of ownership or other writing hereon made by anyone) for the purpose of any exercise hereof, of any distribution to the registered holder(s), and for all other purposes, and neither the Company nor the Warrant Agent shall be affected by any notice to the contrary.</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Warrant does not entitle the registered holder(s) to any of the rights of a stockholder of the Company.</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After the Warrant becomes exercisable and prior to its expiration date, the Company reserves the right to call the Warrant at any time, with a notice of call in writing to the holder(s) of record of the Warrant, giving thirty (30) days’ written notice of such call if the last reported sale price of the Common Stock has been equal to or greater than $16.50 per share for any twenty (20) trading days within a thirty (30) trading day period ending on the third (3rd) trading day prior to the date on which notice of such call is given, provided that (i) a registration statement under the Securities Act of 1933, as amended (the “Act”) with respect to the shares of Common Stock issuable upon exercise must be effective and a current prospectus must be available for use by the registered holders hereof or (ii) the Warrants may be exercised on cashless basis as set forth in the Warrant Agreement and such cashless exercise is exempt from registration under the Act. The call price is $0.01 per Warrant Share. No fractional shares will be issued upon exercise of the Warrant.</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foregoing conditions are satisfied and the Company calls the Warrant for redemption, each holder will then be entitled to exercise his, her or its Warrant prior to the date scheduled for redemption; provided that the Company may require the Registered Holder who desires to exercise the Warrant, to elect cashless exercise as set forth in the Warrant Agreement, and such Registered Holder must exercise the Warrants on a cashless basis if the Company so requires. Any Warrant either not exercised or tendered back to the Company by the end of the date specified in the notice of call shall be canceled on the books of the Company and have no further value except for the $0.01 call price.</w:t>
      </w:r>
    </w:p>
    <w:p>
      <w:pPr>
        <w:pStyle w:val="TextBody"/>
        <w:spacing w:before="0" w:after="0"/>
        <w:ind w:left="0" w:right="0" w:firstLine="720"/>
        <w:jc w:val="both"/>
        <w:rPr>
          <w:caps w:val="false"/>
          <w:smallCaps w:val="false"/>
        </w:rPr>
      </w:pPr>
      <w:r>
        <w:rPr>
          <w:caps w:val="false"/>
          <w:smallCaps w:val="false"/>
        </w:rPr>
        <w:t> </w:t>
      </w:r>
    </w:p>
    <w:tbl>
      <w:tblPr>
        <w:tblW w:w="2350" w:type="dxa"/>
        <w:jc w:val="left"/>
        <w:tblInd w:w="0" w:type="dxa"/>
        <w:tblCellMar>
          <w:top w:w="0" w:type="dxa"/>
          <w:left w:w="0" w:type="dxa"/>
          <w:bottom w:w="0" w:type="dxa"/>
          <w:right w:w="0" w:type="dxa"/>
        </w:tblCellMar>
      </w:tblPr>
      <w:tblGrid>
        <w:gridCol w:w="75"/>
        <w:gridCol w:w="260"/>
        <w:gridCol w:w="1940"/>
        <w:gridCol w:w="75"/>
      </w:tblGrid>
      <w:tr>
        <w:trPr/>
        <w:tc>
          <w:tcPr>
            <w:tcW w:w="75" w:type="dxa"/>
            <w:tcBorders/>
            <w:shd w:fill="auto" w:val="clear"/>
            <w:vAlign w:val="center"/>
          </w:tcPr>
          <w:p>
            <w:pPr>
              <w:pStyle w:val="TableContents"/>
              <w:spacing w:before="0" w:after="283"/>
              <w:rPr>
                <w:sz w:val="4"/>
                <w:szCs w:val="4"/>
              </w:rPr>
            </w:pPr>
            <w:r>
              <w:rPr>
                <w:sz w:val="4"/>
                <w:szCs w:val="4"/>
              </w:rPr>
            </w:r>
          </w:p>
        </w:tc>
        <w:tc>
          <w:tcPr>
            <w:tcW w:w="260" w:type="dxa"/>
            <w:tcBorders/>
            <w:shd w:fill="auto" w:val="clear"/>
            <w:vAlign w:val="center"/>
          </w:tcPr>
          <w:p>
            <w:pPr>
              <w:pStyle w:val="TableContents"/>
              <w:spacing w:before="0" w:after="283"/>
              <w:jc w:val="left"/>
              <w:rPr>
                <w:rFonts w:ascii="Times New Roman;Times;Serif" w:hAnsi="Times New Roman;Times;Serif"/>
                <w:sz w:val="20"/>
              </w:rPr>
            </w:pPr>
            <w:r>
              <w:rPr>
                <w:rFonts w:ascii="Times New Roman;Times;Serif" w:hAnsi="Times New Roman;Times;Serif"/>
                <w:sz w:val="20"/>
              </w:rPr>
              <w:t>By</w:t>
            </w:r>
          </w:p>
        </w:tc>
        <w:tc>
          <w:tcPr>
            <w:tcW w:w="1940" w:type="dxa"/>
            <w:tcBorders>
              <w:bottom w:val="single" w:sz="12"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jc w:val="left"/>
              <w:rPr/>
            </w:pPr>
            <w:r>
              <w:rPr/>
              <w:t> </w:t>
            </w:r>
          </w:p>
        </w:tc>
      </w:tr>
      <w:tr>
        <w:trPr/>
        <w:tc>
          <w:tcPr>
            <w:tcW w:w="75" w:type="dxa"/>
            <w:tcBorders/>
            <w:shd w:fill="auto" w:val="clear"/>
            <w:vAlign w:val="center"/>
          </w:tcPr>
          <w:p>
            <w:pPr>
              <w:pStyle w:val="TableContents"/>
              <w:spacing w:before="0" w:after="283"/>
              <w:jc w:val="left"/>
              <w:rPr/>
            </w:pPr>
            <w:r>
              <w:rPr/>
              <w:t> </w:t>
            </w:r>
          </w:p>
        </w:tc>
        <w:tc>
          <w:tcPr>
            <w:tcW w:w="260" w:type="dxa"/>
            <w:tcBorders/>
            <w:shd w:fill="auto" w:val="clear"/>
            <w:vAlign w:val="center"/>
          </w:tcPr>
          <w:p>
            <w:pPr>
              <w:pStyle w:val="TableContents"/>
              <w:spacing w:before="0" w:after="283"/>
              <w:rPr>
                <w:sz w:val="4"/>
                <w:szCs w:val="4"/>
              </w:rPr>
            </w:pPr>
            <w:r>
              <w:rPr>
                <w:sz w:val="4"/>
                <w:szCs w:val="4"/>
              </w:rPr>
            </w:r>
          </w:p>
        </w:tc>
        <w:tc>
          <w:tcPr>
            <w:tcW w:w="1940" w:type="dxa"/>
            <w:tcBorders/>
            <w:shd w:fill="auto" w:val="clear"/>
            <w:vAlign w:val="center"/>
          </w:tcPr>
          <w:p>
            <w:pPr>
              <w:pStyle w:val="TableContents"/>
              <w:spacing w:before="0" w:after="283"/>
              <w:jc w:val="left"/>
              <w:rPr>
                <w:rFonts w:ascii="Times New Roman;Times;Serif" w:hAnsi="Times New Roman;Times;Serif"/>
                <w:sz w:val="20"/>
              </w:rPr>
            </w:pPr>
            <w:r>
              <w:rPr>
                <w:rFonts w:ascii="Times New Roman;Times;Serif" w:hAnsi="Times New Roman;Times;Serif"/>
                <w:sz w:val="20"/>
              </w:rPr>
              <w:t>Chief Executive Officer</w:t>
            </w:r>
          </w:p>
        </w:tc>
        <w:tc>
          <w:tcPr>
            <w:tcW w:w="75" w:type="dxa"/>
            <w:tcBorders/>
            <w:shd w:fill="auto" w:val="clear"/>
            <w:vAlign w:val="center"/>
          </w:tcPr>
          <w:p>
            <w:pPr>
              <w:pStyle w:val="TableContents"/>
              <w:spacing w:before="0" w:after="283"/>
              <w:jc w:val="left"/>
              <w:rPr/>
            </w:pPr>
            <w:r>
              <w:rPr/>
              <w:t> </w:t>
            </w:r>
          </w:p>
        </w:tc>
      </w:tr>
    </w:tbl>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A-3</w:t>
      </w:r>
    </w:p>
    <w:p>
      <w:pPr>
        <w:pStyle w:val="TextBody"/>
        <w:spacing w:before="0" w:after="0"/>
        <w:ind w:left="0" w:right="0" w:hanging="0"/>
        <w:rPr/>
      </w:pPr>
      <w:r>
        <w:rPr/>
        <w:t> </w:t>
      </w:r>
    </w:p>
    <w:p>
      <w:pPr>
        <w:pStyle w:val="TextBody"/>
        <w:spacing w:before="0" w:after="0"/>
        <w:ind w:left="0" w:right="0" w:hanging="0"/>
        <w:jc w:val="both"/>
        <w:rPr>
          <w:caps w:val="false"/>
          <w:smallCaps w:val="false"/>
        </w:rPr>
      </w:pPr>
      <w:r>
        <w:rPr>
          <w:caps w:val="false"/>
          <w:smallCaps w:val="false"/>
        </w:rPr>
        <w:t> </w:t>
      </w:r>
    </w:p>
    <w:p>
      <w:pPr>
        <w:pStyle w:val="TextBody"/>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[REVERSE OF CERTIFICATE]</w:t>
      </w:r>
    </w:p>
    <w:p>
      <w:pPr>
        <w:pStyle w:val="TextBody"/>
        <w:spacing w:before="0" w:after="0"/>
        <w:jc w:val="center"/>
        <w:rPr>
          <w:caps w:val="false"/>
          <w:smallCaps w:val="false"/>
        </w:rPr>
      </w:pPr>
      <w:r>
        <w:rPr>
          <w:caps w:val="false"/>
          <w:smallCaps w:val="false"/>
        </w:rPr>
        <w:t> </w:t>
      </w:r>
    </w:p>
    <w:p>
      <w:pPr>
        <w:pStyle w:val="TextBody"/>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SUBSCRIPTION FORM</w:t>
      </w:r>
    </w:p>
    <w:p>
      <w:pPr>
        <w:pStyle w:val="TextBody"/>
        <w:spacing w:before="0" w:after="0"/>
        <w:jc w:val="center"/>
        <w:rPr>
          <w:caps w:val="false"/>
          <w:smallCaps w:val="false"/>
        </w:rPr>
      </w:pPr>
      <w:r>
        <w:rPr>
          <w:caps w:val="false"/>
          <w:smallCaps w:val="false"/>
        </w:rPr>
        <w:t> </w:t>
      </w:r>
    </w:p>
    <w:p>
      <w:pPr>
        <w:pStyle w:val="TextBody"/>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Be Executed by the Registered Holder(s) in Order to Exercise Warrants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hereby irrevocably elects to exercise the right, represented by this Warrant Certificate, to receive shares of Common Stock in accordance with the terms of this Warrant Certificate and pursuant to the method selected below. Capitalized terms used herein and not otherwise defined have the respective meanings set forth in the Warrant Certificate. PLEASE CHECK ONE METHOD OF PAYMENT:</w:t>
      </w:r>
    </w:p>
    <w:p>
      <w:pPr>
        <w:pStyle w:val="TextBody"/>
        <w:spacing w:before="0" w:after="0"/>
        <w:ind w:left="0" w:right="0" w:firstLine="720"/>
        <w:jc w:val="both"/>
        <w:rPr>
          <w:caps w:val="false"/>
          <w:smallCaps w:val="false"/>
        </w:rPr>
      </w:pPr>
      <w:r>
        <w:rPr>
          <w:caps w:val="false"/>
          <w:smallCaps w:val="false"/>
        </w:rPr>
        <w:t> </w:t>
      </w:r>
    </w:p>
    <w:tbl>
      <w:tblPr>
        <w:tblW w:w="10205" w:type="dxa"/>
        <w:jc w:val="left"/>
        <w:tblInd w:w="0" w:type="dxa"/>
        <w:shd w:fill="FFFFFF" w:val="clear"/>
        <w:tblCellMar>
          <w:top w:w="0" w:type="dxa"/>
          <w:left w:w="0" w:type="dxa"/>
          <w:bottom w:w="0" w:type="dxa"/>
          <w:right w:w="0" w:type="dxa"/>
        </w:tblCellMar>
      </w:tblPr>
      <w:tblGrid>
        <w:gridCol w:w="75"/>
        <w:gridCol w:w="10130"/>
      </w:tblGrid>
      <w:tr>
        <w:trPr/>
        <w:tc>
          <w:tcPr>
            <w:tcW w:w="75" w:type="dxa"/>
            <w:tcBorders/>
            <w:shd w:fill="FFFFFF" w:val="clear"/>
            <w:vAlign w:val="center"/>
          </w:tcPr>
          <w:p>
            <w:pPr>
              <w:pStyle w:val="TableContents"/>
              <w:spacing w:before="0" w:after="283"/>
              <w:jc w:val="both"/>
              <w:rPr/>
            </w:pPr>
            <w:r>
              <w:rPr/>
              <w:t> </w:t>
            </w:r>
          </w:p>
        </w:tc>
        <w:tc>
          <w:tcPr>
            <w:tcW w:w="10130" w:type="dxa"/>
            <w:tcBorders/>
            <w:shd w:fill="FFFFFF" w:val="clear"/>
            <w:vAlign w:val="center"/>
          </w:tcPr>
          <w:p>
            <w:pPr>
              <w:pStyle w:val="TableContents"/>
              <w:spacing w:before="0" w:after="283"/>
              <w:jc w:val="both"/>
              <w:rPr>
                <w:rFonts w:ascii="Times New Roman;Times;Serif" w:hAnsi="Times New Roman;Times;Serif"/>
                <w:sz w:val="20"/>
              </w:rPr>
            </w:pPr>
            <w:r>
              <w:rPr>
                <w:rFonts w:ascii="Times New Roman;Times;Serif" w:hAnsi="Times New Roman;Times;Serif"/>
                <w:sz w:val="20"/>
              </w:rPr>
              <w:t>a “</w:t>
            </w:r>
            <w:r>
              <w:rPr>
                <w:rFonts w:ascii="Times New Roman;Times;Serif" w:hAnsi="Times New Roman;Times;Serif"/>
                <w:sz w:val="20"/>
                <w:u w:val="single"/>
              </w:rPr>
              <w:t>Cash Exercise</w:t>
            </w:r>
            <w:r>
              <w:rPr>
                <w:rFonts w:ascii="Times New Roman;Times;Serif" w:hAnsi="Times New Roman;Times;Serif"/>
                <w:sz w:val="20"/>
              </w:rPr>
              <w:t>” with respect to Warrant Shares; and/or</w:t>
            </w:r>
          </w:p>
        </w:tc>
      </w:tr>
      <w:tr>
        <w:trPr/>
        <w:tc>
          <w:tcPr>
            <w:tcW w:w="75" w:type="dxa"/>
            <w:tcBorders/>
            <w:shd w:fill="FFFFFF" w:val="clear"/>
            <w:vAlign w:val="center"/>
          </w:tcPr>
          <w:p>
            <w:pPr>
              <w:pStyle w:val="TableContents"/>
              <w:spacing w:before="0" w:after="283"/>
              <w:jc w:val="both"/>
              <w:rPr/>
            </w:pPr>
            <w:r>
              <w:rPr/>
              <w:t> </w:t>
            </w:r>
          </w:p>
        </w:tc>
        <w:tc>
          <w:tcPr>
            <w:tcW w:w="10130" w:type="dxa"/>
            <w:tcBorders/>
            <w:shd w:fill="FFFFFF" w:val="clear"/>
            <w:vAlign w:val="center"/>
          </w:tcPr>
          <w:p>
            <w:pPr>
              <w:pStyle w:val="TableContents"/>
              <w:spacing w:before="0" w:after="283"/>
              <w:jc w:val="both"/>
              <w:rPr/>
            </w:pPr>
            <w:r>
              <w:rPr/>
              <w:t> </w:t>
            </w:r>
          </w:p>
        </w:tc>
      </w:tr>
      <w:tr>
        <w:trPr/>
        <w:tc>
          <w:tcPr>
            <w:tcW w:w="75" w:type="dxa"/>
            <w:tcBorders/>
            <w:shd w:fill="FFFFFF" w:val="clear"/>
            <w:vAlign w:val="center"/>
          </w:tcPr>
          <w:p>
            <w:pPr>
              <w:pStyle w:val="TableContents"/>
              <w:spacing w:before="0" w:after="283"/>
              <w:jc w:val="both"/>
              <w:rPr/>
            </w:pPr>
            <w:r>
              <w:rPr/>
              <w:t> </w:t>
            </w:r>
          </w:p>
        </w:tc>
        <w:tc>
          <w:tcPr>
            <w:tcW w:w="10130" w:type="dxa"/>
            <w:tcBorders/>
            <w:shd w:fill="FFFFFF" w:val="clear"/>
            <w:vAlign w:val="center"/>
          </w:tcPr>
          <w:p>
            <w:pPr>
              <w:pStyle w:val="TableContents"/>
              <w:spacing w:before="0" w:after="283"/>
              <w:jc w:val="both"/>
              <w:rPr>
                <w:rFonts w:ascii="Times New Roman;Times;Serif" w:hAnsi="Times New Roman;Times;Serif"/>
                <w:sz w:val="20"/>
              </w:rPr>
            </w:pPr>
            <w:r>
              <w:rPr>
                <w:rFonts w:ascii="Times New Roman;Times;Serif" w:hAnsi="Times New Roman;Times;Serif"/>
                <w:sz w:val="20"/>
              </w:rPr>
              <w:t>a “</w:t>
            </w:r>
            <w:r>
              <w:rPr>
                <w:rFonts w:ascii="Times New Roman;Times;Serif" w:hAnsi="Times New Roman;Times;Serif"/>
                <w:sz w:val="20"/>
                <w:u w:val="single"/>
              </w:rPr>
              <w:t>Cashless Exercise</w:t>
            </w:r>
            <w:r>
              <w:rPr>
                <w:rFonts w:ascii="Times New Roman;Times;Serif" w:hAnsi="Times New Roman;Times;Serif"/>
                <w:sz w:val="20"/>
              </w:rPr>
              <w:t xml:space="preserve">” with respect to Warrant Shares because on the date of this exercise, there is no effective registration statement registering the Warrant Shares, or the prospectus contained therein is not available for the resale of the Warrant Shares, in which event the Company shall deliver to the registered holder(s) shares of Common Stock pursuant to </w:t>
            </w:r>
            <w:r>
              <w:rPr>
                <w:rFonts w:ascii="Times New Roman;Times;Serif" w:hAnsi="Times New Roman;Times;Serif"/>
                <w:sz w:val="20"/>
                <w:u w:val="single"/>
              </w:rPr>
              <w:t>Section 3.3.2</w:t>
            </w:r>
            <w:r>
              <w:rPr>
                <w:rFonts w:ascii="Times New Roman;Times;Serif" w:hAnsi="Times New Roman;Times;Serif"/>
                <w:sz w:val="20"/>
              </w:rPr>
              <w:t xml:space="preserve"> of the Warrant Agreement.</w:t>
            </w:r>
          </w:p>
        </w:tc>
      </w:tr>
    </w:tbl>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requests that a certificate for such shares be registered in the name(s) of:</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caps w:val="false"/>
          <w:smallCaps w:val="false"/>
        </w:rPr>
      </w:pPr>
      <w:r>
        <w:rPr>
          <w:caps w:val="false"/>
          <w:smallCaps w:val="false"/>
        </w:rPr>
        <w:t> </w:t>
      </w:r>
    </w:p>
    <w:tbl>
      <w:tblPr>
        <w:tblW w:w="5270" w:type="dxa"/>
        <w:jc w:val="left"/>
        <w:tblInd w:w="0" w:type="dxa"/>
        <w:shd w:fill="FFFFFF" w:val="clear"/>
        <w:tblCellMar>
          <w:top w:w="28" w:type="dxa"/>
          <w:left w:w="0" w:type="dxa"/>
          <w:bottom w:w="28" w:type="dxa"/>
          <w:right w:w="0" w:type="dxa"/>
        </w:tblCellMar>
      </w:tblPr>
      <w:tblGrid>
        <w:gridCol w:w="5270"/>
      </w:tblGrid>
      <w:tr>
        <w:trPr/>
        <w:tc>
          <w:tcPr>
            <w:tcW w:w="5270" w:type="dxa"/>
            <w:tcBorders>
              <w:top w:val="single" w:sz="12" w:space="0" w:color="000000"/>
              <w:bottom w:val="double" w:sz="4" w:space="0" w:color="000000"/>
            </w:tcBorders>
            <w:shd w:fill="FFFFFF" w:val="clear"/>
            <w:vAlign w:val="center"/>
          </w:tcPr>
          <w:p>
            <w:pPr>
              <w:pStyle w:val="TableContents"/>
              <w:jc w:val="both"/>
              <w:rPr>
                <w:rFonts w:ascii="Times New Roman;Times;Serif" w:hAnsi="Times New Roman;Times;Serif"/>
                <w:sz w:val="20"/>
              </w:rPr>
            </w:pPr>
            <w:r>
              <w:rPr>
                <w:rFonts w:ascii="Times New Roman;Times;Serif" w:hAnsi="Times New Roman;Times;Serif"/>
                <w:sz w:val="20"/>
              </w:rPr>
              <w:t>(PLEASE TYPE OR PRINT NAME(S) AND ADDRESS)</w:t>
            </w:r>
          </w:p>
          <w:p>
            <w:pPr>
              <w:pStyle w:val="TableContents"/>
              <w:jc w:val="both"/>
              <w:rPr/>
            </w:pPr>
            <w:r>
              <w:rPr/>
              <w:t> </w:t>
            </w:r>
          </w:p>
          <w:p>
            <w:pPr>
              <w:pStyle w:val="TableContents"/>
              <w:spacing w:before="0" w:after="283"/>
              <w:jc w:val="both"/>
              <w:rPr/>
            </w:pPr>
            <w:r>
              <w:rPr/>
              <w:t> </w:t>
            </w:r>
          </w:p>
        </w:tc>
      </w:tr>
      <w:tr>
        <w:trPr/>
        <w:tc>
          <w:tcPr>
            <w:tcW w:w="5270" w:type="dxa"/>
            <w:tcBorders/>
            <w:shd w:fill="FFFFFF" w:val="clear"/>
            <w:tcMar>
              <w:top w:w="0" w:type="dxa"/>
              <w:bottom w:w="0" w:type="dxa"/>
            </w:tcMar>
            <w:vAlign w:val="center"/>
          </w:tcPr>
          <w:p>
            <w:pPr>
              <w:pStyle w:val="TableContents"/>
              <w:spacing w:before="0" w:after="283"/>
              <w:jc w:val="both"/>
              <w:rPr>
                <w:rFonts w:ascii="Times New Roman;Times;Serif" w:hAnsi="Times New Roman;Times;Serif"/>
                <w:sz w:val="20"/>
              </w:rPr>
            </w:pPr>
            <w:r>
              <w:rPr>
                <w:rFonts w:ascii="Times New Roman;Times;Serif" w:hAnsi="Times New Roman;Times;Serif"/>
                <w:sz w:val="20"/>
              </w:rPr>
              <w:t>(SOCIAL SECURITY OR TAX IDENTIFICATION NUMBER(S))</w:t>
            </w:r>
          </w:p>
        </w:tc>
      </w:tr>
      <w:tr>
        <w:trPr/>
        <w:tc>
          <w:tcPr>
            <w:tcW w:w="5270" w:type="dxa"/>
            <w:tcBorders/>
            <w:shd w:fill="FFFFFF" w:val="clear"/>
            <w:tcMar>
              <w:top w:w="0" w:type="dxa"/>
              <w:bottom w:w="0" w:type="dxa"/>
            </w:tcMar>
            <w:vAlign w:val="center"/>
          </w:tcPr>
          <w:p>
            <w:pPr>
              <w:pStyle w:val="TableContents"/>
              <w:jc w:val="both"/>
              <w:rPr/>
            </w:pPr>
            <w:r>
              <w:rPr/>
              <w:t> </w:t>
            </w:r>
          </w:p>
          <w:p>
            <w:pPr>
              <w:pStyle w:val="TableContents"/>
              <w:jc w:val="both"/>
              <w:rPr>
                <w:rFonts w:ascii="Times New Roman;Times;Serif" w:hAnsi="Times New Roman;Times;Serif"/>
                <w:sz w:val="20"/>
              </w:rPr>
            </w:pPr>
            <w:r>
              <w:rPr>
                <w:rFonts w:ascii="Times New Roman;Times;Serif" w:hAnsi="Times New Roman;Times;Serif"/>
                <w:sz w:val="20"/>
              </w:rPr>
              <w:t>and be delivered to</w:t>
            </w:r>
          </w:p>
          <w:p>
            <w:pPr>
              <w:pStyle w:val="TableContents"/>
              <w:jc w:val="both"/>
              <w:rPr/>
            </w:pPr>
            <w:r>
              <w:rPr/>
              <w:t> </w:t>
            </w:r>
          </w:p>
          <w:p>
            <w:pPr>
              <w:pStyle w:val="TableContents"/>
              <w:spacing w:before="0" w:after="283"/>
              <w:jc w:val="both"/>
              <w:rPr/>
            </w:pPr>
            <w:r>
              <w:rPr/>
              <w:t> </w:t>
            </w:r>
          </w:p>
        </w:tc>
      </w:tr>
      <w:tr>
        <w:trPr/>
        <w:tc>
          <w:tcPr>
            <w:tcW w:w="5270" w:type="dxa"/>
            <w:tcBorders>
              <w:top w:val="single" w:sz="12" w:space="0" w:color="000000"/>
            </w:tcBorders>
            <w:shd w:fill="FFFFFF" w:val="clear"/>
            <w:tcMar>
              <w:bottom w:w="0" w:type="dxa"/>
            </w:tcMar>
            <w:vAlign w:val="center"/>
          </w:tcPr>
          <w:p>
            <w:pPr>
              <w:pStyle w:val="TableContents"/>
              <w:spacing w:before="0" w:after="283"/>
              <w:jc w:val="center"/>
              <w:rPr>
                <w:rFonts w:ascii="Times New Roman;Times;Serif" w:hAnsi="Times New Roman;Times;Serif"/>
                <w:sz w:val="20"/>
              </w:rPr>
            </w:pPr>
            <w:r>
              <w:rPr>
                <w:rFonts w:ascii="Times New Roman;Times;Serif" w:hAnsi="Times New Roman;Times;Serif"/>
                <w:sz w:val="20"/>
              </w:rPr>
              <w:t>(PLEASE PRINT OR TYPE NAME(S) AND ADDRESS)</w:t>
            </w:r>
          </w:p>
        </w:tc>
      </w:tr>
    </w:tbl>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 if such number of Warrants shall not be all the Warrants evidenced by this Warrant Certificate, that a new Warrant Certificate for the balance of such Warrants be registered in the name of, and delivered to, the registered holder(s) at the address(es) stated below:</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w:t>
      </w:r>
    </w:p>
    <w:p>
      <w:pPr>
        <w:pStyle w:val="TextBody"/>
        <w:spacing w:before="0" w:after="0"/>
        <w:ind w:left="0" w:right="0" w:hanging="0"/>
        <w:jc w:val="both"/>
        <w:rPr>
          <w:caps w:val="false"/>
          <w:smallCaps w:val="false"/>
        </w:rPr>
      </w:pPr>
      <w:r>
        <w:rPr>
          <w:caps w:val="false"/>
          <w:smallCaps w:val="false"/>
        </w:rPr>
        <w:t> </w:t>
      </w:r>
    </w:p>
    <w:tbl>
      <w:tblPr>
        <w:tblW w:w="3290" w:type="dxa"/>
        <w:jc w:val="left"/>
        <w:tblInd w:w="0" w:type="dxa"/>
        <w:tblCellMar>
          <w:top w:w="0" w:type="dxa"/>
          <w:left w:w="0" w:type="dxa"/>
          <w:bottom w:w="28" w:type="dxa"/>
          <w:right w:w="0" w:type="dxa"/>
        </w:tblCellMar>
      </w:tblPr>
      <w:tblGrid>
        <w:gridCol w:w="3215"/>
        <w:gridCol w:w="75"/>
      </w:tblGrid>
      <w:tr>
        <w:trPr/>
        <w:tc>
          <w:tcPr>
            <w:tcW w:w="3215" w:type="dxa"/>
            <w:tcBorders>
              <w:bottom w:val="single" w:sz="12" w:space="0" w:color="000000"/>
            </w:tcBorders>
            <w:shd w:fill="auto" w:val="clear"/>
            <w:vAlign w:val="center"/>
          </w:tcPr>
          <w:p>
            <w:pPr>
              <w:pStyle w:val="TableContents"/>
              <w:spacing w:before="0" w:after="283"/>
              <w:rPr/>
            </w:pPr>
            <w:r>
              <w:rPr/>
              <w:t> </w:t>
            </w:r>
          </w:p>
        </w:tc>
        <w:tc>
          <w:tcPr>
            <w:tcW w:w="75" w:type="dxa"/>
            <w:tcBorders/>
            <w:shd w:fill="auto" w:val="clear"/>
            <w:tcMar>
              <w:bottom w:w="0" w:type="dxa"/>
            </w:tcMar>
            <w:vAlign w:val="center"/>
          </w:tcPr>
          <w:p>
            <w:pPr>
              <w:pStyle w:val="TableContents"/>
              <w:spacing w:before="0" w:after="283"/>
              <w:rPr/>
            </w:pPr>
            <w:r>
              <w:rPr/>
              <w:t> </w:t>
            </w:r>
          </w:p>
        </w:tc>
      </w:tr>
      <w:tr>
        <w:trPr/>
        <w:tc>
          <w:tcPr>
            <w:tcW w:w="3215" w:type="dxa"/>
            <w:tcBorders/>
            <w:shd w:fill="auto" w:val="clear"/>
            <w:tcMar>
              <w:bottom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(SIGNATURE(S))</w:t>
            </w:r>
          </w:p>
        </w:tc>
        <w:tc>
          <w:tcPr>
            <w:tcW w:w="75" w:type="dxa"/>
            <w:tcBorders/>
            <w:shd w:fill="auto" w:val="clear"/>
            <w:tcMar>
              <w:bottom w:w="0" w:type="dxa"/>
            </w:tcMar>
            <w:vAlign w:val="center"/>
          </w:tcPr>
          <w:p>
            <w:pPr>
              <w:pStyle w:val="TableContents"/>
              <w:spacing w:before="0" w:after="283"/>
              <w:rPr/>
            </w:pPr>
            <w:r>
              <w:rPr/>
              <w:t> </w:t>
            </w:r>
          </w:p>
        </w:tc>
      </w:tr>
      <w:tr>
        <w:trPr/>
        <w:tc>
          <w:tcPr>
            <w:tcW w:w="3215" w:type="dxa"/>
            <w:tcBorders/>
            <w:shd w:fill="auto" w:val="clear"/>
            <w:tcMar>
              <w:bottom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(ADDRESS(ES))</w:t>
            </w:r>
          </w:p>
        </w:tc>
        <w:tc>
          <w:tcPr>
            <w:tcW w:w="75" w:type="dxa"/>
            <w:tcBorders/>
            <w:shd w:fill="auto" w:val="clear"/>
            <w:tcMar>
              <w:bottom w:w="0" w:type="dxa"/>
            </w:tcMar>
            <w:vAlign w:val="center"/>
          </w:tcPr>
          <w:p>
            <w:pPr>
              <w:pStyle w:val="TableContents"/>
              <w:spacing w:before="0" w:after="283"/>
              <w:rPr/>
            </w:pPr>
            <w:r>
              <w:rPr/>
              <w:t> </w:t>
            </w:r>
          </w:p>
        </w:tc>
      </w:tr>
      <w:tr>
        <w:trPr/>
        <w:tc>
          <w:tcPr>
            <w:tcW w:w="3215" w:type="dxa"/>
            <w:tcBorders/>
            <w:shd w:fill="auto" w:val="clear"/>
            <w:tcMar>
              <w:bottom w:w="0" w:type="dxa"/>
            </w:tcMar>
            <w:vAlign w:val="center"/>
          </w:tcPr>
          <w:p>
            <w:pPr>
              <w:pStyle w:val="TableContents"/>
              <w:spacing w:before="0" w:after="283"/>
              <w:rPr/>
            </w:pPr>
            <w:r>
              <w:rPr/>
              <w:t> </w:t>
            </w:r>
          </w:p>
        </w:tc>
        <w:tc>
          <w:tcPr>
            <w:tcW w:w="75" w:type="dxa"/>
            <w:tcBorders/>
            <w:shd w:fill="auto" w:val="clear"/>
            <w:tcMar>
              <w:bottom w:w="0" w:type="dxa"/>
            </w:tcMar>
            <w:vAlign w:val="center"/>
          </w:tcPr>
          <w:p>
            <w:pPr>
              <w:pStyle w:val="TableContents"/>
              <w:spacing w:before="0" w:after="283"/>
              <w:rPr/>
            </w:pPr>
            <w:r>
              <w:rPr/>
              <w:t> </w:t>
            </w:r>
          </w:p>
        </w:tc>
      </w:tr>
      <w:tr>
        <w:trPr/>
        <w:tc>
          <w:tcPr>
            <w:tcW w:w="3215" w:type="dxa"/>
            <w:tcBorders>
              <w:bottom w:val="single" w:sz="12" w:space="0" w:color="000000"/>
            </w:tcBorders>
            <w:shd w:fill="auto" w:val="clear"/>
            <w:vAlign w:val="center"/>
          </w:tcPr>
          <w:p>
            <w:pPr>
              <w:pStyle w:val="TableContents"/>
              <w:spacing w:before="0" w:after="283"/>
              <w:rPr/>
            </w:pPr>
            <w:r>
              <w:rPr/>
              <w:t> </w:t>
            </w:r>
          </w:p>
        </w:tc>
        <w:tc>
          <w:tcPr>
            <w:tcW w:w="75" w:type="dxa"/>
            <w:tcBorders/>
            <w:shd w:fill="auto" w:val="clear"/>
            <w:tcMar>
              <w:bottom w:w="0" w:type="dxa"/>
            </w:tcMar>
            <w:vAlign w:val="center"/>
          </w:tcPr>
          <w:p>
            <w:pPr>
              <w:pStyle w:val="TableContents"/>
              <w:spacing w:before="0" w:after="283"/>
              <w:rPr/>
            </w:pPr>
            <w:r>
              <w:rPr/>
              <w:t> </w:t>
            </w:r>
          </w:p>
        </w:tc>
      </w:tr>
      <w:tr>
        <w:trPr/>
        <w:tc>
          <w:tcPr>
            <w:tcW w:w="3215" w:type="dxa"/>
            <w:tcBorders/>
            <w:shd w:fill="auto" w:val="clear"/>
            <w:tcMar>
              <w:bottom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(TAX IDENTIFICATION NUMBER(S))</w:t>
            </w:r>
          </w:p>
        </w:tc>
        <w:tc>
          <w:tcPr>
            <w:tcW w:w="75" w:type="dxa"/>
            <w:tcBorders/>
            <w:shd w:fill="auto" w:val="clear"/>
            <w:tcMar>
              <w:bottom w:w="0" w:type="dxa"/>
            </w:tcMar>
            <w:vAlign w:val="center"/>
          </w:tcPr>
          <w:p>
            <w:pPr>
              <w:pStyle w:val="TableContents"/>
              <w:spacing w:before="0" w:after="283"/>
              <w:rPr/>
            </w:pPr>
            <w:r>
              <w:rPr/>
              <w:t> </w:t>
            </w:r>
          </w:p>
        </w:tc>
      </w:tr>
    </w:tbl>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A-4</w:t>
      </w:r>
    </w:p>
    <w:p>
      <w:pPr>
        <w:pStyle w:val="TextBody"/>
        <w:spacing w:before="0" w:after="0"/>
        <w:ind w:left="0" w:right="0" w:hanging="0"/>
        <w:rPr/>
      </w:pPr>
      <w:r>
        <w:rPr/>
        <w:t> </w:t>
      </w:r>
    </w:p>
    <w:p>
      <w:pPr>
        <w:pStyle w:val="TextBody"/>
        <w:spacing w:before="0" w:after="0"/>
        <w:ind w:left="0" w:right="0" w:hanging="0"/>
        <w:jc w:val="both"/>
        <w:rPr>
          <w:caps w:val="false"/>
          <w:smallCaps w:val="false"/>
        </w:rPr>
      </w:pPr>
      <w:r>
        <w:rPr>
          <w:caps w:val="false"/>
          <w:smallCaps w:val="false"/>
        </w:rPr>
        <w:t> </w:t>
      </w:r>
    </w:p>
    <w:p>
      <w:pPr>
        <w:pStyle w:val="TextBody"/>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ASSIGNMENT</w:t>
      </w:r>
    </w:p>
    <w:p>
      <w:pPr>
        <w:pStyle w:val="TextBody"/>
        <w:spacing w:before="0" w:after="0"/>
        <w:jc w:val="center"/>
        <w:rPr>
          <w:caps w:val="false"/>
          <w:smallCaps w:val="false"/>
        </w:rPr>
      </w:pPr>
      <w:r>
        <w:rPr>
          <w:caps w:val="false"/>
          <w:smallCaps w:val="false"/>
        </w:rPr>
        <w:t> </w:t>
      </w:r>
    </w:p>
    <w:p>
      <w:pPr>
        <w:pStyle w:val="TextBody"/>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Be Executed by the Registered Holder in Order to Assign Warrants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Value Received, hereby sell(s), assign(s), and transfer(s) unto</w:t>
      </w:r>
    </w:p>
    <w:p>
      <w:pPr>
        <w:pStyle w:val="TextBody"/>
        <w:spacing w:before="0" w:after="0"/>
        <w:ind w:left="0" w:right="0" w:hanging="0"/>
        <w:jc w:val="both"/>
        <w:rPr>
          <w:caps w:val="false"/>
          <w:smallCaps w:val="false"/>
        </w:rPr>
      </w:pPr>
      <w:r>
        <w:rPr>
          <w:caps w:val="false"/>
          <w:smallCaps w:val="false"/>
        </w:rPr>
        <w:t> </w:t>
      </w:r>
    </w:p>
    <w:tbl>
      <w:tblPr>
        <w:tblW w:w="5353" w:type="dxa"/>
        <w:jc w:val="left"/>
        <w:tblInd w:w="0" w:type="dxa"/>
        <w:tblCellMar>
          <w:top w:w="0" w:type="dxa"/>
          <w:left w:w="0" w:type="dxa"/>
          <w:bottom w:w="0" w:type="dxa"/>
          <w:right w:w="0" w:type="dxa"/>
        </w:tblCellMar>
      </w:tblPr>
      <w:tblGrid>
        <w:gridCol w:w="38"/>
        <w:gridCol w:w="5240"/>
        <w:gridCol w:w="75"/>
      </w:tblGrid>
      <w:tr>
        <w:trPr/>
        <w:tc>
          <w:tcPr>
            <w:tcW w:w="38" w:type="dxa"/>
            <w:tcBorders/>
            <w:shd w:fill="auto" w:val="clear"/>
            <w:vAlign w:val="center"/>
          </w:tcPr>
          <w:p>
            <w:pPr>
              <w:pStyle w:val="TableContents"/>
              <w:spacing w:before="0" w:after="283"/>
              <w:rPr>
                <w:sz w:val="4"/>
                <w:szCs w:val="4"/>
              </w:rPr>
            </w:pPr>
            <w:r>
              <w:rPr>
                <w:sz w:val="4"/>
                <w:szCs w:val="4"/>
              </w:rPr>
            </w:r>
          </w:p>
        </w:tc>
        <w:tc>
          <w:tcPr>
            <w:tcW w:w="5240" w:type="dxa"/>
            <w:tcBorders>
              <w:bottom w:val="single" w:sz="12"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jc w:val="left"/>
              <w:rPr/>
            </w:pPr>
            <w:r>
              <w:rPr/>
              <w:t> </w:t>
            </w:r>
          </w:p>
        </w:tc>
      </w:tr>
      <w:tr>
        <w:trPr/>
        <w:tc>
          <w:tcPr>
            <w:tcW w:w="38" w:type="dxa"/>
            <w:tcBorders/>
            <w:shd w:fill="auto" w:val="clear"/>
            <w:vAlign w:val="center"/>
          </w:tcPr>
          <w:p>
            <w:pPr>
              <w:pStyle w:val="TableContents"/>
              <w:spacing w:before="0" w:after="283"/>
              <w:rPr>
                <w:sz w:val="4"/>
                <w:szCs w:val="4"/>
              </w:rPr>
            </w:pPr>
            <w:r>
              <w:rPr>
                <w:sz w:val="4"/>
                <w:szCs w:val="4"/>
              </w:rPr>
            </w:r>
          </w:p>
        </w:tc>
        <w:tc>
          <w:tcPr>
            <w:tcW w:w="5240" w:type="dxa"/>
            <w:tcBorders/>
            <w:shd w:fill="auto" w:val="clear"/>
            <w:vAlign w:val="center"/>
          </w:tcPr>
          <w:p>
            <w:pPr>
              <w:pStyle w:val="TableContents"/>
              <w:spacing w:before="0" w:after="283"/>
              <w:jc w:val="left"/>
              <w:rPr>
                <w:rFonts w:ascii="Times New Roman;Times;Serif" w:hAnsi="Times New Roman;Times;Serif"/>
                <w:sz w:val="20"/>
              </w:rPr>
            </w:pPr>
            <w:r>
              <w:rPr>
                <w:rFonts w:ascii="Times New Roman;Times;Serif" w:hAnsi="Times New Roman;Times;Serif"/>
                <w:sz w:val="20"/>
              </w:rPr>
              <w:t>(PLEASE TYPE OR PRINT NAME(S) AND</w:t>
              <w:br/>
              <w:t>ADDRESS(ES))</w:t>
            </w:r>
          </w:p>
        </w:tc>
        <w:tc>
          <w:tcPr>
            <w:tcW w:w="75" w:type="dxa"/>
            <w:tcBorders/>
            <w:shd w:fill="auto" w:val="clear"/>
            <w:vAlign w:val="center"/>
          </w:tcPr>
          <w:p>
            <w:pPr>
              <w:pStyle w:val="TableContents"/>
              <w:spacing w:before="0" w:after="283"/>
              <w:jc w:val="left"/>
              <w:rPr/>
            </w:pPr>
            <w:r>
              <w:rPr/>
              <w:t> </w:t>
            </w:r>
          </w:p>
        </w:tc>
      </w:tr>
      <w:tr>
        <w:trPr/>
        <w:tc>
          <w:tcPr>
            <w:tcW w:w="38" w:type="dxa"/>
            <w:tcBorders/>
            <w:shd w:fill="auto" w:val="clear"/>
            <w:vAlign w:val="center"/>
          </w:tcPr>
          <w:p>
            <w:pPr>
              <w:pStyle w:val="TableContents"/>
              <w:spacing w:before="0" w:after="283"/>
              <w:rPr>
                <w:sz w:val="4"/>
                <w:szCs w:val="4"/>
              </w:rPr>
            </w:pPr>
            <w:r>
              <w:rPr>
                <w:sz w:val="4"/>
                <w:szCs w:val="4"/>
              </w:rPr>
            </w:r>
          </w:p>
        </w:tc>
        <w:tc>
          <w:tcPr>
            <w:tcW w:w="5240"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jc w:val="left"/>
              <w:rPr/>
            </w:pPr>
            <w:r>
              <w:rPr/>
              <w:t> </w:t>
            </w:r>
          </w:p>
        </w:tc>
      </w:tr>
      <w:tr>
        <w:trPr/>
        <w:tc>
          <w:tcPr>
            <w:tcW w:w="38" w:type="dxa"/>
            <w:tcBorders/>
            <w:shd w:fill="auto" w:val="clear"/>
            <w:vAlign w:val="center"/>
          </w:tcPr>
          <w:p>
            <w:pPr>
              <w:pStyle w:val="TableContents"/>
              <w:spacing w:before="0" w:after="283"/>
              <w:rPr>
                <w:sz w:val="4"/>
                <w:szCs w:val="4"/>
              </w:rPr>
            </w:pPr>
            <w:r>
              <w:rPr>
                <w:sz w:val="4"/>
                <w:szCs w:val="4"/>
              </w:rPr>
            </w:r>
          </w:p>
        </w:tc>
        <w:tc>
          <w:tcPr>
            <w:tcW w:w="5240" w:type="dxa"/>
            <w:tcBorders>
              <w:bottom w:val="single" w:sz="12"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jc w:val="left"/>
              <w:rPr/>
            </w:pPr>
            <w:r>
              <w:rPr/>
              <w:t> </w:t>
            </w:r>
          </w:p>
        </w:tc>
      </w:tr>
      <w:tr>
        <w:trPr/>
        <w:tc>
          <w:tcPr>
            <w:tcW w:w="38" w:type="dxa"/>
            <w:tcBorders/>
            <w:shd w:fill="auto" w:val="clear"/>
            <w:vAlign w:val="center"/>
          </w:tcPr>
          <w:p>
            <w:pPr>
              <w:pStyle w:val="TableContents"/>
              <w:spacing w:before="0" w:after="283"/>
              <w:rPr>
                <w:sz w:val="4"/>
                <w:szCs w:val="4"/>
              </w:rPr>
            </w:pPr>
            <w:r>
              <w:rPr>
                <w:sz w:val="4"/>
                <w:szCs w:val="4"/>
              </w:rPr>
            </w:r>
          </w:p>
        </w:tc>
        <w:tc>
          <w:tcPr>
            <w:tcW w:w="5240" w:type="dxa"/>
            <w:tcBorders/>
            <w:shd w:fill="auto" w:val="clear"/>
            <w:vAlign w:val="center"/>
          </w:tcPr>
          <w:p>
            <w:pPr>
              <w:pStyle w:val="TableContents"/>
              <w:spacing w:before="0" w:after="283"/>
              <w:jc w:val="left"/>
              <w:rPr>
                <w:rFonts w:ascii="Times New Roman;Times;Serif" w:hAnsi="Times New Roman;Times;Serif"/>
                <w:sz w:val="20"/>
              </w:rPr>
            </w:pPr>
            <w:r>
              <w:rPr>
                <w:rFonts w:ascii="Times New Roman;Times;Serif" w:hAnsi="Times New Roman;Times;Serif"/>
                <w:sz w:val="20"/>
              </w:rPr>
              <w:t>(SOCIAL SECURITY OR TAX IDENTIFICATION NUMBER(S))</w:t>
            </w:r>
          </w:p>
        </w:tc>
        <w:tc>
          <w:tcPr>
            <w:tcW w:w="75" w:type="dxa"/>
            <w:tcBorders/>
            <w:shd w:fill="auto" w:val="clear"/>
            <w:vAlign w:val="center"/>
          </w:tcPr>
          <w:p>
            <w:pPr>
              <w:pStyle w:val="TableContents"/>
              <w:spacing w:before="0" w:after="283"/>
              <w:jc w:val="left"/>
              <w:rPr/>
            </w:pPr>
            <w:r>
              <w:rPr/>
              <w:t> </w:t>
            </w:r>
          </w:p>
        </w:tc>
      </w:tr>
    </w:tbl>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 to be delivered to</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caps w:val="false"/>
          <w:smallCaps w:val="false"/>
        </w:rPr>
      </w:pPr>
      <w:r>
        <w:rPr>
          <w:caps w:val="false"/>
          <w:smallCaps w:val="false"/>
        </w:rPr>
        <w:t> </w:t>
      </w:r>
    </w:p>
    <w:tbl>
      <w:tblPr>
        <w:tblW w:w="4985" w:type="dxa"/>
        <w:jc w:val="left"/>
        <w:tblInd w:w="0" w:type="dxa"/>
        <w:tblCellMar>
          <w:top w:w="0" w:type="dxa"/>
          <w:left w:w="0" w:type="dxa"/>
          <w:bottom w:w="0" w:type="dxa"/>
          <w:right w:w="0" w:type="dxa"/>
        </w:tblCellMar>
      </w:tblPr>
      <w:tblGrid>
        <w:gridCol w:w="75"/>
        <w:gridCol w:w="4835"/>
        <w:gridCol w:w="75"/>
      </w:tblGrid>
      <w:tr>
        <w:trPr/>
        <w:tc>
          <w:tcPr>
            <w:tcW w:w="75" w:type="dxa"/>
            <w:tcBorders/>
            <w:shd w:fill="auto" w:val="clear"/>
            <w:vAlign w:val="center"/>
          </w:tcPr>
          <w:p>
            <w:pPr>
              <w:pStyle w:val="TableContents"/>
              <w:spacing w:before="0" w:after="283"/>
              <w:rPr/>
            </w:pPr>
            <w:r>
              <w:rPr/>
              <w:t> </w:t>
            </w:r>
          </w:p>
        </w:tc>
        <w:tc>
          <w:tcPr>
            <w:tcW w:w="4835" w:type="dxa"/>
            <w:tcBorders>
              <w:bottom w:val="single" w:sz="12" w:space="0" w:color="000000"/>
            </w:tcBorders>
            <w:shd w:fill="auto" w:val="clear"/>
            <w:tcMar>
              <w:bottom w:w="28" w:type="dxa"/>
            </w:tcMar>
            <w:vAlign w:val="center"/>
          </w:tcPr>
          <w:p>
            <w:pPr>
              <w:pStyle w:val="TableContents"/>
              <w:spacing w:before="0" w:after="283"/>
              <w:jc w:val="both"/>
              <w:rPr/>
            </w:pPr>
            <w:r>
              <w:rPr/>
              <w:t> </w:t>
            </w:r>
          </w:p>
        </w:tc>
        <w:tc>
          <w:tcPr>
            <w:tcW w:w="75" w:type="dxa"/>
            <w:tcBorders/>
            <w:shd w:fill="auto" w:val="clear"/>
            <w:vAlign w:val="center"/>
          </w:tcPr>
          <w:p>
            <w:pPr>
              <w:pStyle w:val="TableContents"/>
              <w:spacing w:before="0" w:after="283"/>
              <w:rPr/>
            </w:pPr>
            <w:r>
              <w:rPr/>
              <w:t> </w:t>
            </w:r>
          </w:p>
        </w:tc>
      </w:tr>
      <w:tr>
        <w:trPr/>
        <w:tc>
          <w:tcPr>
            <w:tcW w:w="75" w:type="dxa"/>
            <w:tcBorders/>
            <w:shd w:fill="auto" w:val="clear"/>
            <w:vAlign w:val="center"/>
          </w:tcPr>
          <w:p>
            <w:pPr>
              <w:pStyle w:val="TableContents"/>
              <w:spacing w:before="0" w:after="283"/>
              <w:rPr/>
            </w:pPr>
            <w:r>
              <w:rPr/>
              <w:t> </w:t>
            </w:r>
          </w:p>
        </w:tc>
        <w:tc>
          <w:tcPr>
            <w:tcW w:w="4835" w:type="dxa"/>
            <w:tcBorders/>
            <w:shd w:fill="auto" w:val="clear"/>
            <w:vAlign w:val="center"/>
          </w:tcPr>
          <w:p>
            <w:pPr>
              <w:pStyle w:val="TableContents"/>
              <w:spacing w:before="0" w:after="283"/>
              <w:jc w:val="center"/>
              <w:rPr>
                <w:rFonts w:ascii="Times New Roman;Times;Serif" w:hAnsi="Times New Roman;Times;Serif"/>
                <w:sz w:val="20"/>
              </w:rPr>
            </w:pPr>
            <w:r>
              <w:rPr>
                <w:rFonts w:ascii="Times New Roman;Times;Serif" w:hAnsi="Times New Roman;Times;Serif"/>
                <w:sz w:val="20"/>
              </w:rPr>
              <w:t>(PLEASE PRINT OR TYPE NAME(S) AND ADDRESS(ES))</w:t>
            </w:r>
          </w:p>
        </w:tc>
        <w:tc>
          <w:tcPr>
            <w:tcW w:w="75" w:type="dxa"/>
            <w:tcBorders/>
            <w:shd w:fill="auto" w:val="clear"/>
            <w:vAlign w:val="center"/>
          </w:tcPr>
          <w:p>
            <w:pPr>
              <w:pStyle w:val="TableContents"/>
              <w:spacing w:before="0" w:after="283"/>
              <w:rPr/>
            </w:pPr>
            <w:r>
              <w:rPr/>
              <w:t> </w:t>
            </w:r>
          </w:p>
        </w:tc>
      </w:tr>
    </w:tbl>
    <w:p>
      <w:pPr>
        <w:pStyle w:val="TextBody"/>
        <w:spacing w:before="0" w:after="0"/>
        <w:ind w:left="0" w:right="0" w:hanging="0"/>
        <w:jc w:val="both"/>
        <w:rPr>
          <w:caps w:val="false"/>
          <w:smallCaps w:val="false"/>
        </w:rPr>
      </w:pPr>
      <w:r>
        <w:rPr>
          <w:caps w:val="false"/>
          <w:smallCaps w:val="false"/>
        </w:rPr>
        <w:t> </w:t>
      </w:r>
    </w:p>
    <w:tbl>
      <w:tblPr>
        <w:tblW w:w="5353" w:type="dxa"/>
        <w:jc w:val="left"/>
        <w:tblInd w:w="0" w:type="dxa"/>
        <w:tblCellMar>
          <w:top w:w="0" w:type="dxa"/>
          <w:left w:w="0" w:type="dxa"/>
          <w:bottom w:w="0" w:type="dxa"/>
          <w:right w:w="0" w:type="dxa"/>
        </w:tblCellMar>
      </w:tblPr>
      <w:tblGrid>
        <w:gridCol w:w="38"/>
        <w:gridCol w:w="5240"/>
        <w:gridCol w:w="75"/>
      </w:tblGrid>
      <w:tr>
        <w:trPr/>
        <w:tc>
          <w:tcPr>
            <w:tcW w:w="38" w:type="dxa"/>
            <w:tcBorders/>
            <w:shd w:fill="auto" w:val="clear"/>
            <w:vAlign w:val="center"/>
          </w:tcPr>
          <w:p>
            <w:pPr>
              <w:pStyle w:val="TableContents"/>
              <w:spacing w:before="0" w:after="283"/>
              <w:rPr>
                <w:sz w:val="4"/>
                <w:szCs w:val="4"/>
              </w:rPr>
            </w:pPr>
            <w:r>
              <w:rPr>
                <w:sz w:val="4"/>
                <w:szCs w:val="4"/>
              </w:rPr>
            </w:r>
          </w:p>
        </w:tc>
        <w:tc>
          <w:tcPr>
            <w:tcW w:w="5240" w:type="dxa"/>
            <w:tcBorders>
              <w:bottom w:val="single" w:sz="12"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jc w:val="both"/>
              <w:rPr/>
            </w:pPr>
            <w:r>
              <w:rPr/>
              <w:t> </w:t>
            </w:r>
          </w:p>
        </w:tc>
      </w:tr>
      <w:tr>
        <w:trPr/>
        <w:tc>
          <w:tcPr>
            <w:tcW w:w="38" w:type="dxa"/>
            <w:tcBorders/>
            <w:shd w:fill="auto" w:val="clear"/>
            <w:vAlign w:val="center"/>
          </w:tcPr>
          <w:p>
            <w:pPr>
              <w:pStyle w:val="TableContents"/>
              <w:spacing w:before="0" w:after="283"/>
              <w:rPr>
                <w:sz w:val="4"/>
                <w:szCs w:val="4"/>
              </w:rPr>
            </w:pPr>
            <w:r>
              <w:rPr>
                <w:sz w:val="4"/>
                <w:szCs w:val="4"/>
              </w:rPr>
            </w:r>
          </w:p>
        </w:tc>
        <w:tc>
          <w:tcPr>
            <w:tcW w:w="5240" w:type="dxa"/>
            <w:tcBorders/>
            <w:shd w:fill="auto" w:val="clear"/>
            <w:vAlign w:val="center"/>
          </w:tcPr>
          <w:p>
            <w:pPr>
              <w:pStyle w:val="TableContents"/>
              <w:spacing w:before="0" w:after="283"/>
              <w:jc w:val="left"/>
              <w:rPr>
                <w:rFonts w:ascii="Times New Roman;Times;Serif" w:hAnsi="Times New Roman;Times;Serif"/>
                <w:sz w:val="20"/>
              </w:rPr>
            </w:pPr>
            <w:r>
              <w:rPr>
                <w:rFonts w:ascii="Times New Roman;Times;Serif" w:hAnsi="Times New Roman;Times;Serif"/>
                <w:sz w:val="20"/>
              </w:rPr>
              <w:t>(SOCIAL SECURITY OR TAX IDENTIFICATION NUMBER(S))</w:t>
            </w:r>
          </w:p>
        </w:tc>
        <w:tc>
          <w:tcPr>
            <w:tcW w:w="75" w:type="dxa"/>
            <w:tcBorders/>
            <w:shd w:fill="auto" w:val="clear"/>
            <w:vAlign w:val="center"/>
          </w:tcPr>
          <w:p>
            <w:pPr>
              <w:pStyle w:val="TableContents"/>
              <w:spacing w:before="0" w:after="283"/>
              <w:jc w:val="both"/>
              <w:rPr/>
            </w:pPr>
            <w:r>
              <w:rPr/>
              <w:t> </w:t>
            </w:r>
          </w:p>
        </w:tc>
      </w:tr>
    </w:tbl>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of the Warrants represented by this Warrant Certificate, and hereby irrevocably constitute and appoint Attorney to transfer this Warrant Certificate on the books of the Company, with full power of substitution in the premises.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w:t>
      </w:r>
    </w:p>
    <w:p>
      <w:pPr>
        <w:pStyle w:val="TextBody"/>
        <w:spacing w:before="0" w:after="0"/>
        <w:ind w:left="0" w:right="0" w:hanging="0"/>
        <w:jc w:val="both"/>
        <w:rPr>
          <w:caps w:val="false"/>
          <w:smallCaps w:val="false"/>
        </w:rPr>
      </w:pPr>
      <w:r>
        <w:rPr>
          <w:caps w:val="false"/>
          <w:smallCaps w:val="false"/>
        </w:rPr>
        <w:t> </w:t>
      </w:r>
    </w:p>
    <w:tbl>
      <w:tblPr>
        <w:tblW w:w="1558" w:type="dxa"/>
        <w:jc w:val="left"/>
        <w:tblInd w:w="0" w:type="dxa"/>
        <w:tblCellMar>
          <w:top w:w="0" w:type="dxa"/>
          <w:left w:w="0" w:type="dxa"/>
          <w:bottom w:w="0" w:type="dxa"/>
          <w:right w:w="0" w:type="dxa"/>
        </w:tblCellMar>
      </w:tblPr>
      <w:tblGrid>
        <w:gridCol w:w="38"/>
        <w:gridCol w:w="1445"/>
        <w:gridCol w:w="75"/>
      </w:tblGrid>
      <w:tr>
        <w:trPr/>
        <w:tc>
          <w:tcPr>
            <w:tcW w:w="38" w:type="dxa"/>
            <w:tcBorders/>
            <w:shd w:fill="auto" w:val="clear"/>
            <w:vAlign w:val="center"/>
          </w:tcPr>
          <w:p>
            <w:pPr>
              <w:pStyle w:val="TableContents"/>
              <w:spacing w:before="0" w:after="283"/>
              <w:rPr>
                <w:sz w:val="4"/>
                <w:szCs w:val="4"/>
              </w:rPr>
            </w:pPr>
            <w:r>
              <w:rPr>
                <w:sz w:val="4"/>
                <w:szCs w:val="4"/>
              </w:rPr>
            </w:r>
          </w:p>
        </w:tc>
        <w:tc>
          <w:tcPr>
            <w:tcW w:w="1445" w:type="dxa"/>
            <w:tcBorders>
              <w:bottom w:val="single" w:sz="12"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jc w:val="both"/>
              <w:rPr/>
            </w:pPr>
            <w:r>
              <w:rPr/>
              <w:t> </w:t>
            </w:r>
          </w:p>
        </w:tc>
      </w:tr>
      <w:tr>
        <w:trPr/>
        <w:tc>
          <w:tcPr>
            <w:tcW w:w="38" w:type="dxa"/>
            <w:tcBorders/>
            <w:shd w:fill="auto" w:val="clear"/>
            <w:vAlign w:val="center"/>
          </w:tcPr>
          <w:p>
            <w:pPr>
              <w:pStyle w:val="TableContents"/>
              <w:spacing w:before="0" w:after="283"/>
              <w:rPr>
                <w:sz w:val="4"/>
                <w:szCs w:val="4"/>
              </w:rPr>
            </w:pPr>
            <w:r>
              <w:rPr>
                <w:sz w:val="4"/>
                <w:szCs w:val="4"/>
              </w:rPr>
            </w:r>
          </w:p>
        </w:tc>
        <w:tc>
          <w:tcPr>
            <w:tcW w:w="1445" w:type="dxa"/>
            <w:tcBorders/>
            <w:shd w:fill="auto" w:val="clear"/>
            <w:vAlign w:val="center"/>
          </w:tcPr>
          <w:p>
            <w:pPr>
              <w:pStyle w:val="TableContents"/>
              <w:spacing w:before="0" w:after="283"/>
              <w:jc w:val="left"/>
              <w:rPr>
                <w:rFonts w:ascii="Times New Roman;Times;Serif" w:hAnsi="Times New Roman;Times;Serif"/>
                <w:sz w:val="20"/>
              </w:rPr>
            </w:pPr>
            <w:r>
              <w:rPr>
                <w:rFonts w:ascii="Times New Roman;Times;Serif" w:hAnsi="Times New Roman;Times;Serif"/>
                <w:sz w:val="20"/>
              </w:rPr>
              <w:t>(SIGNATURE(S))</w:t>
            </w:r>
          </w:p>
        </w:tc>
        <w:tc>
          <w:tcPr>
            <w:tcW w:w="75" w:type="dxa"/>
            <w:tcBorders/>
            <w:shd w:fill="auto" w:val="clear"/>
            <w:vAlign w:val="center"/>
          </w:tcPr>
          <w:p>
            <w:pPr>
              <w:pStyle w:val="TableContents"/>
              <w:spacing w:before="0" w:after="283"/>
              <w:jc w:val="both"/>
              <w:rPr/>
            </w:pPr>
            <w:r>
              <w:rPr/>
              <w:t> </w:t>
            </w:r>
          </w:p>
        </w:tc>
      </w:tr>
    </w:tbl>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NOTICE: THE SIGNATURE(S) TO THIS ASSIGNMENT MUST CORRESPOND WITH THE NAME AS WRITTEN UPON THE FACE OF THE CERTIFICATE IN EVERY PARTICULAR, WITHOUT ALTERATION OR ENLARGEMENT OR ANY CHANGE WHATEVER.</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Signature(s) Guaranteed:</w:t>
      </w:r>
    </w:p>
    <w:p>
      <w:pPr>
        <w:pStyle w:val="TextBody"/>
        <w:spacing w:before="0" w:after="0"/>
        <w:ind w:left="0" w:right="0" w:hanging="0"/>
        <w:jc w:val="both"/>
        <w:rPr>
          <w:caps w:val="false"/>
          <w:smallCaps w:val="false"/>
        </w:rPr>
      </w:pPr>
      <w:r>
        <w:rPr>
          <w:caps w:val="false"/>
          <w:smallCaps w:val="false"/>
        </w:rPr>
        <w:t> </w:t>
      </w:r>
    </w:p>
    <w:tbl>
      <w:tblPr>
        <w:tblW w:w="441" w:type="dxa"/>
        <w:jc w:val="left"/>
        <w:tblInd w:w="0" w:type="dxa"/>
        <w:tblCellMar>
          <w:top w:w="0" w:type="dxa"/>
          <w:left w:w="0" w:type="dxa"/>
          <w:bottom w:w="0" w:type="dxa"/>
          <w:right w:w="0" w:type="dxa"/>
        </w:tblCellMar>
      </w:tblPr>
      <w:tblGrid>
        <w:gridCol w:w="38"/>
        <w:gridCol w:w="305"/>
        <w:gridCol w:w="23"/>
        <w:gridCol w:w="75"/>
      </w:tblGrid>
      <w:tr>
        <w:trPr/>
        <w:tc>
          <w:tcPr>
            <w:tcW w:w="38" w:type="dxa"/>
            <w:tcBorders/>
            <w:shd w:fill="auto" w:val="clear"/>
            <w:vAlign w:val="center"/>
          </w:tcPr>
          <w:p>
            <w:pPr>
              <w:pStyle w:val="TableContents"/>
              <w:spacing w:before="0" w:after="283"/>
              <w:rPr>
                <w:sz w:val="4"/>
                <w:szCs w:val="4"/>
              </w:rPr>
            </w:pPr>
            <w:r>
              <w:rPr>
                <w:sz w:val="4"/>
                <w:szCs w:val="4"/>
              </w:rPr>
            </w:r>
          </w:p>
        </w:tc>
        <w:tc>
          <w:tcPr>
            <w:tcW w:w="305" w:type="dxa"/>
            <w:tcBorders/>
            <w:shd w:fill="auto" w:val="clear"/>
            <w:vAlign w:val="center"/>
          </w:tcPr>
          <w:p>
            <w:pPr>
              <w:pStyle w:val="TableContents"/>
              <w:spacing w:before="0" w:after="283"/>
              <w:jc w:val="left"/>
              <w:rPr>
                <w:rFonts w:ascii="Times New Roman;Times;Serif" w:hAnsi="Times New Roman;Times;Serif"/>
              </w:rPr>
            </w:pPr>
            <w:r>
              <w:rPr>
                <w:rFonts w:ascii="Times New Roman;Times;Serif" w:hAnsi="Times New Roman;Times;Serif"/>
              </w:rPr>
              <w:t>By</w:t>
            </w:r>
          </w:p>
        </w:tc>
        <w:tc>
          <w:tcPr>
            <w:tcW w:w="23" w:type="dxa"/>
            <w:tcBorders>
              <w:bottom w:val="single" w:sz="12"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jc w:val="left"/>
              <w:rPr/>
            </w:pPr>
            <w:r>
              <w:rPr/>
              <w:t> </w:t>
            </w:r>
          </w:p>
        </w:tc>
      </w:tr>
    </w:tbl>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SIGNATURE(S) MUST BE GUARANTEED BY AN ELIGIBLE GUARANTOR INSTITUTION (BANKS, STOCKBROKERS, SAVINGS AND LOAN ASSOCIATIONS AND CREDIT UNIONS WITH MEMBERSHIP IN AN APPROVED SIGNATURE GUARANTEE MEDALLION PROGRAM, PURSUANT TO S.E.C. RULE 17Ad-15).</w:t>
      </w:r>
    </w:p>
    <w:p>
      <w:pPr>
        <w:pStyle w:val="TextBody"/>
        <w:spacing w:before="0" w:after="0"/>
        <w:ind w:left="0" w:right="0" w:hanging="0"/>
        <w:jc w:val="both"/>
        <w:rPr>
          <w:caps w:val="false"/>
          <w:smallCaps w:val="false"/>
        </w:rPr>
      </w:pPr>
      <w:r>
        <w:rPr>
          <w:caps w:val="false"/>
          <w:smallCaps w:val="false"/>
        </w:rPr>
        <w:t> </w:t>
      </w:r>
    </w:p>
    <w:p>
      <w:pPr>
        <w:pStyle w:val="TextBody"/>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A-5</w:t>
      </w:r>
      <w:r>
        <w:br w:type="page"/>
      </w:r>
    </w:p>
    <w:p>
      <w:pPr>
        <w:pStyle w:val="TextBody"/>
        <w:spacing w:before="0" w:after="0"/>
        <w:ind w:left="0" w:right="0" w:hanging="0"/>
        <w:jc w:val="right"/>
        <w:rPr>
          <w:rFonts w:ascii="Times New Roman;Times;Serif" w:hAnsi="Times New Roman;Times;Serif"/>
          <w:b/>
          <w:i w:val="false"/>
          <w:caps w:val="false"/>
          <w:smallCaps w:val="false"/>
          <w:sz w:val="20"/>
        </w:rPr>
      </w:pPr>
      <w:bookmarkStart w:id="23" w:name="f10q0322ex31-1_ventouxccm.htm"/>
      <w:bookmarkStart w:id="24" w:name="ksf10q0322ex311_ventouxccm"/>
      <w:bookmarkEnd w:id="23"/>
      <w:bookmarkEnd w:id="24"/>
      <w:r>
        <w:rPr>
          <w:rFonts w:ascii="Times New Roman;Times;Serif" w:hAnsi="Times New Roman;Times;Serif"/>
          <w:b/>
          <w:i w:val="false"/>
          <w:caps w:val="false"/>
          <w:smallCaps w:val="false"/>
          <w:sz w:val="20"/>
        </w:rPr>
        <w:t>Exhibit 31.1</w:t>
      </w:r>
    </w:p>
    <w:p>
      <w:pPr>
        <w:pStyle w:val="TextBody"/>
        <w:spacing w:before="0" w:after="0"/>
        <w:ind w:left="0" w:right="0" w:hanging="0"/>
        <w:jc w:val="both"/>
        <w:rPr>
          <w:caps w:val="false"/>
          <w:smallCaps w:val="false"/>
        </w:rPr>
      </w:pPr>
      <w:r>
        <w:rPr>
          <w:caps w:val="false"/>
          <w:smallCaps w:val="false"/>
        </w:rPr>
        <w:t> </w:t>
      </w:r>
    </w:p>
    <w:p>
      <w:pPr>
        <w:pStyle w:val="TextBody"/>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CERTIFICATION OF CHIEF EXECUTIVE OFFICER</w:t>
      </w:r>
    </w:p>
    <w:p>
      <w:pPr>
        <w:pStyle w:val="TextBody"/>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RULE 13A-14(A) UNDER THE SECURITIES EXCHANGE ACT OF 1934,</w:t>
      </w:r>
    </w:p>
    <w:p>
      <w:pPr>
        <w:pStyle w:val="TextBody"/>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ADOPTED PURSUANT TO SECTION 302 OF THE SARBANES-OXLEY ACT OF 2002</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Edward Scheetz, certify that:</w:t>
      </w:r>
    </w:p>
    <w:p>
      <w:pPr>
        <w:pStyle w:val="TextBody"/>
        <w:spacing w:before="0" w:after="0"/>
        <w:ind w:left="0" w:right="0" w:hanging="0"/>
        <w:jc w:val="both"/>
        <w:rPr>
          <w:caps w:val="false"/>
          <w:smallCaps w:val="false"/>
        </w:rPr>
      </w:pPr>
      <w:r>
        <w:rPr>
          <w:caps w:val="false"/>
          <w:smallCaps w:val="false"/>
        </w:rPr>
        <w:t> </w:t>
      </w:r>
    </w:p>
    <w:tbl>
      <w:tblPr>
        <w:tblW w:w="7330" w:type="dxa"/>
        <w:jc w:val="left"/>
        <w:tblInd w:w="0" w:type="dxa"/>
        <w:tblCellMar>
          <w:top w:w="0" w:type="dxa"/>
          <w:left w:w="0" w:type="dxa"/>
          <w:bottom w:w="0" w:type="dxa"/>
          <w:right w:w="0" w:type="dxa"/>
        </w:tblCellMar>
      </w:tblPr>
      <w:tblGrid>
        <w:gridCol w:w="185"/>
        <w:gridCol w:w="7145"/>
      </w:tblGrid>
      <w:tr>
        <w:trPr/>
        <w:tc>
          <w:tcPr>
            <w:tcW w:w="185"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7145"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have reviewed this quarterly report on Form 10-Q of Ventoux CCM Acquisition Corp.;</w:t>
            </w:r>
          </w:p>
        </w:tc>
      </w:tr>
    </w:tbl>
    <w:p>
      <w:pPr>
        <w:pStyle w:val="TextBody"/>
        <w:rPr/>
      </w:pPr>
      <w:r>
        <w:rPr/>
        <w:t> </w:t>
      </w:r>
    </w:p>
    <w:tbl>
      <w:tblPr>
        <w:tblW w:w="10205" w:type="dxa"/>
        <w:jc w:val="left"/>
        <w:tblInd w:w="0" w:type="dxa"/>
        <w:tblCellMar>
          <w:top w:w="0" w:type="dxa"/>
          <w:left w:w="0" w:type="dxa"/>
          <w:bottom w:w="0" w:type="dxa"/>
          <w:right w:w="0" w:type="dxa"/>
        </w:tblCellMar>
      </w:tblPr>
      <w:tblGrid>
        <w:gridCol w:w="157"/>
        <w:gridCol w:w="10048"/>
      </w:tblGrid>
      <w:tr>
        <w:trPr/>
        <w:tc>
          <w:tcPr>
            <w:tcW w:w="157"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10048"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rPr/>
      </w:pPr>
      <w:r>
        <w:rPr/>
        <w:t> </w:t>
      </w:r>
    </w:p>
    <w:tbl>
      <w:tblPr>
        <w:tblW w:w="10205" w:type="dxa"/>
        <w:jc w:val="left"/>
        <w:tblInd w:w="0" w:type="dxa"/>
        <w:tblCellMar>
          <w:top w:w="0" w:type="dxa"/>
          <w:left w:w="0" w:type="dxa"/>
          <w:bottom w:w="0" w:type="dxa"/>
          <w:right w:w="0" w:type="dxa"/>
        </w:tblCellMar>
      </w:tblPr>
      <w:tblGrid>
        <w:gridCol w:w="159"/>
        <w:gridCol w:w="10046"/>
      </w:tblGrid>
      <w:tr>
        <w:trPr/>
        <w:tc>
          <w:tcPr>
            <w:tcW w:w="159"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10046"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p>
      <w:pPr>
        <w:pStyle w:val="TextBody"/>
        <w:rPr/>
      </w:pPr>
      <w:r>
        <w:rPr/>
        <w:t> </w:t>
      </w:r>
    </w:p>
    <w:tbl>
      <w:tblPr>
        <w:tblW w:w="10205" w:type="dxa"/>
        <w:jc w:val="left"/>
        <w:tblInd w:w="0" w:type="dxa"/>
        <w:tblCellMar>
          <w:top w:w="0" w:type="dxa"/>
          <w:left w:w="0" w:type="dxa"/>
          <w:bottom w:w="0" w:type="dxa"/>
          <w:right w:w="0" w:type="dxa"/>
        </w:tblCellMar>
      </w:tblPr>
      <w:tblGrid>
        <w:gridCol w:w="155"/>
        <w:gridCol w:w="10050"/>
      </w:tblGrid>
      <w:tr>
        <w:trPr/>
        <w:tc>
          <w:tcPr>
            <w:tcW w:w="155"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1005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registrant’s other certifying officer(s) and I are responsible for establishing and maintaining disclosure controls and procedures (as defined in Exchange Act Rules 13a-15(e) and 15d-15(e)) for the registrant and internal control over financial reporting (as defined in Exchange Act Rules 13a-15(f) and 15d-15(f)) for the registrant and have:</w:t>
            </w:r>
          </w:p>
        </w:tc>
      </w:tr>
    </w:tbl>
    <w:p>
      <w:pPr>
        <w:pStyle w:val="TextBody"/>
        <w:rPr/>
      </w:pPr>
      <w:r>
        <w:rPr/>
        <w:t> </w:t>
      </w:r>
    </w:p>
    <w:tbl>
      <w:tblPr>
        <w:tblW w:w="10205" w:type="dxa"/>
        <w:jc w:val="left"/>
        <w:tblInd w:w="0" w:type="dxa"/>
        <w:tblCellMar>
          <w:top w:w="0" w:type="dxa"/>
          <w:left w:w="0" w:type="dxa"/>
          <w:bottom w:w="0" w:type="dxa"/>
          <w:right w:w="0" w:type="dxa"/>
        </w:tblCellMar>
      </w:tblPr>
      <w:tblGrid>
        <w:gridCol w:w="38"/>
        <w:gridCol w:w="131"/>
        <w:gridCol w:w="10036"/>
      </w:tblGrid>
      <w:tr>
        <w:trPr/>
        <w:tc>
          <w:tcPr>
            <w:tcW w:w="38" w:type="dxa"/>
            <w:tcBorders/>
            <w:shd w:fill="auto" w:val="clear"/>
            <w:vAlign w:val="center"/>
          </w:tcPr>
          <w:p>
            <w:pPr>
              <w:pStyle w:val="TableContents"/>
              <w:spacing w:before="0" w:after="283"/>
              <w:rPr>
                <w:sz w:val="4"/>
                <w:szCs w:val="4"/>
              </w:rPr>
            </w:pPr>
            <w:r>
              <w:rPr>
                <w:sz w:val="4"/>
                <w:szCs w:val="4"/>
              </w:rPr>
            </w:r>
          </w:p>
        </w:tc>
        <w:tc>
          <w:tcPr>
            <w:tcW w:w="131" w:type="dxa"/>
            <w:tcBorders/>
            <w:shd w:fill="auto" w:val="clear"/>
            <w:vAlign w:val="center"/>
          </w:tcPr>
          <w:p>
            <w:pPr>
              <w:pStyle w:val="TableContents"/>
              <w:spacing w:before="0" w:after="283"/>
              <w:jc w:val="left"/>
              <w:rPr>
                <w:rFonts w:ascii="Times New Roman;Times;Serif" w:hAnsi="Times New Roman;Times;Serif"/>
                <w:sz w:val="20"/>
              </w:rPr>
            </w:pPr>
            <w:r>
              <w:rPr>
                <w:rFonts w:ascii="Times New Roman;Times;Serif" w:hAnsi="Times New Roman;Times;Serif"/>
                <w:sz w:val="20"/>
              </w:rPr>
              <w:t>a)</w:t>
            </w:r>
          </w:p>
        </w:tc>
        <w:tc>
          <w:tcPr>
            <w:tcW w:w="10036" w:type="dxa"/>
            <w:tcBorders/>
            <w:shd w:fill="auto" w:val="clear"/>
            <w:vAlign w:val="center"/>
          </w:tcPr>
          <w:p>
            <w:pPr>
              <w:pStyle w:val="TableContents"/>
              <w:spacing w:before="0" w:after="283"/>
              <w:jc w:val="both"/>
              <w:rPr>
                <w:rFonts w:ascii="Times New Roman;Times;Serif" w:hAnsi="Times New Roman;Times;Serif"/>
                <w:sz w:val="20"/>
              </w:rPr>
            </w:pPr>
            <w:r>
              <w:rPr>
                <w:rFonts w:ascii="Times New Roman;Times;Serif" w:hAnsi="Times New Roman;Times;Serif"/>
                <w:sz w:val="20"/>
              </w:rPr>
              <w:t>Designed such disclosure controls and procedures, or caused such disclosure controls and procedures to be designed under my supervision, to ensure that material information relating to the registrant, is made known to us by others within those entities, particularly during the period in which this report is being prepared; and</w:t>
            </w:r>
          </w:p>
        </w:tc>
      </w:tr>
    </w:tbl>
    <w:p>
      <w:pPr>
        <w:pStyle w:val="TextBody"/>
        <w:rPr/>
      </w:pPr>
      <w:r>
        <w:rPr/>
        <w:t> </w:t>
      </w:r>
    </w:p>
    <w:tbl>
      <w:tblPr>
        <w:tblW w:w="7893" w:type="dxa"/>
        <w:jc w:val="left"/>
        <w:tblInd w:w="0" w:type="dxa"/>
        <w:tblCellMar>
          <w:top w:w="0" w:type="dxa"/>
          <w:left w:w="0" w:type="dxa"/>
          <w:bottom w:w="0" w:type="dxa"/>
          <w:right w:w="0" w:type="dxa"/>
        </w:tblCellMar>
      </w:tblPr>
      <w:tblGrid>
        <w:gridCol w:w="38"/>
        <w:gridCol w:w="185"/>
        <w:gridCol w:w="7670"/>
      </w:tblGrid>
      <w:tr>
        <w:trPr/>
        <w:tc>
          <w:tcPr>
            <w:tcW w:w="38" w:type="dxa"/>
            <w:tcBorders/>
            <w:shd w:fill="auto" w:val="clear"/>
            <w:vAlign w:val="center"/>
          </w:tcPr>
          <w:p>
            <w:pPr>
              <w:pStyle w:val="TableContents"/>
              <w:spacing w:before="0" w:after="283"/>
              <w:rPr>
                <w:sz w:val="4"/>
                <w:szCs w:val="4"/>
              </w:rPr>
            </w:pPr>
            <w:r>
              <w:rPr>
                <w:sz w:val="4"/>
                <w:szCs w:val="4"/>
              </w:rPr>
            </w:r>
          </w:p>
        </w:tc>
        <w:tc>
          <w:tcPr>
            <w:tcW w:w="185" w:type="dxa"/>
            <w:tcBorders/>
            <w:shd w:fill="auto" w:val="clear"/>
            <w:vAlign w:val="center"/>
          </w:tcPr>
          <w:p>
            <w:pPr>
              <w:pStyle w:val="TableContents"/>
              <w:spacing w:before="0" w:after="283"/>
              <w:jc w:val="left"/>
              <w:rPr>
                <w:rFonts w:ascii="Times New Roman;Times;Serif" w:hAnsi="Times New Roman;Times;Serif"/>
                <w:sz w:val="20"/>
              </w:rPr>
            </w:pPr>
            <w:r>
              <w:rPr>
                <w:rFonts w:ascii="Times New Roman;Times;Serif" w:hAnsi="Times New Roman;Times;Serif"/>
                <w:sz w:val="20"/>
              </w:rPr>
              <w:t>b)</w:t>
            </w:r>
          </w:p>
        </w:tc>
        <w:tc>
          <w:tcPr>
            <w:tcW w:w="7670" w:type="dxa"/>
            <w:tcBorders/>
            <w:shd w:fill="auto" w:val="clear"/>
            <w:vAlign w:val="center"/>
          </w:tcPr>
          <w:p>
            <w:pPr>
              <w:pStyle w:val="TableContents"/>
              <w:spacing w:before="0" w:after="283"/>
              <w:jc w:val="both"/>
              <w:rPr>
                <w:rFonts w:ascii="Times New Roman;Times;Serif" w:hAnsi="Times New Roman;Times;Serif"/>
                <w:sz w:val="20"/>
              </w:rPr>
            </w:pPr>
            <w:r>
              <w:rPr>
                <w:rFonts w:ascii="Times New Roman;Times;Serif" w:hAnsi="Times New Roman;Times;Serif"/>
                <w:sz w:val="20"/>
              </w:rPr>
              <w:t>(Paragraph omitted pursuant to SEC Release Nos. 33-8238/34-47986 and 33-8392/34-49313);</w:t>
            </w:r>
          </w:p>
        </w:tc>
      </w:tr>
    </w:tbl>
    <w:p>
      <w:pPr>
        <w:pStyle w:val="TextBody"/>
        <w:rPr/>
      </w:pPr>
      <w:r>
        <w:rPr/>
        <w:t> </w:t>
      </w:r>
    </w:p>
    <w:tbl>
      <w:tblPr>
        <w:tblW w:w="10205" w:type="dxa"/>
        <w:jc w:val="left"/>
        <w:tblInd w:w="0" w:type="dxa"/>
        <w:tblCellMar>
          <w:top w:w="0" w:type="dxa"/>
          <w:left w:w="0" w:type="dxa"/>
          <w:bottom w:w="0" w:type="dxa"/>
          <w:right w:w="0" w:type="dxa"/>
        </w:tblCellMar>
      </w:tblPr>
      <w:tblGrid>
        <w:gridCol w:w="38"/>
        <w:gridCol w:w="135"/>
        <w:gridCol w:w="10032"/>
      </w:tblGrid>
      <w:tr>
        <w:trPr/>
        <w:tc>
          <w:tcPr>
            <w:tcW w:w="38" w:type="dxa"/>
            <w:tcBorders/>
            <w:shd w:fill="auto" w:val="clear"/>
            <w:vAlign w:val="center"/>
          </w:tcPr>
          <w:p>
            <w:pPr>
              <w:pStyle w:val="TableContents"/>
              <w:spacing w:before="0" w:after="283"/>
              <w:rPr>
                <w:sz w:val="4"/>
                <w:szCs w:val="4"/>
              </w:rPr>
            </w:pPr>
            <w:r>
              <w:rPr>
                <w:sz w:val="4"/>
                <w:szCs w:val="4"/>
              </w:rPr>
            </w:r>
          </w:p>
        </w:tc>
        <w:tc>
          <w:tcPr>
            <w:tcW w:w="135" w:type="dxa"/>
            <w:tcBorders/>
            <w:shd w:fill="auto" w:val="clear"/>
            <w:vAlign w:val="center"/>
          </w:tcPr>
          <w:p>
            <w:pPr>
              <w:pStyle w:val="TableContents"/>
              <w:spacing w:before="0" w:after="283"/>
              <w:jc w:val="left"/>
              <w:rPr>
                <w:rFonts w:ascii="Times New Roman;Times;Serif" w:hAnsi="Times New Roman;Times;Serif"/>
                <w:sz w:val="20"/>
              </w:rPr>
            </w:pPr>
            <w:r>
              <w:rPr>
                <w:rFonts w:ascii="Times New Roman;Times;Serif" w:hAnsi="Times New Roman;Times;Serif"/>
                <w:sz w:val="20"/>
              </w:rPr>
              <w:t>c)</w:t>
            </w:r>
          </w:p>
        </w:tc>
        <w:tc>
          <w:tcPr>
            <w:tcW w:w="10032" w:type="dxa"/>
            <w:tcBorders/>
            <w:shd w:fill="auto" w:val="clear"/>
            <w:vAlign w:val="center"/>
          </w:tcPr>
          <w:p>
            <w:pPr>
              <w:pStyle w:val="TableContents"/>
              <w:spacing w:before="0" w:after="283"/>
              <w:jc w:val="both"/>
              <w:rPr>
                <w:rFonts w:ascii="Times New Roman;Times;Serif" w:hAnsi="Times New Roman;Times;Serif"/>
                <w:sz w:val="20"/>
              </w:rPr>
            </w:pPr>
            <w:r>
              <w:rPr>
                <w:rFonts w:ascii="Times New Roman;Times;Serif" w:hAnsi="Times New Roman;Times;Serif"/>
                <w:sz w:val="20"/>
              </w:rPr>
              <w:t>Evaluated the effectiveness of the registrant’s disclosure controls and procedures and presented in this report my conclusions about the effectiveness of the disclosure controls and procedures, as of the end of the period covered by this report based on such evaluation; and</w:t>
            </w:r>
          </w:p>
        </w:tc>
      </w:tr>
    </w:tbl>
    <w:p>
      <w:pPr>
        <w:pStyle w:val="TextBody"/>
        <w:rPr/>
      </w:pPr>
      <w:r>
        <w:rPr/>
        <w:t> </w:t>
      </w:r>
    </w:p>
    <w:tbl>
      <w:tblPr>
        <w:tblW w:w="10205" w:type="dxa"/>
        <w:jc w:val="left"/>
        <w:tblInd w:w="0" w:type="dxa"/>
        <w:tblCellMar>
          <w:top w:w="0" w:type="dxa"/>
          <w:left w:w="0" w:type="dxa"/>
          <w:bottom w:w="0" w:type="dxa"/>
          <w:right w:w="0" w:type="dxa"/>
        </w:tblCellMar>
      </w:tblPr>
      <w:tblGrid>
        <w:gridCol w:w="38"/>
        <w:gridCol w:w="144"/>
        <w:gridCol w:w="10023"/>
      </w:tblGrid>
      <w:tr>
        <w:trPr/>
        <w:tc>
          <w:tcPr>
            <w:tcW w:w="38" w:type="dxa"/>
            <w:tcBorders/>
            <w:shd w:fill="auto" w:val="clear"/>
            <w:vAlign w:val="center"/>
          </w:tcPr>
          <w:p>
            <w:pPr>
              <w:pStyle w:val="TableContents"/>
              <w:spacing w:before="0" w:after="283"/>
              <w:rPr>
                <w:sz w:val="4"/>
                <w:szCs w:val="4"/>
              </w:rPr>
            </w:pPr>
            <w:r>
              <w:rPr>
                <w:sz w:val="4"/>
                <w:szCs w:val="4"/>
              </w:rPr>
            </w:r>
          </w:p>
        </w:tc>
        <w:tc>
          <w:tcPr>
            <w:tcW w:w="144" w:type="dxa"/>
            <w:tcBorders/>
            <w:shd w:fill="auto" w:val="clear"/>
            <w:vAlign w:val="center"/>
          </w:tcPr>
          <w:p>
            <w:pPr>
              <w:pStyle w:val="TableContents"/>
              <w:spacing w:before="0" w:after="283"/>
              <w:jc w:val="left"/>
              <w:rPr>
                <w:rFonts w:ascii="Times New Roman;Times;Serif" w:hAnsi="Times New Roman;Times;Serif"/>
                <w:sz w:val="20"/>
              </w:rPr>
            </w:pPr>
            <w:r>
              <w:rPr>
                <w:rFonts w:ascii="Times New Roman;Times;Serif" w:hAnsi="Times New Roman;Times;Serif"/>
                <w:sz w:val="20"/>
              </w:rPr>
              <w:t>d)</w:t>
            </w:r>
          </w:p>
        </w:tc>
        <w:tc>
          <w:tcPr>
            <w:tcW w:w="10023" w:type="dxa"/>
            <w:tcBorders/>
            <w:shd w:fill="auto" w:val="clear"/>
            <w:vAlign w:val="center"/>
          </w:tcPr>
          <w:p>
            <w:pPr>
              <w:pStyle w:val="TableContents"/>
              <w:spacing w:before="0" w:after="283"/>
              <w:jc w:val="both"/>
              <w:rPr>
                <w:rFonts w:ascii="Times New Roman;Times;Serif" w:hAnsi="Times New Roman;Times;Serif"/>
                <w:sz w:val="20"/>
              </w:rPr>
            </w:pPr>
            <w:r>
              <w:rPr>
                <w:rFonts w:ascii="Times New Roman;Times;Serif" w:hAnsi="Times New Roman;Times;Serif"/>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rPr/>
      </w:pPr>
      <w:r>
        <w:rPr/>
        <w:t> </w:t>
      </w:r>
    </w:p>
    <w:tbl>
      <w:tblPr>
        <w:tblW w:w="10205" w:type="dxa"/>
        <w:jc w:val="left"/>
        <w:tblInd w:w="0" w:type="dxa"/>
        <w:tblCellMar>
          <w:top w:w="0" w:type="dxa"/>
          <w:left w:w="0" w:type="dxa"/>
          <w:bottom w:w="0" w:type="dxa"/>
          <w:right w:w="0" w:type="dxa"/>
        </w:tblCellMar>
      </w:tblPr>
      <w:tblGrid>
        <w:gridCol w:w="158"/>
        <w:gridCol w:w="10047"/>
      </w:tblGrid>
      <w:tr>
        <w:trPr/>
        <w:tc>
          <w:tcPr>
            <w:tcW w:w="158"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10047"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rPr/>
      </w:pPr>
      <w:r>
        <w:rPr/>
        <w:t> </w:t>
      </w:r>
    </w:p>
    <w:tbl>
      <w:tblPr>
        <w:tblW w:w="10205" w:type="dxa"/>
        <w:jc w:val="left"/>
        <w:tblInd w:w="0" w:type="dxa"/>
        <w:tblCellMar>
          <w:top w:w="0" w:type="dxa"/>
          <w:left w:w="0" w:type="dxa"/>
          <w:bottom w:w="0" w:type="dxa"/>
          <w:right w:w="0" w:type="dxa"/>
        </w:tblCellMar>
      </w:tblPr>
      <w:tblGrid>
        <w:gridCol w:w="38"/>
        <w:gridCol w:w="137"/>
        <w:gridCol w:w="10030"/>
      </w:tblGrid>
      <w:tr>
        <w:trPr/>
        <w:tc>
          <w:tcPr>
            <w:tcW w:w="38" w:type="dxa"/>
            <w:tcBorders/>
            <w:shd w:fill="auto" w:val="clear"/>
            <w:vAlign w:val="center"/>
          </w:tcPr>
          <w:p>
            <w:pPr>
              <w:pStyle w:val="TableContents"/>
              <w:spacing w:before="0" w:after="283"/>
              <w:rPr>
                <w:sz w:val="4"/>
                <w:szCs w:val="4"/>
              </w:rPr>
            </w:pPr>
            <w:r>
              <w:rPr>
                <w:sz w:val="4"/>
                <w:szCs w:val="4"/>
              </w:rPr>
            </w:r>
          </w:p>
        </w:tc>
        <w:tc>
          <w:tcPr>
            <w:tcW w:w="137" w:type="dxa"/>
            <w:tcBorders/>
            <w:shd w:fill="auto" w:val="clear"/>
            <w:vAlign w:val="center"/>
          </w:tcPr>
          <w:p>
            <w:pPr>
              <w:pStyle w:val="TableContents"/>
              <w:spacing w:before="0" w:after="283"/>
              <w:jc w:val="left"/>
              <w:rPr>
                <w:rFonts w:ascii="Times New Roman;Times;Serif" w:hAnsi="Times New Roman;Times;Serif"/>
                <w:sz w:val="20"/>
              </w:rPr>
            </w:pPr>
            <w:r>
              <w:rPr>
                <w:rFonts w:ascii="Times New Roman;Times;Serif" w:hAnsi="Times New Roman;Times;Serif"/>
                <w:sz w:val="20"/>
              </w:rPr>
              <w:t>a)</w:t>
            </w:r>
          </w:p>
        </w:tc>
        <w:tc>
          <w:tcPr>
            <w:tcW w:w="10030" w:type="dxa"/>
            <w:tcBorders/>
            <w:shd w:fill="auto" w:val="clear"/>
            <w:vAlign w:val="center"/>
          </w:tcPr>
          <w:p>
            <w:pPr>
              <w:pStyle w:val="TableContents"/>
              <w:spacing w:before="0" w:after="283"/>
              <w:jc w:val="both"/>
              <w:rPr>
                <w:rFonts w:ascii="Times New Roman;Times;Serif" w:hAnsi="Times New Roman;Times;Serif"/>
                <w:sz w:val="20"/>
              </w:rPr>
            </w:pPr>
            <w:r>
              <w:rPr>
                <w:rFonts w:ascii="Times New Roman;Times;Serif" w:hAnsi="Times New Roman;Times;Serif"/>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p>
      <w:pPr>
        <w:pStyle w:val="TextBody"/>
        <w:rPr/>
      </w:pPr>
      <w:r>
        <w:rPr/>
        <w:t> </w:t>
      </w:r>
    </w:p>
    <w:tbl>
      <w:tblPr>
        <w:tblW w:w="10205" w:type="dxa"/>
        <w:jc w:val="left"/>
        <w:tblInd w:w="0" w:type="dxa"/>
        <w:tblCellMar>
          <w:top w:w="0" w:type="dxa"/>
          <w:left w:w="0" w:type="dxa"/>
          <w:bottom w:w="0" w:type="dxa"/>
          <w:right w:w="0" w:type="dxa"/>
        </w:tblCellMar>
      </w:tblPr>
      <w:tblGrid>
        <w:gridCol w:w="38"/>
        <w:gridCol w:w="167"/>
        <w:gridCol w:w="10000"/>
      </w:tblGrid>
      <w:tr>
        <w:trPr/>
        <w:tc>
          <w:tcPr>
            <w:tcW w:w="38" w:type="dxa"/>
            <w:tcBorders/>
            <w:shd w:fill="auto" w:val="clear"/>
            <w:vAlign w:val="center"/>
          </w:tcPr>
          <w:p>
            <w:pPr>
              <w:pStyle w:val="TableContents"/>
              <w:spacing w:before="0" w:after="283"/>
              <w:rPr>
                <w:sz w:val="4"/>
                <w:szCs w:val="4"/>
              </w:rPr>
            </w:pPr>
            <w:r>
              <w:rPr>
                <w:sz w:val="4"/>
                <w:szCs w:val="4"/>
              </w:rPr>
            </w:r>
          </w:p>
        </w:tc>
        <w:tc>
          <w:tcPr>
            <w:tcW w:w="167" w:type="dxa"/>
            <w:tcBorders/>
            <w:shd w:fill="auto" w:val="clear"/>
            <w:vAlign w:val="center"/>
          </w:tcPr>
          <w:p>
            <w:pPr>
              <w:pStyle w:val="TableContents"/>
              <w:spacing w:before="0" w:after="283"/>
              <w:jc w:val="left"/>
              <w:rPr>
                <w:rFonts w:ascii="Times New Roman;Times;Serif" w:hAnsi="Times New Roman;Times;Serif"/>
                <w:sz w:val="20"/>
              </w:rPr>
            </w:pPr>
            <w:r>
              <w:rPr>
                <w:rFonts w:ascii="Times New Roman;Times;Serif" w:hAnsi="Times New Roman;Times;Serif"/>
                <w:sz w:val="20"/>
              </w:rPr>
              <w:t>b)</w:t>
            </w:r>
          </w:p>
        </w:tc>
        <w:tc>
          <w:tcPr>
            <w:tcW w:w="10000" w:type="dxa"/>
            <w:tcBorders/>
            <w:shd w:fill="auto" w:val="clear"/>
            <w:vAlign w:val="center"/>
          </w:tcPr>
          <w:p>
            <w:pPr>
              <w:pStyle w:val="TableContents"/>
              <w:spacing w:before="0" w:after="283"/>
              <w:jc w:val="both"/>
              <w:rPr>
                <w:rFonts w:ascii="Times New Roman;Times;Serif" w:hAnsi="Times New Roman;Times;Serif"/>
                <w:sz w:val="20"/>
              </w:rPr>
            </w:pPr>
            <w:r>
              <w:rPr>
                <w:rFonts w:ascii="Times New Roman;Times;Serif" w:hAnsi="Times New Roman;Times;Serif"/>
                <w:sz w:val="20"/>
              </w:rPr>
              <w:t>Any fraud, whether or not material, that involves management or other employees who have a significant role in the registrant’s internal control over financial reporting.</w:t>
            </w:r>
          </w:p>
        </w:tc>
      </w:tr>
    </w:tbl>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May 13, 2022</w:t>
      </w:r>
    </w:p>
    <w:p>
      <w:pPr>
        <w:pStyle w:val="TextBody"/>
        <w:spacing w:before="0" w:after="0"/>
        <w:ind w:left="0" w:right="0" w:hanging="0"/>
        <w:jc w:val="both"/>
        <w:rPr>
          <w:caps w:val="false"/>
          <w:smallCaps w:val="false"/>
        </w:rPr>
      </w:pPr>
      <w:r>
        <w:rPr>
          <w:caps w:val="false"/>
          <w:smallCaps w:val="false"/>
        </w:rPr>
        <w:t> </w:t>
      </w:r>
    </w:p>
    <w:tbl>
      <w:tblPr>
        <w:tblW w:w="3215" w:type="dxa"/>
        <w:jc w:val="left"/>
        <w:tblInd w:w="0" w:type="dxa"/>
        <w:tblCellMar>
          <w:top w:w="0" w:type="dxa"/>
          <w:left w:w="0" w:type="dxa"/>
          <w:bottom w:w="0" w:type="dxa"/>
          <w:right w:w="0" w:type="dxa"/>
        </w:tblCellMar>
      </w:tblPr>
      <w:tblGrid>
        <w:gridCol w:w="75"/>
        <w:gridCol w:w="3140"/>
      </w:tblGrid>
      <w:tr>
        <w:trPr/>
        <w:tc>
          <w:tcPr>
            <w:tcW w:w="75" w:type="dxa"/>
            <w:tcBorders/>
            <w:shd w:fill="auto" w:val="clear"/>
            <w:vAlign w:val="center"/>
          </w:tcPr>
          <w:p>
            <w:pPr>
              <w:pStyle w:val="TableContents"/>
              <w:spacing w:before="0" w:after="283"/>
              <w:jc w:val="left"/>
              <w:rPr>
                <w:caps w:val="false"/>
                <w:smallCaps w:val="false"/>
              </w:rPr>
            </w:pPr>
            <w:r>
              <w:rPr>
                <w:caps w:val="false"/>
                <w:smallCaps w:val="false"/>
              </w:rPr>
              <w:t> </w:t>
            </w:r>
          </w:p>
        </w:tc>
        <w:tc>
          <w:tcPr>
            <w:tcW w:w="3140" w:type="dxa"/>
            <w:tcBorders>
              <w:bottom w:val="single" w:sz="12" w:space="0" w:color="000000"/>
            </w:tcBorders>
            <w:shd w:fill="auto" w:val="clear"/>
            <w:tcMar>
              <w:bottom w:w="28" w:type="dxa"/>
            </w:tcM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Edward Scheetz</w:t>
            </w:r>
          </w:p>
        </w:tc>
      </w:tr>
      <w:tr>
        <w:trPr/>
        <w:tc>
          <w:tcPr>
            <w:tcW w:w="75" w:type="dxa"/>
            <w:tcBorders/>
            <w:shd w:fill="auto" w:val="clear"/>
            <w:vAlign w:val="center"/>
          </w:tcPr>
          <w:p>
            <w:pPr>
              <w:pStyle w:val="TableContents"/>
              <w:spacing w:before="0" w:after="283"/>
              <w:jc w:val="left"/>
              <w:rPr>
                <w:caps w:val="false"/>
                <w:smallCaps w:val="false"/>
              </w:rPr>
            </w:pPr>
            <w:r>
              <w:rPr>
                <w:caps w:val="false"/>
                <w:smallCaps w:val="false"/>
              </w:rPr>
              <w:t> </w:t>
            </w:r>
          </w:p>
        </w:tc>
        <w:tc>
          <w:tcPr>
            <w:tcW w:w="3140" w:type="dxa"/>
            <w:tcBorders/>
            <w:shd w:fill="auto"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Edward Scheetz</w:t>
            </w:r>
          </w:p>
        </w:tc>
      </w:tr>
      <w:tr>
        <w:trPr/>
        <w:tc>
          <w:tcPr>
            <w:tcW w:w="75" w:type="dxa"/>
            <w:tcBorders/>
            <w:shd w:fill="auto" w:val="clear"/>
            <w:vAlign w:val="center"/>
          </w:tcPr>
          <w:p>
            <w:pPr>
              <w:pStyle w:val="TableContents"/>
              <w:spacing w:before="0" w:after="283"/>
              <w:jc w:val="left"/>
              <w:rPr>
                <w:caps w:val="false"/>
                <w:smallCaps w:val="false"/>
              </w:rPr>
            </w:pPr>
            <w:r>
              <w:rPr>
                <w:caps w:val="false"/>
                <w:smallCaps w:val="false"/>
              </w:rPr>
              <w:t> </w:t>
            </w:r>
          </w:p>
        </w:tc>
        <w:tc>
          <w:tcPr>
            <w:tcW w:w="3140" w:type="dxa"/>
            <w:tcBorders/>
            <w:shd w:fill="auto"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Chairman and Chief Executive Officer</w:t>
            </w:r>
          </w:p>
        </w:tc>
      </w:tr>
      <w:tr>
        <w:trPr/>
        <w:tc>
          <w:tcPr>
            <w:tcW w:w="75" w:type="dxa"/>
            <w:tcBorders/>
            <w:shd w:fill="auto" w:val="clear"/>
            <w:vAlign w:val="center"/>
          </w:tcPr>
          <w:p>
            <w:pPr>
              <w:pStyle w:val="TableContents"/>
              <w:spacing w:before="0" w:after="283"/>
              <w:jc w:val="left"/>
              <w:rPr>
                <w:caps w:val="false"/>
                <w:smallCaps w:val="false"/>
              </w:rPr>
            </w:pPr>
            <w:r>
              <w:rPr>
                <w:caps w:val="false"/>
                <w:smallCaps w:val="false"/>
              </w:rPr>
              <w:t> </w:t>
            </w:r>
          </w:p>
        </w:tc>
        <w:tc>
          <w:tcPr>
            <w:tcW w:w="3140" w:type="dxa"/>
            <w:tcBorders/>
            <w:shd w:fill="auto"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(Principal Executive Officer)</w:t>
            </w:r>
          </w:p>
        </w:tc>
      </w:tr>
    </w:tbl>
    <w:p>
      <w:pPr>
        <w:pStyle w:val="TextBody"/>
        <w:spacing w:before="0" w:after="0"/>
        <w:ind w:left="0" w:right="0" w:hanging="0"/>
        <w:jc w:val="both"/>
        <w:rPr>
          <w:caps w:val="false"/>
          <w:smallCaps w:val="false"/>
        </w:rPr>
      </w:pPr>
      <w:r>
        <w:rPr>
          <w:caps w:val="false"/>
          <w:smallCaps w:val="false"/>
        </w:rPr>
        <w:t> </w:t>
      </w:r>
      <w:r>
        <w:br w:type="page"/>
      </w:r>
    </w:p>
    <w:p>
      <w:pPr>
        <w:pStyle w:val="TextBody"/>
        <w:spacing w:before="0" w:after="0"/>
        <w:ind w:left="0" w:right="0" w:hanging="0"/>
        <w:jc w:val="right"/>
        <w:rPr>
          <w:rFonts w:ascii="Times New Roman;Times;Serif" w:hAnsi="Times New Roman;Times;Serif"/>
          <w:b/>
          <w:i w:val="false"/>
          <w:caps w:val="false"/>
          <w:smallCaps w:val="false"/>
          <w:sz w:val="20"/>
        </w:rPr>
      </w:pPr>
      <w:bookmarkStart w:id="25" w:name="f10q0322ex31-2_ventouxccm.htm"/>
      <w:bookmarkStart w:id="26" w:name="ksf10q0322ex312_ventouxccm"/>
      <w:bookmarkEnd w:id="25"/>
      <w:bookmarkEnd w:id="26"/>
      <w:r>
        <w:rPr>
          <w:rFonts w:ascii="Times New Roman;Times;Serif" w:hAnsi="Times New Roman;Times;Serif"/>
          <w:b/>
          <w:i w:val="false"/>
          <w:caps w:val="false"/>
          <w:smallCaps w:val="false"/>
          <w:sz w:val="20"/>
        </w:rPr>
        <w:t>Exhibit 31.2</w:t>
      </w:r>
    </w:p>
    <w:p>
      <w:pPr>
        <w:pStyle w:val="TextBody"/>
        <w:spacing w:before="0" w:after="0"/>
        <w:ind w:left="0" w:right="0" w:hanging="0"/>
        <w:jc w:val="both"/>
        <w:rPr>
          <w:caps w:val="false"/>
          <w:smallCaps w:val="false"/>
        </w:rPr>
      </w:pPr>
      <w:r>
        <w:rPr>
          <w:caps w:val="false"/>
          <w:smallCaps w:val="false"/>
        </w:rPr>
        <w:t> </w:t>
      </w:r>
    </w:p>
    <w:p>
      <w:pPr>
        <w:pStyle w:val="TextBody"/>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CERTIFICATION OF CHIEF FINANCIAL OFFICER</w:t>
      </w:r>
    </w:p>
    <w:p>
      <w:pPr>
        <w:pStyle w:val="TextBody"/>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RULE 13A-14(A) UNDER THE SECURITIES EXCHANGE ACT OF 1934,</w:t>
      </w:r>
    </w:p>
    <w:p>
      <w:pPr>
        <w:pStyle w:val="TextBody"/>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ADOPTED PURSUANT TO SECTION 302 OF THE SARBANES-OXLEY ACT OF 2002</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Matthew MacDonald, certify that:</w:t>
      </w:r>
    </w:p>
    <w:p>
      <w:pPr>
        <w:pStyle w:val="TextBody"/>
        <w:spacing w:before="0" w:after="0"/>
        <w:ind w:left="0" w:right="0" w:hanging="0"/>
        <w:jc w:val="both"/>
        <w:rPr>
          <w:caps w:val="false"/>
          <w:smallCaps w:val="false"/>
        </w:rPr>
      </w:pPr>
      <w:r>
        <w:rPr>
          <w:caps w:val="false"/>
          <w:smallCaps w:val="false"/>
        </w:rPr>
        <w:t> </w:t>
      </w:r>
    </w:p>
    <w:tbl>
      <w:tblPr>
        <w:tblW w:w="7353" w:type="dxa"/>
        <w:jc w:val="left"/>
        <w:tblInd w:w="0" w:type="dxa"/>
        <w:tblCellMar>
          <w:top w:w="0" w:type="dxa"/>
          <w:left w:w="0" w:type="dxa"/>
          <w:bottom w:w="0" w:type="dxa"/>
          <w:right w:w="0" w:type="dxa"/>
        </w:tblCellMar>
      </w:tblPr>
      <w:tblGrid>
        <w:gridCol w:w="38"/>
        <w:gridCol w:w="170"/>
        <w:gridCol w:w="7145"/>
      </w:tblGrid>
      <w:tr>
        <w:trPr/>
        <w:tc>
          <w:tcPr>
            <w:tcW w:w="38"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jc w:val="left"/>
              <w:rPr>
                <w:rFonts w:ascii="Times New Roman;Times;Serif" w:hAnsi="Times New Roman;Times;Serif"/>
                <w:sz w:val="20"/>
              </w:rPr>
            </w:pPr>
            <w:r>
              <w:rPr>
                <w:rFonts w:ascii="Times New Roman;Times;Serif" w:hAnsi="Times New Roman;Times;Serif"/>
                <w:sz w:val="20"/>
              </w:rPr>
              <w:t>1.</w:t>
            </w:r>
          </w:p>
        </w:tc>
        <w:tc>
          <w:tcPr>
            <w:tcW w:w="7145" w:type="dxa"/>
            <w:tcBorders/>
            <w:shd w:fill="auto" w:val="clear"/>
            <w:vAlign w:val="center"/>
          </w:tcPr>
          <w:p>
            <w:pPr>
              <w:pStyle w:val="TableContents"/>
              <w:spacing w:before="0" w:after="283"/>
              <w:jc w:val="both"/>
              <w:rPr>
                <w:rFonts w:ascii="Times New Roman;Times;Serif" w:hAnsi="Times New Roman;Times;Serif"/>
                <w:sz w:val="20"/>
              </w:rPr>
            </w:pPr>
            <w:r>
              <w:rPr>
                <w:rFonts w:ascii="Times New Roman;Times;Serif" w:hAnsi="Times New Roman;Times;Serif"/>
                <w:sz w:val="20"/>
              </w:rPr>
              <w:t>I have reviewed this quarterly report on Form 10-Q of Ventoux CCM Acquisition Corp.;</w:t>
            </w:r>
          </w:p>
        </w:tc>
      </w:tr>
    </w:tbl>
    <w:p>
      <w:pPr>
        <w:pStyle w:val="TextBody"/>
        <w:rPr/>
      </w:pPr>
      <w:r>
        <w:rPr/>
        <w:t> </w:t>
      </w:r>
    </w:p>
    <w:tbl>
      <w:tblPr>
        <w:tblW w:w="10205" w:type="dxa"/>
        <w:jc w:val="left"/>
        <w:tblInd w:w="0" w:type="dxa"/>
        <w:tblCellMar>
          <w:top w:w="0" w:type="dxa"/>
          <w:left w:w="0" w:type="dxa"/>
          <w:bottom w:w="0" w:type="dxa"/>
          <w:right w:w="0" w:type="dxa"/>
        </w:tblCellMar>
      </w:tblPr>
      <w:tblGrid>
        <w:gridCol w:w="38"/>
        <w:gridCol w:w="142"/>
        <w:gridCol w:w="10025"/>
      </w:tblGrid>
      <w:tr>
        <w:trPr/>
        <w:tc>
          <w:tcPr>
            <w:tcW w:w="38" w:type="dxa"/>
            <w:tcBorders/>
            <w:shd w:fill="auto" w:val="clear"/>
            <w:vAlign w:val="center"/>
          </w:tcPr>
          <w:p>
            <w:pPr>
              <w:pStyle w:val="TableContents"/>
              <w:spacing w:before="0" w:after="283"/>
              <w:rPr>
                <w:sz w:val="4"/>
                <w:szCs w:val="4"/>
              </w:rPr>
            </w:pPr>
            <w:r>
              <w:rPr>
                <w:sz w:val="4"/>
                <w:szCs w:val="4"/>
              </w:rPr>
            </w:r>
          </w:p>
        </w:tc>
        <w:tc>
          <w:tcPr>
            <w:tcW w:w="142" w:type="dxa"/>
            <w:tcBorders/>
            <w:shd w:fill="auto" w:val="clear"/>
            <w:vAlign w:val="center"/>
          </w:tcPr>
          <w:p>
            <w:pPr>
              <w:pStyle w:val="TableContents"/>
              <w:spacing w:before="0" w:after="283"/>
              <w:jc w:val="left"/>
              <w:rPr>
                <w:rFonts w:ascii="Times New Roman;Times;Serif" w:hAnsi="Times New Roman;Times;Serif"/>
                <w:sz w:val="20"/>
              </w:rPr>
            </w:pPr>
            <w:r>
              <w:rPr>
                <w:rFonts w:ascii="Times New Roman;Times;Serif" w:hAnsi="Times New Roman;Times;Serif"/>
                <w:sz w:val="20"/>
              </w:rPr>
              <w:t>2.</w:t>
            </w:r>
          </w:p>
        </w:tc>
        <w:tc>
          <w:tcPr>
            <w:tcW w:w="10025" w:type="dxa"/>
            <w:tcBorders/>
            <w:shd w:fill="auto" w:val="clear"/>
            <w:vAlign w:val="center"/>
          </w:tcPr>
          <w:p>
            <w:pPr>
              <w:pStyle w:val="TableContents"/>
              <w:spacing w:before="0" w:after="283"/>
              <w:jc w:val="both"/>
              <w:rPr>
                <w:rFonts w:ascii="Times New Roman;Times;Serif" w:hAnsi="Times New Roman;Times;Serif"/>
                <w:sz w:val="20"/>
              </w:rPr>
            </w:pPr>
            <w:r>
              <w:rPr>
                <w:rFonts w:ascii="Times New Roman;Times;Serif" w:hAnsi="Times New Roman;Times;Serif"/>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rPr/>
      </w:pPr>
      <w:r>
        <w:rPr/>
        <w:t> </w:t>
      </w:r>
    </w:p>
    <w:tbl>
      <w:tblPr>
        <w:tblW w:w="10205" w:type="dxa"/>
        <w:jc w:val="left"/>
        <w:tblInd w:w="0" w:type="dxa"/>
        <w:tblCellMar>
          <w:top w:w="0" w:type="dxa"/>
          <w:left w:w="0" w:type="dxa"/>
          <w:bottom w:w="0" w:type="dxa"/>
          <w:right w:w="0" w:type="dxa"/>
        </w:tblCellMar>
      </w:tblPr>
      <w:tblGrid>
        <w:gridCol w:w="38"/>
        <w:gridCol w:w="144"/>
        <w:gridCol w:w="10023"/>
      </w:tblGrid>
      <w:tr>
        <w:trPr/>
        <w:tc>
          <w:tcPr>
            <w:tcW w:w="38" w:type="dxa"/>
            <w:tcBorders/>
            <w:shd w:fill="auto" w:val="clear"/>
            <w:vAlign w:val="center"/>
          </w:tcPr>
          <w:p>
            <w:pPr>
              <w:pStyle w:val="TableContents"/>
              <w:spacing w:before="0" w:after="283"/>
              <w:rPr>
                <w:sz w:val="4"/>
                <w:szCs w:val="4"/>
              </w:rPr>
            </w:pPr>
            <w:r>
              <w:rPr>
                <w:sz w:val="4"/>
                <w:szCs w:val="4"/>
              </w:rPr>
            </w:r>
          </w:p>
        </w:tc>
        <w:tc>
          <w:tcPr>
            <w:tcW w:w="144" w:type="dxa"/>
            <w:tcBorders/>
            <w:shd w:fill="auto" w:val="clear"/>
            <w:vAlign w:val="center"/>
          </w:tcPr>
          <w:p>
            <w:pPr>
              <w:pStyle w:val="TableContents"/>
              <w:spacing w:before="0" w:after="283"/>
              <w:jc w:val="left"/>
              <w:rPr>
                <w:rFonts w:ascii="Times New Roman;Times;Serif" w:hAnsi="Times New Roman;Times;Serif"/>
                <w:sz w:val="20"/>
              </w:rPr>
            </w:pPr>
            <w:r>
              <w:rPr>
                <w:rFonts w:ascii="Times New Roman;Times;Serif" w:hAnsi="Times New Roman;Times;Serif"/>
                <w:sz w:val="20"/>
              </w:rPr>
              <w:t>3.</w:t>
            </w:r>
          </w:p>
        </w:tc>
        <w:tc>
          <w:tcPr>
            <w:tcW w:w="10023" w:type="dxa"/>
            <w:tcBorders/>
            <w:shd w:fill="auto" w:val="clear"/>
            <w:vAlign w:val="center"/>
          </w:tcPr>
          <w:p>
            <w:pPr>
              <w:pStyle w:val="TableContents"/>
              <w:spacing w:before="0" w:after="283"/>
              <w:jc w:val="both"/>
              <w:rPr>
                <w:rFonts w:ascii="Times New Roman;Times;Serif" w:hAnsi="Times New Roman;Times;Serif"/>
                <w:sz w:val="20"/>
              </w:rPr>
            </w:pPr>
            <w:r>
              <w:rPr>
                <w:rFonts w:ascii="Times New Roman;Times;Serif" w:hAnsi="Times New Roman;Times;Serif"/>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p>
      <w:pPr>
        <w:pStyle w:val="TextBody"/>
        <w:rPr/>
      </w:pPr>
      <w:r>
        <w:rPr/>
        <w:t> </w:t>
      </w:r>
    </w:p>
    <w:tbl>
      <w:tblPr>
        <w:tblW w:w="10205" w:type="dxa"/>
        <w:jc w:val="left"/>
        <w:tblInd w:w="0" w:type="dxa"/>
        <w:tblCellMar>
          <w:top w:w="0" w:type="dxa"/>
          <w:left w:w="0" w:type="dxa"/>
          <w:bottom w:w="0" w:type="dxa"/>
          <w:right w:w="0" w:type="dxa"/>
        </w:tblCellMar>
      </w:tblPr>
      <w:tblGrid>
        <w:gridCol w:w="38"/>
        <w:gridCol w:w="140"/>
        <w:gridCol w:w="10027"/>
      </w:tblGrid>
      <w:tr>
        <w:trPr/>
        <w:tc>
          <w:tcPr>
            <w:tcW w:w="38"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jc w:val="left"/>
              <w:rPr>
                <w:rFonts w:ascii="Times New Roman;Times;Serif" w:hAnsi="Times New Roman;Times;Serif"/>
                <w:sz w:val="20"/>
              </w:rPr>
            </w:pPr>
            <w:r>
              <w:rPr>
                <w:rFonts w:ascii="Times New Roman;Times;Serif" w:hAnsi="Times New Roman;Times;Serif"/>
                <w:sz w:val="20"/>
              </w:rPr>
              <w:t>4.</w:t>
            </w:r>
          </w:p>
        </w:tc>
        <w:tc>
          <w:tcPr>
            <w:tcW w:w="10027" w:type="dxa"/>
            <w:tcBorders/>
            <w:shd w:fill="auto" w:val="clear"/>
            <w:vAlign w:val="center"/>
          </w:tcPr>
          <w:p>
            <w:pPr>
              <w:pStyle w:val="TableContents"/>
              <w:spacing w:before="0" w:after="283"/>
              <w:jc w:val="both"/>
              <w:rPr>
                <w:rFonts w:ascii="Times New Roman;Times;Serif" w:hAnsi="Times New Roman;Times;Serif"/>
                <w:sz w:val="20"/>
              </w:rPr>
            </w:pPr>
            <w:r>
              <w:rPr>
                <w:rFonts w:ascii="Times New Roman;Times;Serif" w:hAnsi="Times New Roman;Times;Serif"/>
                <w:sz w:val="20"/>
              </w:rPr>
              <w:t>The registrant’s other certifying officer(s) and I are responsible for establishing and maintaining disclosure controls and procedures (as defined in Exchange Act Rules 13a-15(e) and 15d-15(e)) for the registrant and internal control over financial reporting (as defined in Exchange Act Rules 13a-15(f) and 15d-15(f)) for the registrant and have:</w:t>
            </w:r>
          </w:p>
        </w:tc>
      </w:tr>
    </w:tbl>
    <w:p>
      <w:pPr>
        <w:pStyle w:val="TextBody"/>
        <w:rPr/>
      </w:pPr>
      <w:r>
        <w:rPr/>
        <w:t> </w:t>
      </w:r>
    </w:p>
    <w:tbl>
      <w:tblPr>
        <w:tblW w:w="10205" w:type="dxa"/>
        <w:jc w:val="left"/>
        <w:tblInd w:w="0" w:type="dxa"/>
        <w:tblCellMar>
          <w:top w:w="0" w:type="dxa"/>
          <w:left w:w="0" w:type="dxa"/>
          <w:bottom w:w="0" w:type="dxa"/>
          <w:right w:w="0" w:type="dxa"/>
        </w:tblCellMar>
      </w:tblPr>
      <w:tblGrid>
        <w:gridCol w:w="38"/>
        <w:gridCol w:w="131"/>
        <w:gridCol w:w="10036"/>
      </w:tblGrid>
      <w:tr>
        <w:trPr/>
        <w:tc>
          <w:tcPr>
            <w:tcW w:w="38" w:type="dxa"/>
            <w:tcBorders/>
            <w:shd w:fill="auto" w:val="clear"/>
            <w:vAlign w:val="center"/>
          </w:tcPr>
          <w:p>
            <w:pPr>
              <w:pStyle w:val="TableContents"/>
              <w:spacing w:before="0" w:after="283"/>
              <w:rPr>
                <w:sz w:val="4"/>
                <w:szCs w:val="4"/>
              </w:rPr>
            </w:pPr>
            <w:r>
              <w:rPr>
                <w:sz w:val="4"/>
                <w:szCs w:val="4"/>
              </w:rPr>
            </w:r>
          </w:p>
        </w:tc>
        <w:tc>
          <w:tcPr>
            <w:tcW w:w="131" w:type="dxa"/>
            <w:tcBorders/>
            <w:shd w:fill="auto" w:val="clear"/>
            <w:vAlign w:val="center"/>
          </w:tcPr>
          <w:p>
            <w:pPr>
              <w:pStyle w:val="TableContents"/>
              <w:spacing w:before="0" w:after="283"/>
              <w:jc w:val="left"/>
              <w:rPr>
                <w:rFonts w:ascii="Times New Roman;Times;Serif" w:hAnsi="Times New Roman;Times;Serif"/>
                <w:sz w:val="20"/>
              </w:rPr>
            </w:pPr>
            <w:r>
              <w:rPr>
                <w:rFonts w:ascii="Times New Roman;Times;Serif" w:hAnsi="Times New Roman;Times;Serif"/>
                <w:sz w:val="20"/>
              </w:rPr>
              <w:t>a)</w:t>
            </w:r>
          </w:p>
        </w:tc>
        <w:tc>
          <w:tcPr>
            <w:tcW w:w="10036" w:type="dxa"/>
            <w:tcBorders/>
            <w:shd w:fill="auto" w:val="clear"/>
            <w:vAlign w:val="center"/>
          </w:tcPr>
          <w:p>
            <w:pPr>
              <w:pStyle w:val="TableContents"/>
              <w:spacing w:before="0" w:after="283"/>
              <w:jc w:val="both"/>
              <w:rPr>
                <w:rFonts w:ascii="Times New Roman;Times;Serif" w:hAnsi="Times New Roman;Times;Serif"/>
                <w:sz w:val="20"/>
              </w:rPr>
            </w:pPr>
            <w:r>
              <w:rPr>
                <w:rFonts w:ascii="Times New Roman;Times;Serif" w:hAnsi="Times New Roman;Times;Serif"/>
                <w:sz w:val="20"/>
              </w:rPr>
              <w:t>Designed such disclosure controls and procedures, or caused such disclosure controls and procedures to be designed under my supervision, to ensure that material information relating to the registrant, is made known to us by others within those entities, particularly during the period in which this report is being prepared; and</w:t>
            </w:r>
          </w:p>
        </w:tc>
      </w:tr>
    </w:tbl>
    <w:p>
      <w:pPr>
        <w:pStyle w:val="TextBody"/>
        <w:rPr/>
      </w:pPr>
      <w:r>
        <w:rPr/>
        <w:t> </w:t>
      </w:r>
    </w:p>
    <w:tbl>
      <w:tblPr>
        <w:tblW w:w="7893" w:type="dxa"/>
        <w:jc w:val="left"/>
        <w:tblInd w:w="0" w:type="dxa"/>
        <w:tblCellMar>
          <w:top w:w="0" w:type="dxa"/>
          <w:left w:w="0" w:type="dxa"/>
          <w:bottom w:w="0" w:type="dxa"/>
          <w:right w:w="0" w:type="dxa"/>
        </w:tblCellMar>
      </w:tblPr>
      <w:tblGrid>
        <w:gridCol w:w="38"/>
        <w:gridCol w:w="185"/>
        <w:gridCol w:w="7670"/>
      </w:tblGrid>
      <w:tr>
        <w:trPr/>
        <w:tc>
          <w:tcPr>
            <w:tcW w:w="38" w:type="dxa"/>
            <w:tcBorders/>
            <w:shd w:fill="auto" w:val="clear"/>
            <w:vAlign w:val="center"/>
          </w:tcPr>
          <w:p>
            <w:pPr>
              <w:pStyle w:val="TableContents"/>
              <w:spacing w:before="0" w:after="283"/>
              <w:rPr>
                <w:sz w:val="4"/>
                <w:szCs w:val="4"/>
              </w:rPr>
            </w:pPr>
            <w:r>
              <w:rPr>
                <w:sz w:val="4"/>
                <w:szCs w:val="4"/>
              </w:rPr>
            </w:r>
          </w:p>
        </w:tc>
        <w:tc>
          <w:tcPr>
            <w:tcW w:w="185" w:type="dxa"/>
            <w:tcBorders/>
            <w:shd w:fill="auto" w:val="clear"/>
            <w:vAlign w:val="center"/>
          </w:tcPr>
          <w:p>
            <w:pPr>
              <w:pStyle w:val="TableContents"/>
              <w:spacing w:before="0" w:after="283"/>
              <w:jc w:val="left"/>
              <w:rPr>
                <w:rFonts w:ascii="Times New Roman;Times;Serif" w:hAnsi="Times New Roman;Times;Serif"/>
                <w:sz w:val="20"/>
              </w:rPr>
            </w:pPr>
            <w:r>
              <w:rPr>
                <w:rFonts w:ascii="Times New Roman;Times;Serif" w:hAnsi="Times New Roman;Times;Serif"/>
                <w:sz w:val="20"/>
              </w:rPr>
              <w:t>b)</w:t>
            </w:r>
          </w:p>
        </w:tc>
        <w:tc>
          <w:tcPr>
            <w:tcW w:w="7670" w:type="dxa"/>
            <w:tcBorders/>
            <w:shd w:fill="auto" w:val="clear"/>
            <w:vAlign w:val="center"/>
          </w:tcPr>
          <w:p>
            <w:pPr>
              <w:pStyle w:val="TableContents"/>
              <w:spacing w:before="0" w:after="283"/>
              <w:jc w:val="both"/>
              <w:rPr>
                <w:rFonts w:ascii="Times New Roman;Times;Serif" w:hAnsi="Times New Roman;Times;Serif"/>
                <w:sz w:val="20"/>
              </w:rPr>
            </w:pPr>
            <w:r>
              <w:rPr>
                <w:rFonts w:ascii="Times New Roman;Times;Serif" w:hAnsi="Times New Roman;Times;Serif"/>
                <w:sz w:val="20"/>
              </w:rPr>
              <w:t>(Paragraph omitted pursuant to SEC Release Nos. 33-8238/34-47986 and 33-8392/34-49313);</w:t>
            </w:r>
          </w:p>
        </w:tc>
      </w:tr>
    </w:tbl>
    <w:p>
      <w:pPr>
        <w:pStyle w:val="TextBody"/>
        <w:rPr/>
      </w:pPr>
      <w:r>
        <w:rPr/>
        <w:t> </w:t>
      </w:r>
    </w:p>
    <w:tbl>
      <w:tblPr>
        <w:tblW w:w="10205" w:type="dxa"/>
        <w:jc w:val="left"/>
        <w:tblInd w:w="0" w:type="dxa"/>
        <w:tblCellMar>
          <w:top w:w="0" w:type="dxa"/>
          <w:left w:w="0" w:type="dxa"/>
          <w:bottom w:w="0" w:type="dxa"/>
          <w:right w:w="0" w:type="dxa"/>
        </w:tblCellMar>
      </w:tblPr>
      <w:tblGrid>
        <w:gridCol w:w="38"/>
        <w:gridCol w:w="135"/>
        <w:gridCol w:w="10032"/>
      </w:tblGrid>
      <w:tr>
        <w:trPr/>
        <w:tc>
          <w:tcPr>
            <w:tcW w:w="38" w:type="dxa"/>
            <w:tcBorders/>
            <w:shd w:fill="auto" w:val="clear"/>
            <w:vAlign w:val="center"/>
          </w:tcPr>
          <w:p>
            <w:pPr>
              <w:pStyle w:val="TableContents"/>
              <w:spacing w:before="0" w:after="283"/>
              <w:rPr>
                <w:sz w:val="4"/>
                <w:szCs w:val="4"/>
              </w:rPr>
            </w:pPr>
            <w:r>
              <w:rPr>
                <w:sz w:val="4"/>
                <w:szCs w:val="4"/>
              </w:rPr>
            </w:r>
          </w:p>
        </w:tc>
        <w:tc>
          <w:tcPr>
            <w:tcW w:w="135" w:type="dxa"/>
            <w:tcBorders/>
            <w:shd w:fill="auto" w:val="clear"/>
            <w:vAlign w:val="center"/>
          </w:tcPr>
          <w:p>
            <w:pPr>
              <w:pStyle w:val="TableContents"/>
              <w:spacing w:before="0" w:after="283"/>
              <w:jc w:val="left"/>
              <w:rPr>
                <w:rFonts w:ascii="Times New Roman;Times;Serif" w:hAnsi="Times New Roman;Times;Serif"/>
                <w:sz w:val="20"/>
              </w:rPr>
            </w:pPr>
            <w:r>
              <w:rPr>
                <w:rFonts w:ascii="Times New Roman;Times;Serif" w:hAnsi="Times New Roman;Times;Serif"/>
                <w:sz w:val="20"/>
              </w:rPr>
              <w:t>c)</w:t>
            </w:r>
          </w:p>
        </w:tc>
        <w:tc>
          <w:tcPr>
            <w:tcW w:w="10032" w:type="dxa"/>
            <w:tcBorders/>
            <w:shd w:fill="auto" w:val="clear"/>
            <w:vAlign w:val="center"/>
          </w:tcPr>
          <w:p>
            <w:pPr>
              <w:pStyle w:val="TableContents"/>
              <w:spacing w:before="0" w:after="283"/>
              <w:jc w:val="both"/>
              <w:rPr>
                <w:rFonts w:ascii="Times New Roman;Times;Serif" w:hAnsi="Times New Roman;Times;Serif"/>
                <w:sz w:val="20"/>
              </w:rPr>
            </w:pPr>
            <w:r>
              <w:rPr>
                <w:rFonts w:ascii="Times New Roman;Times;Serif" w:hAnsi="Times New Roman;Times;Serif"/>
                <w:sz w:val="20"/>
              </w:rPr>
              <w:t>Evaluated the effectiveness of the registrant’s disclosure controls and procedures and presented in this report my conclusions about the effectiveness of the disclosure controls and procedures, as of the end of the period covered by this report based on such evaluation; and</w:t>
            </w:r>
          </w:p>
        </w:tc>
      </w:tr>
    </w:tbl>
    <w:p>
      <w:pPr>
        <w:pStyle w:val="TextBody"/>
        <w:rPr/>
      </w:pPr>
      <w:r>
        <w:rPr/>
        <w:t> </w:t>
      </w:r>
    </w:p>
    <w:tbl>
      <w:tblPr>
        <w:tblW w:w="10205" w:type="dxa"/>
        <w:jc w:val="left"/>
        <w:tblInd w:w="0" w:type="dxa"/>
        <w:tblCellMar>
          <w:top w:w="0" w:type="dxa"/>
          <w:left w:w="0" w:type="dxa"/>
          <w:bottom w:w="0" w:type="dxa"/>
          <w:right w:w="0" w:type="dxa"/>
        </w:tblCellMar>
      </w:tblPr>
      <w:tblGrid>
        <w:gridCol w:w="38"/>
        <w:gridCol w:w="144"/>
        <w:gridCol w:w="10023"/>
      </w:tblGrid>
      <w:tr>
        <w:trPr/>
        <w:tc>
          <w:tcPr>
            <w:tcW w:w="38" w:type="dxa"/>
            <w:tcBorders/>
            <w:shd w:fill="auto" w:val="clear"/>
            <w:vAlign w:val="center"/>
          </w:tcPr>
          <w:p>
            <w:pPr>
              <w:pStyle w:val="TableContents"/>
              <w:spacing w:before="0" w:after="283"/>
              <w:rPr>
                <w:sz w:val="4"/>
                <w:szCs w:val="4"/>
              </w:rPr>
            </w:pPr>
            <w:r>
              <w:rPr>
                <w:sz w:val="4"/>
                <w:szCs w:val="4"/>
              </w:rPr>
            </w:r>
          </w:p>
        </w:tc>
        <w:tc>
          <w:tcPr>
            <w:tcW w:w="144" w:type="dxa"/>
            <w:tcBorders/>
            <w:shd w:fill="auto" w:val="clear"/>
            <w:vAlign w:val="center"/>
          </w:tcPr>
          <w:p>
            <w:pPr>
              <w:pStyle w:val="TableContents"/>
              <w:spacing w:before="0" w:after="283"/>
              <w:jc w:val="left"/>
              <w:rPr>
                <w:rFonts w:ascii="Times New Roman;Times;Serif" w:hAnsi="Times New Roman;Times;Serif"/>
                <w:sz w:val="20"/>
              </w:rPr>
            </w:pPr>
            <w:r>
              <w:rPr>
                <w:rFonts w:ascii="Times New Roman;Times;Serif" w:hAnsi="Times New Roman;Times;Serif"/>
                <w:sz w:val="20"/>
              </w:rPr>
              <w:t>d)</w:t>
            </w:r>
          </w:p>
        </w:tc>
        <w:tc>
          <w:tcPr>
            <w:tcW w:w="10023" w:type="dxa"/>
            <w:tcBorders/>
            <w:shd w:fill="auto" w:val="clear"/>
            <w:vAlign w:val="center"/>
          </w:tcPr>
          <w:p>
            <w:pPr>
              <w:pStyle w:val="TableContents"/>
              <w:spacing w:before="0" w:after="283"/>
              <w:jc w:val="both"/>
              <w:rPr>
                <w:rFonts w:ascii="Times New Roman;Times;Serif" w:hAnsi="Times New Roman;Times;Serif"/>
                <w:sz w:val="20"/>
              </w:rPr>
            </w:pPr>
            <w:r>
              <w:rPr>
                <w:rFonts w:ascii="Times New Roman;Times;Serif" w:hAnsi="Times New Roman;Times;Serif"/>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rPr/>
      </w:pPr>
      <w:r>
        <w:rPr/>
        <w:t> </w:t>
      </w:r>
    </w:p>
    <w:tbl>
      <w:tblPr>
        <w:tblW w:w="10205" w:type="dxa"/>
        <w:jc w:val="left"/>
        <w:tblInd w:w="0" w:type="dxa"/>
        <w:tblCellMar>
          <w:top w:w="0" w:type="dxa"/>
          <w:left w:w="0" w:type="dxa"/>
          <w:bottom w:w="0" w:type="dxa"/>
          <w:right w:w="0" w:type="dxa"/>
        </w:tblCellMar>
      </w:tblPr>
      <w:tblGrid>
        <w:gridCol w:w="38"/>
        <w:gridCol w:w="143"/>
        <w:gridCol w:w="10024"/>
      </w:tblGrid>
      <w:tr>
        <w:trPr/>
        <w:tc>
          <w:tcPr>
            <w:tcW w:w="38" w:type="dxa"/>
            <w:tcBorders/>
            <w:shd w:fill="auto" w:val="clear"/>
            <w:vAlign w:val="center"/>
          </w:tcPr>
          <w:p>
            <w:pPr>
              <w:pStyle w:val="TableContents"/>
              <w:spacing w:before="0" w:after="283"/>
              <w:rPr>
                <w:sz w:val="4"/>
                <w:szCs w:val="4"/>
              </w:rPr>
            </w:pPr>
            <w:r>
              <w:rPr>
                <w:sz w:val="4"/>
                <w:szCs w:val="4"/>
              </w:rPr>
            </w:r>
          </w:p>
        </w:tc>
        <w:tc>
          <w:tcPr>
            <w:tcW w:w="143" w:type="dxa"/>
            <w:tcBorders/>
            <w:shd w:fill="auto" w:val="clear"/>
            <w:vAlign w:val="center"/>
          </w:tcPr>
          <w:p>
            <w:pPr>
              <w:pStyle w:val="TableContents"/>
              <w:spacing w:before="0" w:after="283"/>
              <w:jc w:val="left"/>
              <w:rPr>
                <w:rFonts w:ascii="Times New Roman;Times;Serif" w:hAnsi="Times New Roman;Times;Serif"/>
                <w:sz w:val="20"/>
              </w:rPr>
            </w:pPr>
            <w:r>
              <w:rPr>
                <w:rFonts w:ascii="Times New Roman;Times;Serif" w:hAnsi="Times New Roman;Times;Serif"/>
                <w:sz w:val="20"/>
              </w:rPr>
              <w:t>5.</w:t>
            </w:r>
          </w:p>
        </w:tc>
        <w:tc>
          <w:tcPr>
            <w:tcW w:w="10024" w:type="dxa"/>
            <w:tcBorders/>
            <w:shd w:fill="auto" w:val="clear"/>
            <w:vAlign w:val="center"/>
          </w:tcPr>
          <w:p>
            <w:pPr>
              <w:pStyle w:val="TableContents"/>
              <w:spacing w:before="0" w:after="283"/>
              <w:jc w:val="both"/>
              <w:rPr>
                <w:rFonts w:ascii="Times New Roman;Times;Serif" w:hAnsi="Times New Roman;Times;Serif"/>
                <w:sz w:val="20"/>
              </w:rPr>
            </w:pPr>
            <w:r>
              <w:rPr>
                <w:rFonts w:ascii="Times New Roman;Times;Serif" w:hAnsi="Times New Roman;Times;Serif"/>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rPr/>
      </w:pPr>
      <w:r>
        <w:rPr/>
        <w:t> </w:t>
      </w:r>
    </w:p>
    <w:tbl>
      <w:tblPr>
        <w:tblW w:w="10205" w:type="dxa"/>
        <w:jc w:val="left"/>
        <w:tblInd w:w="0" w:type="dxa"/>
        <w:tblCellMar>
          <w:top w:w="0" w:type="dxa"/>
          <w:left w:w="0" w:type="dxa"/>
          <w:bottom w:w="0" w:type="dxa"/>
          <w:right w:w="0" w:type="dxa"/>
        </w:tblCellMar>
      </w:tblPr>
      <w:tblGrid>
        <w:gridCol w:w="38"/>
        <w:gridCol w:w="137"/>
        <w:gridCol w:w="10030"/>
      </w:tblGrid>
      <w:tr>
        <w:trPr/>
        <w:tc>
          <w:tcPr>
            <w:tcW w:w="38" w:type="dxa"/>
            <w:tcBorders/>
            <w:shd w:fill="auto" w:val="clear"/>
            <w:vAlign w:val="center"/>
          </w:tcPr>
          <w:p>
            <w:pPr>
              <w:pStyle w:val="TableContents"/>
              <w:spacing w:before="0" w:after="283"/>
              <w:rPr>
                <w:sz w:val="4"/>
                <w:szCs w:val="4"/>
              </w:rPr>
            </w:pPr>
            <w:r>
              <w:rPr>
                <w:sz w:val="4"/>
                <w:szCs w:val="4"/>
              </w:rPr>
            </w:r>
          </w:p>
        </w:tc>
        <w:tc>
          <w:tcPr>
            <w:tcW w:w="137" w:type="dxa"/>
            <w:tcBorders/>
            <w:shd w:fill="auto" w:val="clear"/>
            <w:vAlign w:val="center"/>
          </w:tcPr>
          <w:p>
            <w:pPr>
              <w:pStyle w:val="TableContents"/>
              <w:spacing w:before="0" w:after="283"/>
              <w:jc w:val="left"/>
              <w:rPr>
                <w:rFonts w:ascii="Times New Roman;Times;Serif" w:hAnsi="Times New Roman;Times;Serif"/>
                <w:sz w:val="20"/>
              </w:rPr>
            </w:pPr>
            <w:r>
              <w:rPr>
                <w:rFonts w:ascii="Times New Roman;Times;Serif" w:hAnsi="Times New Roman;Times;Serif"/>
                <w:sz w:val="20"/>
              </w:rPr>
              <w:t>a)</w:t>
            </w:r>
          </w:p>
        </w:tc>
        <w:tc>
          <w:tcPr>
            <w:tcW w:w="10030" w:type="dxa"/>
            <w:tcBorders/>
            <w:shd w:fill="auto" w:val="clear"/>
            <w:vAlign w:val="center"/>
          </w:tcPr>
          <w:p>
            <w:pPr>
              <w:pStyle w:val="TableContents"/>
              <w:spacing w:before="0" w:after="283"/>
              <w:jc w:val="both"/>
              <w:rPr>
                <w:rFonts w:ascii="Times New Roman;Times;Serif" w:hAnsi="Times New Roman;Times;Serif"/>
                <w:sz w:val="20"/>
              </w:rPr>
            </w:pPr>
            <w:r>
              <w:rPr>
                <w:rFonts w:ascii="Times New Roman;Times;Serif" w:hAnsi="Times New Roman;Times;Serif"/>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p>
      <w:pPr>
        <w:pStyle w:val="TextBody"/>
        <w:rPr/>
      </w:pPr>
      <w:r>
        <w:rPr/>
        <w:t> </w:t>
      </w:r>
    </w:p>
    <w:tbl>
      <w:tblPr>
        <w:tblW w:w="10205" w:type="dxa"/>
        <w:jc w:val="left"/>
        <w:tblInd w:w="0" w:type="dxa"/>
        <w:tblCellMar>
          <w:top w:w="0" w:type="dxa"/>
          <w:left w:w="0" w:type="dxa"/>
          <w:bottom w:w="0" w:type="dxa"/>
          <w:right w:w="0" w:type="dxa"/>
        </w:tblCellMar>
      </w:tblPr>
      <w:tblGrid>
        <w:gridCol w:w="38"/>
        <w:gridCol w:w="167"/>
        <w:gridCol w:w="10000"/>
      </w:tblGrid>
      <w:tr>
        <w:trPr/>
        <w:tc>
          <w:tcPr>
            <w:tcW w:w="38" w:type="dxa"/>
            <w:tcBorders/>
            <w:shd w:fill="auto" w:val="clear"/>
            <w:vAlign w:val="center"/>
          </w:tcPr>
          <w:p>
            <w:pPr>
              <w:pStyle w:val="TableContents"/>
              <w:spacing w:before="0" w:after="283"/>
              <w:rPr>
                <w:sz w:val="4"/>
                <w:szCs w:val="4"/>
              </w:rPr>
            </w:pPr>
            <w:r>
              <w:rPr>
                <w:sz w:val="4"/>
                <w:szCs w:val="4"/>
              </w:rPr>
            </w:r>
          </w:p>
        </w:tc>
        <w:tc>
          <w:tcPr>
            <w:tcW w:w="167" w:type="dxa"/>
            <w:tcBorders/>
            <w:shd w:fill="auto" w:val="clear"/>
            <w:vAlign w:val="center"/>
          </w:tcPr>
          <w:p>
            <w:pPr>
              <w:pStyle w:val="TableContents"/>
              <w:spacing w:before="0" w:after="283"/>
              <w:jc w:val="left"/>
              <w:rPr>
                <w:rFonts w:ascii="Times New Roman;Times;Serif" w:hAnsi="Times New Roman;Times;Serif"/>
                <w:sz w:val="20"/>
              </w:rPr>
            </w:pPr>
            <w:r>
              <w:rPr>
                <w:rFonts w:ascii="Times New Roman;Times;Serif" w:hAnsi="Times New Roman;Times;Serif"/>
                <w:sz w:val="20"/>
              </w:rPr>
              <w:t>b)</w:t>
            </w:r>
          </w:p>
        </w:tc>
        <w:tc>
          <w:tcPr>
            <w:tcW w:w="10000" w:type="dxa"/>
            <w:tcBorders/>
            <w:shd w:fill="auto" w:val="clear"/>
            <w:vAlign w:val="center"/>
          </w:tcPr>
          <w:p>
            <w:pPr>
              <w:pStyle w:val="TableContents"/>
              <w:spacing w:before="0" w:after="283"/>
              <w:jc w:val="both"/>
              <w:rPr>
                <w:rFonts w:ascii="Times New Roman;Times;Serif" w:hAnsi="Times New Roman;Times;Serif"/>
                <w:sz w:val="20"/>
              </w:rPr>
            </w:pPr>
            <w:r>
              <w:rPr>
                <w:rFonts w:ascii="Times New Roman;Times;Serif" w:hAnsi="Times New Roman;Times;Serif"/>
                <w:sz w:val="20"/>
              </w:rPr>
              <w:t>Any fraud, whether or not material, that involves management or other employees who have a significant role in the registrant’s internal control over financial reporting.</w:t>
            </w:r>
          </w:p>
        </w:tc>
      </w:tr>
    </w:tbl>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May 13, 2022</w:t>
      </w:r>
    </w:p>
    <w:p>
      <w:pPr>
        <w:pStyle w:val="TextBody"/>
        <w:spacing w:before="0" w:after="0"/>
        <w:ind w:left="0" w:right="0" w:hanging="0"/>
        <w:jc w:val="both"/>
        <w:rPr>
          <w:caps w:val="false"/>
          <w:smallCaps w:val="false"/>
        </w:rPr>
      </w:pPr>
      <w:r>
        <w:rPr>
          <w:caps w:val="false"/>
          <w:smallCaps w:val="false"/>
        </w:rPr>
        <w:t> </w:t>
      </w:r>
    </w:p>
    <w:tbl>
      <w:tblPr>
        <w:tblW w:w="3725" w:type="dxa"/>
        <w:jc w:val="left"/>
        <w:tblInd w:w="0" w:type="dxa"/>
        <w:tblCellMar>
          <w:top w:w="0" w:type="dxa"/>
          <w:left w:w="0" w:type="dxa"/>
          <w:bottom w:w="0" w:type="dxa"/>
          <w:right w:w="0" w:type="dxa"/>
        </w:tblCellMar>
      </w:tblPr>
      <w:tblGrid>
        <w:gridCol w:w="75"/>
        <w:gridCol w:w="3650"/>
      </w:tblGrid>
      <w:tr>
        <w:trPr/>
        <w:tc>
          <w:tcPr>
            <w:tcW w:w="75" w:type="dxa"/>
            <w:tcBorders/>
            <w:shd w:fill="auto" w:val="clear"/>
            <w:vAlign w:val="center"/>
          </w:tcPr>
          <w:p>
            <w:pPr>
              <w:pStyle w:val="TableContents"/>
              <w:spacing w:before="0" w:after="283"/>
              <w:jc w:val="left"/>
              <w:rPr>
                <w:caps w:val="false"/>
                <w:smallCaps w:val="false"/>
              </w:rPr>
            </w:pPr>
            <w:r>
              <w:rPr>
                <w:caps w:val="false"/>
                <w:smallCaps w:val="false"/>
              </w:rPr>
              <w:t> </w:t>
            </w:r>
          </w:p>
        </w:tc>
        <w:tc>
          <w:tcPr>
            <w:tcW w:w="3650" w:type="dxa"/>
            <w:tcBorders>
              <w:bottom w:val="single" w:sz="12" w:space="0" w:color="000000"/>
            </w:tcBorders>
            <w:shd w:fill="auto" w:val="clear"/>
            <w:tcMar>
              <w:bottom w:w="28" w:type="dxa"/>
            </w:tcM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Matthew MacDonald</w:t>
            </w:r>
          </w:p>
        </w:tc>
      </w:tr>
      <w:tr>
        <w:trPr/>
        <w:tc>
          <w:tcPr>
            <w:tcW w:w="75" w:type="dxa"/>
            <w:tcBorders/>
            <w:shd w:fill="auto" w:val="clear"/>
            <w:vAlign w:val="center"/>
          </w:tcPr>
          <w:p>
            <w:pPr>
              <w:pStyle w:val="TableContents"/>
              <w:spacing w:before="0" w:after="283"/>
              <w:jc w:val="left"/>
              <w:rPr>
                <w:caps w:val="false"/>
                <w:smallCaps w:val="false"/>
              </w:rPr>
            </w:pPr>
            <w:r>
              <w:rPr>
                <w:caps w:val="false"/>
                <w:smallCaps w:val="false"/>
              </w:rPr>
              <w:t> </w:t>
            </w:r>
          </w:p>
        </w:tc>
        <w:tc>
          <w:tcPr>
            <w:tcW w:w="3650" w:type="dxa"/>
            <w:tcBorders/>
            <w:shd w:fill="auto"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Matthew MacDonald</w:t>
            </w:r>
          </w:p>
        </w:tc>
      </w:tr>
      <w:tr>
        <w:trPr/>
        <w:tc>
          <w:tcPr>
            <w:tcW w:w="75" w:type="dxa"/>
            <w:tcBorders/>
            <w:shd w:fill="auto" w:val="clear"/>
            <w:vAlign w:val="center"/>
          </w:tcPr>
          <w:p>
            <w:pPr>
              <w:pStyle w:val="TableContents"/>
              <w:spacing w:before="0" w:after="283"/>
              <w:jc w:val="left"/>
              <w:rPr>
                <w:caps w:val="false"/>
                <w:smallCaps w:val="false"/>
              </w:rPr>
            </w:pPr>
            <w:r>
              <w:rPr>
                <w:caps w:val="false"/>
                <w:smallCaps w:val="false"/>
              </w:rPr>
              <w:t> </w:t>
            </w:r>
          </w:p>
        </w:tc>
        <w:tc>
          <w:tcPr>
            <w:tcW w:w="3650" w:type="dxa"/>
            <w:tcBorders/>
            <w:shd w:fill="auto"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Financial Officer</w:t>
            </w:r>
          </w:p>
        </w:tc>
      </w:tr>
      <w:tr>
        <w:trPr/>
        <w:tc>
          <w:tcPr>
            <w:tcW w:w="75" w:type="dxa"/>
            <w:tcBorders/>
            <w:shd w:fill="auto" w:val="clear"/>
            <w:vAlign w:val="center"/>
          </w:tcPr>
          <w:p>
            <w:pPr>
              <w:pStyle w:val="TableContents"/>
              <w:spacing w:before="0" w:after="283"/>
              <w:jc w:val="left"/>
              <w:rPr>
                <w:caps w:val="false"/>
                <w:smallCaps w:val="false"/>
              </w:rPr>
            </w:pPr>
            <w:r>
              <w:rPr>
                <w:caps w:val="false"/>
                <w:smallCaps w:val="false"/>
              </w:rPr>
              <w:t> </w:t>
            </w:r>
          </w:p>
        </w:tc>
        <w:tc>
          <w:tcPr>
            <w:tcW w:w="3650" w:type="dxa"/>
            <w:tcBorders/>
            <w:shd w:fill="auto"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(Principal Accounting and Financial Officer)</w:t>
            </w:r>
          </w:p>
        </w:tc>
      </w:tr>
    </w:tbl>
    <w:p>
      <w:pPr>
        <w:pStyle w:val="TextBody"/>
        <w:spacing w:before="0" w:after="0"/>
        <w:ind w:left="0" w:right="0" w:hanging="0"/>
        <w:jc w:val="right"/>
        <w:rPr>
          <w:rFonts w:ascii="Times New Roman;Times;Serif" w:hAnsi="Times New Roman;Times;Serif"/>
          <w:b/>
          <w:i w:val="false"/>
          <w:caps w:val="false"/>
          <w:smallCaps w:val="false"/>
          <w:sz w:val="20"/>
        </w:rPr>
      </w:pPr>
      <w:r>
        <w:br w:type="page"/>
      </w:r>
      <w:bookmarkStart w:id="27" w:name="f10q0322ex32-1_ventouxccm.htm"/>
      <w:bookmarkStart w:id="28" w:name="ksf10q0322ex321_ventouxccm"/>
      <w:bookmarkEnd w:id="27"/>
      <w:bookmarkEnd w:id="28"/>
      <w:r>
        <w:rPr>
          <w:rFonts w:ascii="Times New Roman;Times;Serif" w:hAnsi="Times New Roman;Times;Serif"/>
          <w:b/>
          <w:i w:val="false"/>
          <w:caps w:val="false"/>
          <w:smallCaps w:val="false"/>
          <w:sz w:val="20"/>
        </w:rPr>
        <w:t>Exhibit 32.1</w:t>
      </w:r>
    </w:p>
    <w:p>
      <w:pPr>
        <w:pStyle w:val="TextBody"/>
        <w:spacing w:before="0" w:after="0"/>
        <w:ind w:left="0" w:right="0" w:hanging="0"/>
        <w:jc w:val="both"/>
        <w:rPr>
          <w:caps w:val="false"/>
          <w:smallCaps w:val="false"/>
        </w:rPr>
      </w:pPr>
      <w:r>
        <w:rPr>
          <w:caps w:val="false"/>
          <w:smallCaps w:val="false"/>
        </w:rPr>
        <w:t> </w:t>
      </w:r>
    </w:p>
    <w:p>
      <w:pPr>
        <w:pStyle w:val="TextBody"/>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CERTIFICATION PURSUANT TO</w:t>
      </w:r>
    </w:p>
    <w:p>
      <w:pPr>
        <w:pStyle w:val="TextBody"/>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18 U.S.C. SECTION 1350</w:t>
      </w:r>
    </w:p>
    <w:p>
      <w:pPr>
        <w:pStyle w:val="TextBody"/>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ADOPTED PURSUANT TO</w:t>
      </w:r>
    </w:p>
    <w:p>
      <w:pPr>
        <w:pStyle w:val="TextBody"/>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906 OF THE SARBANES-OXLEY ACT OF 2002</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Quarterly Report of Ventoux CCM Acquisition Corp. (the “Company”) on Form 10-Q for the quarterly period ended March 31, 2022, as filed with the Securities and Exchange Commission (the “Report”), I, Edward Scheetz, Chief Executive Officer of the Company, certify, pursuant to 18 U.S.C. §1350, as adopted pursuant to §906 of the Sarbanes-Oxley Act of 2002, that:</w:t>
      </w:r>
    </w:p>
    <w:p>
      <w:pPr>
        <w:pStyle w:val="TextBody"/>
        <w:spacing w:before="0" w:after="0"/>
        <w:ind w:left="0" w:right="0" w:hanging="0"/>
        <w:jc w:val="both"/>
        <w:rPr>
          <w:caps w:val="false"/>
          <w:smallCaps w:val="false"/>
        </w:rPr>
      </w:pPr>
      <w:r>
        <w:rPr>
          <w:caps w:val="false"/>
          <w:smallCaps w:val="false"/>
        </w:rPr>
        <w:t> </w:t>
      </w:r>
    </w:p>
    <w:tbl>
      <w:tblPr>
        <w:tblW w:w="9753" w:type="dxa"/>
        <w:jc w:val="left"/>
        <w:tblInd w:w="0" w:type="dxa"/>
        <w:tblCellMar>
          <w:top w:w="0" w:type="dxa"/>
          <w:left w:w="0" w:type="dxa"/>
          <w:bottom w:w="0" w:type="dxa"/>
          <w:right w:w="0" w:type="dxa"/>
        </w:tblCellMar>
      </w:tblPr>
      <w:tblGrid>
        <w:gridCol w:w="38"/>
        <w:gridCol w:w="170"/>
        <w:gridCol w:w="9545"/>
      </w:tblGrid>
      <w:tr>
        <w:trPr/>
        <w:tc>
          <w:tcPr>
            <w:tcW w:w="38"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jc w:val="left"/>
              <w:rPr>
                <w:rFonts w:ascii="Times New Roman;Times;Serif" w:hAnsi="Times New Roman;Times;Serif"/>
                <w:sz w:val="20"/>
              </w:rPr>
            </w:pPr>
            <w:r>
              <w:rPr>
                <w:rFonts w:ascii="Times New Roman;Times;Serif" w:hAnsi="Times New Roman;Times;Serif"/>
                <w:sz w:val="20"/>
              </w:rPr>
              <w:t>1.</w:t>
            </w:r>
          </w:p>
        </w:tc>
        <w:tc>
          <w:tcPr>
            <w:tcW w:w="9545" w:type="dxa"/>
            <w:tcBorders/>
            <w:shd w:fill="auto" w:val="clear"/>
            <w:vAlign w:val="center"/>
          </w:tcPr>
          <w:p>
            <w:pPr>
              <w:pStyle w:val="TableContents"/>
              <w:spacing w:before="0" w:after="283"/>
              <w:jc w:val="both"/>
              <w:rPr>
                <w:rFonts w:ascii="Times New Roman;Times;Serif" w:hAnsi="Times New Roman;Times;Serif"/>
                <w:sz w:val="20"/>
              </w:rPr>
            </w:pPr>
            <w:r>
              <w:rPr>
                <w:rFonts w:ascii="Times New Roman;Times;Serif" w:hAnsi="Times New Roman;Times;Serif"/>
                <w:sz w:val="20"/>
              </w:rPr>
              <w:t>the Report fully complies with the requirements of Section 13(a) or 15(d) of the Securities Exchange Act of 1934; and</w:t>
            </w:r>
          </w:p>
        </w:tc>
      </w:tr>
    </w:tbl>
    <w:p>
      <w:pPr>
        <w:pStyle w:val="TextBody"/>
        <w:rPr/>
      </w:pPr>
      <w:r>
        <w:rPr/>
        <w:t> </w:t>
      </w:r>
    </w:p>
    <w:tbl>
      <w:tblPr>
        <w:tblW w:w="10205" w:type="dxa"/>
        <w:jc w:val="left"/>
        <w:tblInd w:w="0" w:type="dxa"/>
        <w:tblCellMar>
          <w:top w:w="0" w:type="dxa"/>
          <w:left w:w="0" w:type="dxa"/>
          <w:bottom w:w="0" w:type="dxa"/>
          <w:right w:w="0" w:type="dxa"/>
        </w:tblCellMar>
      </w:tblPr>
      <w:tblGrid>
        <w:gridCol w:w="38"/>
        <w:gridCol w:w="158"/>
        <w:gridCol w:w="10009"/>
      </w:tblGrid>
      <w:tr>
        <w:trPr/>
        <w:tc>
          <w:tcPr>
            <w:tcW w:w="38"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jc w:val="left"/>
              <w:rPr>
                <w:rFonts w:ascii="Times New Roman;Times;Serif" w:hAnsi="Times New Roman;Times;Serif"/>
                <w:sz w:val="20"/>
              </w:rPr>
            </w:pPr>
            <w:r>
              <w:rPr>
                <w:rFonts w:ascii="Times New Roman;Times;Serif" w:hAnsi="Times New Roman;Times;Serif"/>
                <w:sz w:val="20"/>
              </w:rPr>
              <w:t>2.</w:t>
            </w:r>
          </w:p>
        </w:tc>
        <w:tc>
          <w:tcPr>
            <w:tcW w:w="10009" w:type="dxa"/>
            <w:tcBorders/>
            <w:shd w:fill="auto" w:val="clear"/>
            <w:vAlign w:val="center"/>
          </w:tcPr>
          <w:p>
            <w:pPr>
              <w:pStyle w:val="TableContents"/>
              <w:spacing w:before="0" w:after="283"/>
              <w:jc w:val="both"/>
              <w:rPr>
                <w:rFonts w:ascii="Times New Roman;Times;Serif" w:hAnsi="Times New Roman;Times;Serif"/>
                <w:sz w:val="20"/>
              </w:rPr>
            </w:pPr>
            <w:r>
              <w:rPr>
                <w:rFonts w:ascii="Times New Roman;Times;Serif" w:hAnsi="Times New Roman;Times;Serif"/>
                <w:sz w:val="20"/>
              </w:rPr>
              <w:t>to my knowledge, the information contained in the Report fairly presents, in all material respects, the financial condition and results of operations of the Company.</w:t>
            </w:r>
          </w:p>
        </w:tc>
      </w:tr>
    </w:tbl>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May 13, 2022</w:t>
      </w:r>
    </w:p>
    <w:p>
      <w:pPr>
        <w:pStyle w:val="TextBody"/>
        <w:spacing w:before="0" w:after="0"/>
        <w:ind w:left="0" w:right="0" w:hanging="0"/>
        <w:jc w:val="both"/>
        <w:rPr>
          <w:caps w:val="false"/>
          <w:smallCaps w:val="false"/>
        </w:rPr>
      </w:pPr>
      <w:r>
        <w:rPr>
          <w:caps w:val="false"/>
          <w:smallCaps w:val="false"/>
        </w:rPr>
        <w:t> </w:t>
      </w:r>
    </w:p>
    <w:tbl>
      <w:tblPr>
        <w:tblW w:w="2435" w:type="dxa"/>
        <w:jc w:val="left"/>
        <w:tblInd w:w="0" w:type="dxa"/>
        <w:tblCellMar>
          <w:top w:w="0" w:type="dxa"/>
          <w:left w:w="0" w:type="dxa"/>
          <w:bottom w:w="0" w:type="dxa"/>
          <w:right w:w="0" w:type="dxa"/>
        </w:tblCellMar>
      </w:tblPr>
      <w:tblGrid>
        <w:gridCol w:w="75"/>
        <w:gridCol w:w="2360"/>
      </w:tblGrid>
      <w:tr>
        <w:trPr/>
        <w:tc>
          <w:tcPr>
            <w:tcW w:w="75" w:type="dxa"/>
            <w:tcBorders/>
            <w:shd w:fill="auto" w:val="clear"/>
            <w:vAlign w:val="center"/>
          </w:tcPr>
          <w:p>
            <w:pPr>
              <w:pStyle w:val="TableContents"/>
              <w:spacing w:before="0" w:after="283"/>
              <w:jc w:val="left"/>
              <w:rPr>
                <w:caps w:val="false"/>
                <w:smallCaps w:val="false"/>
              </w:rPr>
            </w:pPr>
            <w:r>
              <w:rPr>
                <w:caps w:val="false"/>
                <w:smallCaps w:val="false"/>
              </w:rPr>
              <w:t> </w:t>
            </w:r>
          </w:p>
        </w:tc>
        <w:tc>
          <w:tcPr>
            <w:tcW w:w="2360" w:type="dxa"/>
            <w:tcBorders>
              <w:bottom w:val="single" w:sz="12" w:space="0" w:color="000000"/>
            </w:tcBorders>
            <w:shd w:fill="auto" w:val="clear"/>
            <w:tcMar>
              <w:bottom w:w="28" w:type="dxa"/>
            </w:tcM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Edward Scheetz</w:t>
            </w:r>
          </w:p>
        </w:tc>
      </w:tr>
      <w:tr>
        <w:trPr/>
        <w:tc>
          <w:tcPr>
            <w:tcW w:w="75" w:type="dxa"/>
            <w:tcBorders/>
            <w:shd w:fill="auto" w:val="clear"/>
            <w:vAlign w:val="center"/>
          </w:tcPr>
          <w:p>
            <w:pPr>
              <w:pStyle w:val="TableContents"/>
              <w:spacing w:before="0" w:after="283"/>
              <w:jc w:val="left"/>
              <w:rPr>
                <w:caps w:val="false"/>
                <w:smallCaps w:val="false"/>
              </w:rPr>
            </w:pPr>
            <w:r>
              <w:rPr>
                <w:caps w:val="false"/>
                <w:smallCaps w:val="false"/>
              </w:rPr>
              <w:t> </w:t>
            </w:r>
          </w:p>
        </w:tc>
        <w:tc>
          <w:tcPr>
            <w:tcW w:w="2360" w:type="dxa"/>
            <w:tcBorders/>
            <w:shd w:fill="auto"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Edward Scheetz</w:t>
            </w:r>
          </w:p>
        </w:tc>
      </w:tr>
      <w:tr>
        <w:trPr/>
        <w:tc>
          <w:tcPr>
            <w:tcW w:w="75" w:type="dxa"/>
            <w:tcBorders/>
            <w:shd w:fill="auto" w:val="clear"/>
            <w:vAlign w:val="center"/>
          </w:tcPr>
          <w:p>
            <w:pPr>
              <w:pStyle w:val="TableContents"/>
              <w:spacing w:before="0" w:after="283"/>
              <w:jc w:val="left"/>
              <w:rPr>
                <w:caps w:val="false"/>
                <w:smallCaps w:val="false"/>
              </w:rPr>
            </w:pPr>
            <w:r>
              <w:rPr>
                <w:caps w:val="false"/>
                <w:smallCaps w:val="false"/>
              </w:rPr>
              <w:t> </w:t>
            </w:r>
          </w:p>
        </w:tc>
        <w:tc>
          <w:tcPr>
            <w:tcW w:w="2360" w:type="dxa"/>
            <w:tcBorders/>
            <w:shd w:fill="auto"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w:t>
            </w:r>
          </w:p>
        </w:tc>
      </w:tr>
      <w:tr>
        <w:trPr/>
        <w:tc>
          <w:tcPr>
            <w:tcW w:w="75" w:type="dxa"/>
            <w:tcBorders/>
            <w:shd w:fill="auto" w:val="clear"/>
            <w:vAlign w:val="center"/>
          </w:tcPr>
          <w:p>
            <w:pPr>
              <w:pStyle w:val="TableContents"/>
              <w:spacing w:before="0" w:after="283"/>
              <w:jc w:val="left"/>
              <w:rPr>
                <w:caps w:val="false"/>
                <w:smallCaps w:val="false"/>
              </w:rPr>
            </w:pPr>
            <w:r>
              <w:rPr>
                <w:caps w:val="false"/>
                <w:smallCaps w:val="false"/>
              </w:rPr>
              <w:t> </w:t>
            </w:r>
          </w:p>
        </w:tc>
        <w:tc>
          <w:tcPr>
            <w:tcW w:w="2360" w:type="dxa"/>
            <w:tcBorders/>
            <w:shd w:fill="auto"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(Principal Executive Officer)</w:t>
            </w:r>
          </w:p>
        </w:tc>
      </w:tr>
    </w:tbl>
    <w:p>
      <w:pPr>
        <w:pStyle w:val="TextBody"/>
        <w:spacing w:before="0" w:after="0"/>
        <w:ind w:left="0" w:right="0" w:hanging="0"/>
        <w:jc w:val="right"/>
        <w:rPr>
          <w:rFonts w:ascii="Times New Roman;Times;Serif" w:hAnsi="Times New Roman;Times;Serif"/>
          <w:b/>
          <w:i w:val="false"/>
          <w:caps w:val="false"/>
          <w:smallCaps w:val="false"/>
          <w:sz w:val="20"/>
        </w:rPr>
      </w:pPr>
      <w:r>
        <w:br w:type="page"/>
      </w:r>
      <w:bookmarkStart w:id="29" w:name="f10q0322ex32-2_ventouxccm.htm"/>
      <w:bookmarkStart w:id="30" w:name="ksf10q0322ex322_ventouxccm"/>
      <w:bookmarkEnd w:id="29"/>
      <w:bookmarkEnd w:id="30"/>
      <w:r>
        <w:rPr>
          <w:rFonts w:ascii="Times New Roman;Times;Serif" w:hAnsi="Times New Roman;Times;Serif"/>
          <w:b/>
          <w:i w:val="false"/>
          <w:caps w:val="false"/>
          <w:smallCaps w:val="false"/>
          <w:sz w:val="20"/>
        </w:rPr>
        <w:t>Exhibit 32.2</w:t>
      </w:r>
    </w:p>
    <w:p>
      <w:pPr>
        <w:pStyle w:val="TextBody"/>
        <w:spacing w:before="0" w:after="0"/>
        <w:ind w:left="0" w:right="0" w:hanging="0"/>
        <w:jc w:val="both"/>
        <w:rPr>
          <w:caps w:val="false"/>
          <w:smallCaps w:val="false"/>
        </w:rPr>
      </w:pPr>
      <w:r>
        <w:rPr>
          <w:caps w:val="false"/>
          <w:smallCaps w:val="false"/>
        </w:rPr>
        <w:t> </w:t>
      </w:r>
    </w:p>
    <w:p>
      <w:pPr>
        <w:pStyle w:val="TextBody"/>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CERTIFICATION PURSUANT TO</w:t>
      </w:r>
    </w:p>
    <w:p>
      <w:pPr>
        <w:pStyle w:val="TextBody"/>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18 U.S.C. SECTION 1350</w:t>
      </w:r>
    </w:p>
    <w:p>
      <w:pPr>
        <w:pStyle w:val="TextBody"/>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ADOPTED PURSUANT TO</w:t>
      </w:r>
    </w:p>
    <w:p>
      <w:pPr>
        <w:pStyle w:val="TextBody"/>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906 OF THE SARBANES-OXLEY ACT OF 2002</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Quarterly Report of Ventoux CCM Acquisition Corp. (the “Company”) on Form 10-Q for the quarterly period ended March 31, 2022, as filed with the Securities and Exchange Commission (the “Report”), I, Matthew MacDonald, Chief Financial Officer of the Company, certify, pursuant to 18 U.S.C. §1350, as adopted pursuant to §906 of the Sarbanes-Oxley Act of 2002, that:</w:t>
      </w:r>
    </w:p>
    <w:p>
      <w:pPr>
        <w:pStyle w:val="TextBody"/>
        <w:spacing w:before="0" w:after="0"/>
        <w:ind w:left="0" w:right="0" w:hanging="0"/>
        <w:jc w:val="both"/>
        <w:rPr>
          <w:caps w:val="false"/>
          <w:smallCaps w:val="false"/>
        </w:rPr>
      </w:pPr>
      <w:r>
        <w:rPr>
          <w:caps w:val="false"/>
          <w:smallCaps w:val="false"/>
        </w:rPr>
        <w:t> </w:t>
      </w:r>
    </w:p>
    <w:tbl>
      <w:tblPr>
        <w:tblW w:w="9753" w:type="dxa"/>
        <w:jc w:val="left"/>
        <w:tblInd w:w="0" w:type="dxa"/>
        <w:tblCellMar>
          <w:top w:w="0" w:type="dxa"/>
          <w:left w:w="0" w:type="dxa"/>
          <w:bottom w:w="0" w:type="dxa"/>
          <w:right w:w="0" w:type="dxa"/>
        </w:tblCellMar>
      </w:tblPr>
      <w:tblGrid>
        <w:gridCol w:w="38"/>
        <w:gridCol w:w="170"/>
        <w:gridCol w:w="9545"/>
      </w:tblGrid>
      <w:tr>
        <w:trPr/>
        <w:tc>
          <w:tcPr>
            <w:tcW w:w="38"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jc w:val="left"/>
              <w:rPr>
                <w:rFonts w:ascii="Times New Roman;Times;Serif" w:hAnsi="Times New Roman;Times;Serif"/>
                <w:sz w:val="20"/>
              </w:rPr>
            </w:pPr>
            <w:r>
              <w:rPr>
                <w:rFonts w:ascii="Times New Roman;Times;Serif" w:hAnsi="Times New Roman;Times;Serif"/>
                <w:sz w:val="20"/>
              </w:rPr>
              <w:t>1.</w:t>
            </w:r>
          </w:p>
        </w:tc>
        <w:tc>
          <w:tcPr>
            <w:tcW w:w="9545" w:type="dxa"/>
            <w:tcBorders/>
            <w:shd w:fill="auto" w:val="clear"/>
            <w:vAlign w:val="center"/>
          </w:tcPr>
          <w:p>
            <w:pPr>
              <w:pStyle w:val="TableContents"/>
              <w:spacing w:before="0" w:after="283"/>
              <w:jc w:val="both"/>
              <w:rPr>
                <w:rFonts w:ascii="Times New Roman;Times;Serif" w:hAnsi="Times New Roman;Times;Serif"/>
                <w:sz w:val="20"/>
              </w:rPr>
            </w:pPr>
            <w:r>
              <w:rPr>
                <w:rFonts w:ascii="Times New Roman;Times;Serif" w:hAnsi="Times New Roman;Times;Serif"/>
                <w:sz w:val="20"/>
              </w:rPr>
              <w:t>the Report fully complies with the requirements of Section 13(a) or 15(d) of the Securities Exchange Act of 1934; and</w:t>
            </w:r>
          </w:p>
        </w:tc>
      </w:tr>
    </w:tbl>
    <w:p>
      <w:pPr>
        <w:pStyle w:val="TextBody"/>
        <w:rPr/>
      </w:pPr>
      <w:r>
        <w:rPr/>
        <w:t> </w:t>
      </w:r>
    </w:p>
    <w:tbl>
      <w:tblPr>
        <w:tblW w:w="10205" w:type="dxa"/>
        <w:jc w:val="left"/>
        <w:tblInd w:w="0" w:type="dxa"/>
        <w:tblCellMar>
          <w:top w:w="0" w:type="dxa"/>
          <w:left w:w="0" w:type="dxa"/>
          <w:bottom w:w="0" w:type="dxa"/>
          <w:right w:w="0" w:type="dxa"/>
        </w:tblCellMar>
      </w:tblPr>
      <w:tblGrid>
        <w:gridCol w:w="38"/>
        <w:gridCol w:w="158"/>
        <w:gridCol w:w="10009"/>
      </w:tblGrid>
      <w:tr>
        <w:trPr/>
        <w:tc>
          <w:tcPr>
            <w:tcW w:w="38"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jc w:val="left"/>
              <w:rPr>
                <w:rFonts w:ascii="Times New Roman;Times;Serif" w:hAnsi="Times New Roman;Times;Serif"/>
                <w:sz w:val="20"/>
              </w:rPr>
            </w:pPr>
            <w:r>
              <w:rPr>
                <w:rFonts w:ascii="Times New Roman;Times;Serif" w:hAnsi="Times New Roman;Times;Serif"/>
                <w:sz w:val="20"/>
              </w:rPr>
              <w:t>2.</w:t>
            </w:r>
          </w:p>
        </w:tc>
        <w:tc>
          <w:tcPr>
            <w:tcW w:w="10009" w:type="dxa"/>
            <w:tcBorders/>
            <w:shd w:fill="auto" w:val="clear"/>
            <w:vAlign w:val="center"/>
          </w:tcPr>
          <w:p>
            <w:pPr>
              <w:pStyle w:val="TableContents"/>
              <w:spacing w:before="0" w:after="283"/>
              <w:jc w:val="both"/>
              <w:rPr>
                <w:rFonts w:ascii="Times New Roman;Times;Serif" w:hAnsi="Times New Roman;Times;Serif"/>
                <w:sz w:val="20"/>
              </w:rPr>
            </w:pPr>
            <w:r>
              <w:rPr>
                <w:rFonts w:ascii="Times New Roman;Times;Serif" w:hAnsi="Times New Roman;Times;Serif"/>
                <w:sz w:val="20"/>
              </w:rPr>
              <w:t>to my knowledge, the information contained in the Report fairly presents, in all material respects, the financial condition and results of operations of the Company.</w:t>
            </w:r>
          </w:p>
        </w:tc>
      </w:tr>
    </w:tbl>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May 13, 2022</w:t>
      </w:r>
    </w:p>
    <w:p>
      <w:pPr>
        <w:pStyle w:val="TextBody"/>
        <w:spacing w:before="0" w:after="0"/>
        <w:ind w:left="0" w:right="0" w:hanging="0"/>
        <w:jc w:val="both"/>
        <w:rPr>
          <w:caps w:val="false"/>
          <w:smallCaps w:val="false"/>
        </w:rPr>
      </w:pPr>
      <w:r>
        <w:rPr>
          <w:caps w:val="false"/>
          <w:smallCaps w:val="false"/>
        </w:rPr>
        <w:t> </w:t>
      </w:r>
    </w:p>
    <w:tbl>
      <w:tblPr>
        <w:tblW w:w="3725" w:type="dxa"/>
        <w:jc w:val="left"/>
        <w:tblInd w:w="0" w:type="dxa"/>
        <w:tblCellMar>
          <w:top w:w="0" w:type="dxa"/>
          <w:left w:w="0" w:type="dxa"/>
          <w:bottom w:w="0" w:type="dxa"/>
          <w:right w:w="0" w:type="dxa"/>
        </w:tblCellMar>
      </w:tblPr>
      <w:tblGrid>
        <w:gridCol w:w="75"/>
        <w:gridCol w:w="3650"/>
      </w:tblGrid>
      <w:tr>
        <w:trPr/>
        <w:tc>
          <w:tcPr>
            <w:tcW w:w="75" w:type="dxa"/>
            <w:tcBorders/>
            <w:shd w:fill="auto" w:val="clear"/>
            <w:vAlign w:val="center"/>
          </w:tcPr>
          <w:p>
            <w:pPr>
              <w:pStyle w:val="TableContents"/>
              <w:spacing w:before="0" w:after="283"/>
              <w:jc w:val="left"/>
              <w:rPr>
                <w:caps w:val="false"/>
                <w:smallCaps w:val="false"/>
              </w:rPr>
            </w:pPr>
            <w:r>
              <w:rPr>
                <w:caps w:val="false"/>
                <w:smallCaps w:val="false"/>
              </w:rPr>
              <w:t> </w:t>
            </w:r>
          </w:p>
        </w:tc>
        <w:tc>
          <w:tcPr>
            <w:tcW w:w="3650" w:type="dxa"/>
            <w:tcBorders>
              <w:bottom w:val="single" w:sz="12" w:space="0" w:color="000000"/>
            </w:tcBorders>
            <w:shd w:fill="auto" w:val="clear"/>
            <w:tcMar>
              <w:bottom w:w="28" w:type="dxa"/>
            </w:tcM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Matthew MacDonald</w:t>
            </w:r>
          </w:p>
        </w:tc>
      </w:tr>
      <w:tr>
        <w:trPr/>
        <w:tc>
          <w:tcPr>
            <w:tcW w:w="75" w:type="dxa"/>
            <w:tcBorders/>
            <w:shd w:fill="auto" w:val="clear"/>
            <w:vAlign w:val="center"/>
          </w:tcPr>
          <w:p>
            <w:pPr>
              <w:pStyle w:val="TableContents"/>
              <w:spacing w:before="0" w:after="283"/>
              <w:jc w:val="left"/>
              <w:rPr>
                <w:caps w:val="false"/>
                <w:smallCaps w:val="false"/>
              </w:rPr>
            </w:pPr>
            <w:r>
              <w:rPr>
                <w:caps w:val="false"/>
                <w:smallCaps w:val="false"/>
              </w:rPr>
              <w:t> </w:t>
            </w:r>
          </w:p>
        </w:tc>
        <w:tc>
          <w:tcPr>
            <w:tcW w:w="3650" w:type="dxa"/>
            <w:tcBorders/>
            <w:shd w:fill="auto"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Matthew MacDonald</w:t>
            </w:r>
          </w:p>
        </w:tc>
      </w:tr>
      <w:tr>
        <w:trPr/>
        <w:tc>
          <w:tcPr>
            <w:tcW w:w="75" w:type="dxa"/>
            <w:tcBorders/>
            <w:shd w:fill="auto" w:val="clear"/>
            <w:vAlign w:val="center"/>
          </w:tcPr>
          <w:p>
            <w:pPr>
              <w:pStyle w:val="TableContents"/>
              <w:spacing w:before="0" w:after="283"/>
              <w:jc w:val="left"/>
              <w:rPr>
                <w:caps w:val="false"/>
                <w:smallCaps w:val="false"/>
              </w:rPr>
            </w:pPr>
            <w:r>
              <w:rPr>
                <w:caps w:val="false"/>
                <w:smallCaps w:val="false"/>
              </w:rPr>
              <w:t> </w:t>
            </w:r>
          </w:p>
        </w:tc>
        <w:tc>
          <w:tcPr>
            <w:tcW w:w="3650" w:type="dxa"/>
            <w:tcBorders/>
            <w:shd w:fill="auto"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Financial Officer</w:t>
            </w:r>
          </w:p>
        </w:tc>
      </w:tr>
      <w:tr>
        <w:trPr/>
        <w:tc>
          <w:tcPr>
            <w:tcW w:w="75" w:type="dxa"/>
            <w:tcBorders/>
            <w:shd w:fill="auto" w:val="clear"/>
            <w:vAlign w:val="center"/>
          </w:tcPr>
          <w:p>
            <w:pPr>
              <w:pStyle w:val="TableContents"/>
              <w:spacing w:before="0" w:after="283"/>
              <w:jc w:val="left"/>
              <w:rPr>
                <w:caps w:val="false"/>
                <w:smallCaps w:val="false"/>
              </w:rPr>
            </w:pPr>
            <w:r>
              <w:rPr>
                <w:caps w:val="false"/>
                <w:smallCaps w:val="false"/>
              </w:rPr>
              <w:t> </w:t>
            </w:r>
          </w:p>
        </w:tc>
        <w:tc>
          <w:tcPr>
            <w:tcW w:w="3650" w:type="dxa"/>
            <w:tcBorders/>
            <w:shd w:fill="auto"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(Principal Accounting and Financial Officer)</w:t>
            </w:r>
          </w:p>
        </w:tc>
      </w:tr>
    </w:tbl>
    <w:p>
      <w:pPr>
        <w:pStyle w:val="TextBody"/>
        <w:spacing w:before="0" w:after="283"/>
        <w:rPr/>
      </w:pPr>
      <w:r>
        <w:br w:type="page"/>
      </w:r>
      <w:r>
        <w:rPr/>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altName w:val="Times"/>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Archives/edgar/data/1822145/000121390022017828/ea157923ex2-1_ventoux.htm" TargetMode="External"/><Relationship Id="rId3" Type="http://schemas.openxmlformats.org/officeDocument/2006/relationships/hyperlink" Target="http://www.sec.gov/Archives/edgar/data/1822145/000121390022017828/ea157923ex10-1_ventoux.htm" TargetMode="External"/><Relationship Id="rId4" Type="http://schemas.openxmlformats.org/officeDocument/2006/relationships/hyperlink" Target="http://www.sec.gov/Archives/edgar/data/1822145/000121390022017828/ea157923ex10-2_ventoux.htm" TargetMode="External"/><Relationship Id="rId5" Type="http://schemas.openxmlformats.org/officeDocument/2006/relationships/hyperlink" Target="http://www.sec.gov/Archives/edgar/data/1822145/000121390022017828/ea157923ex10-3_ventoux.htm" TargetMode="External"/><Relationship Id="rId6" Type="http://schemas.openxmlformats.org/officeDocument/2006/relationships/hyperlink" Target="http://www.sec.gov/Archives/edgar/data/1822145/000121390022017828/ea157923ex10-4_ventoux.htm" TargetMode="Externa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12</Pages>
  <Words>29717</Words>
  <CharactersWithSpaces>189159</CharactersWithSpaces>
  <Paragraphs>3008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