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Ventoux CCM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92280L200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December 31,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xml:space="preserve">")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7"/>
          <w:szCs w:val="17"/>
          <w:b w:val="1"/>
          <w:bCs w:val="1"/>
          <w:color w:val="auto"/>
        </w:rPr>
        <w:t>CUSIP No. 92280L200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-157480</wp:posOffset>
            </wp:positionV>
            <wp:extent cx="238315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740" w:space="720"/>
            <w:col w:w="1420" w:space="720"/>
            <w:col w:w="3640"/>
          </w:cols>
          <w:pgMar w:left="320" w:top="202" w:right="339" w:bottom="1440" w:gutter="0" w:footer="0" w:header="0"/>
        </w:sectPr>
      </w:pPr>
    </w:p>
    <w:p>
      <w:pPr>
        <w:spacing w:after="0" w:line="17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3</w:t>
      </w: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-127635</wp:posOffset>
            </wp:positionV>
            <wp:extent cx="7132320" cy="518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Polar Asset Management Partners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Check the appropriate box if a member of a Group (see instructions)</w:t>
      </w:r>
    </w:p>
    <w:p>
      <w:pPr>
        <w:spacing w:after="0" w:line="247" w:lineRule="exact"/>
        <w:rPr>
          <w:sz w:val="20"/>
          <w:szCs w:val="20"/>
          <w:color w:val="auto"/>
        </w:rPr>
      </w:pPr>
    </w:p>
    <w:p>
      <w:pPr>
        <w:ind w:left="600" w:hanging="293"/>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600" w:hanging="293"/>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ectPr>
          <w:pgSz w:w="11900" w:h="16838" w:orient="portrait"/>
          <w:cols w:equalWidth="0" w:num="2">
            <w:col w:w="200" w:space="480"/>
            <w:col w:w="10560"/>
          </w:cols>
          <w:pgMar w:left="320" w:top="20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16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85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7"/>
        </w:trPr>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191"/>
        </w:trPr>
        <w:tc>
          <w:tcPr>
            <w:tcW w:w="2160" w:type="dxa"/>
            <w:vAlign w:val="bottom"/>
            <w:tcBorders>
              <w:right w:val="single" w:sz="8" w:color="auto"/>
            </w:tcBorders>
            <w:vMerge w:val="continue"/>
          </w:tcPr>
          <w:p>
            <w:pPr>
              <w:spacing w:after="0"/>
              <w:rPr>
                <w:sz w:val="16"/>
                <w:szCs w:val="16"/>
                <w:color w:val="auto"/>
              </w:rPr>
            </w:pPr>
          </w:p>
        </w:tc>
        <w:tc>
          <w:tcPr>
            <w:tcW w:w="560" w:type="dxa"/>
            <w:vAlign w:val="bottom"/>
            <w:tcBorders>
              <w:right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6</w:t>
            </w:r>
          </w:p>
        </w:tc>
        <w:tc>
          <w:tcPr>
            <w:tcW w:w="852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560" w:type="dxa"/>
            <w:vAlign w:val="bottom"/>
            <w:tcBorders>
              <w:bottom w:val="single" w:sz="8" w:color="auto"/>
              <w:right w:val="single" w:sz="8" w:color="auto"/>
            </w:tcBorders>
          </w:tcPr>
          <w:p>
            <w:pPr>
              <w:spacing w:after="0"/>
              <w:rPr>
                <w:sz w:val="20"/>
                <w:szCs w:val="20"/>
                <w:color w:val="auto"/>
              </w:rPr>
            </w:pPr>
          </w:p>
        </w:tc>
        <w:tc>
          <w:tcPr>
            <w:tcW w:w="8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560" w:type="dxa"/>
            <w:vAlign w:val="bottom"/>
            <w:tcBorders>
              <w:right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rPr>
              <w:t>7</w:t>
            </w:r>
          </w:p>
        </w:tc>
        <w:tc>
          <w:tcPr>
            <w:tcW w:w="8520" w:type="dxa"/>
            <w:vAlign w:val="bottom"/>
          </w:tcPr>
          <w:p>
            <w:pPr>
              <w:ind w:left="2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560" w:type="dxa"/>
            <w:vAlign w:val="bottom"/>
            <w:tcBorders>
              <w:right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With:</w:t>
            </w:r>
          </w:p>
        </w:tc>
        <w:tc>
          <w:tcPr>
            <w:tcW w:w="560" w:type="dxa"/>
            <w:vAlign w:val="bottom"/>
            <w:tcBorders>
              <w:bottom w:val="single" w:sz="8" w:color="auto"/>
              <w:right w:val="single" w:sz="8" w:color="auto"/>
            </w:tcBorders>
          </w:tcPr>
          <w:p>
            <w:pPr>
              <w:spacing w:after="0"/>
              <w:rPr>
                <w:sz w:val="21"/>
                <w:szCs w:val="21"/>
                <w:color w:val="auto"/>
              </w:rPr>
            </w:pPr>
          </w:p>
        </w:tc>
        <w:tc>
          <w:tcPr>
            <w:tcW w:w="8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r>
        <w:trPr>
          <w:trHeight w:val="228"/>
        </w:trPr>
        <w:tc>
          <w:tcPr>
            <w:tcW w:w="216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8520" w:type="dxa"/>
            <w:vAlign w:val="bottom"/>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14"/>
        </w:trPr>
        <w:tc>
          <w:tcPr>
            <w:tcW w:w="216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680" w:hanging="56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1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1,300,000</w:t>
      </w:r>
    </w:p>
    <w:p>
      <w:pPr>
        <w:spacing w:after="0" w:line="23" w:lineRule="exact"/>
        <w:rPr>
          <w:sz w:val="20"/>
          <w:szCs w:val="20"/>
          <w:color w:val="auto"/>
        </w:rPr>
      </w:pPr>
    </w:p>
    <w:p>
      <w:pPr>
        <w:ind w:left="680" w:right="3880" w:hanging="568"/>
        <w:spacing w:after="0" w:line="383"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80" w:right="6760" w:hanging="568"/>
        <w:spacing w:after="0" w:line="383"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7.54%</w:t>
      </w:r>
    </w:p>
    <w:p>
      <w:pPr>
        <w:ind w:left="680" w:hanging="56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7"/>
          <w:szCs w:val="17"/>
          <w:b w:val="1"/>
          <w:bCs w:val="1"/>
          <w:color w:val="auto"/>
        </w:rPr>
        <w:t>CUSIP No. 92280L200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-157480</wp:posOffset>
            </wp:positionV>
            <wp:extent cx="238315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740" w:space="720"/>
            <w:col w:w="1420" w:space="720"/>
            <w:col w:w="3640"/>
          </w:cols>
          <w:pgMar w:left="320" w:top="202"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700" w:hanging="692"/>
        <w:spacing w:after="0"/>
        <w:tabs>
          <w:tab w:leader="none" w:pos="7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issuer is Ventoux CCM Acquisition Corp.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ind w:left="700" w:hanging="692"/>
        <w:spacing w:after="0"/>
        <w:tabs>
          <w:tab w:leader="none" w:pos="7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Company's principal executive offices are located at 1 East Putnam Avenue, Floor 4, Greenwich, CT 06830.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700" w:hanging="692"/>
        <w:spacing w:after="0"/>
        <w:tabs>
          <w:tab w:leader="none" w:pos="70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212"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This statement is filed by Polar Asset Management Partners Inc., a company incorporated under the laws of Ontario, Canada, which serves as the investment advisor to Polar Multi-Strategy Master Fund, a Cayman Islands exempted company ("</w:t>
      </w:r>
      <w:r>
        <w:rPr>
          <w:rFonts w:ascii="Arial" w:cs="Arial" w:eastAsia="Arial" w:hAnsi="Arial"/>
          <w:sz w:val="21"/>
          <w:szCs w:val="21"/>
          <w:u w:val="single" w:color="auto"/>
          <w:color w:val="auto"/>
        </w:rPr>
        <w:t>PMSMF</w:t>
      </w:r>
      <w:r>
        <w:rPr>
          <w:rFonts w:ascii="Arial" w:cs="Arial" w:eastAsia="Arial" w:hAnsi="Arial"/>
          <w:sz w:val="21"/>
          <w:szCs w:val="21"/>
          <w:color w:val="auto"/>
        </w:rPr>
        <w:t>") with respect to the Shares (as defined below) directly held by PMSMF.</w:t>
      </w:r>
    </w:p>
    <w:p>
      <w:pPr>
        <w:spacing w:after="0" w:line="163"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address of the business office of the Reporting Person is 401 Bay Street, Suite 1900, PO Box 19, Toronto, Ontario M5H 2Y4, Canada.</w:t>
      </w:r>
    </w:p>
    <w:p>
      <w:pPr>
        <w:spacing w:after="0" w:line="169" w:lineRule="exact"/>
        <w:rPr>
          <w:sz w:val="20"/>
          <w:szCs w:val="20"/>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2"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The citizenship of the Reporting Person is Canada.</w:t>
      </w:r>
    </w:p>
    <w:p>
      <w:pPr>
        <w:spacing w:after="0" w:line="200" w:lineRule="exact"/>
        <w:rPr>
          <w:rFonts w:ascii="Arial" w:cs="Arial" w:eastAsia="Arial" w:hAnsi="Arial"/>
          <w:sz w:val="22"/>
          <w:szCs w:val="22"/>
          <w:b w:val="1"/>
          <w:bCs w:val="1"/>
          <w:color w:val="auto"/>
        </w:rPr>
      </w:pPr>
    </w:p>
    <w:p>
      <w:pPr>
        <w:ind w:left="700" w:hanging="692"/>
        <w:spacing w:after="0"/>
        <w:tabs>
          <w:tab w:leader="none" w:pos="7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0"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CUSIP No.: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92280L200</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5140"/>
        <w:spacing w:after="0"/>
        <w:rPr>
          <w:rFonts w:ascii="Arial" w:cs="Arial" w:eastAsia="Arial" w:hAnsi="Arial"/>
          <w:sz w:val="22"/>
          <w:szCs w:val="22"/>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7"/>
          <w:szCs w:val="17"/>
          <w:b w:val="1"/>
          <w:bCs w:val="1"/>
          <w:color w:val="auto"/>
        </w:rPr>
        <w:t>CUSIP No. 92280L200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-157480</wp:posOffset>
            </wp:positionV>
            <wp:extent cx="238315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740" w:space="720"/>
            <w:col w:w="1420" w:space="720"/>
            <w:col w:w="3640"/>
          </w:cols>
          <w:pgMar w:left="320" w:top="202" w:right="339" w:bottom="1440" w:gutter="0" w:footer="0" w:header="0"/>
        </w:sectPr>
      </w:pPr>
    </w:p>
    <w:p>
      <w:pPr>
        <w:spacing w:after="0" w:line="128" w:lineRule="exact"/>
        <w:rPr>
          <w:sz w:val="20"/>
          <w:szCs w:val="20"/>
          <w:color w:val="auto"/>
        </w:rPr>
      </w:pPr>
    </w:p>
    <w:p>
      <w:pPr>
        <w:ind w:left="1340" w:hanging="684"/>
        <w:spacing w:after="0"/>
        <w:tabs>
          <w:tab w:leader="none" w:pos="1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29" w:val="left"/>
        </w:tabs>
        <w:numPr>
          <w:ilvl w:val="0"/>
          <w:numId w:val="12"/>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[X]    A non-U.S. institution in accordance with Rule 240.13d-1(b)(1)(ii)(J);</w:t>
      </w:r>
    </w:p>
    <w:p>
      <w:pPr>
        <w:spacing w:after="0" w:line="206" w:lineRule="exact"/>
        <w:rPr>
          <w:rFonts w:ascii="Arial" w:cs="Arial" w:eastAsia="Arial" w:hAnsi="Arial"/>
          <w:sz w:val="22"/>
          <w:szCs w:val="22"/>
          <w:color w:val="auto"/>
        </w:rPr>
      </w:pPr>
    </w:p>
    <w:p>
      <w:pPr>
        <w:ind w:left="1340" w:hanging="684"/>
        <w:spacing w:after="0"/>
        <w:tabs>
          <w:tab w:leader="none" w:pos="1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filing as a non-U.S. institution in accordance with Rule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6953250</wp:posOffset>
            </wp:positionH>
            <wp:positionV relativeFrom="paragraph">
              <wp:posOffset>3175</wp:posOffset>
            </wp:positionV>
            <wp:extent cx="180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157480</wp:posOffset>
            </wp:positionV>
            <wp:extent cx="264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The percentages used herein are calculated based upon 17,250,000 Shares outstanding as of December 29, 2020 as disclosed in the Company's Current Report on Form 8-K dated January 6, 2020, filed with the Securities and Exchange Commission on January 6, 2021.</w:t>
      </w:r>
    </w:p>
    <w:p>
      <w:pPr>
        <w:spacing w:after="0" w:line="186"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jc w:val="both"/>
        <w:ind w:left="980"/>
        <w:spacing w:after="0" w:line="250" w:lineRule="auto"/>
        <w:rPr>
          <w:sz w:val="20"/>
          <w:szCs w:val="20"/>
          <w:color w:val="auto"/>
        </w:rPr>
      </w:pPr>
      <w:r>
        <w:rPr>
          <w:rFonts w:ascii="Arial" w:cs="Arial" w:eastAsia="Arial" w:hAnsi="Arial"/>
          <w:sz w:val="22"/>
          <w:szCs w:val="22"/>
          <w:color w:val="auto"/>
        </w:rPr>
        <w:t>See Item 2. PMSMF has the right to receive or the power to direct the receipt of dividends from or the proceeds from the sale of more than 5% of the Shares.</w:t>
      </w:r>
    </w:p>
    <w:p>
      <w:pPr>
        <w:spacing w:after="0" w:line="169"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7"/>
          <w:szCs w:val="17"/>
          <w:b w:val="1"/>
          <w:bCs w:val="1"/>
          <w:color w:val="auto"/>
        </w:rPr>
        <w:t>CUSIP No. 92280L200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-157480</wp:posOffset>
            </wp:positionV>
            <wp:extent cx="238315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155" cy="25717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740" w:space="720"/>
            <w:col w:w="1420" w:space="720"/>
            <w:col w:w="3640"/>
          </w:cols>
          <w:pgMar w:left="320" w:top="202" w:right="339" w:bottom="1440" w:gutter="0" w:footer="0" w:header="0"/>
        </w:sectPr>
      </w:pPr>
    </w:p>
    <w:p>
      <w:pPr>
        <w:spacing w:after="0" w:line="12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11,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Andrew Ma</w:t>
      </w:r>
    </w:p>
    <w:p>
      <w:pPr>
        <w:spacing w:after="0" w:line="238" w:lineRule="auto"/>
        <w:rPr>
          <w:sz w:val="20"/>
          <w:szCs w:val="20"/>
          <w:color w:val="auto"/>
        </w:rPr>
      </w:pPr>
      <w:r>
        <w:rPr>
          <w:rFonts w:ascii="Arial" w:cs="Arial" w:eastAsia="Arial" w:hAnsi="Arial"/>
          <w:sz w:val="22"/>
          <w:szCs w:val="22"/>
          <w:color w:val="auto"/>
        </w:rPr>
        <w:t>Name: Andrew Ma</w:t>
      </w:r>
    </w:p>
    <w:p>
      <w:pPr>
        <w:spacing w:after="0"/>
        <w:tabs>
          <w:tab w:leader="none" w:pos="680" w:val="left"/>
        </w:tabs>
        <w:rPr>
          <w:sz w:val="20"/>
          <w:szCs w:val="20"/>
          <w:color w:val="auto"/>
        </w:rPr>
      </w:pPr>
      <w:r>
        <w:rPr>
          <w:rFonts w:ascii="Arial" w:cs="Arial" w:eastAsia="Arial" w:hAnsi="Arial"/>
          <w:sz w:val="22"/>
          <w:szCs w:val="22"/>
          <w:color w:val="auto"/>
        </w:rPr>
        <w:t>Title:</w:t>
        <w:tab/>
        <w:t>Chief Compliance Officer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2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9"/>
      <w:numFmt w:val="bullet"/>
      <w:start w:val="1"/>
    </w:lvl>
  </w:abstractNum>
  <w:abstractNum w:abstractNumId="3">
    <w:nsid w:val="7545E146"/>
    <w:multiLevelType w:val="hybridMultilevel"/>
    <w:lvl w:ilvl="0">
      <w:lvlJc w:val="left"/>
      <w:lvlText w:val="%1"/>
      <w:numFmt w:val="decimal"/>
      <w:start w:val="10"/>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2"/>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2021-02-11T08:06:03Z</dcterms:created>
  <dcterms:modified xsi:type="dcterms:W3CDTF">2021-02-11T08:06:03Z</dcterms:modified>
</cp:coreProperties>
</file>