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ind w:left="4440"/>
        <w:spacing w:after="0"/>
        <w:rPr>
          <w:sz w:val="20"/>
          <w:szCs w:val="20"/>
          <w:color w:val="auto"/>
        </w:rPr>
      </w:pPr>
      <w:r>
        <w:rPr>
          <w:rFonts w:ascii="Arial" w:cs="Arial" w:eastAsia="Arial" w:hAnsi="Arial"/>
          <w:sz w:val="18"/>
          <w:szCs w:val="18"/>
          <w:b w:val="1"/>
          <w:bCs w:val="1"/>
          <w:color w:val="auto"/>
        </w:rPr>
        <w:t>(Amendment No. __N/A____)*</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Ventoux CCM Acquisition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Common Stock, par value $0.0001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92280L200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December 24,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3" w:lineRule="exact"/>
        <w:rPr>
          <w:sz w:val="24"/>
          <w:szCs w:val="24"/>
          <w:color w:val="auto"/>
        </w:rPr>
      </w:pPr>
    </w:p>
    <w:p>
      <w:pPr>
        <w:jc w:val="both"/>
        <w:ind w:right="9920" w:firstLine="8"/>
        <w:spacing w:after="0" w:line="265" w:lineRule="auto"/>
        <w:tabs>
          <w:tab w:leader="none" w:pos="150" w:val="left"/>
        </w:tabs>
        <w:numPr>
          <w:ilvl w:val="0"/>
          <w:numId w:val="1"/>
        </w:numPr>
        <w:rPr>
          <w:rFonts w:ascii="Arial" w:cs="Arial" w:eastAsia="Arial" w:hAnsi="Arial"/>
          <w:sz w:val="17"/>
          <w:szCs w:val="17"/>
          <w:color w:val="auto"/>
        </w:rPr>
      </w:pPr>
      <w:r>
        <w:rPr>
          <w:rFonts w:ascii="Arial" w:cs="Arial" w:eastAsia="Arial" w:hAnsi="Arial"/>
          <w:sz w:val="17"/>
          <w:szCs w:val="17"/>
          <w:color w:val="auto"/>
        </w:rPr>
        <w:t>] Rule 13d-1(b) [X] Rule 13d-1(c)</w:t>
      </w: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Rule 13d-1(d)</w:t>
      </w:r>
    </w:p>
    <w:p>
      <w:pPr>
        <w:spacing w:after="0" w:line="251" w:lineRule="exact"/>
        <w:rPr>
          <w:sz w:val="24"/>
          <w:szCs w:val="24"/>
          <w:color w:val="auto"/>
        </w:rPr>
      </w:pPr>
    </w:p>
    <w:p>
      <w:pPr>
        <w:ind w:firstLine="8"/>
        <w:spacing w:after="0" w:line="194" w:lineRule="auto"/>
        <w:tabs>
          <w:tab w:leader="none" w:pos="112" w:val="left"/>
        </w:tabs>
        <w:numPr>
          <w:ilvl w:val="0"/>
          <w:numId w:val="2"/>
        </w:numPr>
        <w:rPr>
          <w:rFonts w:ascii="Arial" w:cs="Arial" w:eastAsia="Arial" w:hAnsi="Arial"/>
          <w:sz w:val="30"/>
          <w:szCs w:val="30"/>
          <w:color w:val="auto"/>
          <w:vertAlign w:val="superscript"/>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2"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476885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92280L200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NAMES OF REPORTING PERSONS</w:t>
      </w:r>
    </w:p>
    <w:p>
      <w:pPr>
        <w:ind w:left="460" w:hanging="297"/>
        <w:spacing w:after="0" w:line="185" w:lineRule="auto"/>
        <w:tabs>
          <w:tab w:leader="none" w:pos="460" w:val="left"/>
        </w:tabs>
        <w:numPr>
          <w:ilvl w:val="0"/>
          <w:numId w:val="3"/>
        </w:numPr>
        <w:rPr>
          <w:rFonts w:ascii="Arial" w:cs="Arial" w:eastAsia="Arial" w:hAnsi="Arial"/>
          <w:sz w:val="27"/>
          <w:szCs w:val="27"/>
          <w:color w:val="auto"/>
          <w:vertAlign w:val="subscript"/>
        </w:rPr>
      </w:pPr>
      <w:r>
        <w:rPr>
          <w:rFonts w:ascii="Arial" w:cs="Arial" w:eastAsia="Arial" w:hAnsi="Arial"/>
          <w:sz w:val="15"/>
          <w:szCs w:val="15"/>
          <w:color w:val="auto"/>
        </w:rPr>
        <w:t>I.R.S. IDENTIFICATION NOS. OF ABOVE PERSONS (ENTITIES ONLY)</w:t>
      </w:r>
    </w:p>
    <w:p>
      <w:pPr>
        <w:spacing w:after="0" w:line="201" w:lineRule="exact"/>
        <w:rPr>
          <w:rFonts w:ascii="Arial" w:cs="Arial" w:eastAsia="Arial" w:hAnsi="Arial"/>
          <w:sz w:val="27"/>
          <w:szCs w:val="27"/>
          <w:color w:val="auto"/>
          <w:vertAlign w:val="subscript"/>
        </w:rPr>
      </w:pPr>
    </w:p>
    <w:p>
      <w:pPr>
        <w:ind w:left="460"/>
        <w:spacing w:after="0"/>
        <w:rPr>
          <w:rFonts w:ascii="Arial" w:cs="Arial" w:eastAsia="Arial" w:hAnsi="Arial"/>
          <w:sz w:val="27"/>
          <w:szCs w:val="27"/>
          <w:color w:val="auto"/>
          <w:vertAlign w:val="subscript"/>
        </w:rPr>
      </w:pPr>
      <w:r>
        <w:rPr>
          <w:rFonts w:ascii="Arial" w:cs="Arial" w:eastAsia="Arial" w:hAnsi="Arial"/>
          <w:sz w:val="18"/>
          <w:szCs w:val="18"/>
          <w:color w:val="auto"/>
        </w:rPr>
        <w:t>Boothbay Absolute Return Strategies, LP</w:t>
      </w:r>
    </w:p>
    <w:p>
      <w:pPr>
        <w:spacing w:after="0" w:line="36" w:lineRule="exact"/>
        <w:rPr>
          <w:rFonts w:ascii="Arial" w:cs="Arial" w:eastAsia="Arial" w:hAnsi="Arial"/>
          <w:sz w:val="27"/>
          <w:szCs w:val="27"/>
          <w:color w:val="auto"/>
          <w:vertAlign w:val="subscript"/>
        </w:rPr>
      </w:pPr>
    </w:p>
    <w:p>
      <w:pPr>
        <w:ind w:left="460"/>
        <w:spacing w:after="0"/>
        <w:rPr>
          <w:rFonts w:ascii="Arial" w:cs="Arial" w:eastAsia="Arial" w:hAnsi="Arial"/>
          <w:sz w:val="27"/>
          <w:szCs w:val="27"/>
          <w:color w:val="auto"/>
          <w:vertAlign w:val="subscript"/>
        </w:rPr>
      </w:pPr>
      <w:r>
        <w:rPr>
          <w:rFonts w:ascii="Arial" w:cs="Arial" w:eastAsia="Arial" w:hAnsi="Arial"/>
          <w:sz w:val="18"/>
          <w:szCs w:val="18"/>
          <w:color w:val="auto"/>
        </w:rPr>
        <w:t>CHECK THE APPROPRIATE BOX IF A MEMBER OF A GROUP</w:t>
      </w:r>
    </w:p>
    <w:p>
      <w:pPr>
        <w:spacing w:after="0" w:line="23" w:lineRule="exact"/>
        <w:rPr>
          <w:rFonts w:ascii="Arial" w:cs="Arial" w:eastAsia="Arial" w:hAnsi="Arial"/>
          <w:sz w:val="27"/>
          <w:szCs w:val="27"/>
          <w:color w:val="auto"/>
          <w:vertAlign w:val="subscript"/>
        </w:rPr>
      </w:pPr>
    </w:p>
    <w:p>
      <w:pPr>
        <w:ind w:left="460" w:hanging="297"/>
        <w:spacing w:after="0" w:line="180" w:lineRule="auto"/>
        <w:tabs>
          <w:tab w:leader="none" w:pos="460" w:val="left"/>
        </w:tabs>
        <w:numPr>
          <w:ilvl w:val="0"/>
          <w:numId w:val="3"/>
        </w:numPr>
        <w:rPr>
          <w:rFonts w:ascii="Arial" w:cs="Arial" w:eastAsia="Arial" w:hAnsi="Arial"/>
          <w:sz w:val="25"/>
          <w:szCs w:val="25"/>
          <w:color w:val="auto"/>
          <w:vertAlign w:val="subscript"/>
        </w:rPr>
      </w:pPr>
      <w:r>
        <w:rPr>
          <w:rFonts w:ascii="Arial" w:cs="Arial" w:eastAsia="Arial" w:hAnsi="Arial"/>
          <w:sz w:val="14"/>
          <w:szCs w:val="14"/>
          <w:color w:val="auto"/>
        </w:rPr>
        <w:t>(see instructions)</w:t>
      </w:r>
    </w:p>
    <w:p>
      <w:pPr>
        <w:spacing w:after="0" w:line="2" w:lineRule="exact"/>
        <w:rPr>
          <w:rFonts w:ascii="Arial" w:cs="Arial" w:eastAsia="Arial" w:hAnsi="Arial"/>
          <w:sz w:val="25"/>
          <w:szCs w:val="25"/>
          <w:color w:val="auto"/>
          <w:vertAlign w:val="subscript"/>
        </w:rPr>
      </w:pPr>
    </w:p>
    <w:p>
      <w:pPr>
        <w:ind w:left="700" w:hanging="247"/>
        <w:spacing w:after="0"/>
        <w:tabs>
          <w:tab w:leader="none" w:pos="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7" w:lineRule="exact"/>
        <w:rPr>
          <w:rFonts w:ascii="Arial" w:cs="Arial" w:eastAsia="Arial" w:hAnsi="Arial"/>
          <w:sz w:val="18"/>
          <w:szCs w:val="18"/>
          <w:color w:val="auto"/>
        </w:rPr>
      </w:pPr>
    </w:p>
    <w:p>
      <w:pPr>
        <w:ind w:left="700" w:hanging="247"/>
        <w:spacing w:after="0"/>
        <w:tabs>
          <w:tab w:leader="none" w:pos="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[X]</w:t>
      </w:r>
    </w:p>
    <w:p>
      <w:pPr>
        <w:spacing w:after="0" w:line="9" w:lineRule="exact"/>
        <w:rPr>
          <w:rFonts w:ascii="Arial" w:cs="Arial" w:eastAsia="Arial" w:hAnsi="Arial"/>
          <w:sz w:val="18"/>
          <w:szCs w:val="18"/>
          <w:color w:val="auto"/>
        </w:rPr>
      </w:pPr>
    </w:p>
    <w:p>
      <w:pPr>
        <w:ind w:left="460" w:hanging="297"/>
        <w:spacing w:after="0" w:line="181" w:lineRule="auto"/>
        <w:tabs>
          <w:tab w:leader="none" w:pos="460" w:val="left"/>
        </w:tabs>
        <w:numPr>
          <w:ilvl w:val="0"/>
          <w:numId w:val="3"/>
        </w:numPr>
        <w:rPr>
          <w:rFonts w:ascii="Arial" w:cs="Arial" w:eastAsia="Arial" w:hAnsi="Arial"/>
          <w:sz w:val="28"/>
          <w:szCs w:val="28"/>
          <w:color w:val="auto"/>
          <w:vertAlign w:val="subscript"/>
        </w:rPr>
      </w:pPr>
      <w:r>
        <w:rPr>
          <w:rFonts w:ascii="Arial" w:cs="Arial" w:eastAsia="Arial" w:hAnsi="Arial"/>
          <w:sz w:val="15"/>
          <w:szCs w:val="15"/>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-719455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CITIZENSHIP OR PLACE OF ORGANIZATION</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4.</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620" w:type="dxa"/>
            <w:vAlign w:val="bottom"/>
            <w:tcBorders>
              <w:top w:val="single" w:sz="8" w:color="auto"/>
            </w:tcBorders>
          </w:tcPr>
          <w:p>
            <w:pPr>
              <w:spacing w:after="0"/>
              <w:rPr>
                <w:sz w:val="18"/>
                <w:szCs w:val="18"/>
                <w:color w:val="auto"/>
              </w:rPr>
            </w:pPr>
          </w:p>
        </w:tc>
        <w:tc>
          <w:tcPr>
            <w:tcW w:w="9620" w:type="dxa"/>
            <w:vAlign w:val="bottom"/>
            <w:tcBorders>
              <w:top w:val="single" w:sz="8" w:color="auto"/>
            </w:tcBorders>
          </w:tcPr>
          <w:p>
            <w:pPr>
              <w:ind w:left="4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7"/>
        </w:trPr>
        <w:tc>
          <w:tcPr>
            <w:tcW w:w="1620" w:type="dxa"/>
            <w:vAlign w:val="bottom"/>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962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7"/>
        </w:trPr>
        <w:tc>
          <w:tcPr>
            <w:tcW w:w="1620" w:type="dxa"/>
            <w:vAlign w:val="bottom"/>
            <w:vMerge w:val="continue"/>
          </w:tcPr>
          <w:p>
            <w:pPr>
              <w:spacing w:after="0"/>
              <w:rPr>
                <w:sz w:val="9"/>
                <w:szCs w:val="9"/>
                <w:color w:val="auto"/>
              </w:rPr>
            </w:pPr>
          </w:p>
        </w:tc>
        <w:tc>
          <w:tcPr>
            <w:tcW w:w="9620" w:type="dxa"/>
            <w:vAlign w:val="bottom"/>
            <w:vMerge w:val="restart"/>
          </w:tcPr>
          <w:p>
            <w:pPr>
              <w:ind w:left="460"/>
              <w:spacing w:after="0" w:line="201"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4"/>
        </w:trPr>
        <w:tc>
          <w:tcPr>
            <w:tcW w:w="1620" w:type="dxa"/>
            <w:vAlign w:val="bottom"/>
            <w:vMerge w:val="restart"/>
          </w:tcPr>
          <w:p>
            <w:pPr>
              <w:jc w:val="center"/>
              <w:spacing w:after="0"/>
              <w:rPr>
                <w:sz w:val="20"/>
                <w:szCs w:val="20"/>
                <w:color w:val="auto"/>
              </w:rPr>
            </w:pPr>
            <w:r>
              <w:rPr>
                <w:rFonts w:ascii="Arial" w:cs="Arial" w:eastAsia="Arial" w:hAnsi="Arial"/>
                <w:sz w:val="18"/>
                <w:szCs w:val="18"/>
                <w:color w:val="auto"/>
                <w:w w:val="91"/>
              </w:rPr>
              <w:t>SHARES</w:t>
            </w:r>
          </w:p>
        </w:tc>
        <w:tc>
          <w:tcPr>
            <w:tcW w:w="9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620" w:type="dxa"/>
            <w:vAlign w:val="bottom"/>
            <w:vMerge w:val="continue"/>
          </w:tcPr>
          <w:p>
            <w:pPr>
              <w:spacing w:after="0"/>
              <w:rPr>
                <w:sz w:val="10"/>
                <w:szCs w:val="10"/>
                <w:color w:val="auto"/>
              </w:rPr>
            </w:pPr>
          </w:p>
        </w:tc>
        <w:tc>
          <w:tcPr>
            <w:tcW w:w="9620" w:type="dxa"/>
            <w:vAlign w:val="bottom"/>
            <w:vMerge w:val="restart"/>
          </w:tcPr>
          <w:p>
            <w:pPr>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76"/>
        </w:trPr>
        <w:tc>
          <w:tcPr>
            <w:tcW w:w="1620" w:type="dxa"/>
            <w:vAlign w:val="bottom"/>
          </w:tcPr>
          <w:p>
            <w:pPr>
              <w:jc w:val="center"/>
              <w:spacing w:after="0" w:line="176" w:lineRule="exact"/>
              <w:rPr>
                <w:sz w:val="20"/>
                <w:szCs w:val="20"/>
                <w:color w:val="auto"/>
              </w:rPr>
            </w:pPr>
            <w:r>
              <w:rPr>
                <w:rFonts w:ascii="Arial" w:cs="Arial" w:eastAsia="Arial" w:hAnsi="Arial"/>
                <w:sz w:val="18"/>
                <w:szCs w:val="18"/>
                <w:color w:val="auto"/>
              </w:rPr>
              <w:t>BENEFICIALLY</w:t>
            </w:r>
          </w:p>
        </w:tc>
        <w:tc>
          <w:tcPr>
            <w:tcW w:w="9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1620" w:type="dxa"/>
            <w:vAlign w:val="bottom"/>
          </w:tcPr>
          <w:p>
            <w:pPr>
              <w:jc w:val="center"/>
              <w:spacing w:after="0" w:line="157" w:lineRule="exact"/>
              <w:rPr>
                <w:sz w:val="20"/>
                <w:szCs w:val="20"/>
                <w:color w:val="auto"/>
              </w:rPr>
            </w:pPr>
            <w:r>
              <w:rPr>
                <w:rFonts w:ascii="Arial" w:cs="Arial" w:eastAsia="Arial" w:hAnsi="Arial"/>
                <w:sz w:val="18"/>
                <w:szCs w:val="18"/>
                <w:color w:val="auto"/>
                <w:w w:val="97"/>
              </w:rPr>
              <w:t>OWNED BY</w:t>
            </w:r>
          </w:p>
        </w:tc>
        <w:tc>
          <w:tcPr>
            <w:tcW w:w="9620" w:type="dxa"/>
            <w:vAlign w:val="bottom"/>
            <w:tcBorders>
              <w:bottom w:val="single" w:sz="8" w:color="auto"/>
            </w:tcBorders>
          </w:tcPr>
          <w:p>
            <w:pPr>
              <w:ind w:left="460"/>
              <w:spacing w:after="0" w:line="149" w:lineRule="exact"/>
              <w:rPr>
                <w:sz w:val="20"/>
                <w:szCs w:val="20"/>
                <w:color w:val="auto"/>
              </w:rPr>
            </w:pPr>
            <w:r>
              <w:rPr>
                <w:rFonts w:ascii="Arial" w:cs="Arial" w:eastAsia="Arial" w:hAnsi="Arial"/>
                <w:sz w:val="17"/>
                <w:szCs w:val="17"/>
                <w:color w:val="auto"/>
              </w:rPr>
              <w:t>1,092,000*</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00"/>
        </w:trPr>
        <w:tc>
          <w:tcPr>
            <w:tcW w:w="1400" w:type="dxa"/>
            <w:vAlign w:val="bottom"/>
            <w:vMerge w:val="restart"/>
          </w:tcPr>
          <w:p>
            <w:pPr>
              <w:jc w:val="center"/>
              <w:ind w:right="110"/>
              <w:spacing w:after="0"/>
              <w:rPr>
                <w:sz w:val="20"/>
                <w:szCs w:val="20"/>
                <w:color w:val="auto"/>
              </w:rPr>
            </w:pPr>
            <w:r>
              <w:rPr>
                <w:rFonts w:ascii="Arial" w:cs="Arial" w:eastAsia="Arial" w:hAnsi="Arial"/>
                <w:sz w:val="18"/>
                <w:szCs w:val="18"/>
                <w:color w:val="auto"/>
                <w:w w:val="95"/>
              </w:rPr>
              <w:t>EACH</w:t>
            </w:r>
          </w:p>
        </w:tc>
        <w:tc>
          <w:tcPr>
            <w:tcW w:w="9620" w:type="dxa"/>
            <w:vAlign w:val="bottom"/>
          </w:tcPr>
          <w:p>
            <w:pPr>
              <w:ind w:left="460"/>
              <w:spacing w:after="0" w:line="20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94"/>
        </w:trPr>
        <w:tc>
          <w:tcPr>
            <w:tcW w:w="1400" w:type="dxa"/>
            <w:vAlign w:val="bottom"/>
            <w:vMerge w:val="continue"/>
          </w:tcPr>
          <w:p>
            <w:pPr>
              <w:spacing w:after="0"/>
              <w:rPr>
                <w:sz w:val="8"/>
                <w:szCs w:val="8"/>
                <w:color w:val="auto"/>
              </w:rPr>
            </w:pPr>
          </w:p>
        </w:tc>
        <w:tc>
          <w:tcPr>
            <w:tcW w:w="9620" w:type="dxa"/>
            <w:vAlign w:val="bottom"/>
            <w:vMerge w:val="restart"/>
          </w:tcPr>
          <w:p>
            <w:pPr>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ind w:right="110"/>
              <w:spacing w:after="0"/>
              <w:rPr>
                <w:sz w:val="20"/>
                <w:szCs w:val="20"/>
                <w:color w:val="auto"/>
              </w:rPr>
            </w:pPr>
            <w:r>
              <w:rPr>
                <w:rFonts w:ascii="Arial" w:cs="Arial" w:eastAsia="Arial" w:hAnsi="Arial"/>
                <w:sz w:val="18"/>
                <w:szCs w:val="18"/>
                <w:color w:val="auto"/>
                <w:w w:val="93"/>
              </w:rPr>
              <w:t>REPORTING</w:t>
            </w:r>
          </w:p>
        </w:tc>
        <w:tc>
          <w:tcPr>
            <w:tcW w:w="9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400" w:type="dxa"/>
            <w:vAlign w:val="bottom"/>
            <w:vMerge w:val="continue"/>
          </w:tcPr>
          <w:p>
            <w:pPr>
              <w:spacing w:after="0"/>
              <w:rPr>
                <w:sz w:val="8"/>
                <w:szCs w:val="8"/>
                <w:color w:val="auto"/>
              </w:rPr>
            </w:pPr>
          </w:p>
        </w:tc>
        <w:tc>
          <w:tcPr>
            <w:tcW w:w="9620" w:type="dxa"/>
            <w:vAlign w:val="bottom"/>
            <w:vMerge w:val="restart"/>
          </w:tcPr>
          <w:p>
            <w:pPr>
              <w:ind w:left="4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48"/>
        </w:trPr>
        <w:tc>
          <w:tcPr>
            <w:tcW w:w="1400" w:type="dxa"/>
            <w:vAlign w:val="bottom"/>
            <w:vMerge w:val="restart"/>
          </w:tcPr>
          <w:p>
            <w:pPr>
              <w:jc w:val="center"/>
              <w:ind w:right="110"/>
              <w:spacing w:after="0"/>
              <w:rPr>
                <w:sz w:val="20"/>
                <w:szCs w:val="20"/>
                <w:color w:val="auto"/>
              </w:rPr>
            </w:pPr>
            <w:r>
              <w:rPr>
                <w:rFonts w:ascii="Arial" w:cs="Arial" w:eastAsia="Arial" w:hAnsi="Arial"/>
                <w:sz w:val="18"/>
                <w:szCs w:val="18"/>
                <w:color w:val="auto"/>
                <w:w w:val="94"/>
              </w:rPr>
              <w:t>PERSON WITH</w:t>
            </w:r>
          </w:p>
        </w:tc>
        <w:tc>
          <w:tcPr>
            <w:tcW w:w="96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400" w:type="dxa"/>
            <w:vAlign w:val="bottom"/>
            <w:vMerge w:val="continue"/>
          </w:tcPr>
          <w:p>
            <w:pPr>
              <w:spacing w:after="0"/>
              <w:rPr>
                <w:sz w:val="5"/>
                <w:szCs w:val="5"/>
                <w:color w:val="auto"/>
              </w:rPr>
            </w:pPr>
          </w:p>
        </w:tc>
        <w:tc>
          <w:tcPr>
            <w:tcW w:w="9620" w:type="dxa"/>
            <w:vAlign w:val="bottom"/>
            <w:vMerge w:val="restart"/>
          </w:tcPr>
          <w:p>
            <w:pPr>
              <w:ind w:left="460"/>
              <w:spacing w:after="0" w:line="201" w:lineRule="exact"/>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34"/>
        </w:trPr>
        <w:tc>
          <w:tcPr>
            <w:tcW w:w="1400" w:type="dxa"/>
            <w:vAlign w:val="bottom"/>
          </w:tcPr>
          <w:p>
            <w:pPr>
              <w:spacing w:after="0"/>
              <w:rPr>
                <w:sz w:val="11"/>
                <w:szCs w:val="11"/>
                <w:color w:val="auto"/>
              </w:rPr>
            </w:pPr>
          </w:p>
        </w:tc>
        <w:tc>
          <w:tcPr>
            <w:tcW w:w="9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1400" w:type="dxa"/>
            <w:vAlign w:val="bottom"/>
          </w:tcPr>
          <w:p>
            <w:pPr>
              <w:spacing w:after="0"/>
              <w:rPr>
                <w:sz w:val="20"/>
                <w:szCs w:val="20"/>
                <w:color w:val="auto"/>
              </w:rPr>
            </w:pPr>
          </w:p>
        </w:tc>
        <w:tc>
          <w:tcPr>
            <w:tcW w:w="9620" w:type="dxa"/>
            <w:vAlign w:val="bottom"/>
          </w:tcPr>
          <w:p>
            <w:pPr>
              <w:ind w:left="460"/>
              <w:spacing w:after="0"/>
              <w:rPr>
                <w:sz w:val="20"/>
                <w:szCs w:val="20"/>
                <w:color w:val="auto"/>
              </w:rPr>
            </w:pPr>
            <w:r>
              <w:rPr>
                <w:rFonts w:ascii="Arial" w:cs="Arial" w:eastAsia="Arial" w:hAnsi="Arial"/>
                <w:sz w:val="18"/>
                <w:szCs w:val="18"/>
                <w:color w:val="auto"/>
              </w:rPr>
              <w:t>1,092,000*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9.</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1,092,000*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CHECK IF THE AGGREGATE AMOUNT IN ROW (9) EXCLUDES CERTAIN SHARES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10. (see instructions)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PERCENT OF CLASS REPRESENTED BY AMOUNT IN ROW (9)</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11.</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TYPE OF REPORTING PERSON (see instructions)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No. 92280L200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NAMES OF REPORTING PERSONS</w:t>
      </w:r>
    </w:p>
    <w:p>
      <w:pPr>
        <w:ind w:left="460" w:hanging="297"/>
        <w:spacing w:after="0" w:line="185" w:lineRule="auto"/>
        <w:tabs>
          <w:tab w:leader="none" w:pos="460" w:val="left"/>
        </w:tabs>
        <w:numPr>
          <w:ilvl w:val="0"/>
          <w:numId w:val="4"/>
        </w:numPr>
        <w:rPr>
          <w:rFonts w:ascii="Arial" w:cs="Arial" w:eastAsia="Arial" w:hAnsi="Arial"/>
          <w:sz w:val="27"/>
          <w:szCs w:val="27"/>
          <w:color w:val="auto"/>
          <w:vertAlign w:val="subscript"/>
        </w:rPr>
      </w:pPr>
      <w:r>
        <w:rPr>
          <w:rFonts w:ascii="Arial" w:cs="Arial" w:eastAsia="Arial" w:hAnsi="Arial"/>
          <w:sz w:val="15"/>
          <w:szCs w:val="15"/>
          <w:color w:val="auto"/>
        </w:rPr>
        <w:t>I.R.S. IDENTIFICATION NOS. OF ABOVE PERSONS (ENTITIES ONLY)</w:t>
      </w:r>
    </w:p>
    <w:p>
      <w:pPr>
        <w:spacing w:after="0" w:line="201" w:lineRule="exact"/>
        <w:rPr>
          <w:rFonts w:ascii="Arial" w:cs="Arial" w:eastAsia="Arial" w:hAnsi="Arial"/>
          <w:sz w:val="27"/>
          <w:szCs w:val="27"/>
          <w:color w:val="auto"/>
          <w:vertAlign w:val="subscript"/>
        </w:rPr>
      </w:pPr>
    </w:p>
    <w:p>
      <w:pPr>
        <w:ind w:left="460"/>
        <w:spacing w:after="0"/>
        <w:rPr>
          <w:rFonts w:ascii="Arial" w:cs="Arial" w:eastAsia="Arial" w:hAnsi="Arial"/>
          <w:sz w:val="27"/>
          <w:szCs w:val="27"/>
          <w:color w:val="auto"/>
          <w:vertAlign w:val="subscript"/>
        </w:rPr>
      </w:pPr>
      <w:r>
        <w:rPr>
          <w:rFonts w:ascii="Arial" w:cs="Arial" w:eastAsia="Arial" w:hAnsi="Arial"/>
          <w:sz w:val="18"/>
          <w:szCs w:val="18"/>
          <w:color w:val="auto"/>
        </w:rPr>
        <w:t>Boothbay Fund Management, LLC</w:t>
      </w:r>
    </w:p>
    <w:p>
      <w:pPr>
        <w:spacing w:after="0" w:line="36" w:lineRule="exact"/>
        <w:rPr>
          <w:rFonts w:ascii="Arial" w:cs="Arial" w:eastAsia="Arial" w:hAnsi="Arial"/>
          <w:sz w:val="27"/>
          <w:szCs w:val="27"/>
          <w:color w:val="auto"/>
          <w:vertAlign w:val="subscript"/>
        </w:rPr>
      </w:pPr>
    </w:p>
    <w:p>
      <w:pPr>
        <w:ind w:left="460"/>
        <w:spacing w:after="0"/>
        <w:rPr>
          <w:rFonts w:ascii="Arial" w:cs="Arial" w:eastAsia="Arial" w:hAnsi="Arial"/>
          <w:sz w:val="27"/>
          <w:szCs w:val="27"/>
          <w:color w:val="auto"/>
          <w:vertAlign w:val="subscript"/>
        </w:rPr>
      </w:pPr>
      <w:r>
        <w:rPr>
          <w:rFonts w:ascii="Arial" w:cs="Arial" w:eastAsia="Arial" w:hAnsi="Arial"/>
          <w:sz w:val="18"/>
          <w:szCs w:val="18"/>
          <w:color w:val="auto"/>
        </w:rPr>
        <w:t>CHECK THE APPROPRIATE BOX IF A MEMBER OF A GROUP</w:t>
      </w:r>
    </w:p>
    <w:p>
      <w:pPr>
        <w:spacing w:after="0" w:line="23" w:lineRule="exact"/>
        <w:rPr>
          <w:rFonts w:ascii="Arial" w:cs="Arial" w:eastAsia="Arial" w:hAnsi="Arial"/>
          <w:sz w:val="27"/>
          <w:szCs w:val="27"/>
          <w:color w:val="auto"/>
          <w:vertAlign w:val="subscript"/>
        </w:rPr>
      </w:pPr>
    </w:p>
    <w:p>
      <w:pPr>
        <w:ind w:left="460" w:hanging="297"/>
        <w:spacing w:after="0" w:line="180" w:lineRule="auto"/>
        <w:tabs>
          <w:tab w:leader="none" w:pos="460" w:val="left"/>
        </w:tabs>
        <w:numPr>
          <w:ilvl w:val="0"/>
          <w:numId w:val="4"/>
        </w:numPr>
        <w:rPr>
          <w:rFonts w:ascii="Arial" w:cs="Arial" w:eastAsia="Arial" w:hAnsi="Arial"/>
          <w:sz w:val="25"/>
          <w:szCs w:val="25"/>
          <w:color w:val="auto"/>
          <w:vertAlign w:val="subscript"/>
        </w:rPr>
      </w:pPr>
      <w:r>
        <w:rPr>
          <w:rFonts w:ascii="Arial" w:cs="Arial" w:eastAsia="Arial" w:hAnsi="Arial"/>
          <w:sz w:val="14"/>
          <w:szCs w:val="14"/>
          <w:color w:val="auto"/>
        </w:rPr>
        <w:t>(see instructions)</w:t>
      </w:r>
    </w:p>
    <w:p>
      <w:pPr>
        <w:spacing w:after="0" w:line="2" w:lineRule="exact"/>
        <w:rPr>
          <w:rFonts w:ascii="Arial" w:cs="Arial" w:eastAsia="Arial" w:hAnsi="Arial"/>
          <w:sz w:val="25"/>
          <w:szCs w:val="25"/>
          <w:color w:val="auto"/>
          <w:vertAlign w:val="subscript"/>
        </w:rPr>
      </w:pPr>
    </w:p>
    <w:p>
      <w:pPr>
        <w:ind w:left="700" w:hanging="247"/>
        <w:spacing w:after="0"/>
        <w:tabs>
          <w:tab w:leader="none" w:pos="700" w:val="left"/>
        </w:tabs>
        <w:numPr>
          <w:ilvl w:val="1"/>
          <w:numId w:val="4"/>
        </w:numPr>
        <w:rPr>
          <w:rFonts w:ascii="Arial" w:cs="Arial" w:eastAsia="Arial" w:hAnsi="Arial"/>
          <w:sz w:val="18"/>
          <w:szCs w:val="18"/>
          <w:color w:val="auto"/>
        </w:rPr>
      </w:pPr>
      <w:r>
        <w:rPr>
          <w:rFonts w:ascii="Arial" w:cs="Arial" w:eastAsia="Arial" w:hAnsi="Arial"/>
          <w:sz w:val="18"/>
          <w:szCs w:val="18"/>
          <w:color w:val="auto"/>
        </w:rPr>
        <w:t>[ ]</w:t>
      </w:r>
    </w:p>
    <w:p>
      <w:pPr>
        <w:spacing w:after="0" w:line="7" w:lineRule="exact"/>
        <w:rPr>
          <w:rFonts w:ascii="Arial" w:cs="Arial" w:eastAsia="Arial" w:hAnsi="Arial"/>
          <w:sz w:val="18"/>
          <w:szCs w:val="18"/>
          <w:color w:val="auto"/>
        </w:rPr>
      </w:pPr>
    </w:p>
    <w:p>
      <w:pPr>
        <w:ind w:left="700" w:hanging="247"/>
        <w:spacing w:after="0"/>
        <w:tabs>
          <w:tab w:leader="none" w:pos="700" w:val="left"/>
        </w:tabs>
        <w:numPr>
          <w:ilvl w:val="1"/>
          <w:numId w:val="4"/>
        </w:numPr>
        <w:rPr>
          <w:rFonts w:ascii="Arial" w:cs="Arial" w:eastAsia="Arial" w:hAnsi="Arial"/>
          <w:sz w:val="18"/>
          <w:szCs w:val="18"/>
          <w:color w:val="auto"/>
        </w:rPr>
      </w:pPr>
      <w:r>
        <w:rPr>
          <w:rFonts w:ascii="Arial" w:cs="Arial" w:eastAsia="Arial" w:hAnsi="Arial"/>
          <w:sz w:val="18"/>
          <w:szCs w:val="18"/>
          <w:color w:val="auto"/>
        </w:rPr>
        <w:t>[X]</w:t>
      </w:r>
    </w:p>
    <w:p>
      <w:pPr>
        <w:spacing w:after="0" w:line="9" w:lineRule="exact"/>
        <w:rPr>
          <w:rFonts w:ascii="Arial" w:cs="Arial" w:eastAsia="Arial" w:hAnsi="Arial"/>
          <w:sz w:val="18"/>
          <w:szCs w:val="18"/>
          <w:color w:val="auto"/>
        </w:rPr>
      </w:pPr>
    </w:p>
    <w:p>
      <w:pPr>
        <w:ind w:left="460" w:hanging="297"/>
        <w:spacing w:after="0" w:line="181" w:lineRule="auto"/>
        <w:tabs>
          <w:tab w:leader="none" w:pos="460" w:val="left"/>
        </w:tabs>
        <w:numPr>
          <w:ilvl w:val="0"/>
          <w:numId w:val="4"/>
        </w:numPr>
        <w:rPr>
          <w:rFonts w:ascii="Arial" w:cs="Arial" w:eastAsia="Arial" w:hAnsi="Arial"/>
          <w:sz w:val="28"/>
          <w:szCs w:val="28"/>
          <w:color w:val="auto"/>
          <w:vertAlign w:val="subscript"/>
        </w:rPr>
      </w:pPr>
      <w:r>
        <w:rPr>
          <w:rFonts w:ascii="Arial" w:cs="Arial" w:eastAsia="Arial" w:hAnsi="Arial"/>
          <w:sz w:val="15"/>
          <w:szCs w:val="15"/>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-719455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CITIZENSHIP OR PLACE OF ORGANIZATION</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4.</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620" w:type="dxa"/>
            <w:vAlign w:val="bottom"/>
            <w:tcBorders>
              <w:top w:val="single" w:sz="8" w:color="auto"/>
            </w:tcBorders>
          </w:tcPr>
          <w:p>
            <w:pPr>
              <w:spacing w:after="0"/>
              <w:rPr>
                <w:sz w:val="18"/>
                <w:szCs w:val="18"/>
                <w:color w:val="auto"/>
              </w:rPr>
            </w:pPr>
          </w:p>
        </w:tc>
        <w:tc>
          <w:tcPr>
            <w:tcW w:w="9620" w:type="dxa"/>
            <w:vAlign w:val="bottom"/>
            <w:tcBorders>
              <w:top w:val="single" w:sz="8" w:color="auto"/>
            </w:tcBorders>
          </w:tcPr>
          <w:p>
            <w:pPr>
              <w:ind w:left="4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7"/>
        </w:trPr>
        <w:tc>
          <w:tcPr>
            <w:tcW w:w="1620" w:type="dxa"/>
            <w:vAlign w:val="bottom"/>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962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7"/>
        </w:trPr>
        <w:tc>
          <w:tcPr>
            <w:tcW w:w="1620" w:type="dxa"/>
            <w:vAlign w:val="bottom"/>
            <w:vMerge w:val="continue"/>
          </w:tcPr>
          <w:p>
            <w:pPr>
              <w:spacing w:after="0"/>
              <w:rPr>
                <w:sz w:val="9"/>
                <w:szCs w:val="9"/>
                <w:color w:val="auto"/>
              </w:rPr>
            </w:pPr>
          </w:p>
        </w:tc>
        <w:tc>
          <w:tcPr>
            <w:tcW w:w="9620" w:type="dxa"/>
            <w:vAlign w:val="bottom"/>
            <w:vMerge w:val="restart"/>
          </w:tcPr>
          <w:p>
            <w:pPr>
              <w:ind w:left="460"/>
              <w:spacing w:after="0" w:line="201"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4"/>
        </w:trPr>
        <w:tc>
          <w:tcPr>
            <w:tcW w:w="1620" w:type="dxa"/>
            <w:vAlign w:val="bottom"/>
            <w:vMerge w:val="restart"/>
          </w:tcPr>
          <w:p>
            <w:pPr>
              <w:jc w:val="center"/>
              <w:spacing w:after="0"/>
              <w:rPr>
                <w:sz w:val="20"/>
                <w:szCs w:val="20"/>
                <w:color w:val="auto"/>
              </w:rPr>
            </w:pPr>
            <w:r>
              <w:rPr>
                <w:rFonts w:ascii="Arial" w:cs="Arial" w:eastAsia="Arial" w:hAnsi="Arial"/>
                <w:sz w:val="18"/>
                <w:szCs w:val="18"/>
                <w:color w:val="auto"/>
                <w:w w:val="91"/>
              </w:rPr>
              <w:t>SHARES</w:t>
            </w:r>
          </w:p>
        </w:tc>
        <w:tc>
          <w:tcPr>
            <w:tcW w:w="9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620" w:type="dxa"/>
            <w:vAlign w:val="bottom"/>
            <w:vMerge w:val="continue"/>
          </w:tcPr>
          <w:p>
            <w:pPr>
              <w:spacing w:after="0"/>
              <w:rPr>
                <w:sz w:val="10"/>
                <w:szCs w:val="10"/>
                <w:color w:val="auto"/>
              </w:rPr>
            </w:pPr>
          </w:p>
        </w:tc>
        <w:tc>
          <w:tcPr>
            <w:tcW w:w="9620" w:type="dxa"/>
            <w:vAlign w:val="bottom"/>
            <w:vMerge w:val="restart"/>
          </w:tcPr>
          <w:p>
            <w:pPr>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76"/>
        </w:trPr>
        <w:tc>
          <w:tcPr>
            <w:tcW w:w="1620" w:type="dxa"/>
            <w:vAlign w:val="bottom"/>
          </w:tcPr>
          <w:p>
            <w:pPr>
              <w:jc w:val="center"/>
              <w:spacing w:after="0" w:line="176" w:lineRule="exact"/>
              <w:rPr>
                <w:sz w:val="20"/>
                <w:szCs w:val="20"/>
                <w:color w:val="auto"/>
              </w:rPr>
            </w:pPr>
            <w:r>
              <w:rPr>
                <w:rFonts w:ascii="Arial" w:cs="Arial" w:eastAsia="Arial" w:hAnsi="Arial"/>
                <w:sz w:val="18"/>
                <w:szCs w:val="18"/>
                <w:color w:val="auto"/>
              </w:rPr>
              <w:t>BENEFICIALLY</w:t>
            </w:r>
          </w:p>
        </w:tc>
        <w:tc>
          <w:tcPr>
            <w:tcW w:w="9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1620" w:type="dxa"/>
            <w:vAlign w:val="bottom"/>
          </w:tcPr>
          <w:p>
            <w:pPr>
              <w:jc w:val="center"/>
              <w:spacing w:after="0" w:line="157" w:lineRule="exact"/>
              <w:rPr>
                <w:sz w:val="20"/>
                <w:szCs w:val="20"/>
                <w:color w:val="auto"/>
              </w:rPr>
            </w:pPr>
            <w:r>
              <w:rPr>
                <w:rFonts w:ascii="Arial" w:cs="Arial" w:eastAsia="Arial" w:hAnsi="Arial"/>
                <w:sz w:val="18"/>
                <w:szCs w:val="18"/>
                <w:color w:val="auto"/>
                <w:w w:val="97"/>
              </w:rPr>
              <w:t>OWNED BY</w:t>
            </w:r>
          </w:p>
        </w:tc>
        <w:tc>
          <w:tcPr>
            <w:tcW w:w="9620" w:type="dxa"/>
            <w:vAlign w:val="bottom"/>
            <w:tcBorders>
              <w:bottom w:val="single" w:sz="8" w:color="auto"/>
            </w:tcBorders>
          </w:tcPr>
          <w:p>
            <w:pPr>
              <w:ind w:left="460"/>
              <w:spacing w:after="0" w:line="149" w:lineRule="exact"/>
              <w:rPr>
                <w:sz w:val="20"/>
                <w:szCs w:val="20"/>
                <w:color w:val="auto"/>
              </w:rPr>
            </w:pPr>
            <w:r>
              <w:rPr>
                <w:rFonts w:ascii="Arial" w:cs="Arial" w:eastAsia="Arial" w:hAnsi="Arial"/>
                <w:sz w:val="17"/>
                <w:szCs w:val="17"/>
                <w:color w:val="auto"/>
              </w:rPr>
              <w:t>1,300,000*</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00"/>
        </w:trPr>
        <w:tc>
          <w:tcPr>
            <w:tcW w:w="1400" w:type="dxa"/>
            <w:vAlign w:val="bottom"/>
            <w:vMerge w:val="restart"/>
          </w:tcPr>
          <w:p>
            <w:pPr>
              <w:jc w:val="center"/>
              <w:ind w:right="110"/>
              <w:spacing w:after="0"/>
              <w:rPr>
                <w:sz w:val="20"/>
                <w:szCs w:val="20"/>
                <w:color w:val="auto"/>
              </w:rPr>
            </w:pPr>
            <w:r>
              <w:rPr>
                <w:rFonts w:ascii="Arial" w:cs="Arial" w:eastAsia="Arial" w:hAnsi="Arial"/>
                <w:sz w:val="18"/>
                <w:szCs w:val="18"/>
                <w:color w:val="auto"/>
                <w:w w:val="95"/>
              </w:rPr>
              <w:t>EACH</w:t>
            </w:r>
          </w:p>
        </w:tc>
        <w:tc>
          <w:tcPr>
            <w:tcW w:w="9620" w:type="dxa"/>
            <w:vAlign w:val="bottom"/>
          </w:tcPr>
          <w:p>
            <w:pPr>
              <w:ind w:left="460"/>
              <w:spacing w:after="0" w:line="20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94"/>
        </w:trPr>
        <w:tc>
          <w:tcPr>
            <w:tcW w:w="1400" w:type="dxa"/>
            <w:vAlign w:val="bottom"/>
            <w:vMerge w:val="continue"/>
          </w:tcPr>
          <w:p>
            <w:pPr>
              <w:spacing w:after="0"/>
              <w:rPr>
                <w:sz w:val="8"/>
                <w:szCs w:val="8"/>
                <w:color w:val="auto"/>
              </w:rPr>
            </w:pPr>
          </w:p>
        </w:tc>
        <w:tc>
          <w:tcPr>
            <w:tcW w:w="9620" w:type="dxa"/>
            <w:vAlign w:val="bottom"/>
            <w:vMerge w:val="restart"/>
          </w:tcPr>
          <w:p>
            <w:pPr>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ind w:right="110"/>
              <w:spacing w:after="0"/>
              <w:rPr>
                <w:sz w:val="20"/>
                <w:szCs w:val="20"/>
                <w:color w:val="auto"/>
              </w:rPr>
            </w:pPr>
            <w:r>
              <w:rPr>
                <w:rFonts w:ascii="Arial" w:cs="Arial" w:eastAsia="Arial" w:hAnsi="Arial"/>
                <w:sz w:val="18"/>
                <w:szCs w:val="18"/>
                <w:color w:val="auto"/>
                <w:w w:val="93"/>
              </w:rPr>
              <w:t>REPORTING</w:t>
            </w:r>
          </w:p>
        </w:tc>
        <w:tc>
          <w:tcPr>
            <w:tcW w:w="9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400" w:type="dxa"/>
            <w:vAlign w:val="bottom"/>
            <w:vMerge w:val="continue"/>
          </w:tcPr>
          <w:p>
            <w:pPr>
              <w:spacing w:after="0"/>
              <w:rPr>
                <w:sz w:val="8"/>
                <w:szCs w:val="8"/>
                <w:color w:val="auto"/>
              </w:rPr>
            </w:pPr>
          </w:p>
        </w:tc>
        <w:tc>
          <w:tcPr>
            <w:tcW w:w="9620" w:type="dxa"/>
            <w:vAlign w:val="bottom"/>
            <w:vMerge w:val="restart"/>
          </w:tcPr>
          <w:p>
            <w:pPr>
              <w:ind w:left="4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48"/>
        </w:trPr>
        <w:tc>
          <w:tcPr>
            <w:tcW w:w="1400" w:type="dxa"/>
            <w:vAlign w:val="bottom"/>
            <w:vMerge w:val="restart"/>
          </w:tcPr>
          <w:p>
            <w:pPr>
              <w:jc w:val="center"/>
              <w:ind w:right="110"/>
              <w:spacing w:after="0"/>
              <w:rPr>
                <w:sz w:val="20"/>
                <w:szCs w:val="20"/>
                <w:color w:val="auto"/>
              </w:rPr>
            </w:pPr>
            <w:r>
              <w:rPr>
                <w:rFonts w:ascii="Arial" w:cs="Arial" w:eastAsia="Arial" w:hAnsi="Arial"/>
                <w:sz w:val="18"/>
                <w:szCs w:val="18"/>
                <w:color w:val="auto"/>
                <w:w w:val="94"/>
              </w:rPr>
              <w:t>PERSON WITH</w:t>
            </w:r>
          </w:p>
        </w:tc>
        <w:tc>
          <w:tcPr>
            <w:tcW w:w="96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400" w:type="dxa"/>
            <w:vAlign w:val="bottom"/>
            <w:vMerge w:val="continue"/>
          </w:tcPr>
          <w:p>
            <w:pPr>
              <w:spacing w:after="0"/>
              <w:rPr>
                <w:sz w:val="5"/>
                <w:szCs w:val="5"/>
                <w:color w:val="auto"/>
              </w:rPr>
            </w:pPr>
          </w:p>
        </w:tc>
        <w:tc>
          <w:tcPr>
            <w:tcW w:w="9620" w:type="dxa"/>
            <w:vAlign w:val="bottom"/>
            <w:vMerge w:val="restart"/>
          </w:tcPr>
          <w:p>
            <w:pPr>
              <w:ind w:left="460"/>
              <w:spacing w:after="0" w:line="201" w:lineRule="exact"/>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34"/>
        </w:trPr>
        <w:tc>
          <w:tcPr>
            <w:tcW w:w="1400" w:type="dxa"/>
            <w:vAlign w:val="bottom"/>
          </w:tcPr>
          <w:p>
            <w:pPr>
              <w:spacing w:after="0"/>
              <w:rPr>
                <w:sz w:val="11"/>
                <w:szCs w:val="11"/>
                <w:color w:val="auto"/>
              </w:rPr>
            </w:pPr>
          </w:p>
        </w:tc>
        <w:tc>
          <w:tcPr>
            <w:tcW w:w="9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1400" w:type="dxa"/>
            <w:vAlign w:val="bottom"/>
          </w:tcPr>
          <w:p>
            <w:pPr>
              <w:spacing w:after="0"/>
              <w:rPr>
                <w:sz w:val="20"/>
                <w:szCs w:val="20"/>
                <w:color w:val="auto"/>
              </w:rPr>
            </w:pPr>
          </w:p>
        </w:tc>
        <w:tc>
          <w:tcPr>
            <w:tcW w:w="9620" w:type="dxa"/>
            <w:vAlign w:val="bottom"/>
          </w:tcPr>
          <w:p>
            <w:pPr>
              <w:ind w:left="460"/>
              <w:spacing w:after="0"/>
              <w:rPr>
                <w:sz w:val="20"/>
                <w:szCs w:val="20"/>
                <w:color w:val="auto"/>
              </w:rPr>
            </w:pPr>
            <w:r>
              <w:rPr>
                <w:rFonts w:ascii="Arial" w:cs="Arial" w:eastAsia="Arial" w:hAnsi="Arial"/>
                <w:sz w:val="18"/>
                <w:szCs w:val="18"/>
                <w:color w:val="auto"/>
              </w:rPr>
              <w:t>1,300,000*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1,300,000*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CHECK IF THE AGGREGATE AMOUNT IN ROW (9) EXCLUDES CERTAIN SHARES</w:t>
      </w:r>
    </w:p>
    <w:p>
      <w:pPr>
        <w:spacing w:after="0" w:line="23"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(see instructions)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PERCENT OF CLASS REPRESENTED BY AMOUNT IN ROW (9)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11.</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TYPE OF REPORTING PERSON (see instructions)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IA,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CUSIP No. 92280L200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NAMES OF REPORTING PERSONS</w:t>
      </w:r>
    </w:p>
    <w:p>
      <w:pPr>
        <w:ind w:left="460" w:hanging="297"/>
        <w:spacing w:after="0" w:line="185" w:lineRule="auto"/>
        <w:tabs>
          <w:tab w:leader="none" w:pos="460" w:val="left"/>
        </w:tabs>
        <w:numPr>
          <w:ilvl w:val="0"/>
          <w:numId w:val="6"/>
        </w:numPr>
        <w:rPr>
          <w:rFonts w:ascii="Arial" w:cs="Arial" w:eastAsia="Arial" w:hAnsi="Arial"/>
          <w:sz w:val="27"/>
          <w:szCs w:val="27"/>
          <w:color w:val="auto"/>
          <w:vertAlign w:val="subscript"/>
        </w:rPr>
      </w:pPr>
      <w:r>
        <w:rPr>
          <w:rFonts w:ascii="Arial" w:cs="Arial" w:eastAsia="Arial" w:hAnsi="Arial"/>
          <w:sz w:val="15"/>
          <w:szCs w:val="15"/>
          <w:color w:val="auto"/>
        </w:rPr>
        <w:t>I.R.S. IDENTIFICATION NOS. OF ABOVE PERSONS (ENTITIES ONLY)</w:t>
      </w:r>
    </w:p>
    <w:p>
      <w:pPr>
        <w:spacing w:after="0" w:line="201" w:lineRule="exact"/>
        <w:rPr>
          <w:rFonts w:ascii="Arial" w:cs="Arial" w:eastAsia="Arial" w:hAnsi="Arial"/>
          <w:sz w:val="27"/>
          <w:szCs w:val="27"/>
          <w:color w:val="auto"/>
          <w:vertAlign w:val="subscript"/>
        </w:rPr>
      </w:pPr>
    </w:p>
    <w:p>
      <w:pPr>
        <w:ind w:left="460"/>
        <w:spacing w:after="0"/>
        <w:rPr>
          <w:rFonts w:ascii="Arial" w:cs="Arial" w:eastAsia="Arial" w:hAnsi="Arial"/>
          <w:sz w:val="27"/>
          <w:szCs w:val="27"/>
          <w:color w:val="auto"/>
          <w:vertAlign w:val="subscript"/>
        </w:rPr>
      </w:pPr>
      <w:r>
        <w:rPr>
          <w:rFonts w:ascii="Arial" w:cs="Arial" w:eastAsia="Arial" w:hAnsi="Arial"/>
          <w:sz w:val="18"/>
          <w:szCs w:val="18"/>
          <w:color w:val="auto"/>
        </w:rPr>
        <w:t>Ari Glass</w:t>
      </w:r>
    </w:p>
    <w:p>
      <w:pPr>
        <w:spacing w:after="0" w:line="36" w:lineRule="exact"/>
        <w:rPr>
          <w:rFonts w:ascii="Arial" w:cs="Arial" w:eastAsia="Arial" w:hAnsi="Arial"/>
          <w:sz w:val="27"/>
          <w:szCs w:val="27"/>
          <w:color w:val="auto"/>
          <w:vertAlign w:val="subscript"/>
        </w:rPr>
      </w:pPr>
    </w:p>
    <w:p>
      <w:pPr>
        <w:ind w:left="460"/>
        <w:spacing w:after="0"/>
        <w:rPr>
          <w:rFonts w:ascii="Arial" w:cs="Arial" w:eastAsia="Arial" w:hAnsi="Arial"/>
          <w:sz w:val="27"/>
          <w:szCs w:val="27"/>
          <w:color w:val="auto"/>
          <w:vertAlign w:val="subscript"/>
        </w:rPr>
      </w:pPr>
      <w:r>
        <w:rPr>
          <w:rFonts w:ascii="Arial" w:cs="Arial" w:eastAsia="Arial" w:hAnsi="Arial"/>
          <w:sz w:val="18"/>
          <w:szCs w:val="18"/>
          <w:color w:val="auto"/>
        </w:rPr>
        <w:t>CHECK THE APPROPRIATE BOX IF A MEMBER OF A GROUP</w:t>
      </w:r>
    </w:p>
    <w:p>
      <w:pPr>
        <w:spacing w:after="0" w:line="23" w:lineRule="exact"/>
        <w:rPr>
          <w:rFonts w:ascii="Arial" w:cs="Arial" w:eastAsia="Arial" w:hAnsi="Arial"/>
          <w:sz w:val="27"/>
          <w:szCs w:val="27"/>
          <w:color w:val="auto"/>
          <w:vertAlign w:val="subscript"/>
        </w:rPr>
      </w:pPr>
    </w:p>
    <w:p>
      <w:pPr>
        <w:ind w:left="460" w:hanging="297"/>
        <w:spacing w:after="0" w:line="180" w:lineRule="auto"/>
        <w:tabs>
          <w:tab w:leader="none" w:pos="460" w:val="left"/>
        </w:tabs>
        <w:numPr>
          <w:ilvl w:val="0"/>
          <w:numId w:val="6"/>
        </w:numPr>
        <w:rPr>
          <w:rFonts w:ascii="Arial" w:cs="Arial" w:eastAsia="Arial" w:hAnsi="Arial"/>
          <w:sz w:val="25"/>
          <w:szCs w:val="25"/>
          <w:color w:val="auto"/>
          <w:vertAlign w:val="subscript"/>
        </w:rPr>
      </w:pPr>
      <w:r>
        <w:rPr>
          <w:rFonts w:ascii="Arial" w:cs="Arial" w:eastAsia="Arial" w:hAnsi="Arial"/>
          <w:sz w:val="14"/>
          <w:szCs w:val="14"/>
          <w:color w:val="auto"/>
        </w:rPr>
        <w:t>(see instructions)</w:t>
      </w:r>
    </w:p>
    <w:p>
      <w:pPr>
        <w:spacing w:after="0" w:line="2" w:lineRule="exact"/>
        <w:rPr>
          <w:rFonts w:ascii="Arial" w:cs="Arial" w:eastAsia="Arial" w:hAnsi="Arial"/>
          <w:sz w:val="25"/>
          <w:szCs w:val="25"/>
          <w:color w:val="auto"/>
          <w:vertAlign w:val="subscript"/>
        </w:rPr>
      </w:pPr>
    </w:p>
    <w:p>
      <w:pPr>
        <w:ind w:left="700" w:hanging="247"/>
        <w:spacing w:after="0"/>
        <w:tabs>
          <w:tab w:leader="none" w:pos="700" w:val="left"/>
        </w:tabs>
        <w:numPr>
          <w:ilvl w:val="1"/>
          <w:numId w:val="6"/>
        </w:numPr>
        <w:rPr>
          <w:rFonts w:ascii="Arial" w:cs="Arial" w:eastAsia="Arial" w:hAnsi="Arial"/>
          <w:sz w:val="18"/>
          <w:szCs w:val="18"/>
          <w:color w:val="auto"/>
        </w:rPr>
      </w:pPr>
      <w:r>
        <w:rPr>
          <w:rFonts w:ascii="Arial" w:cs="Arial" w:eastAsia="Arial" w:hAnsi="Arial"/>
          <w:sz w:val="18"/>
          <w:szCs w:val="18"/>
          <w:color w:val="auto"/>
        </w:rPr>
        <w:t>[ ]</w:t>
      </w:r>
    </w:p>
    <w:p>
      <w:pPr>
        <w:spacing w:after="0" w:line="7" w:lineRule="exact"/>
        <w:rPr>
          <w:rFonts w:ascii="Arial" w:cs="Arial" w:eastAsia="Arial" w:hAnsi="Arial"/>
          <w:sz w:val="18"/>
          <w:szCs w:val="18"/>
          <w:color w:val="auto"/>
        </w:rPr>
      </w:pPr>
    </w:p>
    <w:p>
      <w:pPr>
        <w:ind w:left="700" w:hanging="247"/>
        <w:spacing w:after="0"/>
        <w:tabs>
          <w:tab w:leader="none" w:pos="700" w:val="left"/>
        </w:tabs>
        <w:numPr>
          <w:ilvl w:val="1"/>
          <w:numId w:val="6"/>
        </w:numPr>
        <w:rPr>
          <w:rFonts w:ascii="Arial" w:cs="Arial" w:eastAsia="Arial" w:hAnsi="Arial"/>
          <w:sz w:val="18"/>
          <w:szCs w:val="18"/>
          <w:color w:val="auto"/>
        </w:rPr>
      </w:pPr>
      <w:r>
        <w:rPr>
          <w:rFonts w:ascii="Arial" w:cs="Arial" w:eastAsia="Arial" w:hAnsi="Arial"/>
          <w:sz w:val="18"/>
          <w:szCs w:val="18"/>
          <w:color w:val="auto"/>
        </w:rPr>
        <w:t>[X]</w:t>
      </w:r>
    </w:p>
    <w:p>
      <w:pPr>
        <w:spacing w:after="0" w:line="9" w:lineRule="exact"/>
        <w:rPr>
          <w:rFonts w:ascii="Arial" w:cs="Arial" w:eastAsia="Arial" w:hAnsi="Arial"/>
          <w:sz w:val="18"/>
          <w:szCs w:val="18"/>
          <w:color w:val="auto"/>
        </w:rPr>
      </w:pPr>
    </w:p>
    <w:p>
      <w:pPr>
        <w:ind w:left="460" w:hanging="297"/>
        <w:spacing w:after="0" w:line="181" w:lineRule="auto"/>
        <w:tabs>
          <w:tab w:leader="none" w:pos="460" w:val="left"/>
        </w:tabs>
        <w:numPr>
          <w:ilvl w:val="0"/>
          <w:numId w:val="6"/>
        </w:numPr>
        <w:rPr>
          <w:rFonts w:ascii="Arial" w:cs="Arial" w:eastAsia="Arial" w:hAnsi="Arial"/>
          <w:sz w:val="28"/>
          <w:szCs w:val="28"/>
          <w:color w:val="auto"/>
          <w:vertAlign w:val="subscript"/>
        </w:rPr>
      </w:pPr>
      <w:r>
        <w:rPr>
          <w:rFonts w:ascii="Arial" w:cs="Arial" w:eastAsia="Arial" w:hAnsi="Arial"/>
          <w:sz w:val="15"/>
          <w:szCs w:val="15"/>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-719455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CITIZENSHIP OR PLACE OF ORGANIZATION</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4.</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United States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620" w:type="dxa"/>
            <w:vAlign w:val="bottom"/>
            <w:tcBorders>
              <w:top w:val="single" w:sz="8" w:color="auto"/>
            </w:tcBorders>
          </w:tcPr>
          <w:p>
            <w:pPr>
              <w:spacing w:after="0"/>
              <w:rPr>
                <w:sz w:val="18"/>
                <w:szCs w:val="18"/>
                <w:color w:val="auto"/>
              </w:rPr>
            </w:pPr>
          </w:p>
        </w:tc>
        <w:tc>
          <w:tcPr>
            <w:tcW w:w="9620" w:type="dxa"/>
            <w:vAlign w:val="bottom"/>
            <w:tcBorders>
              <w:top w:val="single" w:sz="8" w:color="auto"/>
            </w:tcBorders>
          </w:tcPr>
          <w:p>
            <w:pPr>
              <w:ind w:left="4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7"/>
        </w:trPr>
        <w:tc>
          <w:tcPr>
            <w:tcW w:w="1620" w:type="dxa"/>
            <w:vAlign w:val="bottom"/>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962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7"/>
        </w:trPr>
        <w:tc>
          <w:tcPr>
            <w:tcW w:w="1620" w:type="dxa"/>
            <w:vAlign w:val="bottom"/>
            <w:vMerge w:val="continue"/>
          </w:tcPr>
          <w:p>
            <w:pPr>
              <w:spacing w:after="0"/>
              <w:rPr>
                <w:sz w:val="9"/>
                <w:szCs w:val="9"/>
                <w:color w:val="auto"/>
              </w:rPr>
            </w:pPr>
          </w:p>
        </w:tc>
        <w:tc>
          <w:tcPr>
            <w:tcW w:w="9620" w:type="dxa"/>
            <w:vAlign w:val="bottom"/>
            <w:vMerge w:val="restart"/>
          </w:tcPr>
          <w:p>
            <w:pPr>
              <w:ind w:left="460"/>
              <w:spacing w:after="0" w:line="201"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4"/>
        </w:trPr>
        <w:tc>
          <w:tcPr>
            <w:tcW w:w="1620" w:type="dxa"/>
            <w:vAlign w:val="bottom"/>
            <w:vMerge w:val="restart"/>
          </w:tcPr>
          <w:p>
            <w:pPr>
              <w:jc w:val="center"/>
              <w:spacing w:after="0"/>
              <w:rPr>
                <w:sz w:val="20"/>
                <w:szCs w:val="20"/>
                <w:color w:val="auto"/>
              </w:rPr>
            </w:pPr>
            <w:r>
              <w:rPr>
                <w:rFonts w:ascii="Arial" w:cs="Arial" w:eastAsia="Arial" w:hAnsi="Arial"/>
                <w:sz w:val="18"/>
                <w:szCs w:val="18"/>
                <w:color w:val="auto"/>
                <w:w w:val="91"/>
              </w:rPr>
              <w:t>SHARES</w:t>
            </w:r>
          </w:p>
        </w:tc>
        <w:tc>
          <w:tcPr>
            <w:tcW w:w="9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620" w:type="dxa"/>
            <w:vAlign w:val="bottom"/>
            <w:vMerge w:val="continue"/>
          </w:tcPr>
          <w:p>
            <w:pPr>
              <w:spacing w:after="0"/>
              <w:rPr>
                <w:sz w:val="10"/>
                <w:szCs w:val="10"/>
                <w:color w:val="auto"/>
              </w:rPr>
            </w:pPr>
          </w:p>
        </w:tc>
        <w:tc>
          <w:tcPr>
            <w:tcW w:w="9620" w:type="dxa"/>
            <w:vAlign w:val="bottom"/>
            <w:vMerge w:val="restart"/>
          </w:tcPr>
          <w:p>
            <w:pPr>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76"/>
        </w:trPr>
        <w:tc>
          <w:tcPr>
            <w:tcW w:w="1620" w:type="dxa"/>
            <w:vAlign w:val="bottom"/>
          </w:tcPr>
          <w:p>
            <w:pPr>
              <w:jc w:val="center"/>
              <w:spacing w:after="0" w:line="176" w:lineRule="exact"/>
              <w:rPr>
                <w:sz w:val="20"/>
                <w:szCs w:val="20"/>
                <w:color w:val="auto"/>
              </w:rPr>
            </w:pPr>
            <w:r>
              <w:rPr>
                <w:rFonts w:ascii="Arial" w:cs="Arial" w:eastAsia="Arial" w:hAnsi="Arial"/>
                <w:sz w:val="18"/>
                <w:szCs w:val="18"/>
                <w:color w:val="auto"/>
              </w:rPr>
              <w:t>BENEFICIALLY</w:t>
            </w:r>
          </w:p>
        </w:tc>
        <w:tc>
          <w:tcPr>
            <w:tcW w:w="9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1620" w:type="dxa"/>
            <w:vAlign w:val="bottom"/>
          </w:tcPr>
          <w:p>
            <w:pPr>
              <w:jc w:val="center"/>
              <w:spacing w:after="0" w:line="157" w:lineRule="exact"/>
              <w:rPr>
                <w:sz w:val="20"/>
                <w:szCs w:val="20"/>
                <w:color w:val="auto"/>
              </w:rPr>
            </w:pPr>
            <w:r>
              <w:rPr>
                <w:rFonts w:ascii="Arial" w:cs="Arial" w:eastAsia="Arial" w:hAnsi="Arial"/>
                <w:sz w:val="18"/>
                <w:szCs w:val="18"/>
                <w:color w:val="auto"/>
                <w:w w:val="97"/>
              </w:rPr>
              <w:t>OWNED BY</w:t>
            </w:r>
          </w:p>
        </w:tc>
        <w:tc>
          <w:tcPr>
            <w:tcW w:w="9620" w:type="dxa"/>
            <w:vAlign w:val="bottom"/>
            <w:tcBorders>
              <w:bottom w:val="single" w:sz="8" w:color="auto"/>
            </w:tcBorders>
          </w:tcPr>
          <w:p>
            <w:pPr>
              <w:ind w:left="460"/>
              <w:spacing w:after="0" w:line="149" w:lineRule="exact"/>
              <w:rPr>
                <w:sz w:val="20"/>
                <w:szCs w:val="20"/>
                <w:color w:val="auto"/>
              </w:rPr>
            </w:pPr>
            <w:r>
              <w:rPr>
                <w:rFonts w:ascii="Arial" w:cs="Arial" w:eastAsia="Arial" w:hAnsi="Arial"/>
                <w:sz w:val="17"/>
                <w:szCs w:val="17"/>
                <w:color w:val="auto"/>
              </w:rPr>
              <w:t>1,300,000*</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00"/>
        </w:trPr>
        <w:tc>
          <w:tcPr>
            <w:tcW w:w="1400" w:type="dxa"/>
            <w:vAlign w:val="bottom"/>
            <w:vMerge w:val="restart"/>
          </w:tcPr>
          <w:p>
            <w:pPr>
              <w:jc w:val="center"/>
              <w:ind w:right="110"/>
              <w:spacing w:after="0"/>
              <w:rPr>
                <w:sz w:val="20"/>
                <w:szCs w:val="20"/>
                <w:color w:val="auto"/>
              </w:rPr>
            </w:pPr>
            <w:r>
              <w:rPr>
                <w:rFonts w:ascii="Arial" w:cs="Arial" w:eastAsia="Arial" w:hAnsi="Arial"/>
                <w:sz w:val="18"/>
                <w:szCs w:val="18"/>
                <w:color w:val="auto"/>
                <w:w w:val="95"/>
              </w:rPr>
              <w:t>EACH</w:t>
            </w:r>
          </w:p>
        </w:tc>
        <w:tc>
          <w:tcPr>
            <w:tcW w:w="9620" w:type="dxa"/>
            <w:vAlign w:val="bottom"/>
          </w:tcPr>
          <w:p>
            <w:pPr>
              <w:ind w:left="460"/>
              <w:spacing w:after="0" w:line="20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94"/>
        </w:trPr>
        <w:tc>
          <w:tcPr>
            <w:tcW w:w="1400" w:type="dxa"/>
            <w:vAlign w:val="bottom"/>
            <w:vMerge w:val="continue"/>
          </w:tcPr>
          <w:p>
            <w:pPr>
              <w:spacing w:after="0"/>
              <w:rPr>
                <w:sz w:val="8"/>
                <w:szCs w:val="8"/>
                <w:color w:val="auto"/>
              </w:rPr>
            </w:pPr>
          </w:p>
        </w:tc>
        <w:tc>
          <w:tcPr>
            <w:tcW w:w="9620" w:type="dxa"/>
            <w:vAlign w:val="bottom"/>
            <w:vMerge w:val="restart"/>
          </w:tcPr>
          <w:p>
            <w:pPr>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ind w:right="110"/>
              <w:spacing w:after="0"/>
              <w:rPr>
                <w:sz w:val="20"/>
                <w:szCs w:val="20"/>
                <w:color w:val="auto"/>
              </w:rPr>
            </w:pPr>
            <w:r>
              <w:rPr>
                <w:rFonts w:ascii="Arial" w:cs="Arial" w:eastAsia="Arial" w:hAnsi="Arial"/>
                <w:sz w:val="18"/>
                <w:szCs w:val="18"/>
                <w:color w:val="auto"/>
                <w:w w:val="93"/>
              </w:rPr>
              <w:t>REPORTING</w:t>
            </w:r>
          </w:p>
        </w:tc>
        <w:tc>
          <w:tcPr>
            <w:tcW w:w="9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400" w:type="dxa"/>
            <w:vAlign w:val="bottom"/>
            <w:vMerge w:val="continue"/>
          </w:tcPr>
          <w:p>
            <w:pPr>
              <w:spacing w:after="0"/>
              <w:rPr>
                <w:sz w:val="8"/>
                <w:szCs w:val="8"/>
                <w:color w:val="auto"/>
              </w:rPr>
            </w:pPr>
          </w:p>
        </w:tc>
        <w:tc>
          <w:tcPr>
            <w:tcW w:w="9620" w:type="dxa"/>
            <w:vAlign w:val="bottom"/>
            <w:vMerge w:val="restart"/>
          </w:tcPr>
          <w:p>
            <w:pPr>
              <w:ind w:left="4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48"/>
        </w:trPr>
        <w:tc>
          <w:tcPr>
            <w:tcW w:w="1400" w:type="dxa"/>
            <w:vAlign w:val="bottom"/>
            <w:vMerge w:val="restart"/>
          </w:tcPr>
          <w:p>
            <w:pPr>
              <w:jc w:val="center"/>
              <w:ind w:right="110"/>
              <w:spacing w:after="0"/>
              <w:rPr>
                <w:sz w:val="20"/>
                <w:szCs w:val="20"/>
                <w:color w:val="auto"/>
              </w:rPr>
            </w:pPr>
            <w:r>
              <w:rPr>
                <w:rFonts w:ascii="Arial" w:cs="Arial" w:eastAsia="Arial" w:hAnsi="Arial"/>
                <w:sz w:val="18"/>
                <w:szCs w:val="18"/>
                <w:color w:val="auto"/>
                <w:w w:val="94"/>
              </w:rPr>
              <w:t>PERSON WITH</w:t>
            </w:r>
          </w:p>
        </w:tc>
        <w:tc>
          <w:tcPr>
            <w:tcW w:w="96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400" w:type="dxa"/>
            <w:vAlign w:val="bottom"/>
            <w:vMerge w:val="continue"/>
          </w:tcPr>
          <w:p>
            <w:pPr>
              <w:spacing w:after="0"/>
              <w:rPr>
                <w:sz w:val="5"/>
                <w:szCs w:val="5"/>
                <w:color w:val="auto"/>
              </w:rPr>
            </w:pPr>
          </w:p>
        </w:tc>
        <w:tc>
          <w:tcPr>
            <w:tcW w:w="9620" w:type="dxa"/>
            <w:vAlign w:val="bottom"/>
            <w:vMerge w:val="restart"/>
          </w:tcPr>
          <w:p>
            <w:pPr>
              <w:ind w:left="460"/>
              <w:spacing w:after="0" w:line="201" w:lineRule="exact"/>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34"/>
        </w:trPr>
        <w:tc>
          <w:tcPr>
            <w:tcW w:w="1400" w:type="dxa"/>
            <w:vAlign w:val="bottom"/>
          </w:tcPr>
          <w:p>
            <w:pPr>
              <w:spacing w:after="0"/>
              <w:rPr>
                <w:sz w:val="11"/>
                <w:szCs w:val="11"/>
                <w:color w:val="auto"/>
              </w:rPr>
            </w:pPr>
          </w:p>
        </w:tc>
        <w:tc>
          <w:tcPr>
            <w:tcW w:w="9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1400" w:type="dxa"/>
            <w:vAlign w:val="bottom"/>
          </w:tcPr>
          <w:p>
            <w:pPr>
              <w:spacing w:after="0"/>
              <w:rPr>
                <w:sz w:val="20"/>
                <w:szCs w:val="20"/>
                <w:color w:val="auto"/>
              </w:rPr>
            </w:pPr>
          </w:p>
        </w:tc>
        <w:tc>
          <w:tcPr>
            <w:tcW w:w="9620" w:type="dxa"/>
            <w:vAlign w:val="bottom"/>
          </w:tcPr>
          <w:p>
            <w:pPr>
              <w:ind w:left="460"/>
              <w:spacing w:after="0"/>
              <w:rPr>
                <w:sz w:val="20"/>
                <w:szCs w:val="20"/>
                <w:color w:val="auto"/>
              </w:rPr>
            </w:pPr>
            <w:r>
              <w:rPr>
                <w:rFonts w:ascii="Arial" w:cs="Arial" w:eastAsia="Arial" w:hAnsi="Arial"/>
                <w:sz w:val="18"/>
                <w:szCs w:val="18"/>
                <w:color w:val="auto"/>
              </w:rPr>
              <w:t>1,300,000*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9.</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1,300,000*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CHECK IF THE AGGREGATE AMOUNT IN ROW (9) EXCLUDES CERTAIN SHARES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10. (see instructions)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PERCENT OF CLASS REPRESENTED BY AMOUNT IN ROW (9)</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11.</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TYPE OF REPORTING PERSON (see instructions)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1.</w:t>
      </w:r>
    </w:p>
    <w:p>
      <w:pPr>
        <w:spacing w:after="0" w:line="4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36"/>
          <w:szCs w:val="36"/>
          <w:color w:val="auto"/>
          <w:vertAlign w:val="subscript"/>
        </w:rPr>
      </w:pPr>
      <w:r>
        <w:rPr>
          <w:rFonts w:ascii="Arial" w:cs="Arial" w:eastAsia="Arial" w:hAnsi="Arial"/>
          <w:sz w:val="18"/>
          <w:szCs w:val="18"/>
          <w:color w:val="auto"/>
        </w:rPr>
        <w:t>Name of Issuer</w:t>
      </w:r>
    </w:p>
    <w:p>
      <w:pPr>
        <w:spacing w:after="0" w:line="1" w:lineRule="exact"/>
        <w:rPr>
          <w:rFonts w:ascii="Arial" w:cs="Arial" w:eastAsia="Arial" w:hAnsi="Arial"/>
          <w:sz w:val="36"/>
          <w:szCs w:val="36"/>
          <w:color w:val="auto"/>
          <w:vertAlign w:val="subscript"/>
        </w:rPr>
      </w:pPr>
    </w:p>
    <w:p>
      <w:pPr>
        <w:jc w:val="both"/>
        <w:ind w:left="660" w:right="6059"/>
        <w:spacing w:after="0" w:line="421" w:lineRule="auto"/>
        <w:rPr>
          <w:rFonts w:ascii="Arial" w:cs="Arial" w:eastAsia="Arial" w:hAnsi="Arial"/>
          <w:sz w:val="36"/>
          <w:szCs w:val="36"/>
          <w:color w:val="auto"/>
          <w:vertAlign w:val="subscript"/>
        </w:rPr>
      </w:pPr>
      <w:r>
        <w:rPr>
          <w:rFonts w:ascii="Arial" w:cs="Arial" w:eastAsia="Arial" w:hAnsi="Arial"/>
          <w:sz w:val="16"/>
          <w:szCs w:val="16"/>
          <w:color w:val="auto"/>
        </w:rPr>
        <w:t>Ventoux CCM Acquisition Corp. (the “Issuer”) Address of Issuer’s Principal Executive Offices</w:t>
      </w:r>
    </w:p>
    <w:p>
      <w:pPr>
        <w:ind w:left="660" w:right="7199" w:hanging="328"/>
        <w:spacing w:after="0" w:line="290"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1 East Putnam Avenue, Floor 4, Greenwich, CT, 06830</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Name of Person Filing:</w:t>
      </w:r>
    </w:p>
    <w:p>
      <w:pPr>
        <w:spacing w:after="0" w:line="23" w:lineRule="exact"/>
        <w:rPr>
          <w:sz w:val="20"/>
          <w:szCs w:val="20"/>
          <w:color w:val="auto"/>
        </w:rPr>
      </w:pPr>
    </w:p>
    <w:p>
      <w:pPr>
        <w:ind w:left="660" w:right="6419" w:hanging="328"/>
        <w:spacing w:after="0" w:line="180" w:lineRule="auto"/>
        <w:tabs>
          <w:tab w:leader="none" w:pos="660" w:val="left"/>
        </w:tabs>
        <w:numPr>
          <w:ilvl w:val="0"/>
          <w:numId w:val="8"/>
        </w:numPr>
        <w:rPr>
          <w:rFonts w:ascii="Arial" w:cs="Arial" w:eastAsia="Arial" w:hAnsi="Arial"/>
          <w:sz w:val="33"/>
          <w:szCs w:val="33"/>
          <w:color w:val="auto"/>
          <w:vertAlign w:val="subscript"/>
        </w:rPr>
      </w:pPr>
      <w:r>
        <w:rPr>
          <w:rFonts w:ascii="Arial" w:cs="Arial" w:eastAsia="Arial" w:hAnsi="Arial"/>
          <w:sz w:val="17"/>
          <w:szCs w:val="17"/>
          <w:color w:val="auto"/>
        </w:rPr>
        <w:t>Boothbay Absolute Return Strategies, LP* Boothbay Fund Management, LLC*</w:t>
      </w:r>
    </w:p>
    <w:p>
      <w:pPr>
        <w:ind w:left="660"/>
        <w:spacing w:after="0"/>
        <w:rPr>
          <w:rFonts w:ascii="Arial" w:cs="Arial" w:eastAsia="Arial" w:hAnsi="Arial"/>
          <w:sz w:val="33"/>
          <w:szCs w:val="33"/>
          <w:color w:val="auto"/>
          <w:vertAlign w:val="subscript"/>
        </w:rPr>
      </w:pPr>
      <w:r>
        <w:rPr>
          <w:rFonts w:ascii="Arial" w:cs="Arial" w:eastAsia="Arial" w:hAnsi="Arial"/>
          <w:sz w:val="18"/>
          <w:szCs w:val="18"/>
          <w:color w:val="auto"/>
        </w:rPr>
        <w:t>Ari Glass*</w:t>
      </w:r>
    </w:p>
    <w:p>
      <w:pPr>
        <w:spacing w:after="0" w:line="210" w:lineRule="exact"/>
        <w:rPr>
          <w:rFonts w:ascii="Arial" w:cs="Arial" w:eastAsia="Arial" w:hAnsi="Arial"/>
          <w:sz w:val="33"/>
          <w:szCs w:val="33"/>
          <w:color w:val="auto"/>
          <w:vertAlign w:val="subscript"/>
        </w:rPr>
      </w:pPr>
    </w:p>
    <w:p>
      <w:pPr>
        <w:ind w:left="660"/>
        <w:spacing w:after="0"/>
        <w:rPr>
          <w:rFonts w:ascii="Arial" w:cs="Arial" w:eastAsia="Arial" w:hAnsi="Arial"/>
          <w:sz w:val="33"/>
          <w:szCs w:val="33"/>
          <w:color w:val="auto"/>
          <w:vertAlign w:val="subscript"/>
        </w:rPr>
      </w:pPr>
      <w:r>
        <w:rPr>
          <w:rFonts w:ascii="Arial" w:cs="Arial" w:eastAsia="Arial" w:hAnsi="Arial"/>
          <w:sz w:val="18"/>
          <w:szCs w:val="18"/>
          <w:color w:val="auto"/>
        </w:rPr>
        <w:t>Address of the Principal Office or, if none, residence</w:t>
      </w:r>
    </w:p>
    <w:p>
      <w:pPr>
        <w:spacing w:after="0" w:line="23" w:lineRule="exact"/>
        <w:rPr>
          <w:rFonts w:ascii="Arial" w:cs="Arial" w:eastAsia="Arial" w:hAnsi="Arial"/>
          <w:sz w:val="33"/>
          <w:szCs w:val="33"/>
          <w:color w:val="auto"/>
          <w:vertAlign w:val="subscript"/>
        </w:rPr>
      </w:pPr>
    </w:p>
    <w:p>
      <w:pPr>
        <w:ind w:left="660" w:right="7239" w:hanging="328"/>
        <w:spacing w:after="0" w:line="20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140 East 45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Street, 14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New York, NY 10017</w:t>
      </w:r>
    </w:p>
    <w:p>
      <w:pPr>
        <w:spacing w:after="0" w:line="20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Citizenship</w:t>
      </w:r>
    </w:p>
    <w:p>
      <w:pPr>
        <w:spacing w:after="0" w:line="23" w:lineRule="exact"/>
        <w:rPr>
          <w:rFonts w:ascii="Arial" w:cs="Arial" w:eastAsia="Arial" w:hAnsi="Arial"/>
          <w:sz w:val="18"/>
          <w:szCs w:val="18"/>
          <w:color w:val="auto"/>
        </w:rPr>
      </w:pPr>
    </w:p>
    <w:p>
      <w:pPr>
        <w:ind w:left="660" w:right="5639" w:hanging="328"/>
        <w:spacing w:after="0" w:line="187" w:lineRule="auto"/>
        <w:tabs>
          <w:tab w:leader="none" w:pos="660" w:val="left"/>
        </w:tabs>
        <w:numPr>
          <w:ilvl w:val="0"/>
          <w:numId w:val="8"/>
        </w:numPr>
        <w:rPr>
          <w:rFonts w:ascii="Arial" w:cs="Arial" w:eastAsia="Arial" w:hAnsi="Arial"/>
          <w:sz w:val="32"/>
          <w:szCs w:val="32"/>
          <w:color w:val="auto"/>
          <w:vertAlign w:val="subscript"/>
        </w:rPr>
      </w:pPr>
      <w:r>
        <w:rPr>
          <w:rFonts w:ascii="Arial" w:cs="Arial" w:eastAsia="Arial" w:hAnsi="Arial"/>
          <w:sz w:val="16"/>
          <w:szCs w:val="16"/>
          <w:color w:val="auto"/>
        </w:rPr>
        <w:t>Boothbay Absolute Return Strategies, LP – Delaware Boothbay Fund Management, LLC – Delaware</w:t>
      </w:r>
    </w:p>
    <w:p>
      <w:pPr>
        <w:spacing w:after="0" w:line="1" w:lineRule="exact"/>
        <w:rPr>
          <w:rFonts w:ascii="Arial" w:cs="Arial" w:eastAsia="Arial" w:hAnsi="Arial"/>
          <w:sz w:val="32"/>
          <w:szCs w:val="32"/>
          <w:color w:val="auto"/>
          <w:vertAlign w:val="subscript"/>
        </w:rPr>
      </w:pPr>
    </w:p>
    <w:p>
      <w:pPr>
        <w:ind w:left="660"/>
        <w:spacing w:after="0"/>
        <w:rPr>
          <w:rFonts w:ascii="Arial" w:cs="Arial" w:eastAsia="Arial" w:hAnsi="Arial"/>
          <w:sz w:val="32"/>
          <w:szCs w:val="32"/>
          <w:color w:val="auto"/>
          <w:vertAlign w:val="subscript"/>
        </w:rPr>
      </w:pPr>
      <w:r>
        <w:rPr>
          <w:rFonts w:ascii="Arial" w:cs="Arial" w:eastAsia="Arial" w:hAnsi="Arial"/>
          <w:sz w:val="18"/>
          <w:szCs w:val="18"/>
          <w:color w:val="auto"/>
        </w:rPr>
        <w:t>Ari Glass – United States</w:t>
      </w:r>
    </w:p>
    <w:p>
      <w:pPr>
        <w:spacing w:after="0" w:line="210" w:lineRule="exact"/>
        <w:rPr>
          <w:rFonts w:ascii="Arial" w:cs="Arial" w:eastAsia="Arial" w:hAnsi="Arial"/>
          <w:sz w:val="32"/>
          <w:szCs w:val="32"/>
          <w:color w:val="auto"/>
          <w:vertAlign w:val="subscript"/>
        </w:rPr>
      </w:pPr>
    </w:p>
    <w:p>
      <w:pPr>
        <w:ind w:left="660" w:right="6979" w:hanging="328"/>
        <w:spacing w:after="0" w:line="194" w:lineRule="auto"/>
        <w:tabs>
          <w:tab w:leader="none" w:pos="660" w:val="left"/>
        </w:tabs>
        <w:numPr>
          <w:ilvl w:val="0"/>
          <w:numId w:val="8"/>
        </w:numPr>
        <w:rPr>
          <w:rFonts w:ascii="Arial" w:cs="Arial" w:eastAsia="Arial" w:hAnsi="Arial"/>
          <w:sz w:val="32"/>
          <w:szCs w:val="32"/>
          <w:color w:val="auto"/>
          <w:vertAlign w:val="subscript"/>
        </w:rPr>
      </w:pPr>
      <w:r>
        <w:rPr>
          <w:rFonts w:ascii="Arial" w:cs="Arial" w:eastAsia="Arial" w:hAnsi="Arial"/>
          <w:sz w:val="16"/>
          <w:szCs w:val="16"/>
          <w:color w:val="auto"/>
        </w:rPr>
        <w:t>Title of Class of Securities Common Stock, par value $0.0001</w:t>
      </w:r>
    </w:p>
    <w:p>
      <w:pPr>
        <w:spacing w:after="0" w:line="201" w:lineRule="exact"/>
        <w:rPr>
          <w:rFonts w:ascii="Arial" w:cs="Arial" w:eastAsia="Arial" w:hAnsi="Arial"/>
          <w:sz w:val="32"/>
          <w:szCs w:val="32"/>
          <w:color w:val="auto"/>
          <w:vertAlign w:val="subscript"/>
        </w:rPr>
      </w:pPr>
    </w:p>
    <w:p>
      <w:pPr>
        <w:ind w:left="660" w:right="8339" w:hanging="328"/>
        <w:spacing w:after="0" w:line="194" w:lineRule="auto"/>
        <w:tabs>
          <w:tab w:leader="none" w:pos="660" w:val="left"/>
        </w:tabs>
        <w:numPr>
          <w:ilvl w:val="0"/>
          <w:numId w:val="8"/>
        </w:numPr>
        <w:rPr>
          <w:rFonts w:ascii="Arial" w:cs="Arial" w:eastAsia="Arial" w:hAnsi="Arial"/>
          <w:sz w:val="32"/>
          <w:szCs w:val="32"/>
          <w:color w:val="auto"/>
          <w:vertAlign w:val="subscript"/>
        </w:rPr>
      </w:pPr>
      <w:r>
        <w:rPr>
          <w:rFonts w:ascii="Arial" w:cs="Arial" w:eastAsia="Arial" w:hAnsi="Arial"/>
          <w:sz w:val="16"/>
          <w:szCs w:val="16"/>
          <w:color w:val="auto"/>
        </w:rPr>
        <w:t>CUSIP Number 92280L200</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3. If this statement is filed pursuant to §§240.13d-1(b) or 240.13d-2(b) or (c), check whether the person filing is a: </w:t>
      </w:r>
      <w:r>
        <w:rPr>
          <w:rFonts w:ascii="Arial" w:cs="Arial" w:eastAsia="Arial" w:hAnsi="Arial"/>
          <w:sz w:val="17"/>
          <w:szCs w:val="17"/>
          <w:color w:val="auto"/>
        </w:rPr>
        <w:t>N/A</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Provide the following information regarding the aggregate number and percentage of the class of securities of the issuer identified in Item 1.</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Amount beneficially owned:</w:t>
      </w:r>
    </w:p>
    <w:p>
      <w:pPr>
        <w:spacing w:after="0" w:line="225" w:lineRule="exact"/>
        <w:rPr>
          <w:sz w:val="20"/>
          <w:szCs w:val="20"/>
          <w:color w:val="auto"/>
        </w:rPr>
      </w:pPr>
    </w:p>
    <w:p>
      <w:pPr>
        <w:ind w:left="660" w:right="5519" w:hanging="328"/>
        <w:spacing w:after="0" w:line="291"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Boothbay Absolute Return Strategies, LP – 1,092,000* Boothbay Fund Management, LLC – 1,300,000*</w:t>
      </w:r>
    </w:p>
    <w:p>
      <w:pPr>
        <w:ind w:left="660" w:right="7799"/>
        <w:spacing w:after="0" w:line="422" w:lineRule="auto"/>
        <w:rPr>
          <w:rFonts w:ascii="Arial" w:cs="Arial" w:eastAsia="Arial" w:hAnsi="Arial"/>
          <w:sz w:val="16"/>
          <w:szCs w:val="16"/>
          <w:color w:val="auto"/>
        </w:rPr>
      </w:pPr>
      <w:r>
        <w:rPr>
          <w:rFonts w:ascii="Arial" w:cs="Arial" w:eastAsia="Arial" w:hAnsi="Arial"/>
          <w:sz w:val="16"/>
          <w:szCs w:val="16"/>
          <w:color w:val="auto"/>
        </w:rPr>
        <w:t>Ari Glass – 1,300,000* Percent of class:</w:t>
      </w:r>
    </w:p>
    <w:p>
      <w:pPr>
        <w:ind w:left="660" w:right="5759" w:hanging="328"/>
        <w:spacing w:after="0" w:line="281"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Boothbay Absolute Return Strategies, LP – 5.82%* Boothbay Fund Management, LLC – 6.93%*</w:t>
      </w:r>
    </w:p>
    <w:p>
      <w:pPr>
        <w:spacing w:after="0" w:line="1"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Ari Glass – 6.93%*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445" w:right="1440" w:bottom="1440" w:gutter="0" w:footer="0" w:header="0"/>
        </w:sectPr>
      </w:pPr>
    </w:p>
    <w:bookmarkStart w:id="5" w:name="page6"/>
    <w:bookmarkEnd w:id="5"/>
    <w:p>
      <w:pPr>
        <w:ind w:left="340"/>
        <w:spacing w:after="0"/>
        <w:rPr>
          <w:sz w:val="20"/>
          <w:szCs w:val="20"/>
          <w:color w:val="auto"/>
        </w:rPr>
      </w:pPr>
      <w:r>
        <w:rPr>
          <w:rFonts w:ascii="Arial" w:cs="Arial" w:eastAsia="Arial" w:hAnsi="Arial"/>
          <w:sz w:val="18"/>
          <w:szCs w:val="18"/>
          <w:color w:val="auto"/>
        </w:rPr>
        <w:t>(c)  Number of shares as to which the person has: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Sole power to vote or to direct the vote</w:t>
      </w:r>
    </w:p>
    <w:p>
      <w:pPr>
        <w:spacing w:after="0" w:line="23" w:lineRule="exact"/>
        <w:rPr>
          <w:sz w:val="20"/>
          <w:szCs w:val="20"/>
          <w:color w:val="auto"/>
        </w:rPr>
      </w:pPr>
    </w:p>
    <w:p>
      <w:pPr>
        <w:ind w:left="980" w:right="7000" w:hanging="247"/>
        <w:spacing w:after="0" w:line="180" w:lineRule="auto"/>
        <w:tabs>
          <w:tab w:leader="none" w:pos="980" w:val="left"/>
        </w:tabs>
        <w:numPr>
          <w:ilvl w:val="0"/>
          <w:numId w:val="10"/>
        </w:numPr>
        <w:rPr>
          <w:rFonts w:ascii="Arial" w:cs="Arial" w:eastAsia="Arial" w:hAnsi="Arial"/>
          <w:sz w:val="33"/>
          <w:szCs w:val="33"/>
          <w:color w:val="auto"/>
          <w:vertAlign w:val="subscript"/>
        </w:rPr>
      </w:pPr>
      <w:r>
        <w:rPr>
          <w:rFonts w:ascii="Arial" w:cs="Arial" w:eastAsia="Arial" w:hAnsi="Arial"/>
          <w:sz w:val="17"/>
          <w:szCs w:val="17"/>
          <w:color w:val="auto"/>
        </w:rPr>
        <w:t>Boothbay Absolute Return Strategies, LP – 0 Boothbay Fund Management, LLC – 0</w:t>
      </w:r>
    </w:p>
    <w:p>
      <w:pPr>
        <w:ind w:left="980"/>
        <w:spacing w:after="0"/>
        <w:rPr>
          <w:rFonts w:ascii="Arial" w:cs="Arial" w:eastAsia="Arial" w:hAnsi="Arial"/>
          <w:sz w:val="33"/>
          <w:szCs w:val="33"/>
          <w:color w:val="auto"/>
          <w:vertAlign w:val="subscript"/>
        </w:rPr>
      </w:pPr>
      <w:r>
        <w:rPr>
          <w:rFonts w:ascii="Arial" w:cs="Arial" w:eastAsia="Arial" w:hAnsi="Arial"/>
          <w:sz w:val="18"/>
          <w:szCs w:val="18"/>
          <w:color w:val="auto"/>
        </w:rPr>
        <w:t>Ari Glass – 0</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Shared power to vote or to direct the vote</w:t>
      </w:r>
    </w:p>
    <w:p>
      <w:pPr>
        <w:spacing w:after="0" w:line="23" w:lineRule="exact"/>
        <w:rPr>
          <w:sz w:val="20"/>
          <w:szCs w:val="20"/>
          <w:color w:val="auto"/>
        </w:rPr>
      </w:pPr>
    </w:p>
    <w:p>
      <w:pPr>
        <w:ind w:left="980" w:right="6280" w:hanging="272"/>
        <w:spacing w:after="0" w:line="187" w:lineRule="auto"/>
        <w:tabs>
          <w:tab w:leader="none" w:pos="980" w:val="left"/>
        </w:tabs>
        <w:numPr>
          <w:ilvl w:val="0"/>
          <w:numId w:val="11"/>
        </w:numPr>
        <w:rPr>
          <w:rFonts w:ascii="Arial" w:cs="Arial" w:eastAsia="Arial" w:hAnsi="Arial"/>
          <w:sz w:val="32"/>
          <w:szCs w:val="32"/>
          <w:color w:val="auto"/>
          <w:vertAlign w:val="subscript"/>
        </w:rPr>
      </w:pPr>
      <w:r>
        <w:rPr>
          <w:rFonts w:ascii="Arial" w:cs="Arial" w:eastAsia="Arial" w:hAnsi="Arial"/>
          <w:sz w:val="16"/>
          <w:szCs w:val="16"/>
          <w:color w:val="auto"/>
        </w:rPr>
        <w:t>Boothbay Absolute Return Strategies, LP – 1,092,000* Boothbay Fund Management, LLC – 1,300,000*</w:t>
      </w:r>
    </w:p>
    <w:p>
      <w:pPr>
        <w:spacing w:after="0" w:line="1" w:lineRule="exact"/>
        <w:rPr>
          <w:rFonts w:ascii="Arial" w:cs="Arial" w:eastAsia="Arial" w:hAnsi="Arial"/>
          <w:sz w:val="32"/>
          <w:szCs w:val="32"/>
          <w:color w:val="auto"/>
          <w:vertAlign w:val="subscript"/>
        </w:rPr>
      </w:pPr>
    </w:p>
    <w:p>
      <w:pPr>
        <w:ind w:left="980"/>
        <w:spacing w:after="0"/>
        <w:rPr>
          <w:rFonts w:ascii="Arial" w:cs="Arial" w:eastAsia="Arial" w:hAnsi="Arial"/>
          <w:sz w:val="32"/>
          <w:szCs w:val="32"/>
          <w:color w:val="auto"/>
          <w:vertAlign w:val="subscript"/>
        </w:rPr>
      </w:pPr>
      <w:r>
        <w:rPr>
          <w:rFonts w:ascii="Arial" w:cs="Arial" w:eastAsia="Arial" w:hAnsi="Arial"/>
          <w:sz w:val="18"/>
          <w:szCs w:val="18"/>
          <w:color w:val="auto"/>
        </w:rPr>
        <w:t>Ari Glass – 1,300,000*</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Sole power to dispose or to direct the disposition of</w:t>
      </w:r>
    </w:p>
    <w:p>
      <w:pPr>
        <w:spacing w:after="0" w:line="23" w:lineRule="exact"/>
        <w:rPr>
          <w:sz w:val="20"/>
          <w:szCs w:val="20"/>
          <w:color w:val="auto"/>
        </w:rPr>
      </w:pPr>
    </w:p>
    <w:p>
      <w:pPr>
        <w:ind w:left="980" w:right="7060" w:hanging="297"/>
        <w:spacing w:after="0" w:line="201" w:lineRule="auto"/>
        <w:tabs>
          <w:tab w:leader="none" w:pos="980" w:val="left"/>
        </w:tabs>
        <w:numPr>
          <w:ilvl w:val="0"/>
          <w:numId w:val="12"/>
        </w:numPr>
        <w:rPr>
          <w:rFonts w:ascii="Arial" w:cs="Arial" w:eastAsia="Arial" w:hAnsi="Arial"/>
          <w:sz w:val="33"/>
          <w:szCs w:val="33"/>
          <w:color w:val="auto"/>
          <w:vertAlign w:val="subscript"/>
        </w:rPr>
      </w:pPr>
      <w:r>
        <w:rPr>
          <w:rFonts w:ascii="Arial" w:cs="Arial" w:eastAsia="Arial" w:hAnsi="Arial"/>
          <w:sz w:val="17"/>
          <w:szCs w:val="17"/>
          <w:color w:val="auto"/>
        </w:rPr>
        <w:t>Boothbay Absolute Return Strategies LP – 0 Boothbay Fund Management, LLC – 0 Ari Glass – 0</w:t>
      </w:r>
    </w:p>
    <w:p>
      <w:pPr>
        <w:spacing w:after="0" w:line="204" w:lineRule="exact"/>
        <w:rPr>
          <w:rFonts w:ascii="Arial" w:cs="Arial" w:eastAsia="Arial" w:hAnsi="Arial"/>
          <w:sz w:val="33"/>
          <w:szCs w:val="33"/>
          <w:color w:val="auto"/>
          <w:vertAlign w:val="subscript"/>
        </w:rPr>
      </w:pPr>
    </w:p>
    <w:p>
      <w:pPr>
        <w:ind w:left="980"/>
        <w:spacing w:after="0"/>
        <w:rPr>
          <w:rFonts w:ascii="Arial" w:cs="Arial" w:eastAsia="Arial" w:hAnsi="Arial"/>
          <w:sz w:val="33"/>
          <w:szCs w:val="33"/>
          <w:color w:val="auto"/>
          <w:vertAlign w:val="subscript"/>
        </w:rPr>
      </w:pPr>
      <w:r>
        <w:rPr>
          <w:rFonts w:ascii="Arial" w:cs="Arial" w:eastAsia="Arial" w:hAnsi="Arial"/>
          <w:sz w:val="18"/>
          <w:szCs w:val="18"/>
          <w:color w:val="auto"/>
        </w:rPr>
        <w:t>Shared power to dispose or to direct the disposition of</w:t>
      </w:r>
    </w:p>
    <w:p>
      <w:pPr>
        <w:spacing w:after="0" w:line="23" w:lineRule="exact"/>
        <w:rPr>
          <w:rFonts w:ascii="Arial" w:cs="Arial" w:eastAsia="Arial" w:hAnsi="Arial"/>
          <w:sz w:val="33"/>
          <w:szCs w:val="33"/>
          <w:color w:val="auto"/>
          <w:vertAlign w:val="subscript"/>
        </w:rPr>
      </w:pPr>
    </w:p>
    <w:p>
      <w:pPr>
        <w:ind w:left="980" w:right="6280" w:hanging="292"/>
        <w:spacing w:after="0" w:line="191" w:lineRule="auto"/>
        <w:tabs>
          <w:tab w:leader="none" w:pos="980" w:val="left"/>
        </w:tabs>
        <w:numPr>
          <w:ilvl w:val="0"/>
          <w:numId w:val="12"/>
        </w:numPr>
        <w:rPr>
          <w:rFonts w:ascii="Arial" w:cs="Arial" w:eastAsia="Arial" w:hAnsi="Arial"/>
          <w:sz w:val="31"/>
          <w:szCs w:val="31"/>
          <w:color w:val="auto"/>
          <w:vertAlign w:val="subscript"/>
        </w:rPr>
      </w:pPr>
      <w:r>
        <w:rPr>
          <w:rFonts w:ascii="Arial" w:cs="Arial" w:eastAsia="Arial" w:hAnsi="Arial"/>
          <w:sz w:val="16"/>
          <w:szCs w:val="16"/>
          <w:color w:val="auto"/>
        </w:rPr>
        <w:t>Boothbay Absolute Return Strategies, LP – 1,092,000* Boothbay Fund Management, LLC – 1,300,000*</w:t>
      </w:r>
    </w:p>
    <w:p>
      <w:pPr>
        <w:spacing w:after="0" w:line="1" w:lineRule="exact"/>
        <w:rPr>
          <w:rFonts w:ascii="Arial" w:cs="Arial" w:eastAsia="Arial" w:hAnsi="Arial"/>
          <w:sz w:val="31"/>
          <w:szCs w:val="31"/>
          <w:color w:val="auto"/>
          <w:vertAlign w:val="subscript"/>
        </w:rPr>
      </w:pPr>
    </w:p>
    <w:p>
      <w:pPr>
        <w:ind w:left="980"/>
        <w:spacing w:after="0"/>
        <w:rPr>
          <w:rFonts w:ascii="Arial" w:cs="Arial" w:eastAsia="Arial" w:hAnsi="Arial"/>
          <w:sz w:val="31"/>
          <w:szCs w:val="31"/>
          <w:color w:val="auto"/>
          <w:vertAlign w:val="subscript"/>
        </w:rPr>
      </w:pPr>
      <w:r>
        <w:rPr>
          <w:rFonts w:ascii="Arial" w:cs="Arial" w:eastAsia="Arial" w:hAnsi="Arial"/>
          <w:sz w:val="18"/>
          <w:szCs w:val="18"/>
          <w:color w:val="auto"/>
        </w:rPr>
        <w:t>Ari Glass – 1,300,000*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Instruction. </w:t>
      </w:r>
      <w:r>
        <w:rPr>
          <w:rFonts w:ascii="Arial" w:cs="Arial" w:eastAsia="Arial" w:hAnsi="Arial"/>
          <w:sz w:val="18"/>
          <w:szCs w:val="18"/>
          <w:color w:val="auto"/>
        </w:rPr>
        <w:t>For computations regarding securities which represent a right to acquire an underlying security</w:t>
      </w:r>
      <w:r>
        <w:rPr>
          <w:rFonts w:ascii="Arial" w:cs="Arial" w:eastAsia="Arial" w:hAnsi="Arial"/>
          <w:sz w:val="18"/>
          <w:szCs w:val="18"/>
          <w:i w:val="1"/>
          <w:iCs w:val="1"/>
          <w:color w:val="auto"/>
        </w:rPr>
        <w:t xml:space="preserve"> see </w:t>
      </w:r>
      <w:r>
        <w:rPr>
          <w:rFonts w:ascii="Arial" w:cs="Arial" w:eastAsia="Arial" w:hAnsi="Arial"/>
          <w:sz w:val="18"/>
          <w:szCs w:val="18"/>
          <w:color w:val="auto"/>
        </w:rPr>
        <w:t>§240.13d-3(d)(1).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both"/>
        <w:ind w:firstLine="8"/>
        <w:spacing w:after="0" w:line="269" w:lineRule="auto"/>
        <w:tabs>
          <w:tab w:leader="none" w:pos="147"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Common Stock, par value $0.0001 (the “Shares”) of Ventoux CCM Acquisition Corp., a blank check company incorporated under the laws of the State of Delaware (the “Issuer”), reported herein are held in the form of units (the “Units”). Each Unit consists of one Share, one right and one warrant. Each warrant entitles the holder thereof to purchase one-half of one Share upon the consummation of an initial business combination (“Initial Business Combination”), as described in more detail in the Issuer’s Prospectus filed with the SEC on December 28, 2020 (the “Prospectus”). Each right entitles the holder thereof to receive one-twentieth of one share of common stock upon the consummation of an Initial Business Combination. The Issuer will not issue fractional shares. As a result, each holder thereof must have twenty rights to receive a Share at the closing of the Initial Business Combination and two warrants to receive a Share when exercising warrants. Each warrant will become exercisable on the later of one year after the effective date of the Prospectus or the consummation of an Initial Business Combination and will expire five years after the completion of an Initial Business Combination, or earlier upon redemption. In accordance with Rule 13d-3(d)(1) regarding securities which represent a right to acquire an underlying security, each Unit has been reported herein as representing the beneficial ownership of one (1) Share.</w:t>
      </w:r>
    </w:p>
    <w:p>
      <w:pPr>
        <w:spacing w:after="0" w:line="18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Units are held by Boothbay Absolute Return Strategies, LP, a Delaware limited partnership, and one or more other private funds (the “Fund”), which is managed by Boothbay Fund Management, LLC, a Delaware limited liability company (the “Adviser”). The Adviser, in its capacity as the investment manager of the Fund, has the power to vote and the power to direct the disposition of all Units held by the Fund. Ari Glass is the Managing Member of the Adviser. Accordingly, for the purposes of Reg. Section 240.13d-3, the reporting persons herein may be deemed to beneficially own an aggregate of 1,300,000 Shares, or 6.93% of the 18,750,000 Shares that were issued and outstanding following the issuance made pursuant to the Prospectus.</w:t>
      </w:r>
    </w:p>
    <w:p>
      <w:pPr>
        <w:spacing w:after="0" w:line="16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This report shall not be deemed an admission that the Adviser, the Fund or any other person is the beneficial owner of the securities reported herein for purposes of Section 13 of the Securities Exchange Act of 1934, as amended, or for any other purpose. Each of the reporting persons herein disclaims beneficial ownership of the Shares reported herein except to the extent of the reporting person’s pecuniary interest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Instruction</w:t>
      </w:r>
      <w:r>
        <w:rPr>
          <w:rFonts w:ascii="Arial" w:cs="Arial" w:eastAsia="Arial" w:hAnsi="Arial"/>
          <w:sz w:val="18"/>
          <w:szCs w:val="18"/>
          <w:color w:val="auto"/>
        </w:rPr>
        <w:t>. Dissolution of a group requires a response to this item.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Identification and Classification of the Subsidiary Which Acquired the Security Being Reported on By the Parent Holding Company.</w:t>
      </w: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 w:name="page8"/>
    <w:bookmarkEnd w:id="7"/>
    <w:p>
      <w:pPr>
        <w:jc w:val="both"/>
        <w:ind w:firstLine="324"/>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April 19, 2021</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Boothbay Absolute Return Strategies, LP</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Boothbay Fund Management, LLC, its investment manager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Ari Glass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Ari Glass, Managing Member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Boothbay Fund Management, LLC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Ari Glass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Ari Glass, Managing Member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Ari Glass</w:t>
      </w:r>
    </w:p>
    <w:p>
      <w:pPr>
        <w:spacing w:after="0" w:line="225" w:lineRule="exact"/>
        <w:rPr>
          <w:sz w:val="20"/>
          <w:szCs w:val="20"/>
          <w:color w:val="auto"/>
        </w:rPr>
      </w:pPr>
    </w:p>
    <w:p>
      <w:pPr>
        <w:jc w:val="right"/>
        <w:ind w:right="43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Ari Glass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jc w:val="right"/>
        <w:ind w:right="4400"/>
        <w:spacing w:after="0"/>
        <w:rPr>
          <w:sz w:val="20"/>
          <w:szCs w:val="20"/>
          <w:color w:val="auto"/>
        </w:rPr>
      </w:pPr>
      <w:r>
        <w:rPr>
          <w:rFonts w:ascii="Arial" w:cs="Arial" w:eastAsia="Arial" w:hAnsi="Arial"/>
          <w:sz w:val="18"/>
          <w:szCs w:val="18"/>
          <w:color w:val="auto"/>
        </w:rPr>
        <w:t>Individually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Note. Schedules filed in paper format shall include a signed original and five copies of the schedule, including all exhibits. See s.240.13d-7 for other parties for whom copies are to be sent.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t>JOINT FILING STATEMENT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RULE 13D-1(K)(1)</w:t>
      </w:r>
    </w:p>
    <w:p>
      <w:pPr>
        <w:spacing w:after="0" w:line="2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undersigned hereby consent and agree to the joint filing of Schedule 13G under the Securities Exchange Act of 1934, as amended, with respect to the Shares of Ventoux CCM Acquisition Corp. together with any or all amendments thereto, when and if required. The parties hereto further consent and agree to file this Joint Filing Statement pursuant to Rule13d-1(k)(1)(iii) as an exhibit to Schedule 13G, thereby incorporating the same into such Schedule13G.</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Joint Filing Statement may be terminated by any of the undersigned upon written notice or such lesser period of notice as the undersigned may mutually agree.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April 19, 2021</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Boothbay Absolute Return Strategies, LP</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Boothbay Fund Management, LLC, its investment manager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Ari Glass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Ari Glass, Managing Member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Boothbay Fund Management, LLC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Ari Glass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Ari Glass, Managing Member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Ari Glass</w:t>
      </w:r>
    </w:p>
    <w:p>
      <w:pPr>
        <w:spacing w:after="0" w:line="225" w:lineRule="exact"/>
        <w:rPr>
          <w:sz w:val="20"/>
          <w:szCs w:val="20"/>
          <w:color w:val="auto"/>
        </w:rPr>
      </w:pPr>
    </w:p>
    <w:p>
      <w:pPr>
        <w:jc w:val="right"/>
        <w:ind w:right="43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Ari Glass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jc w:val="right"/>
        <w:ind w:right="4400"/>
        <w:spacing w:after="0"/>
        <w:rPr>
          <w:sz w:val="20"/>
          <w:szCs w:val="20"/>
          <w:color w:val="auto"/>
        </w:rPr>
      </w:pPr>
      <w:r>
        <w:rPr>
          <w:rFonts w:ascii="Arial" w:cs="Arial" w:eastAsia="Arial" w:hAnsi="Arial"/>
          <w:sz w:val="18"/>
          <w:szCs w:val="18"/>
          <w:color w:val="auto"/>
        </w:rPr>
        <w:t>Individually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lvl w:ilvl="1">
      <w:lvlJc w:val="left"/>
      <w:lvlText w:val="(%2)"/>
      <w:numFmt w:val="lowerLetter"/>
      <w:start w:val="1"/>
    </w:lvl>
  </w:abstractNum>
  <w:abstractNum w:abstractNumId="3">
    <w:nsid w:val="515F007C"/>
    <w:multiLevelType w:val="hybridMultilevel"/>
    <w:lvl w:ilvl="0">
      <w:lvlJc w:val="left"/>
      <w:lvlText w:val="%1."/>
      <w:numFmt w:val="decimal"/>
      <w:start w:val="1"/>
    </w:lvl>
    <w:lvl w:ilvl="1">
      <w:lvlJc w:val="left"/>
      <w:lvlText w:val="(%2)"/>
      <w:numFmt w:val="lowerLetter"/>
      <w:start w:val="1"/>
    </w:lvl>
  </w:abstractNum>
  <w:abstractNum w:abstractNumId="4">
    <w:nsid w:val="5BD062C2"/>
    <w:multiLevelType w:val="hybridMultilevel"/>
    <w:lvl w:ilvl="0">
      <w:lvlJc w:val="left"/>
      <w:lvlText w:val="%1."/>
      <w:numFmt w:val="decimal"/>
      <w:start w:val="10"/>
    </w:lvl>
  </w:abstractNum>
  <w:abstractNum w:abstractNumId="5">
    <w:nsid w:val="12200854"/>
    <w:multiLevelType w:val="hybridMultilevel"/>
    <w:lvl w:ilvl="0">
      <w:lvlJc w:val="left"/>
      <w:lvlText w:val="%1."/>
      <w:numFmt w:val="decimal"/>
      <w:start w:val="1"/>
    </w:lvl>
    <w:lvl w:ilvl="1">
      <w:lvlJc w:val="left"/>
      <w:lvlText w:val="(%2)"/>
      <w:numFmt w:val="lowerLetter"/>
      <w:start w:val="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lowerLetter"/>
      <w:start w:val="1"/>
    </w:lvl>
  </w:abstractNum>
  <w:abstractNum w:abstractNumId="9">
    <w:nsid w:val="1190CDE7"/>
    <w:multiLevelType w:val="hybridMultilevel"/>
    <w:lvl w:ilvl="0">
      <w:lvlJc w:val="left"/>
      <w:lvlText w:val="(%1)"/>
      <w:numFmt w:val="lowerRoman"/>
      <w:start w:val="1"/>
    </w:lvl>
  </w:abstractNum>
  <w:abstractNum w:abstractNumId="10">
    <w:nsid w:val="66EF438D"/>
    <w:multiLevelType w:val="hybridMultilevel"/>
    <w:lvl w:ilvl="0">
      <w:lvlJc w:val="left"/>
      <w:lvlText w:val="(%1)"/>
      <w:numFmt w:val="lowerRoman"/>
      <w:start w:val="2"/>
    </w:lvl>
  </w:abstractNum>
  <w:abstractNum w:abstractNumId="11">
    <w:nsid w:val="140E0F76"/>
    <w:multiLevelType w:val="hybridMultilevel"/>
    <w:lvl w:ilvl="0">
      <w:lvlJc w:val="left"/>
      <w:lvlText w:val="(%1)"/>
      <w:numFmt w:val="lowerRoman"/>
      <w:start w:val="3"/>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2021-04-19T13:27:38Z</dcterms:created>
  <dcterms:modified xsi:type="dcterms:W3CDTF">2021-04-19T13:27:38Z</dcterms:modified>
</cp:coreProperties>
</file>