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SCHEDULE 13D/A</w:t>
      </w:r>
    </w:p>
    <w:p>
      <w:pPr>
        <w:spacing w:after="0" w:line="3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Information to be included in statements filed pursuant to Rule 13d-1(a) and amendments thereto filed pursuant to Rule 13d-2(a)</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Presto Automation Inc.</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par value $0.0001 per share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74113T105</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Joseph McCoy</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 Cleveland Avenue, LLC</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222 N. Canal St.</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Chicago, IL 60606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(312) 383-6700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Address and Telephone Number of Person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Authorized to Receive Notices and Communications)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November 21, 2023</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Rule 13d-1(e), 13d-1(f) or 13d-1(g),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The information required on the remainder of this cover page shall not be deemed to be “filed” for the purpose of Section 18 of the Securities Exchange Act of 1934 or otherwise subject to the liabilities of that section of the Act but shall be subject to all other provisions of the Act (however,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756920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 74113T105</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65"/>
        </w:trPr>
        <w:tc>
          <w:tcPr>
            <w:tcW w:w="440" w:type="dxa"/>
            <w:vAlign w:val="bottom"/>
            <w:tcBorders>
              <w:top w:val="single" w:sz="8" w:color="auto"/>
              <w:left w:val="single" w:sz="8" w:color="auto"/>
            </w:tcBorders>
            <w:vMerge w:val="restart"/>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160" w:type="dxa"/>
            <w:vAlign w:val="bottom"/>
            <w:tcBorders>
              <w:top w:val="single" w:sz="8" w:color="auto"/>
              <w:right w:val="single" w:sz="8" w:color="auto"/>
            </w:tcBorders>
          </w:tcPr>
          <w:p>
            <w:pPr>
              <w:spacing w:after="0"/>
              <w:rPr>
                <w:sz w:val="23"/>
                <w:szCs w:val="23"/>
                <w:color w:val="auto"/>
              </w:rPr>
            </w:pPr>
          </w:p>
        </w:tc>
        <w:tc>
          <w:tcPr>
            <w:tcW w:w="262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w w:val="99"/>
              </w:rPr>
              <w:t>NAME OF REPORTING PERSON</w:t>
            </w:r>
          </w:p>
        </w:tc>
        <w:tc>
          <w:tcPr>
            <w:tcW w:w="5260" w:type="dxa"/>
            <w:vAlign w:val="bottom"/>
            <w:tcBorders>
              <w:top w:val="single" w:sz="8" w:color="auto"/>
            </w:tcBorders>
          </w:tcPr>
          <w:p>
            <w:pPr>
              <w:spacing w:after="0"/>
              <w:rPr>
                <w:sz w:val="23"/>
                <w:szCs w:val="23"/>
                <w:color w:val="auto"/>
              </w:rPr>
            </w:pPr>
          </w:p>
        </w:tc>
        <w:tc>
          <w:tcPr>
            <w:tcW w:w="276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26"/>
        </w:trPr>
        <w:tc>
          <w:tcPr>
            <w:tcW w:w="440" w:type="dxa"/>
            <w:vAlign w:val="bottom"/>
            <w:tcBorders>
              <w:left w:val="single" w:sz="8" w:color="auto"/>
            </w:tcBorders>
            <w:vMerge w:val="continue"/>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788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color w:val="auto"/>
              </w:rPr>
              <w:t>Cleveland Avenue Food and Beverage Fund II, LP</w:t>
            </w:r>
          </w:p>
        </w:tc>
        <w:tc>
          <w:tcPr>
            <w:tcW w:w="27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40" w:type="dxa"/>
            <w:vAlign w:val="bottom"/>
            <w:tcBorders>
              <w:left w:val="single" w:sz="8" w:color="auto"/>
            </w:tcBorders>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7880" w:type="dxa"/>
            <w:vAlign w:val="bottom"/>
            <w:gridSpan w:val="4"/>
            <w:vMerge w:val="continue"/>
          </w:tcPr>
          <w:p>
            <w:pPr>
              <w:spacing w:after="0"/>
              <w:rPr>
                <w:sz w:val="9"/>
                <w:szCs w:val="9"/>
                <w:color w:val="auto"/>
              </w:rPr>
            </w:pPr>
          </w:p>
        </w:tc>
        <w:tc>
          <w:tcPr>
            <w:tcW w:w="27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40" w:type="dxa"/>
            <w:vAlign w:val="bottom"/>
            <w:tcBorders>
              <w:left w:val="single" w:sz="8" w:color="auto"/>
              <w:bottom w:val="single" w:sz="8" w:color="auto"/>
            </w:tcBorders>
          </w:tcPr>
          <w:p>
            <w:pPr>
              <w:spacing w:after="0"/>
              <w:rPr>
                <w:sz w:val="4"/>
                <w:szCs w:val="4"/>
                <w:color w:val="auto"/>
              </w:rPr>
            </w:pPr>
          </w:p>
        </w:tc>
        <w:tc>
          <w:tcPr>
            <w:tcW w:w="160" w:type="dxa"/>
            <w:vAlign w:val="bottom"/>
            <w:tcBorders>
              <w:bottom w:val="single" w:sz="8" w:color="auto"/>
              <w:right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5300" w:type="dxa"/>
            <w:vAlign w:val="bottom"/>
            <w:tcBorders>
              <w:bottom w:val="single" w:sz="8" w:color="auto"/>
            </w:tcBorders>
            <w:gridSpan w:val="2"/>
          </w:tcPr>
          <w:p>
            <w:pPr>
              <w:spacing w:after="0"/>
              <w:rPr>
                <w:sz w:val="4"/>
                <w:szCs w:val="4"/>
                <w:color w:val="auto"/>
              </w:rPr>
            </w:pPr>
          </w:p>
        </w:tc>
        <w:tc>
          <w:tcPr>
            <w:tcW w:w="27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6"/>
        </w:trPr>
        <w:tc>
          <w:tcPr>
            <w:tcW w:w="440" w:type="dxa"/>
            <w:vAlign w:val="bottom"/>
            <w:tcBorders>
              <w:left w:val="single" w:sz="8" w:color="auto"/>
            </w:tcBorders>
            <w:vMerge w:val="restart"/>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160" w:type="dxa"/>
            <w:vAlign w:val="bottom"/>
            <w:tcBorders>
              <w:right w:val="single" w:sz="8" w:color="auto"/>
            </w:tcBorders>
          </w:tcPr>
          <w:p>
            <w:pPr>
              <w:spacing w:after="0"/>
              <w:rPr>
                <w:sz w:val="24"/>
                <w:szCs w:val="24"/>
                <w:color w:val="auto"/>
              </w:rPr>
            </w:pPr>
          </w:p>
        </w:tc>
        <w:tc>
          <w:tcPr>
            <w:tcW w:w="788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760" w:type="dxa"/>
            <w:vAlign w:val="bottom"/>
            <w:tcBorders>
              <w:right w:val="single" w:sz="8" w:color="auto"/>
            </w:tcBorders>
          </w:tcPr>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(a) </w:t>
            </w:r>
            <w:r>
              <w:rPr>
                <w:rFonts w:ascii="MS PGothic" w:cs="MS PGothic" w:eastAsia="MS PGothic" w:hAnsi="MS PGothic"/>
                <w:sz w:val="18"/>
                <w:szCs w:val="18"/>
                <w:color w:val="auto"/>
                <w:highlight w:val="black"/>
              </w:rPr>
              <w:t>☐</w:t>
            </w:r>
          </w:p>
        </w:tc>
        <w:tc>
          <w:tcPr>
            <w:tcW w:w="0" w:type="dxa"/>
            <w:vAlign w:val="bottom"/>
          </w:tcPr>
          <w:p>
            <w:pPr>
              <w:spacing w:after="0"/>
              <w:rPr>
                <w:sz w:val="1"/>
                <w:szCs w:val="1"/>
                <w:color w:val="auto"/>
              </w:rPr>
            </w:pPr>
          </w:p>
        </w:tc>
      </w:tr>
      <w:tr>
        <w:trPr>
          <w:trHeight w:val="21"/>
        </w:trPr>
        <w:tc>
          <w:tcPr>
            <w:tcW w:w="440" w:type="dxa"/>
            <w:vAlign w:val="bottom"/>
            <w:tcBorders>
              <w:left w:val="single" w:sz="8" w:color="auto"/>
            </w:tcBorders>
            <w:vMerge w:val="continue"/>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60" w:type="dxa"/>
            <w:vAlign w:val="bottom"/>
            <w:tcBorders>
              <w:right w:val="single" w:sz="8" w:color="auto"/>
            </w:tcBorders>
          </w:tcPr>
          <w:p>
            <w:pPr>
              <w:spacing w:after="0" w:line="20" w:lineRule="exact"/>
              <w:rPr>
                <w:sz w:val="1"/>
                <w:szCs w:val="1"/>
                <w:color w:val="auto"/>
              </w:rPr>
            </w:pPr>
          </w:p>
        </w:tc>
        <w:tc>
          <w:tcPr>
            <w:tcW w:w="27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440" w:type="dxa"/>
            <w:vAlign w:val="bottom"/>
            <w:tcBorders>
              <w:left w:val="single" w:sz="8" w:color="auto"/>
            </w:tcBorders>
            <w:vMerge w:val="continue"/>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202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5260" w:type="dxa"/>
            <w:vAlign w:val="bottom"/>
            <w:tcBorders>
              <w:right w:val="single" w:sz="8" w:color="auto"/>
            </w:tcBorders>
          </w:tcPr>
          <w:p>
            <w:pPr>
              <w:spacing w:after="0"/>
              <w:rPr>
                <w:sz w:val="7"/>
                <w:szCs w:val="7"/>
                <w:color w:val="auto"/>
              </w:rPr>
            </w:pPr>
          </w:p>
        </w:tc>
        <w:tc>
          <w:tcPr>
            <w:tcW w:w="2760" w:type="dxa"/>
            <w:vAlign w:val="bottom"/>
            <w:tcBorders>
              <w:right w:val="single" w:sz="8" w:color="auto"/>
            </w:tcBorders>
            <w:vMerge w:val="restart"/>
          </w:tcPr>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(b) </w:t>
            </w:r>
            <w:r>
              <w:rPr>
                <w:rFonts w:ascii="MS PGothic" w:cs="MS PGothic" w:eastAsia="MS PGothic" w:hAnsi="MS PGothic"/>
                <w:sz w:val="18"/>
                <w:szCs w:val="18"/>
                <w:color w:val="auto"/>
                <w:highlight w:val="black"/>
              </w:rPr>
              <w:t>☐</w:t>
            </w:r>
          </w:p>
        </w:tc>
        <w:tc>
          <w:tcPr>
            <w:tcW w:w="0" w:type="dxa"/>
            <w:vAlign w:val="bottom"/>
          </w:tcPr>
          <w:p>
            <w:pPr>
              <w:spacing w:after="0"/>
              <w:rPr>
                <w:sz w:val="1"/>
                <w:szCs w:val="1"/>
                <w:color w:val="auto"/>
              </w:rPr>
            </w:pPr>
          </w:p>
        </w:tc>
      </w:tr>
      <w:tr>
        <w:trPr>
          <w:trHeight w:val="208"/>
        </w:trPr>
        <w:tc>
          <w:tcPr>
            <w:tcW w:w="440" w:type="dxa"/>
            <w:vAlign w:val="bottom"/>
            <w:tcBorders>
              <w:left w:val="single" w:sz="8" w:color="auto"/>
            </w:tcBorders>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2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40" w:type="dxa"/>
            <w:vAlign w:val="bottom"/>
            <w:tcBorders>
              <w:left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60" w:type="dxa"/>
            <w:vAlign w:val="bottom"/>
            <w:tcBorders>
              <w:bottom w:val="single" w:sz="8" w:color="auto"/>
              <w:right w:val="single" w:sz="8" w:color="auto"/>
            </w:tcBorders>
          </w:tcPr>
          <w:p>
            <w:pPr>
              <w:spacing w:after="0" w:line="20" w:lineRule="exact"/>
              <w:rPr>
                <w:sz w:val="1"/>
                <w:szCs w:val="1"/>
                <w:color w:val="auto"/>
              </w:rPr>
            </w:pPr>
          </w:p>
        </w:tc>
        <w:tc>
          <w:tcPr>
            <w:tcW w:w="27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40" w:type="dxa"/>
            <w:vAlign w:val="bottom"/>
            <w:tcBorders>
              <w:lef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160" w:type="dxa"/>
            <w:vAlign w:val="bottom"/>
            <w:tcBorders>
              <w:right w:val="single" w:sz="8" w:color="auto"/>
            </w:tcBorders>
          </w:tcPr>
          <w:p>
            <w:pPr>
              <w:spacing w:after="0"/>
              <w:rPr>
                <w:sz w:val="22"/>
                <w:szCs w:val="22"/>
                <w:color w:val="auto"/>
              </w:rPr>
            </w:pPr>
          </w:p>
        </w:tc>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260" w:type="dxa"/>
            <w:vAlign w:val="bottom"/>
          </w:tcPr>
          <w:p>
            <w:pPr>
              <w:spacing w:after="0"/>
              <w:rPr>
                <w:sz w:val="22"/>
                <w:szCs w:val="22"/>
                <w:color w:val="auto"/>
              </w:rPr>
            </w:pPr>
          </w:p>
        </w:tc>
        <w:tc>
          <w:tcPr>
            <w:tcW w:w="27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440" w:type="dxa"/>
            <w:vAlign w:val="bottom"/>
            <w:tcBorders>
              <w:left w:val="single" w:sz="8" w:color="auto"/>
              <w:bottom w:val="single" w:sz="8" w:color="auto"/>
            </w:tcBorders>
          </w:tcPr>
          <w:p>
            <w:pPr>
              <w:spacing w:after="0"/>
              <w:rPr>
                <w:sz w:val="4"/>
                <w:szCs w:val="4"/>
                <w:color w:val="auto"/>
              </w:rPr>
            </w:pPr>
          </w:p>
        </w:tc>
        <w:tc>
          <w:tcPr>
            <w:tcW w:w="160" w:type="dxa"/>
            <w:vAlign w:val="bottom"/>
            <w:tcBorders>
              <w:bottom w:val="single" w:sz="8" w:color="auto"/>
              <w:right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260" w:type="dxa"/>
            <w:vAlign w:val="bottom"/>
            <w:tcBorders>
              <w:bottom w:val="single" w:sz="8" w:color="auto"/>
            </w:tcBorders>
          </w:tcPr>
          <w:p>
            <w:pPr>
              <w:spacing w:after="0"/>
              <w:rPr>
                <w:sz w:val="4"/>
                <w:szCs w:val="4"/>
                <w:color w:val="auto"/>
              </w:rPr>
            </w:pPr>
          </w:p>
        </w:tc>
        <w:tc>
          <w:tcPr>
            <w:tcW w:w="27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40" w:type="dxa"/>
            <w:vAlign w:val="bottom"/>
            <w:tcBorders>
              <w:lef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160" w:type="dxa"/>
            <w:vAlign w:val="bottom"/>
            <w:tcBorders>
              <w:right w:val="single" w:sz="8" w:color="auto"/>
            </w:tcBorders>
          </w:tcPr>
          <w:p>
            <w:pPr>
              <w:spacing w:after="0"/>
              <w:rPr>
                <w:sz w:val="22"/>
                <w:szCs w:val="22"/>
                <w:color w:val="auto"/>
              </w:rPr>
            </w:pPr>
          </w:p>
        </w:tc>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SOURCE OF FUNDS</w:t>
            </w: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260" w:type="dxa"/>
            <w:vAlign w:val="bottom"/>
            <w:tcBorders>
              <w:right w:val="single" w:sz="8" w:color="auto"/>
            </w:tcBorders>
          </w:tcPr>
          <w:p>
            <w:pPr>
              <w:spacing w:after="0"/>
              <w:rPr>
                <w:sz w:val="22"/>
                <w:szCs w:val="22"/>
                <w:color w:val="auto"/>
              </w:rPr>
            </w:pPr>
          </w:p>
        </w:tc>
        <w:tc>
          <w:tcPr>
            <w:tcW w:w="27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WC</w:t>
            </w:r>
          </w:p>
        </w:tc>
        <w:tc>
          <w:tcPr>
            <w:tcW w:w="0" w:type="dxa"/>
            <w:vAlign w:val="bottom"/>
          </w:tcPr>
          <w:p>
            <w:pPr>
              <w:spacing w:after="0"/>
              <w:rPr>
                <w:sz w:val="1"/>
                <w:szCs w:val="1"/>
                <w:color w:val="auto"/>
              </w:rPr>
            </w:pPr>
          </w:p>
        </w:tc>
      </w:tr>
      <w:tr>
        <w:trPr>
          <w:trHeight w:val="54"/>
        </w:trPr>
        <w:tc>
          <w:tcPr>
            <w:tcW w:w="440" w:type="dxa"/>
            <w:vAlign w:val="bottom"/>
            <w:tcBorders>
              <w:left w:val="single" w:sz="8" w:color="auto"/>
              <w:bottom w:val="single" w:sz="8" w:color="auto"/>
            </w:tcBorders>
          </w:tcPr>
          <w:p>
            <w:pPr>
              <w:spacing w:after="0"/>
              <w:rPr>
                <w:sz w:val="4"/>
                <w:szCs w:val="4"/>
                <w:color w:val="auto"/>
              </w:rPr>
            </w:pPr>
          </w:p>
        </w:tc>
        <w:tc>
          <w:tcPr>
            <w:tcW w:w="160" w:type="dxa"/>
            <w:vAlign w:val="bottom"/>
            <w:tcBorders>
              <w:bottom w:val="single" w:sz="8" w:color="auto"/>
              <w:right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5300" w:type="dxa"/>
            <w:vAlign w:val="bottom"/>
            <w:tcBorders>
              <w:bottom w:val="single" w:sz="8" w:color="auto"/>
              <w:right w:val="single" w:sz="8" w:color="auto"/>
            </w:tcBorders>
            <w:gridSpan w:val="2"/>
          </w:tcPr>
          <w:p>
            <w:pPr>
              <w:spacing w:after="0"/>
              <w:rPr>
                <w:sz w:val="4"/>
                <w:szCs w:val="4"/>
                <w:color w:val="auto"/>
              </w:rPr>
            </w:pPr>
          </w:p>
        </w:tc>
        <w:tc>
          <w:tcPr>
            <w:tcW w:w="27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6"/>
        </w:trPr>
        <w:tc>
          <w:tcPr>
            <w:tcW w:w="440" w:type="dxa"/>
            <w:vAlign w:val="bottom"/>
            <w:tcBorders>
              <w:lef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16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5"/>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CHECK BOX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
        </w:trPr>
        <w:tc>
          <w:tcPr>
            <w:tcW w:w="440" w:type="dxa"/>
            <w:vAlign w:val="bottom"/>
            <w:tcBorders>
              <w:left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300" w:type="dxa"/>
            <w:vAlign w:val="bottom"/>
            <w:tcBorders>
              <w:bottom w:val="single" w:sz="8" w:color="auto"/>
            </w:tcBorders>
            <w:gridSpan w:val="2"/>
          </w:tcPr>
          <w:p>
            <w:pPr>
              <w:spacing w:after="0" w:line="20" w:lineRule="exact"/>
              <w:rPr>
                <w:sz w:val="1"/>
                <w:szCs w:val="1"/>
                <w:color w:val="auto"/>
              </w:rPr>
            </w:pPr>
          </w:p>
        </w:tc>
        <w:tc>
          <w:tcPr>
            <w:tcW w:w="27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40" w:type="dxa"/>
            <w:vAlign w:val="bottom"/>
            <w:tcBorders>
              <w:lef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160" w:type="dxa"/>
            <w:vAlign w:val="bottom"/>
            <w:tcBorders>
              <w:right w:val="single" w:sz="8" w:color="auto"/>
            </w:tcBorders>
          </w:tcPr>
          <w:p>
            <w:pPr>
              <w:spacing w:after="0"/>
              <w:rPr>
                <w:sz w:val="22"/>
                <w:szCs w:val="22"/>
                <w:color w:val="auto"/>
              </w:rPr>
            </w:pPr>
          </w:p>
        </w:tc>
        <w:tc>
          <w:tcPr>
            <w:tcW w:w="788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7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State of Delaware</w:t>
            </w:r>
          </w:p>
        </w:tc>
        <w:tc>
          <w:tcPr>
            <w:tcW w:w="0" w:type="dxa"/>
            <w:vAlign w:val="bottom"/>
          </w:tcPr>
          <w:p>
            <w:pPr>
              <w:spacing w:after="0"/>
              <w:rPr>
                <w:sz w:val="1"/>
                <w:szCs w:val="1"/>
                <w:color w:val="auto"/>
              </w:rPr>
            </w:pPr>
          </w:p>
        </w:tc>
      </w:tr>
      <w:tr>
        <w:trPr>
          <w:trHeight w:val="54"/>
        </w:trPr>
        <w:tc>
          <w:tcPr>
            <w:tcW w:w="440" w:type="dxa"/>
            <w:vAlign w:val="bottom"/>
            <w:tcBorders>
              <w:left w:val="single" w:sz="8" w:color="auto"/>
              <w:bottom w:val="single" w:sz="8" w:color="auto"/>
            </w:tcBorders>
          </w:tcPr>
          <w:p>
            <w:pPr>
              <w:spacing w:after="0"/>
              <w:rPr>
                <w:sz w:val="4"/>
                <w:szCs w:val="4"/>
                <w:color w:val="auto"/>
              </w:rPr>
            </w:pPr>
          </w:p>
        </w:tc>
        <w:tc>
          <w:tcPr>
            <w:tcW w:w="160" w:type="dxa"/>
            <w:vAlign w:val="bottom"/>
            <w:tcBorders>
              <w:bottom w:val="single" w:sz="8" w:color="auto"/>
              <w:right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260" w:type="dxa"/>
            <w:vAlign w:val="bottom"/>
            <w:tcBorders>
              <w:bottom w:val="single" w:sz="8" w:color="auto"/>
              <w:right w:val="single" w:sz="8" w:color="auto"/>
            </w:tcBorders>
          </w:tcPr>
          <w:p>
            <w:pPr>
              <w:spacing w:after="0"/>
              <w:rPr>
                <w:sz w:val="4"/>
                <w:szCs w:val="4"/>
                <w:color w:val="auto"/>
              </w:rPr>
            </w:pPr>
          </w:p>
        </w:tc>
        <w:tc>
          <w:tcPr>
            <w:tcW w:w="27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62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7</w:t>
            </w:r>
          </w:p>
        </w:tc>
        <w:tc>
          <w:tcPr>
            <w:tcW w:w="40" w:type="dxa"/>
            <w:vAlign w:val="bottom"/>
            <w:tcBorders>
              <w:bottom w:val="single" w:sz="8" w:color="auto"/>
            </w:tcBorders>
          </w:tcPr>
          <w:p>
            <w:pPr>
              <w:spacing w:after="0"/>
              <w:rPr>
                <w:sz w:val="24"/>
                <w:szCs w:val="24"/>
                <w:color w:val="auto"/>
              </w:rPr>
            </w:pPr>
          </w:p>
        </w:tc>
        <w:tc>
          <w:tcPr>
            <w:tcW w:w="5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2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11,500,000</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79"/>
        </w:trPr>
        <w:tc>
          <w:tcPr>
            <w:tcW w:w="2620" w:type="dxa"/>
            <w:vAlign w:val="bottom"/>
            <w:tcBorders>
              <w:left w:val="single" w:sz="8" w:color="auto"/>
              <w:right w:val="single" w:sz="8" w:color="auto"/>
            </w:tcBorders>
            <w:gridSpan w:val="3"/>
            <w:vMerge w:val="continue"/>
          </w:tcPr>
          <w:p>
            <w:pPr>
              <w:spacing w:after="0"/>
              <w:rPr>
                <w:sz w:val="6"/>
                <w:szCs w:val="6"/>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8</w:t>
            </w:r>
          </w:p>
        </w:tc>
        <w:tc>
          <w:tcPr>
            <w:tcW w:w="40" w:type="dxa"/>
            <w:vAlign w:val="bottom"/>
          </w:tcPr>
          <w:p>
            <w:pPr>
              <w:spacing w:after="0"/>
              <w:rPr>
                <w:sz w:val="6"/>
                <w:szCs w:val="6"/>
                <w:color w:val="auto"/>
              </w:rPr>
            </w:pPr>
          </w:p>
        </w:tc>
        <w:tc>
          <w:tcPr>
            <w:tcW w:w="5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27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8"/>
        </w:trPr>
        <w:tc>
          <w:tcPr>
            <w:tcW w:w="26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BENEFICIALLY OWNED BY</w:t>
            </w:r>
          </w:p>
        </w:tc>
        <w:tc>
          <w:tcPr>
            <w:tcW w:w="560" w:type="dxa"/>
            <w:vAlign w:val="bottom"/>
            <w:tcBorders>
              <w:bottom w:val="single" w:sz="8" w:color="auto"/>
              <w:right w:val="single" w:sz="8" w:color="auto"/>
            </w:tcBorders>
            <w:vMerge w:val="continue"/>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5260" w:type="dxa"/>
            <w:vAlign w:val="bottom"/>
            <w:tcBorders>
              <w:bottom w:val="single" w:sz="8" w:color="auto"/>
              <w:right w:val="single" w:sz="8" w:color="auto"/>
            </w:tcBorders>
            <w:vMerge w:val="continue"/>
          </w:tcPr>
          <w:p>
            <w:pPr>
              <w:spacing w:after="0"/>
              <w:rPr>
                <w:sz w:val="20"/>
                <w:szCs w:val="20"/>
                <w:color w:val="auto"/>
              </w:rPr>
            </w:pPr>
          </w:p>
        </w:tc>
        <w:tc>
          <w:tcPr>
            <w:tcW w:w="276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440" w:type="dxa"/>
            <w:vAlign w:val="bottom"/>
            <w:tcBorders>
              <w:left w:val="single" w:sz="8" w:color="auto"/>
            </w:tcBorders>
          </w:tcPr>
          <w:p>
            <w:pPr>
              <w:spacing w:after="0"/>
              <w:rPr>
                <w:sz w:val="15"/>
                <w:szCs w:val="15"/>
                <w:color w:val="auto"/>
              </w:rPr>
            </w:pPr>
          </w:p>
        </w:tc>
        <w:tc>
          <w:tcPr>
            <w:tcW w:w="2180" w:type="dxa"/>
            <w:vAlign w:val="bottom"/>
            <w:tcBorders>
              <w:right w:val="single" w:sz="8" w:color="auto"/>
            </w:tcBorders>
            <w:gridSpan w:val="2"/>
          </w:tcPr>
          <w:p>
            <w:pPr>
              <w:jc w:val="center"/>
              <w:ind w:right="350"/>
              <w:spacing w:after="0" w:line="174" w:lineRule="exact"/>
              <w:rPr>
                <w:sz w:val="20"/>
                <w:szCs w:val="20"/>
                <w:color w:val="auto"/>
              </w:rPr>
            </w:pPr>
            <w:r>
              <w:rPr>
                <w:rFonts w:ascii="Times New Roman" w:cs="Times New Roman" w:eastAsia="Times New Roman" w:hAnsi="Times New Roman"/>
                <w:sz w:val="18"/>
                <w:szCs w:val="18"/>
                <w:b w:val="1"/>
                <w:bCs w:val="1"/>
                <w:color w:val="auto"/>
              </w:rPr>
              <w:t>EACH REPORTING</w:t>
            </w:r>
          </w:p>
        </w:tc>
        <w:tc>
          <w:tcPr>
            <w:tcW w:w="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40" w:type="dxa"/>
            <w:vAlign w:val="bottom"/>
          </w:tcPr>
          <w:p>
            <w:pPr>
              <w:spacing w:after="0"/>
              <w:rPr>
                <w:sz w:val="15"/>
                <w:szCs w:val="15"/>
                <w:color w:val="auto"/>
              </w:rPr>
            </w:pPr>
          </w:p>
        </w:tc>
        <w:tc>
          <w:tcPr>
            <w:tcW w:w="5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27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11,500,000</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198"/>
        </w:trPr>
        <w:tc>
          <w:tcPr>
            <w:tcW w:w="440" w:type="dxa"/>
            <w:vAlign w:val="bottom"/>
            <w:tcBorders>
              <w:lef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tcBorders>
              <w:right w:val="single" w:sz="8" w:color="auto"/>
            </w:tcBorders>
          </w:tcPr>
          <w:p>
            <w:pPr>
              <w:jc w:val="center"/>
              <w:ind w:right="510"/>
              <w:spacing w:after="0" w:line="198" w:lineRule="exact"/>
              <w:rPr>
                <w:sz w:val="20"/>
                <w:szCs w:val="20"/>
                <w:color w:val="auto"/>
              </w:rPr>
            </w:pPr>
            <w:r>
              <w:rPr>
                <w:rFonts w:ascii="Times New Roman" w:cs="Times New Roman" w:eastAsia="Times New Roman" w:hAnsi="Times New Roman"/>
                <w:sz w:val="18"/>
                <w:szCs w:val="18"/>
                <w:b w:val="1"/>
                <w:bCs w:val="1"/>
                <w:color w:val="auto"/>
              </w:rPr>
              <w:t>PERSON WITH</w:t>
            </w:r>
          </w:p>
        </w:tc>
        <w:tc>
          <w:tcPr>
            <w:tcW w:w="560" w:type="dxa"/>
            <w:vAlign w:val="bottom"/>
            <w:tcBorders>
              <w:bottom w:val="single" w:sz="8" w:color="auto"/>
              <w:right w:val="single" w:sz="8" w:color="auto"/>
            </w:tcBorders>
            <w:vMerge w:val="continue"/>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260" w:type="dxa"/>
            <w:vAlign w:val="bottom"/>
            <w:tcBorders>
              <w:bottom w:val="single" w:sz="8" w:color="auto"/>
              <w:right w:val="single" w:sz="8" w:color="auto"/>
            </w:tcBorders>
            <w:vMerge w:val="continue"/>
          </w:tcPr>
          <w:p>
            <w:pPr>
              <w:spacing w:after="0"/>
              <w:rPr>
                <w:sz w:val="17"/>
                <w:szCs w:val="17"/>
                <w:color w:val="auto"/>
              </w:rPr>
            </w:pPr>
          </w:p>
        </w:tc>
        <w:tc>
          <w:tcPr>
            <w:tcW w:w="276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40" w:type="dxa"/>
            <w:vAlign w:val="bottom"/>
            <w:tcBorders>
              <w:lef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020" w:type="dxa"/>
            <w:vAlign w:val="bottom"/>
            <w:tcBorders>
              <w:right w:val="single" w:sz="8" w:color="auto"/>
            </w:tcBorders>
          </w:tcPr>
          <w:p>
            <w:pPr>
              <w:spacing w:after="0"/>
              <w:rPr>
                <w:sz w:val="21"/>
                <w:szCs w:val="21"/>
                <w:color w:val="auto"/>
              </w:rPr>
            </w:pPr>
          </w:p>
        </w:tc>
        <w:tc>
          <w:tcPr>
            <w:tcW w:w="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40" w:type="dxa"/>
            <w:vAlign w:val="bottom"/>
          </w:tcPr>
          <w:p>
            <w:pPr>
              <w:spacing w:after="0"/>
              <w:rPr>
                <w:sz w:val="21"/>
                <w:szCs w:val="21"/>
                <w:color w:val="auto"/>
              </w:rPr>
            </w:pPr>
          </w:p>
        </w:tc>
        <w:tc>
          <w:tcPr>
            <w:tcW w:w="5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27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440" w:type="dxa"/>
            <w:vAlign w:val="bottom"/>
            <w:tcBorders>
              <w:left w:val="single" w:sz="8" w:color="auto"/>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5300" w:type="dxa"/>
            <w:vAlign w:val="bottom"/>
            <w:tcBorders>
              <w:bottom w:val="single" w:sz="8" w:color="auto"/>
              <w:right w:val="single" w:sz="8" w:color="auto"/>
            </w:tcBorders>
            <w:gridSpan w:val="2"/>
          </w:tcPr>
          <w:p>
            <w:pPr>
              <w:spacing w:after="0"/>
              <w:rPr>
                <w:sz w:val="4"/>
                <w:szCs w:val="4"/>
                <w:color w:val="auto"/>
              </w:rPr>
            </w:pPr>
          </w:p>
        </w:tc>
        <w:tc>
          <w:tcPr>
            <w:tcW w:w="27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40" w:type="dxa"/>
            <w:vAlign w:val="bottom"/>
            <w:tcBorders>
              <w:left w:val="single" w:sz="8" w:color="auto"/>
            </w:tcBorders>
            <w:vMerge w:val="restart"/>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88"/>
              </w:rPr>
              <w:t>11</w:t>
            </w:r>
          </w:p>
        </w:tc>
        <w:tc>
          <w:tcPr>
            <w:tcW w:w="160" w:type="dxa"/>
            <w:vAlign w:val="bottom"/>
            <w:tcBorders>
              <w:right w:val="single" w:sz="8" w:color="auto"/>
            </w:tcBorders>
          </w:tcPr>
          <w:p>
            <w:pPr>
              <w:spacing w:after="0"/>
              <w:rPr>
                <w:sz w:val="22"/>
                <w:szCs w:val="22"/>
                <w:color w:val="auto"/>
              </w:rPr>
            </w:pPr>
          </w:p>
        </w:tc>
        <w:tc>
          <w:tcPr>
            <w:tcW w:w="78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7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440" w:type="dxa"/>
            <w:vAlign w:val="bottom"/>
            <w:tcBorders>
              <w:left w:val="single" w:sz="8" w:color="auto"/>
            </w:tcBorders>
            <w:vMerge w:val="continue"/>
          </w:tcPr>
          <w:p>
            <w:pPr>
              <w:spacing w:after="0"/>
              <w:rPr>
                <w:sz w:val="4"/>
                <w:szCs w:val="4"/>
                <w:color w:val="auto"/>
              </w:rPr>
            </w:pPr>
          </w:p>
        </w:tc>
        <w:tc>
          <w:tcPr>
            <w:tcW w:w="160" w:type="dxa"/>
            <w:vAlign w:val="bottom"/>
            <w:tcBorders>
              <w:right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260" w:type="dxa"/>
            <w:vAlign w:val="bottom"/>
            <w:tcBorders>
              <w:bottom w:val="single" w:sz="8" w:color="auto"/>
            </w:tcBorders>
          </w:tcPr>
          <w:p>
            <w:pPr>
              <w:spacing w:after="0"/>
              <w:rPr>
                <w:sz w:val="4"/>
                <w:szCs w:val="4"/>
                <w:color w:val="auto"/>
              </w:rPr>
            </w:pPr>
          </w:p>
        </w:tc>
        <w:tc>
          <w:tcPr>
            <w:tcW w:w="27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440" w:type="dxa"/>
            <w:vAlign w:val="bottom"/>
            <w:tcBorders>
              <w:left w:val="single" w:sz="8" w:color="auto"/>
            </w:tcBorders>
            <w:vMerge w:val="continue"/>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2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11,500,000</w:t>
            </w:r>
            <w:r>
              <w:rPr>
                <w:rFonts w:ascii="Times New Roman" w:cs="Times New Roman" w:eastAsia="Times New Roman" w:hAnsi="Times New Roman"/>
                <w:sz w:val="29"/>
                <w:szCs w:val="29"/>
                <w:color w:val="auto"/>
                <w:vertAlign w:val="superscript"/>
              </w:rPr>
              <w:t>(1)</w:t>
            </w: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60" w:type="dxa"/>
            <w:vAlign w:val="bottom"/>
          </w:tcPr>
          <w:p>
            <w:pPr>
              <w:spacing w:after="0"/>
              <w:rPr>
                <w:sz w:val="10"/>
                <w:szCs w:val="10"/>
                <w:color w:val="auto"/>
              </w:rPr>
            </w:pPr>
          </w:p>
        </w:tc>
        <w:tc>
          <w:tcPr>
            <w:tcW w:w="27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440" w:type="dxa"/>
            <w:vAlign w:val="bottom"/>
            <w:tcBorders>
              <w:left w:val="single" w:sz="8" w:color="auto"/>
              <w:bottom w:val="single" w:sz="8" w:color="auto"/>
            </w:tcBorders>
          </w:tcPr>
          <w:p>
            <w:pPr>
              <w:spacing w:after="0"/>
              <w:rPr>
                <w:sz w:val="21"/>
                <w:szCs w:val="21"/>
                <w:color w:val="auto"/>
              </w:rPr>
            </w:pPr>
          </w:p>
        </w:tc>
        <w:tc>
          <w:tcPr>
            <w:tcW w:w="160" w:type="dxa"/>
            <w:vAlign w:val="bottom"/>
            <w:tcBorders>
              <w:bottom w:val="single" w:sz="8" w:color="auto"/>
              <w:right w:val="single" w:sz="8" w:color="auto"/>
            </w:tcBorders>
          </w:tcPr>
          <w:p>
            <w:pPr>
              <w:spacing w:after="0"/>
              <w:rPr>
                <w:sz w:val="21"/>
                <w:szCs w:val="21"/>
                <w:color w:val="auto"/>
              </w:rPr>
            </w:pPr>
          </w:p>
        </w:tc>
        <w:tc>
          <w:tcPr>
            <w:tcW w:w="2020" w:type="dxa"/>
            <w:vAlign w:val="bottom"/>
            <w:tcBorders>
              <w:bottom w:val="single" w:sz="8" w:color="auto"/>
            </w:tcBorders>
            <w:vMerge w:val="continue"/>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5260" w:type="dxa"/>
            <w:vAlign w:val="bottom"/>
            <w:tcBorders>
              <w:bottom w:val="single" w:sz="8" w:color="auto"/>
            </w:tcBorders>
          </w:tcPr>
          <w:p>
            <w:pPr>
              <w:spacing w:after="0"/>
              <w:rPr>
                <w:sz w:val="21"/>
                <w:szCs w:val="21"/>
                <w:color w:val="auto"/>
              </w:rPr>
            </w:pPr>
          </w:p>
        </w:tc>
        <w:tc>
          <w:tcPr>
            <w:tcW w:w="27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40" w:type="dxa"/>
            <w:vAlign w:val="bottom"/>
            <w:tcBorders>
              <w:left w:val="single" w:sz="8" w:color="auto"/>
            </w:tcBorders>
            <w:vMerge w:val="restart"/>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160" w:type="dxa"/>
            <w:vAlign w:val="bottom"/>
            <w:tcBorders>
              <w:right w:val="single" w:sz="8" w:color="auto"/>
            </w:tcBorders>
          </w:tcPr>
          <w:p>
            <w:pPr>
              <w:spacing w:after="0"/>
              <w:rPr>
                <w:sz w:val="18"/>
                <w:szCs w:val="18"/>
                <w:color w:val="auto"/>
              </w:rPr>
            </w:pPr>
          </w:p>
        </w:tc>
        <w:tc>
          <w:tcPr>
            <w:tcW w:w="78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2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07"/>
        </w:trPr>
        <w:tc>
          <w:tcPr>
            <w:tcW w:w="440" w:type="dxa"/>
            <w:vAlign w:val="bottom"/>
            <w:tcBorders>
              <w:left w:val="single" w:sz="8" w:color="auto"/>
              <w:bottom w:val="single" w:sz="8" w:color="auto"/>
            </w:tcBorders>
            <w:vMerge w:val="continue"/>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c>
          <w:tcPr>
            <w:tcW w:w="2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440" w:type="dxa"/>
            <w:vAlign w:val="bottom"/>
            <w:tcBorders>
              <w:left w:val="single" w:sz="8" w:color="auto"/>
            </w:tcBorders>
            <w:vMerge w:val="restart"/>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160" w:type="dxa"/>
            <w:vAlign w:val="bottom"/>
            <w:tcBorders>
              <w:right w:val="single" w:sz="8" w:color="auto"/>
            </w:tcBorders>
          </w:tcPr>
          <w:p>
            <w:pPr>
              <w:spacing w:after="0"/>
              <w:rPr>
                <w:sz w:val="21"/>
                <w:szCs w:val="21"/>
                <w:color w:val="auto"/>
              </w:rPr>
            </w:pPr>
          </w:p>
        </w:tc>
        <w:tc>
          <w:tcPr>
            <w:tcW w:w="78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2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36"/>
        </w:trPr>
        <w:tc>
          <w:tcPr>
            <w:tcW w:w="440" w:type="dxa"/>
            <w:vAlign w:val="bottom"/>
            <w:tcBorders>
              <w:left w:val="single" w:sz="8" w:color="auto"/>
            </w:tcBorders>
            <w:vMerge w:val="continue"/>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2020" w:type="dxa"/>
            <w:vAlign w:val="bottom"/>
            <w:vMerge w:val="restart"/>
          </w:tcPr>
          <w:p>
            <w:pPr>
              <w:ind w:left="20"/>
              <w:spacing w:after="0" w:line="324" w:lineRule="exact"/>
              <w:rPr>
                <w:sz w:val="20"/>
                <w:szCs w:val="20"/>
                <w:color w:val="auto"/>
              </w:rPr>
            </w:pPr>
            <w:r>
              <w:rPr>
                <w:rFonts w:ascii="Times New Roman" w:cs="Times New Roman" w:eastAsia="Times New Roman" w:hAnsi="Times New Roman"/>
                <w:sz w:val="18"/>
                <w:szCs w:val="18"/>
                <w:color w:val="auto"/>
              </w:rPr>
              <w:t xml:space="preserve">17.1% </w:t>
            </w:r>
            <w:r>
              <w:rPr>
                <w:rFonts w:ascii="Times New Roman" w:cs="Times New Roman" w:eastAsia="Times New Roman" w:hAnsi="Times New Roman"/>
                <w:sz w:val="29"/>
                <w:szCs w:val="29"/>
                <w:color w:val="auto"/>
                <w:vertAlign w:val="superscript"/>
              </w:rPr>
              <w:t>(2)</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27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40" w:type="dxa"/>
            <w:vAlign w:val="bottom"/>
            <w:tcBorders>
              <w:left w:val="single" w:sz="8" w:color="auto"/>
              <w:bottom w:val="single" w:sz="8" w:color="auto"/>
            </w:tcBorders>
          </w:tcPr>
          <w:p>
            <w:pPr>
              <w:spacing w:after="0"/>
              <w:rPr>
                <w:sz w:val="16"/>
                <w:szCs w:val="16"/>
                <w:color w:val="auto"/>
              </w:rPr>
            </w:pPr>
          </w:p>
        </w:tc>
        <w:tc>
          <w:tcPr>
            <w:tcW w:w="160" w:type="dxa"/>
            <w:vAlign w:val="bottom"/>
            <w:tcBorders>
              <w:bottom w:val="single" w:sz="8" w:color="auto"/>
              <w:right w:val="single" w:sz="8" w:color="auto"/>
            </w:tcBorders>
          </w:tcPr>
          <w:p>
            <w:pPr>
              <w:spacing w:after="0"/>
              <w:rPr>
                <w:sz w:val="16"/>
                <w:szCs w:val="16"/>
                <w:color w:val="auto"/>
              </w:rPr>
            </w:pPr>
          </w:p>
        </w:tc>
        <w:tc>
          <w:tcPr>
            <w:tcW w:w="202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5260" w:type="dxa"/>
            <w:vAlign w:val="bottom"/>
            <w:tcBorders>
              <w:bottom w:val="single" w:sz="8" w:color="auto"/>
            </w:tcBorders>
          </w:tcPr>
          <w:p>
            <w:pPr>
              <w:spacing w:after="0"/>
              <w:rPr>
                <w:sz w:val="16"/>
                <w:szCs w:val="16"/>
                <w:color w:val="auto"/>
              </w:rPr>
            </w:pPr>
          </w:p>
        </w:tc>
        <w:tc>
          <w:tcPr>
            <w:tcW w:w="27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4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160" w:type="dxa"/>
            <w:vAlign w:val="bottom"/>
            <w:tcBorders>
              <w:right w:val="single" w:sz="8" w:color="auto"/>
            </w:tcBorders>
          </w:tcPr>
          <w:p>
            <w:pPr>
              <w:spacing w:after="0"/>
              <w:rPr>
                <w:sz w:val="22"/>
                <w:szCs w:val="22"/>
                <w:color w:val="auto"/>
              </w:rPr>
            </w:pPr>
          </w:p>
        </w:tc>
        <w:tc>
          <w:tcPr>
            <w:tcW w:w="2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5260" w:type="dxa"/>
            <w:vAlign w:val="bottom"/>
            <w:tcBorders>
              <w:right w:val="single" w:sz="8" w:color="auto"/>
            </w:tcBorders>
          </w:tcPr>
          <w:p>
            <w:pPr>
              <w:spacing w:after="0"/>
              <w:rPr>
                <w:sz w:val="22"/>
                <w:szCs w:val="22"/>
                <w:color w:val="auto"/>
              </w:rPr>
            </w:pPr>
          </w:p>
        </w:tc>
        <w:tc>
          <w:tcPr>
            <w:tcW w:w="27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PN</w:t>
            </w:r>
          </w:p>
        </w:tc>
        <w:tc>
          <w:tcPr>
            <w:tcW w:w="0" w:type="dxa"/>
            <w:vAlign w:val="bottom"/>
          </w:tcPr>
          <w:p>
            <w:pPr>
              <w:spacing w:after="0"/>
              <w:rPr>
                <w:sz w:val="1"/>
                <w:szCs w:val="1"/>
                <w:color w:val="auto"/>
              </w:rPr>
            </w:pPr>
          </w:p>
        </w:tc>
      </w:tr>
      <w:tr>
        <w:trPr>
          <w:trHeight w:val="54"/>
        </w:trPr>
        <w:tc>
          <w:tcPr>
            <w:tcW w:w="440" w:type="dxa"/>
            <w:vAlign w:val="bottom"/>
            <w:tcBorders>
              <w:left w:val="single" w:sz="8" w:color="auto"/>
              <w:bottom w:val="single" w:sz="8" w:color="auto"/>
            </w:tcBorders>
          </w:tcPr>
          <w:p>
            <w:pPr>
              <w:spacing w:after="0"/>
              <w:rPr>
                <w:sz w:val="4"/>
                <w:szCs w:val="4"/>
                <w:color w:val="auto"/>
              </w:rPr>
            </w:pPr>
          </w:p>
        </w:tc>
        <w:tc>
          <w:tcPr>
            <w:tcW w:w="160" w:type="dxa"/>
            <w:vAlign w:val="bottom"/>
            <w:tcBorders>
              <w:bottom w:val="single" w:sz="8" w:color="auto"/>
              <w:right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260" w:type="dxa"/>
            <w:vAlign w:val="bottom"/>
            <w:tcBorders>
              <w:bottom w:val="single" w:sz="8" w:color="auto"/>
              <w:right w:val="single" w:sz="8" w:color="auto"/>
            </w:tcBorders>
          </w:tcPr>
          <w:p>
            <w:pPr>
              <w:spacing w:after="0"/>
              <w:rPr>
                <w:sz w:val="4"/>
                <w:szCs w:val="4"/>
                <w:color w:val="auto"/>
              </w:rPr>
            </w:pPr>
          </w:p>
        </w:tc>
        <w:tc>
          <w:tcPr>
            <w:tcW w:w="27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500" w:hanging="492"/>
        <w:spacing w:after="0" w:line="224" w:lineRule="auto"/>
        <w:tabs>
          <w:tab w:leader="none" w:pos="500" w:val="left"/>
        </w:tabs>
        <w:numPr>
          <w:ilvl w:val="0"/>
          <w:numId w:val="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shares are held of record by Presto CA LLC (“Presto CA”). Cleveland Avenue Food and Beverage Fund II, LP (“CAFB Fund II”) is the sole member of Presto CA. Cleveland Avenue GP II, LLC (“Cleveland Avenue GP II”) is the general partner of CAFB Fund II. Cleveland Avenue, LLC (“CA LLC”) is the sole member of Cleveland Avenue GP II. Donald Thompson is the sole manager of CA LLC. Consequently, Mr. Thompson may be deemed to have sole voting and dispositive power over the shares held directly by Presto CA. Mr. Thompson disclaims beneficial ownership of these securities except to the extent of any pecuniary interest therein.</w:t>
      </w:r>
    </w:p>
    <w:p>
      <w:pPr>
        <w:spacing w:after="0" w:line="201" w:lineRule="exact"/>
        <w:rPr>
          <w:rFonts w:ascii="Times New Roman" w:cs="Times New Roman" w:eastAsia="Times New Roman" w:hAnsi="Times New Roman"/>
          <w:sz w:val="30"/>
          <w:szCs w:val="30"/>
          <w:color w:val="auto"/>
          <w:vertAlign w:val="superscript"/>
        </w:rPr>
      </w:pPr>
    </w:p>
    <w:p>
      <w:pPr>
        <w:jc w:val="both"/>
        <w:ind w:left="500" w:hanging="492"/>
        <w:spacing w:after="0" w:line="210" w:lineRule="auto"/>
        <w:tabs>
          <w:tab w:leader="none" w:pos="500" w:val="left"/>
        </w:tabs>
        <w:numPr>
          <w:ilvl w:val="0"/>
          <w:numId w:val="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Calculated based on 67,219,994 shares of common stock outstanding as of November 21, 2023 following the sale of 7,750,000 shares of the issuer’s common stock by the issuer, as disclosed by the issuer in its Prospectus Supplement (to Prospectus dated October 30, 2023) filed pursuant to Rule 424(b)(5) under Registration Statement No.: 333-275112, filed with the Securities and Exchange Commission on November 21, 2023.</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Amendment No. 2 (this “Amendment”) amends and supplements the statement on Schedule 13D filed by Cleveland Avenue Food and Beverage Fund II, LP (the “Reporting Person”) on October 27, 2023 (the “Original Schedule 13D”) and to correct certain errors in Amendment No. 1 on Schedule 13D filed by the Reporting Person on December 1, 2023. Except as specifically provided herein, this Amendment does not modify any of the information previously reported on the Original Schedule 13D. All capitalized terms contained herein but not otherwise defined shall have the meanings ascribed to such terms in the Original Schedule 13D.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Amendment supplements Item 3 of the Original Schedule 13D by adding the additional disclosure set forth below:</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21, 2023, Presto CA acquired an additional 1,500,000 newly issued shares of Presto Common Stock for no additional consideration pursuant to certain anti-dilution provisions of the Securities Purchase Agreement for the October 2023 Private Placement.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Amendment amends and restates Item 5 of the Original Schedule 13D in its entirety as set forth below:</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The information requested by this paragraph is incorporated herein by reference to the information provided on the cover pages to this Amendment.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        The information requested by this paragraph is incorporated herein by reference to the information provided on the cover pages to this Amendment.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(c)        Except as disclosed herein, the Reporting Person has not effected any other transactions in the securities of the Issuer during the past 60 days.</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Not applicable.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        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disclosed under Item 3 and Item 4 of the Original Schedule 13D is hereby incorporated by reference into this Item 5.</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the undersigned certifies that the information set forth in this statement is true, complete and correct.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December 20, 2023</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CLEVELAND AVENUE FOOD AND BEVERAGE FUND II, LP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Joseph McCoy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Joseph McCoy, Chief Operating Officer and General Counsel of</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Cleveland Avenue, LLC</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2023-12-20T16:24:38Z</dcterms:created>
  <dcterms:modified xsi:type="dcterms:W3CDTF">2023-12-20T16:24:38Z</dcterms:modified>
</cp:coreProperties>
</file>