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985 Industrial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San Carlos, CA 94070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5,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Lauren Pierce</w:t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Filed December 16, 2022, as amended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333-267979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80"/>
            <w:col w:w="1058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Pierce: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promulgated under the Securities Act of 1933, as amended, Presto Automation Inc. respectfully requests that the effective date of the above-referenced Registration Statement be accelerated so as to permit it to become effective at 4:00 pm Washington D.C. time on January 9, 2023,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Colin Diamond of White &amp; Case LLP at (212) 819-8754 or Laura Katherine Mann of White &amp; Case LLP at (713) 496-9695 to provide notice of the effectiveness of the Registration Statement.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Rajat Suri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17145</wp:posOffset>
            </wp:positionV>
            <wp:extent cx="327469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Rajat Suri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Susan Shinoff, General Counsel, Presto Automation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2023-02-07T23:12:03Z</dcterms:created>
  <dcterms:modified xsi:type="dcterms:W3CDTF">2023-02-07T23:12:03Z</dcterms:modified>
</cp:coreProperties>
</file>