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jc w:val="center"/>
        <w:ind w:left="3660" w:right="940" w:hanging="2712"/>
        <w:spacing w:after="0" w:line="476" w:lineRule="auto"/>
        <w:tabs>
          <w:tab w:leader="none" w:pos="116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29"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001-39830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180" w:type="dxa"/>
            <w:vAlign w:val="bottom"/>
            <w:tcBorders>
              <w:bottom w:val="single" w:sz="8" w:color="auto"/>
            </w:tcBorders>
            <w:gridSpan w:val="3"/>
          </w:tcPr>
          <w:p>
            <w:pPr>
              <w:jc w:val="center"/>
              <w:ind w:left="1250"/>
              <w:spacing w:after="0"/>
              <w:rPr>
                <w:sz w:val="20"/>
                <w:szCs w:val="20"/>
                <w:color w:val="auto"/>
              </w:rPr>
            </w:pPr>
            <w:r>
              <w:rPr>
                <w:rFonts w:ascii="Arial" w:cs="Arial" w:eastAsia="Arial" w:hAnsi="Arial"/>
                <w:sz w:val="18"/>
                <w:szCs w:val="18"/>
                <w:b w:val="1"/>
                <w:bCs w:val="1"/>
                <w:color w:val="auto"/>
                <w:w w:val="91"/>
              </w:rPr>
              <w:t>Delaware</w:t>
            </w:r>
          </w:p>
        </w:tc>
        <w:tc>
          <w:tcPr>
            <w:tcW w:w="1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center"/>
              <w:ind w:right="1810"/>
              <w:spacing w:after="0"/>
              <w:rPr>
                <w:sz w:val="20"/>
                <w:szCs w:val="20"/>
                <w:color w:val="auto"/>
              </w:rPr>
            </w:pPr>
            <w:r>
              <w:rPr>
                <w:rFonts w:ascii="Arial" w:cs="Arial" w:eastAsia="Arial" w:hAnsi="Arial"/>
                <w:sz w:val="18"/>
                <w:szCs w:val="18"/>
                <w:b w:val="1"/>
                <w:bCs w:val="1"/>
                <w:color w:val="auto"/>
                <w:w w:val="89"/>
              </w:rPr>
              <w:t>84-2968594</w:t>
            </w:r>
          </w:p>
        </w:tc>
      </w:tr>
      <w:tr>
        <w:trPr>
          <w:trHeight w:val="202"/>
        </w:trPr>
        <w:tc>
          <w:tcPr>
            <w:tcW w:w="4180" w:type="dxa"/>
            <w:vAlign w:val="bottom"/>
            <w:gridSpan w:val="3"/>
          </w:tcPr>
          <w:p>
            <w:pPr>
              <w:jc w:val="center"/>
              <w:ind w:left="1250"/>
              <w:spacing w:after="0" w:line="201" w:lineRule="exact"/>
              <w:rPr>
                <w:sz w:val="20"/>
                <w:szCs w:val="20"/>
                <w:color w:val="auto"/>
              </w:rPr>
            </w:pPr>
            <w:r>
              <w:rPr>
                <w:rFonts w:ascii="Arial" w:cs="Arial" w:eastAsia="Arial" w:hAnsi="Arial"/>
                <w:sz w:val="18"/>
                <w:szCs w:val="18"/>
                <w:color w:val="auto"/>
                <w:w w:val="92"/>
              </w:rPr>
              <w:t>(State or other jurisdiction of</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jc w:val="center"/>
              <w:ind w:right="181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180" w:type="dxa"/>
            <w:vAlign w:val="bottom"/>
            <w:gridSpan w:val="3"/>
          </w:tcPr>
          <w:p>
            <w:pPr>
              <w:jc w:val="center"/>
              <w:ind w:left="1250"/>
              <w:spacing w:after="0"/>
              <w:rPr>
                <w:sz w:val="20"/>
                <w:szCs w:val="20"/>
                <w:color w:val="auto"/>
              </w:rPr>
            </w:pPr>
            <w:r>
              <w:rPr>
                <w:rFonts w:ascii="Arial" w:cs="Arial" w:eastAsia="Arial" w:hAnsi="Arial"/>
                <w:sz w:val="18"/>
                <w:szCs w:val="18"/>
                <w:color w:val="auto"/>
                <w:w w:val="92"/>
              </w:rPr>
              <w:t>incorporation or organization)</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6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90"/>
              </w:rPr>
              <w:t>1 East Putnam Avenue, Floor 4</w:t>
            </w:r>
          </w:p>
        </w:tc>
        <w:tc>
          <w:tcPr>
            <w:tcW w:w="3600" w:type="dxa"/>
            <w:vAlign w:val="bottom"/>
          </w:tcPr>
          <w:p>
            <w:pPr>
              <w:spacing w:after="0"/>
              <w:rPr>
                <w:sz w:val="24"/>
                <w:szCs w:val="24"/>
                <w:color w:val="auto"/>
              </w:rPr>
            </w:pPr>
          </w:p>
        </w:tc>
      </w:tr>
      <w:tr>
        <w:trPr>
          <w:trHeight w:val="220"/>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6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93"/>
              </w:rPr>
              <w:t>Greenwich, CT</w:t>
            </w:r>
          </w:p>
        </w:tc>
        <w:tc>
          <w:tcPr>
            <w:tcW w:w="360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60" w:type="dxa"/>
            <w:vAlign w:val="bottom"/>
            <w:gridSpan w:val="4"/>
          </w:tcPr>
          <w:p>
            <w:pPr>
              <w:jc w:val="center"/>
              <w:ind w:right="560"/>
              <w:spacing w:after="0"/>
              <w:rPr>
                <w:sz w:val="20"/>
                <w:szCs w:val="20"/>
                <w:color w:val="auto"/>
              </w:rPr>
            </w:pPr>
            <w:r>
              <w:rPr>
                <w:rFonts w:ascii="Arial" w:cs="Arial" w:eastAsia="Arial" w:hAnsi="Arial"/>
                <w:sz w:val="18"/>
                <w:szCs w:val="18"/>
                <w:color w:val="auto"/>
                <w:w w:val="92"/>
              </w:rPr>
              <w:t>(Address of principal executive offices)</w:t>
            </w:r>
          </w:p>
        </w:tc>
        <w:tc>
          <w:tcPr>
            <w:tcW w:w="3600" w:type="dxa"/>
            <w:vAlign w:val="bottom"/>
          </w:tcPr>
          <w:p>
            <w:pPr>
              <w:spacing w:after="0"/>
              <w:rPr>
                <w:sz w:val="20"/>
                <w:szCs w:val="20"/>
                <w:color w:val="auto"/>
              </w:rPr>
            </w:pPr>
          </w:p>
        </w:tc>
      </w:tr>
      <w:tr>
        <w:trPr>
          <w:trHeight w:val="418"/>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(646) 465-9000</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0"/>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60" w:type="dxa"/>
            <w:vAlign w:val="bottom"/>
            <w:gridSpan w:val="4"/>
          </w:tcPr>
          <w:p>
            <w:pPr>
              <w:jc w:val="center"/>
              <w:ind w:right="580"/>
              <w:spacing w:after="0"/>
              <w:rPr>
                <w:sz w:val="20"/>
                <w:szCs w:val="20"/>
                <w:color w:val="auto"/>
              </w:rPr>
            </w:pPr>
            <w:r>
              <w:rPr>
                <w:rFonts w:ascii="Arial" w:cs="Arial" w:eastAsia="Arial" w:hAnsi="Arial"/>
                <w:sz w:val="18"/>
                <w:szCs w:val="18"/>
                <w:color w:val="auto"/>
                <w:w w:val="90"/>
              </w:rPr>
              <w:t>(Registrant’s telephone number)</w:t>
            </w:r>
          </w:p>
        </w:tc>
        <w:tc>
          <w:tcPr>
            <w:tcW w:w="3600" w:type="dxa"/>
            <w:vAlign w:val="bottom"/>
          </w:tcPr>
          <w:p>
            <w:pPr>
              <w:spacing w:after="0"/>
              <w:rPr>
                <w:sz w:val="20"/>
                <w:szCs w:val="20"/>
                <w:color w:val="auto"/>
              </w:rPr>
            </w:pPr>
          </w:p>
        </w:tc>
      </w:tr>
      <w:tr>
        <w:trPr>
          <w:trHeight w:val="432"/>
        </w:trPr>
        <w:tc>
          <w:tcPr>
            <w:tcW w:w="4180" w:type="dxa"/>
            <w:vAlign w:val="bottom"/>
            <w:gridSpan w:val="3"/>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41"/>
        </w:trPr>
        <w:tc>
          <w:tcPr>
            <w:tcW w:w="418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87"/>
              </w:rPr>
              <w:t>Title of each class</w:t>
            </w:r>
          </w:p>
        </w:tc>
        <w:tc>
          <w:tcPr>
            <w:tcW w:w="346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89"/>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260" w:type="dxa"/>
            <w:vAlign w:val="bottom"/>
            <w:tcBorders>
              <w:top w:val="single" w:sz="8" w:color="auto"/>
            </w:tcBorders>
            <w:gridSpan w:val="3"/>
            <w:shd w:val="clear" w:color="auto" w:fill="CCEEFF"/>
          </w:tcPr>
          <w:p>
            <w:pPr>
              <w:jc w:val="center"/>
              <w:ind w:right="360"/>
              <w:spacing w:after="0"/>
              <w:rPr>
                <w:sz w:val="20"/>
                <w:szCs w:val="20"/>
                <w:color w:val="auto"/>
              </w:rPr>
            </w:pPr>
            <w:r>
              <w:rPr>
                <w:rFonts w:ascii="Arial" w:cs="Arial" w:eastAsia="Arial" w:hAnsi="Arial"/>
                <w:sz w:val="18"/>
                <w:szCs w:val="18"/>
                <w:color w:val="auto"/>
              </w:rPr>
              <w:t>VTAQ</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16"/>
        </w:trPr>
        <w:tc>
          <w:tcPr>
            <w:tcW w:w="4180" w:type="dxa"/>
            <w:vAlign w:val="bottom"/>
            <w:gridSpan w:val="3"/>
          </w:tcPr>
          <w:p>
            <w:pPr>
              <w:jc w:val="center"/>
              <w:ind w:right="580"/>
              <w:spacing w:after="0"/>
              <w:rPr>
                <w:sz w:val="20"/>
                <w:szCs w:val="20"/>
                <w:color w:val="auto"/>
              </w:rPr>
            </w:pPr>
            <w:r>
              <w:rPr>
                <w:rFonts w:ascii="Arial" w:cs="Arial" w:eastAsia="Arial" w:hAnsi="Arial"/>
                <w:sz w:val="18"/>
                <w:szCs w:val="18"/>
                <w:color w:val="auto"/>
                <w:w w:val="87"/>
              </w:rPr>
              <w:t>Warrants</w:t>
            </w:r>
          </w:p>
        </w:tc>
        <w:tc>
          <w:tcPr>
            <w:tcW w:w="3460" w:type="dxa"/>
            <w:vAlign w:val="bottom"/>
            <w:gridSpan w:val="4"/>
          </w:tcPr>
          <w:p>
            <w:pPr>
              <w:jc w:val="center"/>
              <w:ind w:right="560"/>
              <w:spacing w:after="0"/>
              <w:rPr>
                <w:sz w:val="20"/>
                <w:szCs w:val="20"/>
                <w:color w:val="auto"/>
              </w:rPr>
            </w:pPr>
            <w:r>
              <w:rPr>
                <w:rFonts w:ascii="Arial" w:cs="Arial" w:eastAsia="Arial" w:hAnsi="Arial"/>
                <w:sz w:val="18"/>
                <w:szCs w:val="18"/>
                <w:color w:val="auto"/>
                <w:w w:val="99"/>
              </w:rPr>
              <w:t>VTAQW</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16"/>
        </w:trPr>
        <w:tc>
          <w:tcPr>
            <w:tcW w:w="4180" w:type="dxa"/>
            <w:vAlign w:val="bottom"/>
            <w:gridSpan w:val="3"/>
            <w:shd w:val="clear" w:color="auto" w:fill="CCEEFF"/>
          </w:tcPr>
          <w:p>
            <w:pPr>
              <w:jc w:val="center"/>
              <w:ind w:right="580"/>
              <w:spacing w:after="0"/>
              <w:rPr>
                <w:sz w:val="20"/>
                <w:szCs w:val="20"/>
                <w:color w:val="auto"/>
              </w:rPr>
            </w:pPr>
            <w:r>
              <w:rPr>
                <w:rFonts w:ascii="Arial" w:cs="Arial" w:eastAsia="Arial" w:hAnsi="Arial"/>
                <w:sz w:val="18"/>
                <w:szCs w:val="18"/>
                <w:color w:val="auto"/>
                <w:w w:val="93"/>
              </w:rPr>
              <w:t>Rights</w:t>
            </w:r>
          </w:p>
        </w:tc>
        <w:tc>
          <w:tcPr>
            <w:tcW w:w="3460" w:type="dxa"/>
            <w:vAlign w:val="bottom"/>
            <w:gridSpan w:val="4"/>
            <w:shd w:val="clear" w:color="auto" w:fill="CCEEFF"/>
          </w:tcPr>
          <w:p>
            <w:pPr>
              <w:jc w:val="center"/>
              <w:ind w:right="560"/>
              <w:spacing w:after="0"/>
              <w:rPr>
                <w:sz w:val="20"/>
                <w:szCs w:val="20"/>
                <w:color w:val="auto"/>
              </w:rPr>
            </w:pPr>
            <w:r>
              <w:rPr>
                <w:rFonts w:ascii="Arial" w:cs="Arial" w:eastAsia="Arial" w:hAnsi="Arial"/>
                <w:sz w:val="18"/>
                <w:szCs w:val="18"/>
                <w:color w:val="auto"/>
                <w:w w:val="99"/>
              </w:rPr>
              <w:t>VTAQR</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4180" w:type="dxa"/>
            <w:vAlign w:val="bottom"/>
            <w:gridSpan w:val="3"/>
          </w:tcPr>
          <w:p>
            <w:pPr>
              <w:jc w:val="center"/>
              <w:ind w:right="580"/>
              <w:spacing w:after="0"/>
              <w:rPr>
                <w:sz w:val="20"/>
                <w:szCs w:val="20"/>
                <w:color w:val="auto"/>
              </w:rPr>
            </w:pPr>
            <w:r>
              <w:rPr>
                <w:rFonts w:ascii="Arial" w:cs="Arial" w:eastAsia="Arial" w:hAnsi="Arial"/>
                <w:sz w:val="18"/>
                <w:szCs w:val="18"/>
                <w:color w:val="auto"/>
                <w:w w:val="97"/>
              </w:rPr>
              <w:t>Units</w:t>
            </w:r>
          </w:p>
        </w:tc>
        <w:tc>
          <w:tcPr>
            <w:tcW w:w="3460" w:type="dxa"/>
            <w:vAlign w:val="bottom"/>
            <w:gridSpan w:val="4"/>
          </w:tcPr>
          <w:p>
            <w:pPr>
              <w:jc w:val="center"/>
              <w:ind w:right="560"/>
              <w:spacing w:after="0"/>
              <w:rPr>
                <w:sz w:val="20"/>
                <w:szCs w:val="20"/>
                <w:color w:val="auto"/>
              </w:rPr>
            </w:pPr>
            <w:r>
              <w:rPr>
                <w:rFonts w:ascii="Arial" w:cs="Arial" w:eastAsia="Arial" w:hAnsi="Arial"/>
                <w:sz w:val="18"/>
                <w:szCs w:val="18"/>
                <w:color w:val="auto"/>
                <w:w w:val="99"/>
              </w:rPr>
              <w:t>VTAQU</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ind w:left="160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21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ind w:left="160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40" w:type="dxa"/>
            <w:vAlign w:val="bottom"/>
          </w:tcPr>
          <w:p>
            <w:pPr>
              <w:ind w:left="160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15, 2021, there were 21,562,500 shares of Common stock, $0.0001 par value,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20" w:type="dxa"/>
            <w:vAlign w:val="bottom"/>
            <w:gridSpan w:val="9"/>
          </w:tcPr>
          <w:p>
            <w:pPr>
              <w:jc w:val="center"/>
              <w:ind w:right="2020"/>
              <w:spacing w:after="0"/>
              <w:rPr>
                <w:sz w:val="20"/>
                <w:szCs w:val="20"/>
                <w:color w:val="auto"/>
              </w:rPr>
            </w:pPr>
            <w:r>
              <w:rPr>
                <w:rFonts w:ascii="Arial" w:cs="Arial" w:eastAsia="Arial" w:hAnsi="Arial"/>
                <w:sz w:val="18"/>
                <w:szCs w:val="18"/>
                <w:b w:val="1"/>
                <w:bCs w:val="1"/>
                <w:color w:val="auto"/>
              </w:rPr>
              <w:t>VENTOUX CCM ACQUISITION CORP.</w:t>
            </w:r>
          </w:p>
        </w:tc>
        <w:tc>
          <w:tcPr>
            <w:tcW w:w="1000" w:type="dxa"/>
            <w:vAlign w:val="bottom"/>
          </w:tcPr>
          <w:p>
            <w:pPr>
              <w:spacing w:after="0"/>
              <w:rPr>
                <w:sz w:val="20"/>
                <w:szCs w:val="20"/>
                <w:color w:val="auto"/>
              </w:rPr>
            </w:pPr>
          </w:p>
        </w:tc>
      </w:tr>
      <w:tr>
        <w:trPr>
          <w:trHeight w:val="432"/>
        </w:trPr>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60" w:type="dxa"/>
            <w:vAlign w:val="bottom"/>
            <w:gridSpan w:val="10"/>
          </w:tcPr>
          <w:p>
            <w:pPr>
              <w:jc w:val="center"/>
              <w:ind w:right="1760"/>
              <w:spacing w:after="0"/>
              <w:rPr>
                <w:sz w:val="20"/>
                <w:szCs w:val="20"/>
                <w:color w:val="auto"/>
              </w:rPr>
            </w:pPr>
            <w:r>
              <w:rPr>
                <w:rFonts w:ascii="Arial" w:cs="Arial" w:eastAsia="Arial" w:hAnsi="Arial"/>
                <w:sz w:val="18"/>
                <w:szCs w:val="18"/>
                <w:b w:val="1"/>
                <w:bCs w:val="1"/>
                <w:color w:val="auto"/>
                <w:w w:val="98"/>
              </w:rPr>
              <w:t>FORM 10-Q FOR THE QUARTER ENDED SEPTEMBER 30, 2021</w:t>
            </w:r>
          </w:p>
        </w:tc>
        <w:tc>
          <w:tcPr>
            <w:tcW w:w="1000" w:type="dxa"/>
            <w:vAlign w:val="bottom"/>
          </w:tcPr>
          <w:p>
            <w:pPr>
              <w:spacing w:after="0"/>
              <w:rPr>
                <w:sz w:val="24"/>
                <w:szCs w:val="24"/>
                <w:color w:val="auto"/>
              </w:rPr>
            </w:pPr>
          </w:p>
        </w:tc>
      </w:tr>
      <w:tr>
        <w:trPr>
          <w:trHeight w:val="432"/>
        </w:trPr>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60" w:type="dxa"/>
            <w:vAlign w:val="bottom"/>
            <w:gridSpan w:val="8"/>
          </w:tcPr>
          <w:p>
            <w:pPr>
              <w:jc w:val="center"/>
              <w:ind w:right="3180"/>
              <w:spacing w:after="0"/>
              <w:rPr>
                <w:sz w:val="20"/>
                <w:szCs w:val="20"/>
                <w:color w:val="auto"/>
              </w:rPr>
            </w:pPr>
            <w:r>
              <w:rPr>
                <w:rFonts w:ascii="Arial" w:cs="Arial" w:eastAsia="Arial" w:hAnsi="Arial"/>
                <w:sz w:val="18"/>
                <w:szCs w:val="18"/>
                <w:b w:val="1"/>
                <w:bCs w:val="1"/>
                <w:color w:val="auto"/>
                <w:w w:val="98"/>
              </w:rPr>
              <w:t>TABLE OF CONTENTS</w:t>
            </w:r>
          </w:p>
        </w:tc>
        <w:tc>
          <w:tcPr>
            <w:tcW w:w="1000" w:type="dxa"/>
            <w:vAlign w:val="bottom"/>
          </w:tcPr>
          <w:p>
            <w:pPr>
              <w:spacing w:after="0"/>
              <w:rPr>
                <w:sz w:val="24"/>
                <w:szCs w:val="24"/>
                <w:color w:val="auto"/>
              </w:rPr>
            </w:pPr>
          </w:p>
        </w:tc>
      </w:tr>
      <w:tr>
        <w:trPr>
          <w:trHeight w:val="439"/>
        </w:trPr>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Page</w:t>
            </w:r>
          </w:p>
        </w:tc>
      </w:tr>
      <w:tr>
        <w:trPr>
          <w:trHeight w:val="162"/>
        </w:trPr>
        <w:tc>
          <w:tcPr>
            <w:tcW w:w="10240" w:type="dxa"/>
            <w:vAlign w:val="bottom"/>
            <w:gridSpan w:val="23"/>
            <w:shd w:val="clear" w:color="auto" w:fill="CCEEFF"/>
          </w:tcPr>
          <w:p>
            <w:pPr>
              <w:spacing w:after="0" w:line="142" w:lineRule="exact"/>
              <w:rPr>
                <w:rFonts w:ascii="Arial" w:cs="Arial" w:eastAsia="Arial" w:hAnsi="Arial"/>
                <w:sz w:val="16"/>
                <w:szCs w:val="16"/>
                <w:color w:val="0000EE"/>
              </w:rPr>
            </w:pPr>
            <w:hyperlink w:anchor="page3">
              <w:r>
                <w:rPr>
                  <w:rFonts w:ascii="Arial" w:cs="Arial" w:eastAsia="Arial" w:hAnsi="Arial"/>
                  <w:sz w:val="16"/>
                  <w:szCs w:val="16"/>
                  <w:color w:val="0000EE"/>
                </w:rPr>
                <w:t>Part I. Financial Information</w:t>
              </w:r>
            </w:hyperlink>
          </w:p>
        </w:tc>
        <w:tc>
          <w:tcPr>
            <w:tcW w:w="100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rPr>
              <w:t>1</w:t>
            </w:r>
          </w:p>
        </w:tc>
      </w:tr>
      <w:tr>
        <w:trPr>
          <w:trHeight w:val="34"/>
        </w:trPr>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r>
      <w:tr>
        <w:trPr>
          <w:trHeight w:val="176"/>
        </w:trPr>
        <w:tc>
          <w:tcPr>
            <w:tcW w:w="140" w:type="dxa"/>
            <w:vAlign w:val="bottom"/>
          </w:tcPr>
          <w:p>
            <w:pPr>
              <w:spacing w:after="0"/>
              <w:rPr>
                <w:sz w:val="15"/>
                <w:szCs w:val="15"/>
                <w:color w:val="auto"/>
              </w:rPr>
            </w:pPr>
          </w:p>
        </w:tc>
        <w:tc>
          <w:tcPr>
            <w:tcW w:w="10100" w:type="dxa"/>
            <w:vAlign w:val="bottom"/>
            <w:gridSpan w:val="22"/>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 Interim Financial Statements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
        </w:trPr>
        <w:tc>
          <w:tcPr>
            <w:tcW w:w="1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980" w:type="dxa"/>
            <w:vAlign w:val="bottom"/>
            <w:gridSpan w:val="21"/>
            <w:shd w:val="clear" w:color="auto" w:fill="CCEEFF"/>
          </w:tcPr>
          <w:p>
            <w:pPr>
              <w:ind w:lef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Balance Sheets as of September 30, 2021 (Unaudited) and December 31, 2020</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80" w:type="dxa"/>
            <w:vAlign w:val="bottom"/>
            <w:gridSpan w:val="21"/>
          </w:tcPr>
          <w:p>
            <w:pPr>
              <w:ind w:left="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Condensed Statements of Operations for the three and nine months ended September 30, 2021 and 2020</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9"/>
              </w:rPr>
              <w:t>2</w:t>
            </w:r>
          </w:p>
        </w:tc>
      </w:tr>
      <w:tr>
        <w:trPr>
          <w:trHeight w:val="21"/>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60" w:type="dxa"/>
            <w:vAlign w:val="bottom"/>
            <w:tcBorders>
              <w:bottom w:val="single" w:sz="8" w:color="0000EE"/>
            </w:tcBorders>
            <w:gridSpan w:val="20"/>
            <w:shd w:val="clear" w:color="auto" w:fill="CCEEFF"/>
          </w:tcPr>
          <w:p>
            <w:pPr>
              <w:ind w:left="20"/>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 Condensed Statements of Changes in Stockholders’ Equity (Deficit) for the three and nine months ended September 30, 2021</w:t>
              </w:r>
            </w:hyperlink>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96"/>
        </w:trPr>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40" w:type="dxa"/>
            <w:vAlign w:val="bottom"/>
            <w:gridSpan w:val="20"/>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2020</w:t>
              </w:r>
            </w:hyperlink>
          </w:p>
        </w:tc>
        <w:tc>
          <w:tcPr>
            <w:tcW w:w="10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w:t>
            </w:r>
          </w:p>
        </w:tc>
      </w:tr>
      <w:tr>
        <w:trPr>
          <w:trHeight w:val="20"/>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80" w:type="dxa"/>
            <w:vAlign w:val="bottom"/>
            <w:gridSpan w:val="21"/>
          </w:tcPr>
          <w:p>
            <w:pPr>
              <w:ind w:left="2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Condensed Statements of Cash Flows for the nine months ended September 30, 2021 and 2020</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980" w:type="dxa"/>
            <w:vAlign w:val="bottom"/>
            <w:gridSpan w:val="21"/>
            <w:shd w:val="clear" w:color="auto" w:fill="CCEEFF"/>
          </w:tcPr>
          <w:p>
            <w:pPr>
              <w:ind w:left="2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Financial Statements (Unaudited)</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40" w:type="dxa"/>
            <w:vAlign w:val="bottom"/>
          </w:tcPr>
          <w:p>
            <w:pPr>
              <w:spacing w:after="0"/>
              <w:rPr>
                <w:sz w:val="15"/>
                <w:szCs w:val="15"/>
                <w:color w:val="auto"/>
              </w:rPr>
            </w:pPr>
          </w:p>
        </w:tc>
        <w:tc>
          <w:tcPr>
            <w:tcW w:w="10100" w:type="dxa"/>
            <w:vAlign w:val="bottom"/>
            <w:gridSpan w:val="22"/>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2. Management’s Discussion and Analysis of Financial Condition and Results of Operations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
        </w:trPr>
        <w:tc>
          <w:tcPr>
            <w:tcW w:w="1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0" w:type="dxa"/>
            <w:vAlign w:val="bottom"/>
            <w:tcBorders>
              <w:bottom w:val="single" w:sz="8" w:color="CCEEFF"/>
            </w:tcBorders>
            <w:shd w:val="clear" w:color="auto" w:fill="CCEEFF"/>
          </w:tcPr>
          <w:p>
            <w:pPr>
              <w:spacing w:after="0"/>
              <w:rPr>
                <w:sz w:val="17"/>
                <w:szCs w:val="17"/>
                <w:color w:val="auto"/>
              </w:rPr>
            </w:pPr>
          </w:p>
        </w:tc>
        <w:tc>
          <w:tcPr>
            <w:tcW w:w="522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Item 3. Quantitative and Qualitative Disclosures Regarding Market Risk</w:t>
              </w:r>
            </w:hyperlink>
          </w:p>
        </w:tc>
        <w:tc>
          <w:tcPr>
            <w:tcW w:w="4880" w:type="dxa"/>
            <w:vAlign w:val="bottom"/>
            <w:tcBorders>
              <w:bottom w:val="single" w:sz="8" w:color="CCEEFF"/>
            </w:tcBorders>
            <w:gridSpan w:val="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176"/>
        </w:trPr>
        <w:tc>
          <w:tcPr>
            <w:tcW w:w="140" w:type="dxa"/>
            <w:vAlign w:val="bottom"/>
          </w:tcPr>
          <w:p>
            <w:pPr>
              <w:spacing w:after="0"/>
              <w:rPr>
                <w:sz w:val="15"/>
                <w:szCs w:val="15"/>
                <w:color w:val="auto"/>
              </w:rPr>
            </w:pPr>
          </w:p>
        </w:tc>
        <w:tc>
          <w:tcPr>
            <w:tcW w:w="10100" w:type="dxa"/>
            <w:vAlign w:val="bottom"/>
            <w:gridSpan w:val="22"/>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4. Controls and Procedures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0"/>
        </w:trPr>
        <w:tc>
          <w:tcPr>
            <w:tcW w:w="1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6"/>
        </w:trPr>
        <w:tc>
          <w:tcPr>
            <w:tcW w:w="10240" w:type="dxa"/>
            <w:vAlign w:val="bottom"/>
            <w:gridSpan w:val="23"/>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Part II. Other Information</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
        </w:trPr>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1. Legal Proceedings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175"/>
        </w:trPr>
        <w:tc>
          <w:tcPr>
            <w:tcW w:w="140" w:type="dxa"/>
            <w:vAlign w:val="bottom"/>
            <w:tcBorders>
              <w:top w:val="single" w:sz="8" w:color="CCEEFF"/>
            </w:tcBorders>
          </w:tcPr>
          <w:p>
            <w:pPr>
              <w:spacing w:after="0"/>
              <w:rPr>
                <w:sz w:val="15"/>
                <w:szCs w:val="15"/>
                <w:color w:val="auto"/>
              </w:rPr>
            </w:pPr>
          </w:p>
        </w:tc>
        <w:tc>
          <w:tcPr>
            <w:tcW w:w="188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1A. Risk Factors</w:t>
              </w:r>
            </w:hyperlink>
          </w:p>
        </w:tc>
        <w:tc>
          <w:tcPr>
            <w:tcW w:w="8220" w:type="dxa"/>
            <w:vAlign w:val="bottom"/>
            <w:tcBorders>
              <w:top w:val="single" w:sz="8" w:color="CCEEFF"/>
            </w:tcBorders>
            <w:gridSpan w:val="13"/>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
        </w:trPr>
        <w:tc>
          <w:tcPr>
            <w:tcW w:w="1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2. Unregistered Sales of Equity Securities and Use of Proceeds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176"/>
        </w:trPr>
        <w:tc>
          <w:tcPr>
            <w:tcW w:w="140" w:type="dxa"/>
            <w:vAlign w:val="bottom"/>
            <w:tcBorders>
              <w:top w:val="single" w:sz="8" w:color="CCEEFF"/>
            </w:tcBorders>
          </w:tcPr>
          <w:p>
            <w:pPr>
              <w:spacing w:after="0"/>
              <w:rPr>
                <w:sz w:val="15"/>
                <w:szCs w:val="15"/>
                <w:color w:val="auto"/>
              </w:rPr>
            </w:pPr>
          </w:p>
        </w:tc>
        <w:tc>
          <w:tcPr>
            <w:tcW w:w="490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3. Defaults Upon Senior Securities</w:t>
              </w:r>
            </w:hyperlink>
          </w:p>
        </w:tc>
        <w:tc>
          <w:tcPr>
            <w:tcW w:w="5200" w:type="dxa"/>
            <w:vAlign w:val="bottom"/>
            <w:tcBorders>
              <w:top w:val="single" w:sz="8" w:color="CCEEFF"/>
            </w:tcBorders>
            <w:gridSpan w:val="7"/>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0"/>
        </w:trPr>
        <w:tc>
          <w:tcPr>
            <w:tcW w:w="1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4. Mine Safety Disclosures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176"/>
        </w:trPr>
        <w:tc>
          <w:tcPr>
            <w:tcW w:w="140" w:type="dxa"/>
            <w:vAlign w:val="bottom"/>
            <w:tcBorders>
              <w:top w:val="single" w:sz="8" w:color="CCEEFF"/>
            </w:tcBorders>
          </w:tcPr>
          <w:p>
            <w:pPr>
              <w:spacing w:after="0"/>
              <w:rPr>
                <w:sz w:val="15"/>
                <w:szCs w:val="15"/>
                <w:color w:val="auto"/>
              </w:rPr>
            </w:pPr>
          </w:p>
        </w:tc>
        <w:tc>
          <w:tcPr>
            <w:tcW w:w="232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5. Other Information</w:t>
              </w:r>
            </w:hyperlink>
          </w:p>
        </w:tc>
        <w:tc>
          <w:tcPr>
            <w:tcW w:w="7780" w:type="dxa"/>
            <w:vAlign w:val="bottom"/>
            <w:tcBorders>
              <w:top w:val="single" w:sz="8" w:color="CCEEFF"/>
            </w:tcBorders>
            <w:gridSpan w:val="11"/>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
        </w:trPr>
        <w:tc>
          <w:tcPr>
            <w:tcW w:w="1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Item 6. Exhibits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10240" w:type="dxa"/>
            <w:vAlign w:val="bottom"/>
            <w:gridSpan w:val="23"/>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Part III. Signatures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r>
      <w:tr>
        <w:trPr>
          <w:trHeight w:val="20"/>
        </w:trPr>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Interim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VENTOUX CCM ACQUISITION CORP.</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BALANCE SHEETS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61"/>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505,849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1,071,253</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120,495</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29,200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626,344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1,100,453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Investments held in Trust Account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174,262,524</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3"/>
              </w:rPr>
              <w:t>151,500,000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w w:val="99"/>
              </w:rPr>
              <w:t>174,888,868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w w:val="93"/>
              </w:rPr>
              <w:t>152,600,453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304,003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18,123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4,342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Advance from related party</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120,005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308,345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1,668,750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7,320,000</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1,977,095</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7,458,128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Commitments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subject to possible redemption 17,250,000 and 15,000,000 shares at $10.10 per share redemption</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as of September 30, 2021 and December 31, 2020,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174,225,000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3"/>
              </w:rPr>
              <w:t>151,500,000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$0.0001 par value; 50,000,000 shares authorized; 4,312,500 shares issued and outstanding as of</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 2021 and December 31, 2020</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431</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(Accumulated deficit)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(1,313,658)</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(6,358,106)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Stockholders’ Equity (Deficit)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(1,313,227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(6,357,675</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w w:val="99"/>
              </w:rPr>
              <w:t>174,888,868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w w:val="93"/>
              </w:rPr>
              <w:t>152,600,453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34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189,283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639,984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Loss from operations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(189,283)</w:t>
            </w: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(639,984)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(85)</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 (loss):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liabilities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1,001,250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6,488,250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Loss on initial issuance of private warrants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(162,000)</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2,618</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37,524</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other income, net</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1,003,868</w:t>
            </w: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6,363,774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814,585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5,723,790</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(4,342)</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814,585</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5,719,448</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1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98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 of common stock</w:t>
            </w:r>
          </w:p>
        </w:tc>
        <w:tc>
          <w:tcPr>
            <w:tcW w:w="2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21,562,500</w:t>
            </w:r>
          </w:p>
        </w:tc>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3,750,000</w:t>
            </w: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21,529,412</w:t>
            </w:r>
          </w:p>
        </w:tc>
        <w:tc>
          <w:tcPr>
            <w:tcW w:w="2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3,750,000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98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26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980" w:type="dxa"/>
            <w:vAlign w:val="bottom"/>
          </w:tcPr>
          <w:p>
            <w:pPr>
              <w:spacing w:after="0"/>
              <w:rPr>
                <w:sz w:val="20"/>
                <w:szCs w:val="20"/>
                <w:color w:val="auto"/>
              </w:rPr>
            </w:pPr>
            <w:r>
              <w:rPr>
                <w:rFonts w:ascii="Arial" w:cs="Arial" w:eastAsia="Arial" w:hAnsi="Arial"/>
                <w:sz w:val="18"/>
                <w:szCs w:val="18"/>
                <w:b w:val="1"/>
                <w:bCs w:val="1"/>
                <w:color w:val="auto"/>
              </w:rPr>
              <w:t>Basic and diluted net income per share of common stock</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0.04</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0.27</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center"/>
        <w:spacing w:after="0" w:line="275" w:lineRule="auto"/>
        <w:rPr>
          <w:sz w:val="20"/>
          <w:szCs w:val="20"/>
          <w:color w:val="auto"/>
        </w:rPr>
      </w:pPr>
      <w:r>
        <w:rPr>
          <w:rFonts w:ascii="Arial" w:cs="Arial" w:eastAsia="Arial" w:hAnsi="Arial"/>
          <w:sz w:val="18"/>
          <w:szCs w:val="18"/>
          <w:b w:val="1"/>
          <w:bCs w:val="1"/>
          <w:color w:val="auto"/>
        </w:rPr>
        <w:t>VENTOUX CCM ACQUISITION CORP. CONDENSED STATEMENTS OF CHANGES IN STOCKHOLDERS’ EQUITY (UNAUDITED)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gridSpan w:val="9"/>
          </w:tcPr>
          <w:p>
            <w:pPr>
              <w:ind w:left="3160"/>
              <w:spacing w:after="0"/>
              <w:rPr>
                <w:sz w:val="20"/>
                <w:szCs w:val="20"/>
                <w:color w:val="auto"/>
              </w:rPr>
            </w:pPr>
            <w:r>
              <w:rPr>
                <w:rFonts w:ascii="Arial" w:cs="Arial" w:eastAsia="Arial" w:hAnsi="Arial"/>
                <w:sz w:val="18"/>
                <w:szCs w:val="18"/>
                <w:b w:val="1"/>
                <w:bCs w:val="1"/>
                <w:color w:val="auto"/>
              </w:rPr>
              <w:t>THREE AND NINE MONTHS ENDED SEPTEMBER 30, 2021</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Deficit)</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2760" w:type="dxa"/>
            <w:vAlign w:val="bottom"/>
            <w:gridSpan w:val="5"/>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Paid</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Retained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236"/>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in Capital</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0"/>
              </w:rPr>
              <w:t>Earnings</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4,312,500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(6,358,106)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(6,357,675)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Allocation of Initial Public Offering to public warrants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1,350,000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1,350,000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Allocation of Initial Public Offering to public rights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956,250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956,250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Accretion for common shares to redemption amount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(2,306,250)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(675,000)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(2,981,250)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3,461,107</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3,461,107</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2021 (unaudited)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4,312,500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(3,571,999)</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(3,571,568)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1,443,756</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1,443,756</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30, 2021 (unaudited)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4,312,500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(2,128,243)</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(2,127,812)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814,585</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814,585</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September 30, 2021 (unaudited)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4,312,500</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b w:val="1"/>
                <w:bCs w:val="1"/>
                <w:color w:val="auto"/>
              </w:rPr>
              <w:t>(1,313,658</w:t>
            </w:r>
            <w:r>
              <w:rPr>
                <w:rFonts w:ascii="Arial" w:cs="Arial" w:eastAsia="Arial" w:hAnsi="Arial"/>
                <w:sz w:val="29"/>
                <w:szCs w:val="29"/>
                <w:b w:val="1"/>
                <w:bCs w:val="1"/>
                <w:color w:val="auto"/>
                <w:vertAlign w:val="superscript"/>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b w:val="1"/>
                <w:bCs w:val="1"/>
                <w:color w:val="auto"/>
              </w:rPr>
              <w:t>(1,313,227</w:t>
            </w:r>
            <w:r>
              <w:rPr>
                <w:rFonts w:ascii="Arial" w:cs="Arial" w:eastAsia="Arial" w:hAnsi="Arial"/>
                <w:sz w:val="29"/>
                <w:szCs w:val="29"/>
                <w:b w:val="1"/>
                <w:bCs w:val="1"/>
                <w:color w:val="auto"/>
                <w:vertAlign w:val="superscript"/>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700" w:type="dxa"/>
            <w:vAlign w:val="bottom"/>
            <w:gridSpan w:val="9"/>
          </w:tcPr>
          <w:p>
            <w:pPr>
              <w:ind w:left="3160"/>
              <w:spacing w:after="0"/>
              <w:rPr>
                <w:sz w:val="20"/>
                <w:szCs w:val="20"/>
                <w:color w:val="auto"/>
              </w:rPr>
            </w:pPr>
            <w:r>
              <w:rPr>
                <w:rFonts w:ascii="Arial" w:cs="Arial" w:eastAsia="Arial" w:hAnsi="Arial"/>
                <w:sz w:val="18"/>
                <w:szCs w:val="18"/>
                <w:b w:val="1"/>
                <w:bCs w:val="1"/>
                <w:color w:val="auto"/>
              </w:rPr>
              <w:t>THREE AND NINE MONTHS ENDED SEPTEMBER 30, 2020</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2760" w:type="dxa"/>
            <w:vAlign w:val="bottom"/>
            <w:gridSpan w:val="5"/>
            <w:vMerge w:val="restart"/>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Deficit)</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Paid</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Retained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236"/>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in Capital</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4,312,500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24,569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4,312,500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24,569</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(1,450)</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23,550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30, 2020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4,312,500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24,569</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(1,535)</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23,465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September 30, 2020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4,312,500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24,569</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b w:val="1"/>
                <w:bCs w:val="1"/>
                <w:color w:val="auto"/>
              </w:rPr>
              <w:t>(1,535</w:t>
            </w:r>
            <w:r>
              <w:rPr>
                <w:rFonts w:ascii="Arial" w:cs="Arial" w:eastAsia="Arial" w:hAnsi="Arial"/>
                <w:sz w:val="29"/>
                <w:szCs w:val="29"/>
                <w:b w:val="1"/>
                <w:bCs w:val="1"/>
                <w:color w:val="auto"/>
                <w:vertAlign w:val="superscript"/>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23,465</w:t>
            </w: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ind w:left="328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ind w:left="3280"/>
        <w:spacing w:after="0"/>
        <w:rPr>
          <w:sz w:val="20"/>
          <w:szCs w:val="20"/>
          <w:color w:val="auto"/>
        </w:rPr>
      </w:pPr>
      <w:r>
        <w:rPr>
          <w:rFonts w:ascii="Arial" w:cs="Arial" w:eastAsia="Arial" w:hAnsi="Arial"/>
          <w:sz w:val="17"/>
          <w:szCs w:val="17"/>
          <w:b w:val="1"/>
          <w:bCs w:val="1"/>
          <w:color w:val="auto"/>
        </w:rPr>
        <w:t>CONDENSED STATEMENTS OF CASH FLOWS</w:t>
      </w:r>
    </w:p>
    <w:p>
      <w:pPr>
        <w:spacing w:after="0" w:line="21" w:lineRule="exact"/>
        <w:rPr>
          <w:sz w:val="20"/>
          <w:szCs w:val="20"/>
          <w:color w:val="auto"/>
        </w:rPr>
      </w:pPr>
    </w:p>
    <w:p>
      <w:pPr>
        <w:jc w:val="center"/>
        <w:ind w:left="328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Change in fair value of warrant liabilities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Loss on initial issuance of private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right="3320"/>
        <w:spacing w:after="0" w:line="250" w:lineRule="auto"/>
        <w:rPr>
          <w:sz w:val="20"/>
          <w:szCs w:val="20"/>
          <w:color w:val="auto"/>
        </w:rPr>
      </w:pPr>
      <w:r>
        <w:rPr>
          <w:rFonts w:ascii="Arial" w:cs="Arial" w:eastAsia="Arial" w:hAnsi="Arial"/>
          <w:sz w:val="18"/>
          <w:szCs w:val="18"/>
          <w:color w:val="auto"/>
        </w:rPr>
        <w:t>Interest earned on marketable securities held in Trust Account 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Prepaid expenses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Income taxes payable</w:t>
      </w:r>
    </w:p>
    <w:p>
      <w:pPr>
        <w:spacing w:after="0" w:line="1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Investment of cash in Trust Account</w:t>
      </w:r>
    </w:p>
    <w:p>
      <w:pPr>
        <w:spacing w:after="0" w:line="1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Proceeds from sale of Units, net of underwriting discounts paid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Proceeds from sale of Private Placement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Proceeds from promissory note -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Advances from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Repayment of advances from related parties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 of offering costs</w:t>
      </w:r>
    </w:p>
    <w:p>
      <w:pPr>
        <w:spacing w:after="0" w:line="1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 Beginning of period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Offering costs paid through promissory note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156019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1" w:lineRule="exact"/>
        <w:rPr>
          <w:sz w:val="20"/>
          <w:szCs w:val="20"/>
          <w:color w:val="auto"/>
        </w:rPr>
      </w:pPr>
    </w:p>
    <w:p>
      <w:pPr>
        <w:ind w:left="380"/>
        <w:spacing w:after="0"/>
        <w:tabs>
          <w:tab w:leader="none" w:pos="170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156019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36" w:lineRule="exact"/>
        <w:rPr>
          <w:sz w:val="20"/>
          <w:szCs w:val="20"/>
          <w:color w:val="auto"/>
        </w:rPr>
      </w:pPr>
    </w:p>
    <w:p>
      <w:pPr>
        <w:spacing w:after="0"/>
        <w:tabs>
          <w:tab w:leader="none" w:pos="380" w:val="left"/>
          <w:tab w:leader="none" w:pos="1320" w:val="left"/>
          <w:tab w:leader="none" w:pos="2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5,719,448</w:t>
        <w:tab/>
        <w:t>$</w:t>
      </w:r>
      <w:r>
        <w:rPr>
          <w:sz w:val="20"/>
          <w:szCs w:val="20"/>
          <w:color w:val="auto"/>
        </w:rPr>
        <w:tab/>
      </w:r>
      <w:r>
        <w:rPr>
          <w:rFonts w:ascii="Arial" w:cs="Arial" w:eastAsia="Arial" w:hAnsi="Arial"/>
          <w:sz w:val="16"/>
          <w:szCs w:val="16"/>
          <w:color w:val="auto"/>
        </w:rPr>
        <w:t>(85)</w:t>
      </w:r>
    </w:p>
    <w:p>
      <w:pPr>
        <w:spacing w:after="0" w:line="225" w:lineRule="exact"/>
        <w:rPr>
          <w:sz w:val="20"/>
          <w:szCs w:val="20"/>
          <w:color w:val="auto"/>
        </w:rPr>
      </w:pPr>
    </w:p>
    <w:p>
      <w:pPr>
        <w:ind w:left="340"/>
        <w:spacing w:after="0"/>
        <w:tabs>
          <w:tab w:leader="none" w:pos="2260" w:val="left"/>
        </w:tabs>
        <w:rPr>
          <w:sz w:val="20"/>
          <w:szCs w:val="20"/>
          <w:color w:val="auto"/>
        </w:rPr>
      </w:pPr>
      <w:r>
        <w:rPr>
          <w:rFonts w:ascii="Arial" w:cs="Arial" w:eastAsia="Arial" w:hAnsi="Arial"/>
          <w:sz w:val="18"/>
          <w:szCs w:val="18"/>
          <w:color w:val="auto"/>
        </w:rPr>
        <w:t>(6,488,250)</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162,000</w:t>
      </w:r>
    </w:p>
    <w:p>
      <w:pPr>
        <w:spacing w:after="0" w:line="9" w:lineRule="exact"/>
        <w:rPr>
          <w:sz w:val="20"/>
          <w:szCs w:val="20"/>
          <w:color w:val="auto"/>
        </w:rPr>
      </w:pPr>
    </w:p>
    <w:p>
      <w:pPr>
        <w:ind w:left="580"/>
        <w:spacing w:after="0"/>
        <w:tabs>
          <w:tab w:leader="none" w:pos="2260" w:val="left"/>
        </w:tabs>
        <w:rPr>
          <w:sz w:val="20"/>
          <w:szCs w:val="20"/>
          <w:color w:val="auto"/>
        </w:rPr>
      </w:pPr>
      <w:r>
        <w:rPr>
          <w:rFonts w:ascii="Arial" w:cs="Arial" w:eastAsia="Arial" w:hAnsi="Arial"/>
          <w:sz w:val="18"/>
          <w:szCs w:val="18"/>
          <w:color w:val="auto"/>
        </w:rPr>
        <w:t>(37,524)</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580"/>
        <w:spacing w:after="0"/>
        <w:tabs>
          <w:tab w:leader="none" w:pos="2260" w:val="left"/>
        </w:tabs>
        <w:rPr>
          <w:sz w:val="20"/>
          <w:szCs w:val="20"/>
          <w:color w:val="auto"/>
        </w:rPr>
      </w:pPr>
      <w:r>
        <w:rPr>
          <w:rFonts w:ascii="Arial" w:cs="Arial" w:eastAsia="Arial" w:hAnsi="Arial"/>
          <w:sz w:val="18"/>
          <w:szCs w:val="18"/>
          <w:color w:val="auto"/>
        </w:rPr>
        <w:t>(91,295)</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both"/>
        <w:ind w:left="540"/>
        <w:spacing w:after="0"/>
        <w:tabs>
          <w:tab w:leader="none" w:pos="2100" w:val="left"/>
        </w:tabs>
        <w:rPr>
          <w:sz w:val="20"/>
          <w:szCs w:val="20"/>
          <w:color w:val="auto"/>
        </w:rPr>
      </w:pPr>
      <w:r>
        <w:rPr>
          <w:rFonts w:ascii="Arial" w:cs="Arial" w:eastAsia="Arial" w:hAnsi="Arial"/>
          <w:sz w:val="18"/>
          <w:szCs w:val="18"/>
          <w:color w:val="auto"/>
        </w:rPr>
        <w:t>285,880</w:t>
      </w:r>
      <w:r>
        <w:rPr>
          <w:sz w:val="20"/>
          <w:szCs w:val="20"/>
          <w:color w:val="auto"/>
        </w:rPr>
        <w:tab/>
      </w:r>
      <w:r>
        <w:rPr>
          <w:rFonts w:ascii="Arial" w:cs="Arial" w:eastAsia="Arial" w:hAnsi="Arial"/>
          <w:sz w:val="18"/>
          <w:szCs w:val="18"/>
          <w:color w:val="auto"/>
        </w:rPr>
        <w:t>(450)</w:t>
      </w:r>
    </w:p>
    <w:p>
      <w:pPr>
        <w:spacing w:after="0" w:line="9" w:lineRule="exact"/>
        <w:rPr>
          <w:sz w:val="20"/>
          <w:szCs w:val="20"/>
          <w:color w:val="auto"/>
        </w:rPr>
      </w:pPr>
    </w:p>
    <w:p>
      <w:pPr>
        <w:ind w:left="720"/>
        <w:spacing w:after="0"/>
        <w:tabs>
          <w:tab w:leader="none" w:pos="2260" w:val="left"/>
        </w:tabs>
        <w:rPr>
          <w:sz w:val="20"/>
          <w:szCs w:val="20"/>
          <w:color w:val="auto"/>
        </w:rPr>
      </w:pPr>
      <w:r>
        <w:rPr>
          <w:rFonts w:ascii="Arial" w:cs="Arial" w:eastAsia="Arial" w:hAnsi="Arial"/>
          <w:sz w:val="18"/>
          <w:szCs w:val="18"/>
          <w:color w:val="auto"/>
        </w:rPr>
        <w:t>4,342</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right"/>
        <w:spacing w:after="0"/>
        <w:tabs>
          <w:tab w:leader="none" w:pos="380" w:val="left"/>
        </w:tabs>
        <w:rPr>
          <w:sz w:val="20"/>
          <w:szCs w:val="20"/>
          <w:color w:val="auto"/>
        </w:rPr>
      </w:pPr>
      <w:r>
        <w:rPr>
          <w:rFonts w:ascii="Arial" w:cs="Arial" w:eastAsia="Arial" w:hAnsi="Arial"/>
          <w:sz w:val="18"/>
          <w:szCs w:val="18"/>
          <w:b w:val="1"/>
          <w:bCs w:val="1"/>
          <w:color w:val="auto"/>
        </w:rPr>
        <w:t>(445,399)</w:t>
      </w:r>
      <w:r>
        <w:rPr>
          <w:sz w:val="20"/>
          <w:szCs w:val="20"/>
          <w:color w:val="auto"/>
        </w:rPr>
        <w:tab/>
      </w:r>
      <w:r>
        <w:rPr>
          <w:rFonts w:ascii="Arial" w:cs="Arial" w:eastAsia="Arial" w:hAnsi="Arial"/>
          <w:sz w:val="17"/>
          <w:szCs w:val="17"/>
          <w:b w:val="1"/>
          <w:bCs w:val="1"/>
          <w:color w:val="auto"/>
        </w:rPr>
        <w:t>(535)</w:t>
      </w:r>
    </w:p>
    <w:p>
      <w:pPr>
        <w:spacing w:after="0" w:line="200" w:lineRule="exact"/>
        <w:rPr>
          <w:sz w:val="20"/>
          <w:szCs w:val="20"/>
          <w:color w:val="auto"/>
        </w:rPr>
      </w:pPr>
    </w:p>
    <w:p>
      <w:pPr>
        <w:spacing w:after="0" w:line="281" w:lineRule="exact"/>
        <w:rPr>
          <w:sz w:val="20"/>
          <w:szCs w:val="20"/>
          <w:color w:val="auto"/>
        </w:rPr>
      </w:pPr>
    </w:p>
    <w:p>
      <w:pPr>
        <w:ind w:left="260"/>
        <w:spacing w:after="0"/>
        <w:tabs>
          <w:tab w:leader="none" w:pos="2260" w:val="left"/>
        </w:tabs>
        <w:rPr>
          <w:sz w:val="20"/>
          <w:szCs w:val="20"/>
          <w:color w:val="auto"/>
        </w:rPr>
      </w:pPr>
      <w:r>
        <w:rPr>
          <w:rFonts w:ascii="Arial" w:cs="Arial" w:eastAsia="Arial" w:hAnsi="Arial"/>
          <w:sz w:val="18"/>
          <w:szCs w:val="18"/>
          <w:color w:val="auto"/>
        </w:rPr>
        <w:t>(22,725,000)</w:t>
      </w:r>
      <w:r>
        <w:rPr>
          <w:sz w:val="20"/>
          <w:szCs w:val="20"/>
          <w:color w:val="auto"/>
        </w:rPr>
        <w:tab/>
      </w:r>
      <w:r>
        <w:rPr>
          <w:rFonts w:ascii="Arial" w:cs="Arial" w:eastAsia="Arial" w:hAnsi="Arial"/>
          <w:sz w:val="18"/>
          <w:szCs w:val="18"/>
          <w:color w:val="auto"/>
        </w:rPr>
        <w:t>—</w:t>
      </w:r>
    </w:p>
    <w:p>
      <w:pPr>
        <w:spacing w:after="0" w:line="37" w:lineRule="exact"/>
        <w:rPr>
          <w:sz w:val="20"/>
          <w:szCs w:val="20"/>
          <w:color w:val="auto"/>
        </w:rPr>
      </w:pPr>
    </w:p>
    <w:p>
      <w:pPr>
        <w:ind w:left="260"/>
        <w:spacing w:after="0"/>
        <w:tabs>
          <w:tab w:leader="none" w:pos="2260" w:val="left"/>
        </w:tabs>
        <w:rPr>
          <w:sz w:val="20"/>
          <w:szCs w:val="20"/>
          <w:color w:val="auto"/>
        </w:rPr>
      </w:pPr>
      <w:r>
        <w:rPr>
          <w:rFonts w:ascii="Arial" w:cs="Arial" w:eastAsia="Arial" w:hAnsi="Arial"/>
          <w:sz w:val="18"/>
          <w:szCs w:val="18"/>
          <w:b w:val="1"/>
          <w:bCs w:val="1"/>
          <w:color w:val="auto"/>
        </w:rPr>
        <w:t>(22,725,000)</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81" w:lineRule="exact"/>
        <w:rPr>
          <w:sz w:val="20"/>
          <w:szCs w:val="20"/>
          <w:color w:val="auto"/>
        </w:rPr>
      </w:pPr>
    </w:p>
    <w:p>
      <w:pPr>
        <w:ind w:left="320"/>
        <w:spacing w:after="0"/>
        <w:tabs>
          <w:tab w:leader="none" w:pos="2260" w:val="left"/>
        </w:tabs>
        <w:rPr>
          <w:sz w:val="20"/>
          <w:szCs w:val="20"/>
          <w:color w:val="auto"/>
        </w:rPr>
      </w:pPr>
      <w:r>
        <w:rPr>
          <w:rFonts w:ascii="Arial" w:cs="Arial" w:eastAsia="Arial" w:hAnsi="Arial"/>
          <w:sz w:val="18"/>
          <w:szCs w:val="18"/>
          <w:color w:val="auto"/>
        </w:rPr>
        <w:t>22,050,000</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540"/>
        <w:spacing w:after="0"/>
        <w:tabs>
          <w:tab w:leader="none" w:pos="2260" w:val="left"/>
        </w:tabs>
        <w:rPr>
          <w:sz w:val="20"/>
          <w:szCs w:val="20"/>
          <w:color w:val="auto"/>
        </w:rPr>
      </w:pPr>
      <w:r>
        <w:rPr>
          <w:rFonts w:ascii="Arial" w:cs="Arial" w:eastAsia="Arial" w:hAnsi="Arial"/>
          <w:sz w:val="18"/>
          <w:szCs w:val="18"/>
          <w:color w:val="auto"/>
        </w:rPr>
        <w:t>675,000</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145,000</w:t>
      </w:r>
    </w:p>
    <w:p>
      <w:pPr>
        <w:spacing w:after="0" w:line="9" w:lineRule="exact"/>
        <w:rPr>
          <w:sz w:val="20"/>
          <w:szCs w:val="20"/>
          <w:color w:val="auto"/>
        </w:rPr>
      </w:pPr>
    </w:p>
    <w:p>
      <w:pPr>
        <w:ind w:left="540"/>
        <w:spacing w:after="0"/>
        <w:tabs>
          <w:tab w:leader="none" w:pos="2260" w:val="left"/>
        </w:tabs>
        <w:rPr>
          <w:sz w:val="20"/>
          <w:szCs w:val="20"/>
          <w:color w:val="auto"/>
        </w:rPr>
      </w:pPr>
      <w:r>
        <w:rPr>
          <w:rFonts w:ascii="Arial" w:cs="Arial" w:eastAsia="Arial" w:hAnsi="Arial"/>
          <w:sz w:val="18"/>
          <w:szCs w:val="18"/>
          <w:color w:val="auto"/>
        </w:rPr>
        <w:t>525,000</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(103,825)</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(645,005)—</w:t>
      </w:r>
    </w:p>
    <w:p>
      <w:pPr>
        <w:spacing w:after="0" w:line="31" w:lineRule="exact"/>
        <w:rPr>
          <w:sz w:val="20"/>
          <w:szCs w:val="20"/>
          <w:color w:val="auto"/>
        </w:rPr>
      </w:pPr>
    </w:p>
    <w:p>
      <w:pPr>
        <w:ind w:left="320"/>
        <w:spacing w:after="0"/>
        <w:tabs>
          <w:tab w:leader="none" w:pos="1940" w:val="left"/>
        </w:tabs>
        <w:rPr>
          <w:sz w:val="20"/>
          <w:szCs w:val="20"/>
          <w:color w:val="auto"/>
        </w:rPr>
      </w:pPr>
      <w:r>
        <w:rPr>
          <w:rFonts w:ascii="Arial" w:cs="Arial" w:eastAsia="Arial" w:hAnsi="Arial"/>
          <w:sz w:val="18"/>
          <w:szCs w:val="18"/>
          <w:b w:val="1"/>
          <w:bCs w:val="1"/>
          <w:color w:val="auto"/>
        </w:rPr>
        <w:t>22,604,995</w:t>
      </w:r>
      <w:r>
        <w:rPr>
          <w:sz w:val="20"/>
          <w:szCs w:val="20"/>
          <w:color w:val="auto"/>
        </w:rPr>
        <w:tab/>
      </w:r>
      <w:r>
        <w:rPr>
          <w:rFonts w:ascii="Arial" w:cs="Arial" w:eastAsia="Arial" w:hAnsi="Arial"/>
          <w:sz w:val="18"/>
          <w:szCs w:val="18"/>
          <w:color w:val="auto"/>
        </w:rPr>
        <w:t>41,175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(565,404)</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40,640</w:t>
            </w:r>
          </w:p>
        </w:tc>
      </w:tr>
      <w:tr>
        <w:trPr>
          <w:trHeight w:val="230"/>
        </w:trPr>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1,071,253</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r>
      <w:tr>
        <w:trPr>
          <w:trHeight w:val="250"/>
        </w:trPr>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505,849</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65,640</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695"/>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8,018</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20"/>
          </w:cols>
          <w:pgMar w:left="320" w:top="877" w:right="379" w:bottom="1440" w:gutter="0" w:footer="0" w:header="0"/>
        </w:sectPr>
      </w:pP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 unaudited condensed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Ventoux CCM Acquisition Corp. (formerly known as Chardan Global Acquisition Corp.) (the “Company”) is a blank check company incorporated in Delaware on July 10, 2019. The Company was formed for the purpose of entering into a merger, share exchange, asset acquisition, stock purchase, recapitalization, reorganization or other similar business transaction with one or more businesses or entities (a “Business Combination”).</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2021 the Company had not commenced any operations. All the Company’s activity through September 30, 2021 related to the Company’s formation, the initial public offering (“Initial Public Offering”), which is described below, and subsequent to the Initial Public Offering, identifying a target company for a Business Combination. The Company will not generate any operating revenues until after the completion of a Business Combination, at the earliest. The Company generates non-operating income in the form of interest income on marketable securities held in the Trust Account (as defined below)</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registration statement for the Company’s Initial Public Offering was declared effective on December 23, 2020. On December 30, 2020, the Company consummated the Initial Public Offering of 15,000,000 Units (the “Units” and, with respect to the shares of common stock included in the Units sold, the “Public Shares”), at $10.00 per Unit, generating gross proceeds of $150,000,000, which is described in Note 4.</w:t>
      </w:r>
    </w:p>
    <w:p>
      <w:pPr>
        <w:spacing w:after="0" w:line="184"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Simultaneously with the closing of the Initial Public Offering, the Company consummated the sale of 6,000,000 warrants (the “Private Warrants”) at a price of $1.00 per Private Warrant in a private placement to Ventoux Acquisition Holdings LLC (“Ventoux Acquisition”), the co-sponsor and an affiliate of certain of the Company’s officers and directors, and Chardan International Investments, LLC (“Chardan Investments”), the co-sponsor and an affiliate of certain of the Company’s directors and Chardan Capital Markets, LLC, generating gross proceeds of $6,000,000, which is described in Note 5.</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the closing of the Initial Public Offering on December 30, 2020, an amount of $151,500,000 ($10.10 per Unit) from the net proceeds of the sale of the Units in the Initial Public Offering and the sale of the Private Warrants was placed in a trust account (the “Trust Account”), to be invested in U.S. government securities, within the meaning set forth in Section 2(a)(16) of the Investment Company Act of 1940, as amended (the “Investment Company Act”), with a maturity of 183 days or less or in any open-ended investment company that holds itself out as a money market fund meeting the conditions of Rule 2a-7 of the Investment Company Act, as determined by the Company, until the earlier of: (i) the consummation of a Business Combination or (ii) the distribution of the funds in the Trust Account as described below.</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January 5, 2021, the underwriters fully exercised their over-allotment option. In connection with the underwriters’ exercise of their over-allotment option, the Company also consummated the sale of an additional 2,250,000 Units, at $10.00 per Unit, and the sale of an additional 675,000 Private Warrants, at $1.00 per Private Warrant, generating total gross proceeds of $23,175,000. A total of $22,725,000 of the net proceeds was deposited into the Trust Account, bringing the aggregate proceeds held in the Trust Account to $174,225,000. As a result of the underwriters’ election to exercise their over-allotment option in full, 562,500 Founder Shares (as defined in Note 6) are no longer subject to forfeiture.</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the Private Warrants, although substantially all of the net proceeds are intended to be applied generally toward consummating a Business Combination. The Company’s initial Business Combination must be with one or more target businesses that together have a fair market value equal to at least 80% of the balance in the Trust Account (net of amounts previously released to the Company to pay its tax obligations) at the time of the signing an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will provide its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Company may require stockholders to vote for or against the Business Combination to be able to redeem their shares, and stockholders who do not vote, or who abstain from voting, on the Business Combination will not be able to redeem their shares. The stockholders will be entitled to redeem their shares for a pro rata portion of the amount then on deposit in the Trust Account (initially anticipated to be $10.10 per share, plus any pro rata interest earned on the funds held in the Trust Account and not previously released to the Company to pay its tax obligations). There will be no redemption rights upon the completion of a Business Combination with respect to the Company’s rights or warrants.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will proceed with a Business Combination if the Company has net tangible assets of at least $5,000,001 upon such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(“SEC”), and file tender offer documents with the SEC prior to completing a Business Combination. If, however, a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Ventoux Acquisition, Chardan Investments and any other initial stockholders of the Company’s common stock prior to the Initial Public Offering (collectively, the “Initial Stockholders”) have agreed to (a) vote their Founder Shares and any Public Shares held by them in favor of a Business Combination and (b) not to convert any shares (including Founder Shares) in connection with a stockholder vote to approve a Business Combination or sell any such shares to the Company in a tender offer in connection with a Business Combination. Additionally, each public stockholder may elect to redeem their Public Shares irrespective of whether they vote for or against the proposed transaction.</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the foregoing, if the Company seeks stockholder approval of a Business Combination and the Company does not conduct redemptions pursuant to the tender offer rules, a stockholder, together with any affiliate of such stockholder or any other person with whom such stockholder is acting in concert or as a “group” (as defined in Section 13(d)(3) of the Securities Exchange Act of 1934, as amended (the “Exchange Act”)), will be restricted from redeeming their shares with respect to more than an aggregate of 20% of the Public Shares.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will have until March 30, 2022 to consummate a Business Combination. However, if the Company anticipates that it may not be able to consummate a Business Combination by March 30, 2022, the Company may extend the period of time to consummate a Business Combination one time by an additional three months (until June 30, 2022) to complete a Business Combination (the “Combination Period”). In order to extend the time available for the Company to consummate a Business Combination, the Initial Stockholders or their affiliates or designees must deposit into the Trust Account $1,725,000 (due to the exercise in full of the underwriters’ over-allotment option) ($0.10 per Public Share), on or prior to the date of the applicable deadline.</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the Company is unable to complete a Business Combination within the Combination Period, the Company will (i) cease all operations except for the purpose of winding up, (ii) as promptly as reasonably possible but no more than five business days thereafter, redeem 100% of the outstanding Public Shares, at a per share price, payable in cash, equal to the aggregate amount then on deposit in the Trust Account, including interest earned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remaining stockholders and the Company’s board of directors, proceed to commence a voluntary liquidation and thereby a formal dissolution of the Company, subject in each case to its obligations to provide for claims of creditors and the requirements of applicable law. The proceeds deposited in the Trust Account could, however, become subject to claims of creditors.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Initial Stockholders have agreed to (i) waive their redemption rights with respect to Founder Shares and any Public Shares they may acquire during or after the Initial Public Offering in connection with the consummation of a Business Combination, (ii) to waive their rights to liquidating distributions from the Trust Account with respect to their Founder Shares if the Company fails to consummate a Business Combination within the Combination Period and</w:t>
      </w:r>
    </w:p>
    <w:p>
      <w:pPr>
        <w:spacing w:after="0" w:line="2" w:lineRule="exact"/>
        <w:rPr>
          <w:sz w:val="20"/>
          <w:szCs w:val="20"/>
          <w:color w:val="auto"/>
        </w:rPr>
      </w:pPr>
    </w:p>
    <w:p>
      <w:pPr>
        <w:jc w:val="both"/>
        <w:ind w:firstLine="8"/>
        <w:spacing w:after="0" w:line="253"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an opportunity to redeem their Public Shares in conjunction with any such amendment. However, the Initial Stockholders will be entitled to liquidating distributions with respect to any Public Shares acquired if the Company fails to consummate a Business Combination or liquidates within the Combination Period.</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order to protect the amounts held in the Trust Account, certain of the Initial Stockholders (the “Insiders”) have agreed to be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$10.10 per share, except as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Insiders will not be responsible to the extent of any liability for such third-party claims. The Company will seek to reduce the possibility that the Insiders will have to indemnify the Trust Account due to claims of creditors by endeavoring to have all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and Liquidity</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September 30, 2021, the Company had $505,849 in its operating bank accounts, $174,262,524 in securities held in the Trust Account to be used for a Business Combination or to repurchase or redeem its common stock in connection therewith and working capital of $317,999. As of September 30, 2021, $37,524 of the amount on deposit in the Trust Account represented interest income, which is available to pay the Company’s tax obligations.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Company is unable to raise additional capital, it may be required to take additional measures to conserve liquidity, which could include, but not necessarily be limited to, suspending the pursuit of a Business Combination. The Company cannot provide any assurance that new financing will be available to it on commercially acceptable terms, if at all.</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result of the above, in connection with the Company’s assessment of going concern considerations in accordance with Financial Accounting Standard Board’s Accounting Standards Update (“ASU”) 2014-15, “Disclosures of Uncertainties about an Entity’s Ability to Continue as a Going Concern,” management has determined that the liquidity condition and date for mandatory liquidation and dissolution raise substantial doubt about the Company’s ability to continue as a going concern through March 30, 2022,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REVISION OF PREVIOUSLY ISSUED FINANCIAL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preparation of the Company’s financial statements as of September 30, 2021, the Company concluded it should revise its financial statements to classify all Public Shares as temporary equity. In accordance with the SEC and its staff’s guidance on redeemable equity instruments, ASC 480, paragraph 10-S99, redemption provisions not solely within the control of the Company require common stock subject to redemption to be classified outside of permanent equity. The Company had previously determined the common stock subject to possible redemption to be equal to the redemption value of $10.00 per common stock while also taking into consideration that a redemption cannot result in net tangible assets being less than $5,000,001. Previously, the Company had not considered redeemable shares classified as temporary equity as part of net tangible assets. Effective with the financial statements contained in this Quarterly Report, the Company revised this interpretation to include temporary equity in net tangible assets. Accordingly, effective with this filing, the Company presents all redeemable common stock as temporary equity and recognizes accretion from the initial book value to redemption value and in accordance with ASC 480.</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a result, management has noted a reclassification adjustment related to temporary equity and permanent equity. This resulted in an adjustment to the initial carrying value of the common stock subject to possible redemption with the offset recorded to additional paid-in capital (to the extent available), accumulated deficit and common stock. The Company will present this revision in a prospective manner in all future filings. Under this approach, the previously issued financial statements in connection with the Initial Public Offering Balance Sheet and Quarterly Reports on Form 10-Q will not be amended, but historical amounts presented in the current and future filings will be recast to be consistent with the current presentation.</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change in presentation for the common stock subject to redemption, the Company also revised its income (loss) per common share calculation to no longer present redeemable and non-redeemable common stock per share and to present earnings per share for common stock as a whole. This presentation contemplates a Business Combination as the most likely outcome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change in the Company’s total assets, liabilities or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the revision on the Company’s financial statements is reflected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0"/>
              </w:rPr>
              <w:t>As Previously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Reported</w:t>
            </w:r>
          </w:p>
        </w:tc>
        <w:tc>
          <w:tcPr>
            <w:tcW w:w="10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Adjustment</w:t>
            </w:r>
          </w:p>
        </w:tc>
        <w:tc>
          <w:tcPr>
            <w:tcW w:w="1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6"/>
              </w:rPr>
              <w:t>As Revised</w:t>
            </w: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Balance Sheet as of December 31, 2020 (audited)</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redemption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140,142,318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11,357,682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151,500,000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Common stock</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6,363,974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(6,363,974)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(1,364,511)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(4,993,596)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(6,358,106)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(11,357,682)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(6,357,675)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accompanying unaudited condensed financial statements should be read in conjunction with the Company’s Annual Report on Form 10-K/A for the year ended December 31, 2020 as filed with the SEC on June 22, 2021. The interim results for the three and nine months ended September 30, 2021 are not necessarily indicative of the results to be expected for the year ending December 31, 2021 or for any future periods.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the unaudited condensed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One of the more significant accounting estimates included in these financial statements is the determination of the fair value of the warrant liabilities. Such estimates may be subject to change as more current information becomes available and, accordingly, the actual results could differ significantly from those estimates.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no cash equivalents as of September 30, 2021 and December 31,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Certain of the Company’s common stock features certain redemption rights that are considered to be outside of the Company’s control and subject to occurrence of uncertain future events. Accordingly, shares of common stock subject to possible redemption are presented as temporary equity, outside of the stockholders’ equity section of the Company’s balance sheets.</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recognizes changes in redemption value immediately as they occur and adjusts the carrying value of redeemable common stock to equal the redemption value at the end of each reporting period.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At September 30, 2021, the common stock reflected in the condensed balance sheet are reconciled in the following table:</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172,500,000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allocated to Public Warrants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(10,275,000)</w:t>
            </w: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Proceeds Allocated to Public Rights</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(7,331,250)</w:t>
            </w: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issuance costs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(3,968,164)</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Plus: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Accretion of carrying value to redemption value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23,299,414</w:t>
            </w:r>
          </w:p>
        </w:tc>
      </w:tr>
      <w:tr>
        <w:trPr>
          <w:trHeight w:val="216"/>
        </w:trPr>
        <w:tc>
          <w:tcPr>
            <w:tcW w:w="100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 subject to possible redemption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174,225,000</w:t>
            </w: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does not use derivative instruments to hedge exposures to cash flow, market, or foreign currency risks. The Company evaluates all of its financial instruments, including warrants to purchase shares of common stock, to determine if such instruments are derivatives or contain features that qualify as embedded derivatives, pursuant to ASC 480 and FASB ASC Topic 815, “Derivatives and Hedging” (“ASC 815”). The Company accounts for the Public Warrants and Private Warrants in accordance with the guidance contained in ASC 815-40, “</w:t>
      </w:r>
      <w:r>
        <w:rPr>
          <w:rFonts w:ascii="Arial" w:cs="Arial" w:eastAsia="Arial" w:hAnsi="Arial"/>
          <w:sz w:val="16"/>
          <w:szCs w:val="16"/>
          <w:i w:val="1"/>
          <w:iCs w:val="1"/>
          <w:color w:val="auto"/>
        </w:rPr>
        <w:t>Derivatives and Hedging — Contracts in Entity’s Own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Equity,” </w:t>
      </w:r>
      <w:r>
        <w:rPr>
          <w:rFonts w:ascii="Arial" w:cs="Arial" w:eastAsia="Arial" w:hAnsi="Arial"/>
          <w:sz w:val="16"/>
          <w:szCs w:val="16"/>
          <w:color w:val="auto"/>
        </w:rPr>
        <w:t>under which the Private Warrants do not meet the criteria for equity treatment and must be recorded as liabilities. Accordingly,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classifies the Private Warrants as liabilities at their fair value and adjusts the Private Warrants to fair value at each reporting period. This liability is subject to re-measurement at each balance sheet date until exercised, and any change in fair value is recognized in our statements of operations. The Private Warrants were initially and subsequently valued using a Modified Black-Scholes model, which is considered to be a Level 3 fair value measurement.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As of September 30, 2021 and December 31, 2020, the Company had deferred tax assets with a full valuation allowance recorded against them.</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current taxable income primarily consists of interest earned on the Trust Account. The Company’s general and administrative costs are generally considered start-up costs and are not currently deductible. During the three and nine months ended September 30, 2021, the Company recorded income tax expense of $4,342. The Company’s effective tax rate for three and nine months ended September 30, 2021 differs from the expected income tax rate mainly due to change in fair value of warrants and the full valuation allowance on the Company’s deferred tax assets.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As of September 30, 2021 and December 31, 2020,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 The Company is subject to income tax examinations by major taxing authorities since inception.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Share of Common Stock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complies with accounting and disclosure requirements of FASB ASC Topic 260, “Earnings Per Share”. Net income (loss) per common stock is computed by dividing net income (loss) by the weighted average number of common stock outstanding for the period. Accretion associated with the redeemable shares of common stock is excluded from earnings per share as the redemption value approximates fair value.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not considered the effect of (1) warrants sold in the Initial Public Offering to purchase 15,300,000 common stock, and (2) rights sold in the Initial Public Offering that convert into 862,500 common stock, in the calculation of diluted loss per share, since the exercise of warrants and the conversion of the rights into shares of common stock are contingent upon the occurrence of future events. As a result, diluted net loss per common stock is the same as basic net loss per common stock for the periods presented.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accounts in a financial institution, which, at times may exceed the Federal Depository Insurance Corporation coverage limit of $250,000. The Company has not experienced losses on these accounts and management believes the Company is not exposed to significant risks on such account.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 the carrying amounts represented in the accompanying condensed balance sheets, primarily due to their short-term nature, except for the Private Warrants (see Note 9).</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consist of:</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August 2020, the Financial Accounting Standards Board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The Company is currently assessing the impact, if any, that ASU 2020-06 would have on its financial position, results of operations or cash flows.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unaudited condensed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INITIAL PUBLIC OFFERING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Initial Public Offering, the Company sold 17,250,000 Units, inclusive of 2,250,000 Units sold to the underwriters on January 5, 2021 upon the underwriters’ election to fully exercise their over-allotment option at a purchase price of $10.00 per Unit. Each Unit consists of one share of common stock, one right to receive one-twentieth (1/20) of one share of common stock upon the consummation of a Business Combination and one warrant (“Public Warrant”). Each Public Warrant entitles the holder to purchase one-half of one share of common stock at an exercise price of $11.50 per share (see Note 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PRIVATE PLACEMENT</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Simultaneously with the closing of the Initial Public Offering, Ventoux Acquisition purchased an aggregate of 4,000,000 Private Warrants and Chardan Investments purchased an aggregate of 2,000,000 Private Warrants, at $1.00 per Private Warrant resulting in combined aggregate purchase price of $6,000,000 in a private placement. On January 5, 2021, in connection with the underwriters’ election to fully exercise their over-allotment option, the Company sold an additional 450,000 and 225,000 Private Warrants to Ventoux Acquisition and Chardan Investments, respectively, at a price of $1.00 per Private Warrant, generating gross proceeds of $675,000. Each Private Warrant is exercisable to purchase one share of common stock at an exercise price of $11.50. If the Company does not complete a Business Combination within the Combination Period, the proceeds from the sale of the Private Warrants will be used to fund the redemption of the Public Shares (subject to the requirements of applicable law), and the Private Warrants will expire worthless. There will be no redemption rights or liquidating distributions from the Trust Account with respect to the Private Warrants.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19, 2019, Chardan Investments purchased 5,000,000 shares (the “Founder Shares”) for an aggregate price of $25,000. On July 23, 2020, Chardan Investments sold 3,250,000 Founder Shares back to the Company for an aggregate price of $16,250. On August 25, 2020, Chardan Investments transferred 256,375 Founder Shares back to the Company for nominal consideration, which shares were cancelled, resulting in Chardan Investments holding a balance of 1,493,625 Founder Shares. On July 23, 2020, Ventoux Acquisition purchased 3,250,000 Founder Shares from the Company for an aggregate price of $16,250. On August 25, 2020, Ventoux Acquisition transferred 431,125 Founder Shares back to the Company for nominal consideration, which shares were cancelled. On December 15, 2020, Ventoux Acquisition transferred 22,500 Founder Shares to Cindat USA LLC, an affiliate of one of the Company’s directors, and, on December 17, 2020, Ventoux Acquisition transferred an aggregate of 67,500 Founder Shares to three of the Company’s directors. As of the date hereof, Ventoux Acquisition holds 2,728,875 Founder Shares.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4,312,500 Founder Shares included an aggregate of up to 562,500 shares subject to forfeiture by the Initial Stockholders to the extent that the underwriters’ over-allotment was not exercised in full or in part, so that the Initial Stockholders would collectively own approximately 20% of the Company’s issued and outstanding shares after the Initial Public Offering (assuming the Initial Stockholders do not purchase any Public Shares in the Initial Public Offering). As a result of the underwriters’ election to fully exercise their over-allotment option on January 5, 2021, the Founder Shares are no longer subject to forfeiture.</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Initial Stockholders have agreed that, subject to certain limited exceptions, 50% of the Founder Shares will not be transferred, assigned, sold or released from escrow until the earlier of (i) six months after the date of the consummation of a Business Combination or (ii) the date on which the closing price of the Company’s shares of common stock equals or exceeds $12.50 per share (as adjusted for stock splits, stock dividends, reorganizations and recapitalizations) for any 20 trading days within any 30-trading day period commencing after a Business Combination and the remaining 50% of the Founder Shares will not be transferred, assigned, sold or released from escrow until six months after the date of the consummation of a Business Combination, or earlier,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entered into an agreement, commencing on December 23, 2020 through the earlier of the Company’s consummation of a Business Combination or its liquidation, to pay Chardan Capital Markets, LLC a total of $10,000 per month for office space, utilities and secretarial support. For the three and nine months ended September 30, 2021, the Company incurred $30,000 and $90,000 in fees for these services, respectively, of which $90,000 is included in accounts payable and accrued expenses in the accompanying unaudited condensed balance sheets as of September 30, 2021. As of December 31, 2020, there were no amounts accrued under this agreement. For the three and nine months ended September 30, 2020, the Company did not incur any fees for these services.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order to finance transaction costs in connection with a Business Combination, the Initial Stockholders, an affiliate of the Initial Stockholders, or the Company’s officers and directors may, but are not obligated to, loan the Company funds from time to time or at any time, as may be required (“Working Capital Loans”). Each Working Capital Loan would be evidenced by a promissory note. The notes may be repaid upon completion of a Business Combination, without interest, or, at the lender’s discretion, up to $500,000 of the notes may be converted upon completion of a Business Combination into warrants at a price of $1.00 per warrant. Such warrants would be identical to the Private Warrants. In the event that a Business Combination does not close, the Company may use a portion of the proceeds held outside the Trust Account to repay the Working Capital Loans, but no proceeds held in the Trust Account would be used to repay the Working Capital Loans. Working Capital Loans made by Chardan Capital Markets, LLC or any of its related persons will not be convertible into Private Warrants and Chardan Capital Markets, LLC and its related persons will have no recourse with respect to their ability to convert their Working Capital Loans into Private Warrants. As of September 30, 2021 and December 31, 2020, no Working Capital Loans were outstanding.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Extension Loans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discussed in Note 1, the Company may extend the period of time to consummate a Business Combination one time, for an additional three months (until June 30, 2022) to complete a Business Combination. In order to extend the time available for the Company to consummate a Business Combination, the Initial Stockholders or their affiliates or designees must deposit into the Trust Account $1,725,000 (due to the exercise in full of the underwriters’ over-allotment option), or $0.10 per Public Share, on or prior to the date of the applicable deadline. Any such payments would be made in the form of a loan. The terms of the promissory note to be issued in connection with any such loans have not yet been negotiated. If the Company completes a Business Combination, the Company would repay such loaned amounts out of the proceeds of the Trust Account released to the Company. If the Company does not complete a Business Combination, the Company will not repay such loans. The Initial Stockholders and their affiliates or designees are not obligated to fund the Trust Account to extend the time for the Company to complete a Business Combination.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Advances from Related Parties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Related parties advanced the Company approximately $2,520,000 to pay for certain offering costs in connection with the Initial Public Offering. At June 30, 2021, the full balance of advances was repaid. At December 31, 2020, $120,005 was owed to some of these related parties.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 financial statement. The financial statement does not include any adjustments that might result from the outcome of this uncertainty.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and Stockholder Rights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a registration rights agreement entered into on December 23, 2020, the holders of the Founder Shares and the Private Warrants and securities that may be issued upon conversion of Working Capital Loans will be entitled to registration and stockholder rights pursuant to an agreement.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granted the underwriters a 45-day option from the date of the Initial Public Offering to purchase up to 2,250,000 additional Units to cover over-allotments, if any, at the Initial Public Offering price less the underwriting discounts and commissions. On January 5, 2021, the underwriters elected to fully exercise the over-allotment option to purchase an additional 2,250,000 Units at a price of $10.00 per Unit.</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underwriters were paid cash underwriting discount of $0.20 per Unit, or $3,450,000 in the aggregate, upon the closing of the Initial Public Offering and the over-allotment option.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 Marketing Agreement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engaged Chardan Capital Markets, LLC as an advisor in connection with a Business Combination to assist the Company in holding meetings with its stockholders to discuss the potential Business Combination and the target business’s attributes, introduce the Company to potential investors that are interested in purchasing the Company’s securities in connection with the potential Business Combination, assist the Company in obtaining stockholder approval for the Business Combination and assist the Company with its press releases and public filings in connection with the Business Combination. The Company will pay Chardan Capital Markets, LLC a marketing fee for such services upon the consummation of a Business Combination in an amount equal to, in the aggregate, 3.5% of the gross proceeds of the Initial Public Offering, including proceeds from the exercise of the underwriters’ over-allotment option. As a result, Chardan Capital Markets, LLC will not be entitled to such fee unless the consummates its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i w:val="1"/>
          <w:iCs w:val="1"/>
          <w:color w:val="auto"/>
        </w:rPr>
        <w:t xml:space="preserve">Preferred Stock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 the Company’s Amended and Restated Certificate of Incorporation, the Company is authorized to issue up to 1,000,000 shares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preferred stock. As of September 30, 2021 and December 31, 2020, there were no shares of preferred stock issued or outstanding.</w:t>
      </w:r>
    </w:p>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Common Stock </w:t>
      </w:r>
      <w:r>
        <w:rPr>
          <w:rFonts w:ascii="Arial" w:cs="Arial" w:eastAsia="Arial" w:hAnsi="Arial"/>
          <w:sz w:val="16"/>
          <w:szCs w:val="16"/>
          <w:color w:val="auto"/>
        </w:rPr>
        <w:t>– The Company is authorized to issue 50,000,000 shares of common stock with a par value of $0.0001 per share. Holders of common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entitled to one vote for each share. At September 30, 2021 and December 31, 2020, there were 4,312,500 shares of common stock issued and outstanding, excluding 17,250,000 and 15,000,000 shares of common stock, respectively, subject to possible redemption and presented as temporary equity.</w:t>
      </w:r>
    </w:p>
    <w:p>
      <w:pPr>
        <w:spacing w:after="0" w:line="14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Rights </w:t>
      </w:r>
      <w:r>
        <w:rPr>
          <w:rFonts w:ascii="Arial" w:cs="Arial" w:eastAsia="Arial" w:hAnsi="Arial"/>
          <w:sz w:val="16"/>
          <w:szCs w:val="16"/>
          <w:color w:val="auto"/>
        </w:rPr>
        <w:t>— Except in cases where the Company is not the surviving company in a Business Combination, each holder of a right will automatically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one-twentieth (1/20) of a share of common stock upon consummation of the Business Combination, even if the holder of a right converted all shares held by him, her or it in connection with the Business Combination or an amendment to the Company’s Certificate of Incorporation with respect to its pre-business combination activities. In the event that the Company will not be the surviving company upon completion of the Business Combination, each holder of a right will be required to affirmatively convert his, her or its rights in order to receive the one-twentieth (1/20) of a share of common stock underlying each right upon consummation of the Business Combination. No additional consideration will be required to be paid by a holder of rights in order to receive his, her or its additional share of common stock upon consummation of the Business Combination. The shares issuable upon exchange of the rights will be freely tradable (except to the extent held by affiliates of the Company). If the Company enters into a definitive agreement for a Business Combination in which the Company will not be the surviving entity, the definitive agreement will provide for the holders of rights to receive the same per share consideration the holders of shares of common stock will receive in the transaction on an as-converted into common stock basis.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will not issue fractional shares in connection with an exchange of rights, so holders must hold rights in denominations of 20 in order to receive a share of the Company’s common stock at the closing of the initial Business Combination. If the Company is unable to complete an initial Business Combination within the required time period and the Company liquidates the funds held in the Trust Account, holders of rights will not receive any of such funds with respect to their rights, nor will they receive any distribution from the Company’s assets held outside of the Trust Account with respect to such rights, and the rights will expire worthless. Additionally, in no event will the Company be required to net cash settle the rights. Accordingly, the rights may expire worthless.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WARRANTS</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 There are 8,625,000 and 7,500,000 Public Warrants outstanding as of September 30, 2021 and December 31, 2020, respectively. The Public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Warrants will become exercisable at any time commencing on the later of one year after the closing of the Initial Public Offering or the consummation of a Business Combination; provided that the Company has an effective and current registration statement covering the shares of common stock issuable upon the exercise of the Public Warrants and a current prospectus relating to such shares of common stock. Notwithstanding the foregoing, if a registration statement covering the shares of common stock issuable upon exercise of the public warrants is not effective within 120 days from the closing of a Business Combination, warrant holders may, until such time as there is an effective registration statement and during any period when we shall have failed to maintain an effective registration statement, exercise warrants on a cashless basis pursuant to an available exemption from registration under the Securities Act. The Public Warrants will expire five years after the completion of a Business Combination or earlier upon redemption or liquidation.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redeem the Public Warrants:</w:t>
      </w:r>
    </w:p>
    <w:p>
      <w:pPr>
        <w:spacing w:after="0" w:line="225" w:lineRule="exact"/>
        <w:rPr>
          <w:sz w:val="20"/>
          <w:szCs w:val="20"/>
          <w:color w:val="auto"/>
        </w:rPr>
      </w:pPr>
    </w:p>
    <w:p>
      <w:pPr>
        <w:ind w:left="680" w:hanging="335"/>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any time while the warrants are exercisable;</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225" w:lineRule="exact"/>
        <w:rPr>
          <w:rFonts w:ascii="Arial" w:cs="Arial" w:eastAsia="Arial" w:hAnsi="Arial"/>
          <w:sz w:val="18"/>
          <w:szCs w:val="18"/>
          <w:color w:val="auto"/>
        </w:rPr>
      </w:pPr>
    </w:p>
    <w:p>
      <w:pPr>
        <w:ind w:left="680" w:right="20" w:hanging="335"/>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 of common stock equals or exceeds $16.50 per share, for any 20 trading days within a 30-trading day period ending on the third business day prior to the notice of redemption to the warrant holders; and</w:t>
      </w:r>
    </w:p>
    <w:p>
      <w:pPr>
        <w:spacing w:after="0" w:line="170" w:lineRule="exact"/>
        <w:rPr>
          <w:rFonts w:ascii="Arial" w:cs="Arial" w:eastAsia="Arial" w:hAnsi="Arial"/>
          <w:sz w:val="18"/>
          <w:szCs w:val="18"/>
          <w:color w:val="auto"/>
        </w:rPr>
      </w:pPr>
    </w:p>
    <w:p>
      <w:pPr>
        <w:ind w:left="680" w:right="20" w:hanging="335"/>
        <w:spacing w:after="0" w:line="342" w:lineRule="auto"/>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rights or warrants will not receive any of such funds with respect to their rights or warrants, nor will they receive any distribution from the Company’s assets held outside of the Trust Account with the respect to such rights or warrants. Accordingly, the rights and warrants may expire worthless.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if the Company issues additional common stock or equity-linked securities for capital raising purposes in connection with the closing of a Business Combination at an issue price or effective issue price of less than $9.20 per common stock (with such issue price or effective issue price to be determined in good faith by the Company’s board of directors and, in the case of any such issuance to the co-sponsors or their affiliates, without taking into account any Founder Shares held by the co-sponsors or such affiliates, as applicable, prior to such issuance) (the “Newly Issued Price”), the exercise price of the warrants will be adjusted (to the nearest cent) to be equal to 115% of the Newly Issued Price, and the $16.50 per share redemption trigger price will be adjusted (to the nearest cent) to be equal to 165% of the market value (the volume weighted average trading price of its common stock during the 20 trading day period starting on the trading day prior to the day on which the Company consummates its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Public Warrants are accounted for as equity on the condensed balance sheets.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Private Warrants are identical to the Public Warrants underlying the Units sold in the Initial Public Offering except that each Private Warrant is exercisable for one share of common stock at an exercise price of $11.50 per share, the Private Warrants will be exercisable for cash (even if a registration statement covering the shares of common stock issuable upon exercise of such warrants is not effective) or on a cashless basis, at the holder’s option, and will not be non-redeemable by the Company, in each case, so long as they are held by the initial purchasers or their affiliates. As of September 30, 2021 and December 31, 2020, there are 6,675,000 and 6,000,000 Private Warrants outstanding,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Private Warrants are accounted for as liabilities on the condensed balance sheets.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classifies its U.S. Treasury and equivalent securities as held-to-maturity in accordance with ASC Topic 320 “Investments — Debt and Equity Securities.” Held-to-maturity securities are those securities which the Company has the ability and intent to hold until maturity. Held-to-maturity treasury securities are recorded at amortized cost on the accompanying balance sheets and adjusted for the amortization or accretion of premiums or discounts.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presents its investment in money market funds on the balance sheet at fair value at the end of each reporting period. Gains and losses resulting from the change in fair value of these securities is included in interest income in the accompanying statements of operations. The estimated fair values of investments held in the trust account are determined using available market information.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2021, assets held in the Trust Account was comprised of $174,262,524 in money market funds which are invested primarily in U.S. Treasury Securities. During the three and nine months ended September 30, 2021, the Company did not withdraw any interest income from the Trust Account.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assets held in the Trust Account were comprised of $151,500,000 in cash.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 September 30, 2021 and December 31, 2020 and indicates the fair value hierarchy of the valuation inputs the Company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Level</w:t>
            </w: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held in Trust Account – U.S. Treasury Securities Money Market Fund</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  174,262,524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about the Company’s liabilities that are measured at fair value on a recurring basis at September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indicates the fair value hierarchy of the valuation inputs the Company utilized to determine such fair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Level</w:t>
            </w:r>
          </w:p>
        </w:tc>
        <w:tc>
          <w:tcPr>
            <w:tcW w:w="240" w:type="dxa"/>
            <w:vAlign w:val="bottom"/>
          </w:tcPr>
          <w:p>
            <w:pPr>
              <w:spacing w:after="0"/>
              <w:rPr>
                <w:sz w:val="20"/>
                <w:szCs w:val="20"/>
                <w:color w:val="auto"/>
              </w:rPr>
            </w:pPr>
          </w:p>
        </w:tc>
        <w:tc>
          <w:tcPr>
            <w:tcW w:w="860" w:type="dxa"/>
            <w:vAlign w:val="bottom"/>
          </w:tcPr>
          <w:p>
            <w:pPr>
              <w:ind w:left="14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Liabilities – Private Warrants</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1,668,750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7,320,000</w:t>
            </w: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Private Warrants were accounted for as liabilities in accordance with ASC 815-40 and are presented within warrant liabilities on the balance sheet. The warrant liabilities are measured at fair value at inception and on a recurring basis, with changes in fair value presented in the statements of operations.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Private Warrants were initially and subsequently valued using a Modified Black-Scholes model, which is considered to be a Level 3 fair value measurement. The Modified Black-Scholes model’s primary unobservable input utilized in determining the fair value of the Private Warrants is the expected volatility of the common stock. The expected volatility was derived from observable public warrant pricing on comparable ‘blank-check’ companies without an identified target. The expected volatility as of subsequent valuation dates will be implied from the Company’s own Public Warrant pricing. Inherent in a Black-Scholes model are assumptions related to expected stock-price volatility, expected life, risk-free interest rate and dividend yield. However, inherent uncertainties are involved. If factors or assumptions change, the estimated fair values could be materially different.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gridSpan w:val="4"/>
          </w:tcPr>
          <w:p>
            <w:pPr>
              <w:spacing w:after="0"/>
              <w:rPr>
                <w:sz w:val="20"/>
                <w:szCs w:val="20"/>
                <w:color w:val="auto"/>
              </w:rPr>
            </w:pPr>
            <w:r>
              <w:rPr>
                <w:rFonts w:ascii="Arial" w:cs="Arial" w:eastAsia="Arial" w:hAnsi="Arial"/>
                <w:sz w:val="18"/>
                <w:szCs w:val="18"/>
                <w:color w:val="auto"/>
              </w:rPr>
              <w:t>The following table presents the quantitative information regarding Level 3 fair value measurements of the warrant liabilities: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860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86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Stock price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19.15%</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Term</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0.36%</w:t>
            </w: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Dividend yield</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fair value of level 3 warrant liabilities:</w:t>
      </w:r>
    </w:p>
    <w:p>
      <w:pPr>
        <w:spacing w:after="0" w:line="221" w:lineRule="exact"/>
        <w:rPr>
          <w:sz w:val="20"/>
          <w:szCs w:val="20"/>
          <w:color w:val="auto"/>
        </w:rPr>
      </w:pPr>
    </w:p>
    <w:p>
      <w:pPr>
        <w:jc w:val="center"/>
        <w:ind w:left="9900"/>
        <w:spacing w:after="0"/>
        <w:rPr>
          <w:sz w:val="20"/>
          <w:szCs w:val="20"/>
          <w:color w:val="auto"/>
        </w:rPr>
      </w:pPr>
      <w:r>
        <w:rPr>
          <w:rFonts w:ascii="Arial" w:cs="Arial" w:eastAsia="Arial" w:hAnsi="Arial"/>
          <w:sz w:val="18"/>
          <w:szCs w:val="18"/>
          <w:b w:val="1"/>
          <w:bCs w:val="1"/>
          <w:color w:val="auto"/>
        </w:rPr>
        <w:t>Private</w:t>
      </w:r>
    </w:p>
    <w:p>
      <w:pPr>
        <w:spacing w:after="0" w:line="27" w:lineRule="exact"/>
        <w:rPr>
          <w:sz w:val="20"/>
          <w:szCs w:val="20"/>
          <w:color w:val="auto"/>
        </w:rPr>
      </w:pPr>
    </w:p>
    <w:p>
      <w:pPr>
        <w:jc w:val="center"/>
        <w:ind w:left="9900"/>
        <w:spacing w:after="0"/>
        <w:rPr>
          <w:sz w:val="20"/>
          <w:szCs w:val="20"/>
          <w:color w:val="auto"/>
        </w:rPr>
      </w:pPr>
      <w:r>
        <w:rPr>
          <w:rFonts w:ascii="Arial" w:cs="Arial" w:eastAsia="Arial" w:hAnsi="Arial"/>
          <w:sz w:val="18"/>
          <w:szCs w:val="18"/>
          <w:b w:val="1"/>
          <w:bCs w:val="1"/>
          <w:color w:val="auto"/>
        </w:rPr>
        <w:t>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877" w:right="339" w:bottom="62" w:gutter="0" w:footer="0" w:header="0"/>
        </w:sectPr>
      </w:pP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Fair value as of December 31, 2020</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Initial measurement on January 5, 2021 (Over allotment)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Change in fair value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Fair value as of September 30, 2021</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400" w:hanging="395"/>
        <w:spacing w:after="0"/>
        <w:tabs>
          <w:tab w:leader="none" w:pos="400" w:val="left"/>
        </w:tabs>
        <w:numPr>
          <w:ilvl w:val="0"/>
          <w:numId w:val="7"/>
        </w:numPr>
        <w:rPr>
          <w:rFonts w:ascii="Arial" w:cs="Arial" w:eastAsia="Arial" w:hAnsi="Arial"/>
          <w:sz w:val="17"/>
          <w:szCs w:val="17"/>
          <w:color w:val="auto"/>
        </w:rPr>
      </w:pPr>
      <w:r>
        <w:rPr>
          <w:rFonts w:ascii="Arial" w:cs="Arial" w:eastAsia="Arial" w:hAnsi="Arial"/>
          <w:sz w:val="17"/>
          <w:szCs w:val="17"/>
          <w:color w:val="auto"/>
        </w:rPr>
        <w:t>7,320,000</w:t>
      </w:r>
    </w:p>
    <w:p>
      <w:pPr>
        <w:spacing w:after="0" w:line="34" w:lineRule="exact"/>
        <w:rPr>
          <w:rFonts w:ascii="Arial" w:cs="Arial" w:eastAsia="Arial" w:hAnsi="Arial"/>
          <w:sz w:val="17"/>
          <w:szCs w:val="17"/>
          <w:color w:val="auto"/>
        </w:rPr>
      </w:pPr>
    </w:p>
    <w:p>
      <w:pPr>
        <w:ind w:left="520"/>
        <w:spacing w:after="0"/>
        <w:rPr>
          <w:rFonts w:ascii="Arial" w:cs="Arial" w:eastAsia="Arial" w:hAnsi="Arial"/>
          <w:sz w:val="17"/>
          <w:szCs w:val="17"/>
          <w:color w:val="auto"/>
        </w:rPr>
      </w:pPr>
      <w:r>
        <w:rPr>
          <w:rFonts w:ascii="Arial" w:cs="Arial" w:eastAsia="Arial" w:hAnsi="Arial"/>
          <w:sz w:val="18"/>
          <w:szCs w:val="18"/>
          <w:color w:val="auto"/>
        </w:rPr>
        <w:t>837,000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(6,488,250)</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1,668,750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70294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47625</wp:posOffset>
            </wp:positionV>
            <wp:extent cx="70294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877" w:right="339" w:bottom="62" w:gutter="0" w:footer="0" w:header="0"/>
          <w:type w:val="continuous"/>
        </w:sectPr>
      </w:pP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Transfers to/from levels 1, 2, and 3 are recognized at the beginning of the reporting period. There were no transfers in or out of Level 3 from other levels in the fair value hierarchy during the three and nine months ended September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condensed financial statements were issued. Based upon this review, other than described below, the Company did not identify any subsequent events that would have required adjustment or disclosure in the condensed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November 10, 2021, the Company entered into an agreement and plan of merger by and among the Company, Ventoux Merger Sub I Inc., a Delaware corporation and a direct, wholly-owned subsidiary of the Company (“Ventoux Merger Sub”), Ventoux Merger Sub II, LLC, a Delaware limited liability company and a direct, wholly-owned subsidiary of the Company (“Ventoux Merger Sub II”), and E La Carte, Inc., d/b/a Presto, Inc., a Delaware corporation (“Presto”) (as amended and/or restated from time to time, the “Merger Agreement”). The Merger Agreement has been approved by the Company’s and Presto’s board of directors. Subject to the satisfaction or waiver of certain closing conditions set forth in the Merger Agreement, including the approval of the Merger Agreement and the transactions contemplated thereby by Presto and the Company’s stockholders, (a) Ventoux Merger Sub will merge with and into Presto (the “First Merger”), with Presto being the surviving entity in the First Merger and continuing (immediately following the First Merger) as a wholly-owned subsidiary of the Company (the “Surviving Corporation”), and (b) immediately following the First Merger and as part of the same overall transaction as the First Merger, the Surviving Corporation will merge with and into Ventoux Merger Sub II (the “Second Merger”), with Ventoux Merger Sub II being the surviving entity in the Second Merger and continuing (immediately following the Second Merger) as a wholly-owned subsidiary of the Company (the “Mergers” and the other agreements and transactions contemplated by the Merger Agreement, the “Proposed Business Combination”). In addition, in connection with the consummation of the Proposed Business Combination, the Company will be renamed Presto Technologies, Inc. and is referred to herein as “New Presto” as of the time of such change of name.</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Merger Agreement, subject to the satisfaction or waiver of certain closing conditions set forth therein, at the closing of the Proposed Business Combination (the “Closing”), the Company will acquire all of the outstanding equity interests of Presto, and stockholders of Presto will receive $800,000,000 in aggregate consideration (the “Aggregate Base Consideration”) in the form of newly issued common stock in New Presto, calculated based on a price of $10.00 per share.</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to the Aggregate Base Consideration, Presto stockholders may be entitled to receive, as additional consideration, and without any action on behalf of the Company, Ventoux Merger Sub, Ventoux Merger Sub II or the Company’s stockholders, 15,000,000 additional shares of common stock of New Presto (the “Presto Earnout Shares”), to be issued as follows: (A) 7,500,000 Presto Earnout Shares, if, during the period from and after the Closing until the third anniversary of the Closing, the Volume Weighted Average Price (“VWAP” as defined in the Merger Agreement) of New Presto common stock is greater than or equal to $12.50 for any 20 trading days within a period of 30 consecutive trading days, and (B) an additional 7,500,000 Presto Earnout Shares, if, during the period from and after the Closing until the fifth anniversary of the Closing, the VWAP of New Presto common stock is greater than or equal to $15.00 for any 20 trading days within a period of 30 consecutive trading days.</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Pursuant to the Merger Agreement, at the time the First Merger becomes effective (the “Effective Time”), each option exercisable for Presto equity that is outstanding and unexercised immediately prior to the Effective Time will be assumed and converted into a newly issued option exercisable for common stock of New Presto. At the Effective Time, each warrant of Presto that is outstanding and unexercised immediately prior to the Effective Time shall, in accordance with its terms, either be (i) cancelled and converted into the right to receive common stock of New Presto, or (ii) assumed and converted into a newly issued warrant exercisable for common stock of New Presto. Immediately prior to the Effective Time, each convertible promissory note convertible for Presto equity that is issued and outstanding shall be cancelled and converted into the right to receive common stock of New Presto in accordance with the terms therein.</w:t>
      </w:r>
    </w:p>
    <w:p>
      <w:pPr>
        <w:sectPr>
          <w:pgSz w:w="11900" w:h="16838" w:orient="portrait"/>
          <w:cols w:equalWidth="0" w:num="1">
            <w:col w:w="11240"/>
          </w:cols>
          <w:pgMar w:left="320" w:top="877" w:right="339" w:bottom="62" w:gutter="0" w:footer="0" w:header="0"/>
          <w:type w:val="continuous"/>
        </w:sectPr>
      </w:pPr>
    </w:p>
    <w:bookmarkStart w:id="21" w:name="page22"/>
    <w:bookmarkEnd w:id="21"/>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Subscription Agreements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entered into equity subscription agreements (the “Equity Subscription Agreements”) each dated as of November 10, 2021, with certain accredited investors, pursuant to which, among other things, the Company agreed to issue and sell, in private placements to close immediately prior to or substantially concurrently with the Closing, an aggregate of 1,500,000 shares of common stock for $10.00 per share. The Equity Subscription Agreements provide that the Company must file a registration statement to register the resale of the subscribed common stock no later than 30 days after the closing date of the Proposed Business Combination (the “Closing Date”).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also entered into a convertible note subscription agreement (the “Convertible Note Subscription Agreement” and, together with the Equity Subscription Agreements, the “Subscription Agreements”), each dated as of November 10, 2021, with an institutional accredited investor (collectively, the “Note Investor”), pursuant to which, among other things, the Company agreed to issue and sell, in a private placement to close immediately prior to the Closing, an aggregate of $55,000,000 in aggregate principal amount of convertible notes (the “Notes”) and an aggregate of 1,000,000 warrants (the “Note Financing Warrants”).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any time prior to the close of business on the second trading day immediately preceding the maturity date of the Notes, the Notes will be convertible, at each holder’s option, into shares of common stock of New Presto at an initial conversion price equal to the lesser of (i) $13.00 and (ii) a 30% premium to the lowest per share price at which any equity of the Company is issued within 15 days prior to the Closing Date (the “Conversion Rate”). In the event of a conversion in connection with a Fundamental Change (as defined below) or a Company Redemption (as defined below), the Conversion Rate will be increased by a number of additional shares set forth in a usual and customary “make-whole table” to be included in the indenture governing the Notes (the “Indenture”).</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any time on or after the first anniversary of the issuance of the Notes until the second business day prior to maturity, the Notes will be convertible, in whole but not in part, at the Company’s option (a “Mandatory Conversion”) if the closing price of common stock is greater than or equal to 130% of the conversion price of the Notes for 20 trading days during any 30-consecutive-trading-day period ending on day before the notice of the Mandatory Conversion is given. The Conversion Rate in connection with a Mandatory Conversion will be increased by a number of additional shares pursuant to the make-whole table described above.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the Company may redeem the Notes at any time prior to the 21st trading day before maturity by paying, in cash, the principal, accrued interest, and a premium equal to, (1) through third anniversary, the present value of all remaining scheduled interest payments, computed using a discount rate equal to the Treasury Rate (to be defined in the Indenture) plus 0.50%, and warrants to purchase a number of shares equal to 50% of the number of shares into which the Notes redeemed were convertible, or (2) between third anniversary and maturity, of all remaining scheduled interest payments, computed using a discount rate equal to the Treasury Rate.</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Each holder of a Note will have the right to cause the Company to repurchase for cash all or a portion of the Notes held by such holder at any time upon the occurrence of a “fundamental change,” a customary definition of which will be agreed in the Indenture (a “Fundamental Change”), at a repurchase price equal to 100% of the principal amount of such Notes plus accrued and unpaid interest thereon to, but excluding, the repurchase date.</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3" w:name="page24"/>
    <w:bookmarkEnd w:id="23"/>
    <w:p>
      <w:pPr>
        <w:jc w:val="both"/>
        <w:ind w:firstLine="648"/>
        <w:spacing w:after="0" w:line="272" w:lineRule="auto"/>
        <w:rPr>
          <w:sz w:val="20"/>
          <w:szCs w:val="20"/>
          <w:color w:val="auto"/>
        </w:rPr>
      </w:pPr>
      <w:r>
        <w:rPr>
          <w:rFonts w:ascii="Arial" w:cs="Arial" w:eastAsia="Arial" w:hAnsi="Arial"/>
          <w:sz w:val="17"/>
          <w:szCs w:val="17"/>
          <w:color w:val="auto"/>
        </w:rPr>
        <w:t>The Company will pay interest on the principal amount of the Notes in cash or in kind, at the Company’s election. If the Company elects to pay interest in cash (“Cash Interest”), the interest on the Notes will accrue at a rate of 9.0% per annum and be payable in cash. If the Company elects to pay interest in kind (“PIK Interest”), the interest on the Notes will be increased to a rate of 11.0% per annum. PIK Interest will be payable either (x) by increasing the principal amount of the outstanding Notes by an amount equal to the amount of PIK Interest for the applicable interest period (rounded up to the nearest $1.00) or (y) if the Notes are no longer held as global notes, by issuing additional Notes in certificated form in an aggregate principal amount equal to the amount of PIK Interest for the period (rounded up to the nearest $1.00). Following an increase in the principal amount of the outstanding Notes as a result of a PIK Interest payment, the Notes will bear interest on such increased principal amount.</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Note Financing Warrants have the same terms and conditions as the Company’s outstanding publicly held warrants, except that each Note Financing Warrant is exercisable into one whole share of common stock at an exercise price of $11.50 per share. The Note Financing Warrants, like the publicly held warrants, may be redeemed if, among other conditions, the reported last sale price of the Company common stock equals or exceeds $16.50 per share, for any 20 trading days within a 30-day trading period ending on the third business day prior to the date of the notice of redemption to warrantholders.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 Support Agreement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connection with the execution of the Merger Agreement, the Sponsors, Presto’s directors and officers and certain affiliates of the Sponsors (together, the “Sponsor Parties”) entered into a Sponsor Support Agreement (the “Sponsor Agreement”) with the Company and Presto, pursuant to which the Sponsor Parties agreed, among other things, to vote all shares of the Company common stock beneficially owned by them in favor of each of the proposals at the Company Special Meeting and against any proposal that would impede the Proposed Business Combination. The Sponsor Agreement also provides that the Sponsor Parties will not redeem any shares of the Company common stock.</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Sponsor Parties agreed to subject the founder shares they acquired prior to the Company initial public offering to lock-up restrictions. During the period beginning on the Closing Date until the period beginning on the Closing Date to six months after the Closing Date, the Sponsor Parties may not transfer any of its, his or her founder shares, and during the period beginning on the date that is six months after the Closing Date to 12 twelve months after the Closing Date, the Sponsor Parties may only transfer up to 50% of its, his or her founder shares, in each case except for certain limited permitted transfers. In addition, the Sponsor Parties agreed that they will not transfer any privately placed warrants, acquired prior to the Company initial public offering, during the period from the Closing Date to 12 months after the Closing Date.</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Sponsors also agreed to subject their founder shares to vesting and forfeiture provisions as set forth in the Sponsor Agreement based on the number of public shares redeemed at the closing of the Proposed Business Combination (such shares, the “Sponsors’ Earnout Shares”). Pursuant to the Sponsor Agreement, at the Closing, (i) in the case of redemptions of public shares of 90% or more, 15% of the Sponsors’ founder shares that are owned immediately after the Closing will be subject to vesting, (ii) in the case of redemptions of public shares of between 80% and 90%, 10% of the Sponsors’ founder shares that are owned immediately after the Closing will be subject to vesting, (iii) in the case of redemptions of public shares of between 70% and 80%, 5% of the Sponsors’ founder shares that are owned immediately after the Closing will be subject to vesting and (iv) in the case of redemptions of public shares of less than 70%, none of the Sponsors’ founder shares will be subject to vesting. The Sponsors’ Earnout Shares will vest if, during the period from and after the Closing until the fifth anniversary of the Closing, the VWAP of New Presto common stock is greater than or equal to $12.50 for any 40 trading days within a period of 60 consecutive trading days.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Presto Stockholder Support Agreement</w:t>
      </w:r>
    </w:p>
    <w:p>
      <w:pPr>
        <w:spacing w:after="0" w:line="225" w:lineRule="exact"/>
        <w:rPr>
          <w:sz w:val="20"/>
          <w:szCs w:val="20"/>
          <w:color w:val="auto"/>
        </w:rPr>
      </w:pPr>
    </w:p>
    <w:p>
      <w:pPr>
        <w:jc w:val="both"/>
        <w:ind w:firstLine="709"/>
        <w:spacing w:after="0" w:line="257" w:lineRule="auto"/>
        <w:rPr>
          <w:sz w:val="20"/>
          <w:szCs w:val="20"/>
          <w:color w:val="auto"/>
        </w:rPr>
      </w:pPr>
      <w:r>
        <w:rPr>
          <w:rFonts w:ascii="Arial" w:cs="Arial" w:eastAsia="Arial" w:hAnsi="Arial"/>
          <w:sz w:val="18"/>
          <w:szCs w:val="18"/>
          <w:color w:val="auto"/>
        </w:rPr>
        <w:t>In connection with the execution of the Merger Agreement, certain stockholders of Presto (collectively, the “Presto Supporting Stockholders”) entered into support agreements (collectively, the “Stockholder Support Agreements”), pursuant to which each Presto Supporting Stockholder agreed to, among other things, vote in favor of the Merger Agreement and the transactions contemplated thereby (including the Proposed Business Combination), not to transfer his, her or its Presto shares prior to the Closing Date, and to execute the Amended and Restated Registration Rights Agreement (as defined below) at the Closing Date.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Presto Stockholder Support Agreements provide that during the period beginning on the Closing Date and ending on the date that is six months after the Closing Date, the Presto Supporting Stockholders may not transfer any of their shares of New Presto common stock, and during the period beginning on the date that is six months after the Closing Date and ending on the date that is 12 months after the Closing Date, the Presto Supporting Stockholders may only transfer up to 50% of their New Presto common stock, in each case, except for certain limited permitted transfers.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Proposed Business Combination is expected to be consummated after receipt of the required approvals by the stockholders of the Company and Presto and the satisfaction or waiver of certain other customary conditions. For full details and the filed agreements, refer to our Current Report on 8-K announcing the Merger Agreement filed on November 10, 2021.</w:t>
      </w:r>
    </w:p>
    <w:p>
      <w:pPr>
        <w:spacing w:after="0" w:line="200" w:lineRule="exact"/>
        <w:rPr>
          <w:sz w:val="20"/>
          <w:szCs w:val="20"/>
          <w:color w:val="auto"/>
        </w:rPr>
      </w:pPr>
    </w:p>
    <w:p>
      <w:pPr>
        <w:spacing w:after="0" w:line="3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References in this report (this “Quarterly Report”) to “we,” “us” or the “Company” refer to Ventoux CCM Acquisition Corp. References to our “management” or our “management team” refer to our officers and directors, and references to the “co-sponsors” refer to Ventoux Acquisition Holdings LLC (“Ventoux Acquisition”) and Chardan International Investments, LLC (“Chardan Investments”). The following discussion and analysis of the Company’s financial condition and results of operations should be read in conjunction with the financial statements and the notes thereto contained elsewhere in this Quarterly Report. Certain information contained in the discussion and analysis set forth below includes forward-looking statements that involve risks and uncertainties.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Quarterly Report includes “forward-looking statements” within the meaning of Section 27A of the Securities Act of 1933 and Section 21E of the Exchange Act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completion of the Proposed Business Combination (as defined below),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including that the conditions of the Proposed Business Combination are not satisfied. For information identifying important factors that could cause actual results to differ materially from those anticipated in the forward-looking statements, please refer to the Risk Factors section of the Company’s final prospectus for its Initial Public Offering filed with the U.S. Securities and Exchange Commission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blank check company formed under the laws of the State of Delaware on July 10, 2019 for the purpose of effecting a merger, share exchange, asset acquisition, stock purchase, recapitalization, reorganization or other similar business transaction with one or more businesses or entities (a “Business Combination”).</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While we may pursue a Business Combination in any region or sector, we intend to focus our efforts on businesses in North America within the hospitality, leisure, travel and dining sectors with an emphasis on consumer branded businesses that have attractive growth characteristics. In addition, we intend to pursue technology companies operating in these sectors, such as business and consumer services and infrastructure. However, we do not intend to invest in businesses with large exposure to investments in physical real estate. We intend to focus on established and high-growth businesses that have an aggregate enterprise value of approximately $500 million to $2.0 billion and would benefit from access to public markets and the operational and strategic expertise of our management team and board of directors. We will seek to capitalize on the significant experience of our management team in consummating a Business Combination with the ultimate goal of pursuing attractive returns for our stockholders.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to effectuate our Business Combination using cash from the proceeds of the Initial Public Offering and the sale of the Private Warrants, our capital stock, debt or a combination of cash, stock and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issuance of additional shares of our stock in a Business Combination:</w:t>
      </w:r>
    </w:p>
    <w:p>
      <w:pPr>
        <w:spacing w:after="0" w:line="225" w:lineRule="exact"/>
        <w:rPr>
          <w:sz w:val="20"/>
          <w:szCs w:val="20"/>
          <w:color w:val="auto"/>
        </w:rPr>
      </w:pPr>
    </w:p>
    <w:p>
      <w:pPr>
        <w:ind w:left="680" w:hanging="335"/>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may significantly reduce the equity interest of our stockholders;</w:t>
      </w:r>
    </w:p>
    <w:p>
      <w:pPr>
        <w:spacing w:after="0" w:line="225" w:lineRule="exact"/>
        <w:rPr>
          <w:rFonts w:ascii="Arial" w:cs="Arial" w:eastAsia="Arial" w:hAnsi="Arial"/>
          <w:sz w:val="18"/>
          <w:szCs w:val="18"/>
          <w:color w:val="auto"/>
        </w:rPr>
      </w:pPr>
    </w:p>
    <w:p>
      <w:pPr>
        <w:ind w:left="680" w:right="20" w:hanging="335"/>
        <w:spacing w:after="0" w:line="277"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we issue preferred shares with rights senior to those afforded to our shares of common stock;</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jc w:val="both"/>
        <w:ind w:left="680" w:right="20" w:hanging="335"/>
        <w:spacing w:after="0" w:line="263"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likely cause a change in control if a substantial number of our shares of common stock are issued, which may affect, among other things, our ability to use our net operating loss carry forwards, if any, and most likely will also result in the resignation or removal of our present officers and directors; and</w:t>
      </w:r>
    </w:p>
    <w:p>
      <w:pPr>
        <w:spacing w:after="0" w:line="183" w:lineRule="exact"/>
        <w:rPr>
          <w:rFonts w:ascii="Arial" w:cs="Arial" w:eastAsia="Arial" w:hAnsi="Arial"/>
          <w:sz w:val="18"/>
          <w:szCs w:val="18"/>
          <w:color w:val="auto"/>
        </w:rPr>
      </w:pPr>
    </w:p>
    <w:p>
      <w:pPr>
        <w:ind w:left="680" w:hanging="335"/>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Similarly, if we issue debt securities or otherwise incur significant indebtedness, it could result in:</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default and foreclosure on our assets if our operating revenues after a Business Combination are insufficient to pay our debt obligations;</w:t>
      </w:r>
    </w:p>
    <w:p>
      <w:pPr>
        <w:spacing w:after="0" w:line="23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obtain additional financing, if necessary, if the debt security contains covenants restricting our ability to obtain additional financing while such security is outstanding.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a Business Combination will be successful.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Business Combination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November 10, 2021, the Company entered into an agreement and plan of merger by and among the Company, Ventoux Merger Sub I Inc., a Delaware corporation and a direct, wholly-owned subsidiary of the Company (“Ventoux Merger Sub”), Ventoux Merger Sub II, LLC, a Delaware limited liability company and a direct, wholly-owned subsidiary of the Company (“Ventoux Merger Sub II”), and E La Carte, Inc., d/b/a Presto, Inc., a Delaware corporation (“Presto”) (as amended and/or restated from time to time, the “Merger Agreement”). The Merger Agreement has been approved by the Company’s and Presto’s board of directors. Subject to the satisfaction or waiver of certain closing conditions set forth in the Merger Agreement, including the approval of the Merger Agreement and the transactions contemplated thereby by Presto and the Company’s stockholders, (a) Ventoux Merger Sub will merge with and into Presto (the “First Merger”), with Presto being the surviving entity in the First Merger and continuing (immediately following the First Merger) as a wholly-owned subsidiary of the Company (the “Surviving Corporation”), and (b) immediately following the First Merger and as part of the same overall transaction as the First Merger, the Surviving Corporation will merge with and into Ventoux Merger Sub II (the “Second Merger”), with Ventoux Merger Sub II being the surviving entity in the Second Merger and continuing (immediately following the Second Merger) as a wholly-owned subsidiary of the Company (the “Mergers” and the other agreements and transactions contemplated by the Merger Agreement, the “Proposed Business Combination”). In addition, in connection with the consummation of the Proposed Business Combination, the Company will be renamed Presto Technologies, Inc. and is referred to herein as “New Presto” as of the time of such change of name.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Consideration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Merger Agreement, subject to the satisfaction or waiver of certain closing conditions set forth therein, at the closing of the Proposed Business Combination (the “Closing”), the Company will acquire all of the outstanding equity interests of Presto, and stockholders of Presto will receive $800,000,000 in aggregate consideration (the “Aggregate Base Consideration”) in the form of newly issued common stock in New Presto, calculated based on a price of $10.00 per share.</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to the Aggregate Base Consideration, Presto stockholders may be entitled to receive, as additional consideration, and without any action on behalf of the Company, Ventoux Merger Sub, Ventoux Merger Sub II or the Company’s stockholders, 15,000,000 additional shares of common stock of New Presto (the “Presto Earnout Shares”), to be issued as follows: (A) 7,500,000 Presto Earnout Shares, if, during the period from and after the Closing until the third anniversary of the Closing, the Volume Weighted Average Price (“VWAP” as defined in the Merger Agreement) of New Presto common stock is greater than or equal to $12.50 for any 20 trading days within a period of 30 consecutive trading days, and (B) an additional 7,500,000 Presto Earnout Shares, if, during the period from and after the Closing until the fifth anniversary of the Closing, the VWAP of New Presto common stock is greater than or equal to $15.00 for any 20 trading days within a period of 30 consecutive trading days.</w:t>
      </w: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Equity Awards, Presto Convertible Notes and Warrants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Pursuant to the Merger Agreement, at the time the First Merger becomes effective (the “Effective Time”), each option exercisable for Presto equity that is outstanding and unexercised immediately prior to the Effective Time will be assumed and converted into a newly issued option exercisable for common stock of New Presto. At the Effective Time, each warrant of Presto that is outstanding and unexercised immediately prior to the Effective Time shall, in accordance with its terms, either be (i) cancelled and converted into the right to receive common stock of New Presto, or (ii) assumed and converted into a newly issued warrant exercisable for common stock of New Presto. Immediately prior to the Effective Time, each convertible promissory note convertible for Presto equity that is issued and outstanding shall be cancelled and converted into the right to receive common stock of New Presto in accordance with the terms therein.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Agreements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entered into equity subscription agreements (the “Equity Subscription Agreements”) each dated as of November 10, 2021, with certain accredited investors, pursuant to which, among other things, the Company agreed to issue and sell, in private placements to close immediately prior to or substantially concurrently with the Closing, an aggregate of 1,500,000 shares of common stock for $10.00 per share. The Equity Subscription Agreements provide that the Company must file a registration statement to register the resale of the subscribed common stock no later than 30 days after the closing date of the Proposed Business Combination (the “Closing Date”).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also entered into a convertible note subscription agreement (the “Convertible Note Subscription Agreement” and, together with the Equity Subscription Agreements, the “Subscription Agreements”), each dated as of November 10, 2021, with an institutional accredited investor (collectively, the “Note Investor”), pursuant to which, among other things, the Company agreed to issue and sell, in a private placement to close immediately prior to the Closing, an aggregate of $55,000,000 in aggregate principal amount of convertible notes (the “Notes”) and an aggregate of 1,000,000 warrants (the “Note Financing Warrants”).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any time prior to the close of business on the second trading day immediately preceding the maturity date of the Notes, the Notes will be convertible, at each holder’s option, into shares of common stock of New Presto at an initial conversion price equal to the lesser of (i) $13.00 and (ii) a 30% premium to the lowest per share price at which any equity of the Company is issued within 15 days prior to the Closing Date (the “Conversion Rate”). In the event of a conversion in connection with a Fundamental Change (as defined below) or a Company Redemption (as defined below), the Conversion Rate will be increased by a number of additional shares set forth in a usual and customary “make-whole table” to be included in the indenture governing the Notes (the “Indenture”).</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any time on or after the first anniversary of the issuance of the Notes until the second business day prior to maturity, the Notes will be convertible, in whole but not in part, at the Company’s option (a “Mandatory Conversion”) if the closing price of common stock is greater than or equal to 130% of the conversion price of the Notes for 20 trading days during any 30-consecutive-trading-day period ending on day before the notice of the Mandatory Conversion is given. The Conversion Rate in connection with a Mandatory Conversion will be increased by a number of additional shares pursuant to the make-whole table described above.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the Company may redeem the Notes at any time prior to the 21st trading day before maturity by paying, in cash, the principal, accrued interest, and a premium equal to, (1) through third anniversary, the present value of all remaining scheduled interest payments, computed using a discount rate equal to the Treasury Rate (to be defined in the Indenture) plus 0.50%, and warrants to purchase a number of shares equal to 50% of the number of shares into which the Notes redeemed were convertible, or (2) between third anniversary and maturity, of all remaining scheduled interest payments, computed using a discount rate equal to the Treasury Rate.</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Each holder of a Note will have the right to cause the Company to repurchase for cash all or a portion of the Notes held by such holder at any time upon the occurrence of a “fundamental change,” a customary definition of which will be agreed in the Indenture (a “Fundamental Change”), at a repurchase price equal to 100% of the principal amount of such Notes plus accrued and unpaid interest thereon to, but excluding, the repurchase date.</w:t>
      </w:r>
    </w:p>
    <w:p>
      <w:pPr>
        <w:spacing w:after="0" w:line="1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will pay interest on the principal amount of the Notes in cash or in kind, at the Company’s election. If the Company elects to pay interest in cash (“Cash Interest”), the interest on the Notes will accrue at a rate of 9.0% per annum and be payable in cash. If the Company elects to pay interest in kind (“PIK Interest”), the interest on the Notes will be increased to a rate of 11.0% per annum. PIK Interest will be payable either (x) by increasing the principal amount of the outstanding Notes by an amount equal to the amount of PIK Interest for the applicable interest period (rounded up to the nearest $1.00) or (y) if the Notes are no longer held as global notes, by issuing additional Notes in certificated form in an aggregate principal amount equal to the amount of PIK Interest for the period (rounded up to the nearest $1.00). Following an increase in the principal amount of the outstanding Notes as a result of a PIK Interest payment, the Notes will bear interest on such increased principal amount.</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Note Financing Warrants have the same terms and conditions as the Company’s outstanding publicly held warrants, except that each Note Financing Warrant is exercisable into one whole share of common stock at an exercise price of $11.50 per share. The Note Financing Warrants, like the publicly held warrants, may be redeemed if, among other conditions, the reported last sale price of the Company common stock equals or exceeds $16.50 per share, for any 20 trading days within a 30-day trading period ending on the third business day prior to the date of the notice of redemption to warrantholders.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Warrant Agreement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At the Closing, New Presto, the Sponsors and Continental Stock Transfer &amp; Trust Company, as warrant agent, will enter into an amended and restated warrant agreement (the “Amended and Restated Warrant Agreement”) to reflect the issuance of the Note Financing Warrants. In addition, the Amended and Restated Warrant Agreement also provides that 600,000 of the Sponsors’ 6,675,000 private placement warrants will be cancelled. Each Note Financing Warrant and each private placement warrant is exercisable for one share of common stock at an exercise price of $11.50 per share.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Registration Rights Agreement</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At the Closing, New Presto, the Sponsors, the Note Investor, certain investors and other holders of Presto capital stock (the “Presto Holders” and together with the Sponsors and the investors, the “Holders”) will enter into an amended and restated registration rights agreement (the “Amended and Restated Registration Rights Agreement”). Pursuant to the terms of the Amended and Restated Registration Rights Agreement, New Presto will be</w:t>
      </w:r>
    </w:p>
    <w:p>
      <w:pPr>
        <w:sectPr>
          <w:pgSz w:w="11900" w:h="16838" w:orient="portrait"/>
          <w:cols w:equalWidth="0" w:num="1">
            <w:col w:w="11240"/>
          </w:cols>
          <w:pgMar w:left="320" w:top="773" w:right="339" w:bottom="0" w:gutter="0" w:footer="0" w:header="0"/>
        </w:sectPr>
      </w:pPr>
    </w:p>
    <w:bookmarkStart w:id="27" w:name="page28"/>
    <w:bookmarkEnd w:id="27"/>
    <w:p>
      <w:pPr>
        <w:jc w:val="both"/>
        <w:spacing w:after="0" w:line="263" w:lineRule="auto"/>
        <w:rPr>
          <w:sz w:val="20"/>
          <w:szCs w:val="20"/>
          <w:color w:val="auto"/>
        </w:rPr>
      </w:pPr>
      <w:r>
        <w:rPr>
          <w:rFonts w:ascii="Arial" w:cs="Arial" w:eastAsia="Arial" w:hAnsi="Arial"/>
          <w:sz w:val="18"/>
          <w:szCs w:val="18"/>
          <w:color w:val="auto"/>
        </w:rPr>
        <w:t>obligated to file a registration statement to register the resale of certain securities of New Presto held by the Holders. The Amended and Restated Registration Rights Agreement also provides the Holders with certain “demand” and “piggy-back” registration rights, subject to certain requirements and customary conditions.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 Support Agreement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connection with the execution of the Merger Agreement, the Sponsors, Presto’s directors and officers and certain affiliates of the Sponsors (together, the “Sponsor Parties”) entered into a Sponsor Support Agreement (the “Sponsor Agreement”) with the Company and Presto, pursuant to which the Sponsor Parties agreed, among other things, to vote all shares of the Company common stock beneficially owned by them in favor of each of the proposals at the Company Special Meeting and against any proposal that would impede the Proposed Business Combination. The Sponsor Agreement also provides that the Sponsor Parties will not redeem any shares of the Company common stock.</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jc w:val="both"/>
        <w:ind w:firstLine="648"/>
        <w:spacing w:after="0" w:line="273" w:lineRule="auto"/>
        <w:rPr>
          <w:sz w:val="20"/>
          <w:szCs w:val="20"/>
          <w:color w:val="auto"/>
        </w:rPr>
      </w:pPr>
      <w:r>
        <w:rPr>
          <w:rFonts w:ascii="Arial" w:cs="Arial" w:eastAsia="Arial" w:hAnsi="Arial"/>
          <w:sz w:val="17"/>
          <w:szCs w:val="17"/>
          <w:color w:val="auto"/>
        </w:rPr>
        <w:t>The Sponsor Parties agreed to subject the founder shares they acquired prior to the Company initial public offering to lock-up restrictions. During the period beginning on the Closing Date until the period beginning on the Closing Date to six months after the Closing Date, the Sponsor Parties may not transfer any of its, his or her founder shares, and during the period beginning on the date that is six months after the Closing Date to 12 twelve months after the Closing Date, the Sponsor Parties may only transfer up to 50% of its, his or her founder shares, in each case except for certain limited permitted transfers. In addition, the Sponsor Parties agreed that they will not transfer any privately placed warrants, acquired prior to the Company initial public offering, during the period from the Closing Date to 12 months after the Closing Date.</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Sponsors also agreed to subject their founder shares to vesting and forfeiture provisions as set forth in the Sponsor Agreement based on the number of public shares redeemed at the closing of the Proposed Business Combination (such shares, the “Sponsors’ Earnout Shares”). Pursuant to the Sponsor Agreement, at the Closing, (i) in the case of redemptions of public shares of 90% or more, 15% of the Sponsors’ founder shares that are owned immediately after the Closing will be subject to vesting, (ii) in the case of redemptions of public shares of between 80% and 90%, 10% of the Sponsors’ founder shares that are owned immediately after the Closing will be subject to vesting, (iii) in the case of redemptions of public shares of between 70% and 80%, 5% of the Sponsors’ founder shares that are owned immediately after the Closing will be subject to vesting and (iv) in the case of redemptions of public shares of less than 70%, none of the Sponsors’ founder shares will be subject to vesting. The Sponsors’ Earnout Shares will vest if, during the period from and after the Closing until the fifth anniversary of the Closing, the VWAP of New Presto common stock is greater than or equal to $12.50 for any 40 trading days within a period of 60 consecutive trading days.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Presto Stockholder Support Agreement</w:t>
      </w:r>
    </w:p>
    <w:p>
      <w:pPr>
        <w:spacing w:after="0" w:line="225" w:lineRule="exact"/>
        <w:rPr>
          <w:sz w:val="20"/>
          <w:szCs w:val="20"/>
          <w:color w:val="auto"/>
        </w:rPr>
      </w:pPr>
    </w:p>
    <w:p>
      <w:pPr>
        <w:jc w:val="both"/>
        <w:ind w:firstLine="709"/>
        <w:spacing w:after="0" w:line="257" w:lineRule="auto"/>
        <w:rPr>
          <w:sz w:val="20"/>
          <w:szCs w:val="20"/>
          <w:color w:val="auto"/>
        </w:rPr>
      </w:pPr>
      <w:r>
        <w:rPr>
          <w:rFonts w:ascii="Arial" w:cs="Arial" w:eastAsia="Arial" w:hAnsi="Arial"/>
          <w:sz w:val="18"/>
          <w:szCs w:val="18"/>
          <w:color w:val="auto"/>
        </w:rPr>
        <w:t>In connection with the execution of the Merger Agreement, certain stockholders of Presto (collectively, the “Presto Supporting Stockholders”) entered into support agreements (collectively, the “Stockholder Support Agreements”), pursuant to which each Presto Supporting Stockholder agreed to, among other things, vote in favor of the Merger Agreement and the transactions contemplated thereby (including the Proposed Business Combination), not to transfer his, her or its Presto shares prior to the Closing Date, and to execute the Amended and Restated Registration Rights Agreement (as defined below) at the Closing Date.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Presto Stockholder Support Agreements provide that during the period beginning on the Closing Date and ending on the date that is six months after the Closing Date, the Presto Supporting Stockholders may not transfer any of their shares of New Presto common stock, and during the period beginning on the date that is six months after the Closing Date and ending on the date that is 12 months after the Closing Date, the Presto Supporting Stockholders may only transfer up to 50% of their New Presto common stock, in each case, except for certain limited permitted transfers.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 Agreement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At the Closing, New Presto, Rajat Suri, REMUS Capital, an affiliate of Presto, and certain other parties set forth therein, will enter into a Governance Agreement (the “Governance Agreement”) to provide for certain governance rights and address certain governance matters relating to New Presto. The Governance Agreement will provide REMUS Capital the right to designate a replacement New Presto director if a director appointed within class I of the board is removed within one year of Closing and also will provide each of Mr. Suri and REMUS Capital with the right to nominate one individual to the New Presto board of directors, subject to certain qualifications, requirements and exceptions as set forth therein.</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Proposed Business Combination is expected to be consummated after receipt of the required approvals by the stockholders of the Company and Presto and the satisfaction or waiver of certain other customary conditions. For full details and the filed agreements, refer to our Current Report on 8-K announcing the Merger Agreement filed on November 10,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Quarterly Report on Form 10-Q is not intended to and shall not constitute a proxy statement or the solicitation of a proxy, consent or authorization with respect to any securities in respect of the Proposed Business Combination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neither engaged in any operations nor generated any revenues to date. Our only activities through September 30, 2021 were organizational activities, those necessary to prepare for the Initial Public Offering, described below, and identifying a target company for a Business Combination. We do not expect to generate any operating revenues until after the completion of our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three months ended September 30, 2021, we had a net income of $814,585, which consists of change in fair value of warrant liabilities of $1,001,250 and interest earned on marketable securities held in our Trust Account of $2,618, offset by general and administrative expenses of $189,283.</w:t>
      </w:r>
    </w:p>
    <w:p>
      <w:pPr>
        <w:spacing w:after="0" w:line="12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the nine months ended September 30, 2021, we had a net income of $5,719,448, which consists of change in fair value of warrant liabilities of $6,488,250 and interest earned on marketable securities held in our Trust Account of $37,524, offset by general and administrative expenses of $639,984, loss on initial issuance of private warrants of $162,000 and provision for income taxes of $4,342.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2020, we had a net loss of $85 which consists of formation and operational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30, 2020, we completed the Initial Public Offering of 15,000,000 Units at $10.00 per Unit, generating gross proceeds of $150,000,000. Simultaneously with the closing of the Initial Public Offering, we completed the sale of 6,000,000 Private Warrants at a price of $1.00 per Private Warrant in a private placement to the co-sponsors, generating gross proceeds of $6,000,000.</w:t>
      </w:r>
    </w:p>
    <w:p>
      <w:pPr>
        <w:sectPr>
          <w:pgSz w:w="11900" w:h="16838" w:orient="portrait"/>
          <w:cols w:equalWidth="0" w:num="1">
            <w:col w:w="11240"/>
          </w:cols>
          <w:pgMar w:left="320" w:top="773" w:right="339" w:bottom="0" w:gutter="0" w:footer="0" w:header="0"/>
        </w:sectPr>
      </w:pPr>
    </w:p>
    <w:bookmarkStart w:id="29" w:name="page30"/>
    <w:bookmarkEnd w:id="29"/>
    <w:p>
      <w:pPr>
        <w:jc w:val="both"/>
        <w:spacing w:after="0" w:line="263" w:lineRule="auto"/>
        <w:rPr>
          <w:sz w:val="20"/>
          <w:szCs w:val="20"/>
          <w:color w:val="auto"/>
        </w:rPr>
      </w:pPr>
      <w:r>
        <w:rPr>
          <w:rFonts w:ascii="Arial" w:cs="Arial" w:eastAsia="Arial" w:hAnsi="Arial"/>
          <w:sz w:val="18"/>
          <w:szCs w:val="18"/>
          <w:color w:val="auto"/>
        </w:rPr>
        <w:t>On January 5, 2021, in connection with the underwriters’ exercise of their over-allotment option in full, we completed the sale of an additional 2,250,000 Units, at $10.00 per Unit, generating gross proceeds of $22,500,000. Simultaneously with the closing of the over-allotment we completed a sale of an additional 675,000 Private Warrants, at $1.00 per Private Warrant, generating total proceeds of $675,000.</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Following the Initial Public Offering, the full exercise of the over-allotment option, and the sale of the Private Units, a total of $174,225,000 was placed in the Trust Account. We incurred $3,993,017 in Initial Public Offering related costs, including $3,450,000 of underwriting fees and $543,017 of other costs.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nine months ended September 30, 2021, cash used in operating activities was $445,399. Net income of $5,719,448 was affected by interest earned on marketable securities held in the Trust Account of $37,524, change in fair value of warrant liabilities of $6,488,250 and loss on initial issuance of private warrants of $162,000. Changes in operating assets and liabilities provided $198,927 of cash for operating activities.</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t>For the nine months ended September 30, 2020, cash used in operating activities was $535. Net loss of $85 was affected by changes in operating assets and liabilities of $450.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2021, we had marketable securities held in the Trust Account of $174,262,524 (including approximately $37,524 of interest income) consisting of U.S. Treasury Bills with a maturity of 183 days or less. Interest income on the balance in the Trust Account may be used by us to pay taxes. Through September 30, 2021, we have not withdrawn any interest earned from the Trust Account.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intend to use substantially all of the funds held in the Trust Account, including any amounts representing interest earned on the Trust Account (less income taxes payable), to complete our Business Combination. To the extent that our capital stock or debt is used, in whole or in part, as consideration to complete our Business Combination, the remaining proceeds held in the Trust Account will be used as working capital to finance the operations of the target business or businesses, make other acquisitions and pursue our growth strategies.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2021, we had cash of $505,849.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order to fund working capital deficiencies or finance transaction costs in connection with a Business Combination, the co-sponsors, or certain of our officers and directors or their affiliates may, but are not obligated to, loan us funds as may be required. If we complete a Business Combination, we would repay such loaned amounts. In the event that a Business Combination is not consummated, we may use a portion of the working capital held outside the Trust Account to repay such loaned amounts but no proceeds from our Trust Account would be used for such repayment. Up to $500,000 of such loans may be convertible into warrants at a price of $1.00 per unit, at the option of the lender. The units would be identical to the Private Warrants.</w:t>
      </w:r>
    </w:p>
    <w:p>
      <w:pPr>
        <w:spacing w:after="0" w:line="16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If we are unable to raise additional capital, we may be required to take additional measures to conserve liquidity, which could include, but not necessarily be limited to, suspending the pursuit of a Business Combination. We cannot provide any assurance that new financing will be available to it on commercially acceptable terms, if at all.</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above, in connection with our assessment of going concern considerations in accordance with Financial Accounting Standard Board’s Accounting Standards Update (“ASU”) 2014-15, “Disclosures of Uncertainties about an Entity’s Ability to Continue as a Going Concern,” we have determined that the liquidity condition and date for mandatory liquidation and dissolution raise substantial doubt about our ability to continue as a going concern through March 30, 2022,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we be unable to continue as a going concern.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as of September 30, 2021 and December 31,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do not have any long-term debt, capital lease obligations, operating lease obligations or long-term liabilities, other than an agreement to pay Chardan Capital Markets, LLC a total of $10,000 per month for office space, utilities and secretarial support. We began incurring these fees on December 23, 2020 and will continue to incur these fees monthly until the earlier of the completion of the Business Combination and our liquidation.</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engaged Chardan Capital Markets, LLC as an advisor in connection with a Business Combination to assist us in holding meetings with stockholders to discuss the potential Business Combination and the target business’s attributes, introduce us to potential investors that are interested in purchasing our securities in connection with the potential Business Combination, assist us in obtaining stockholder approval for the Business Combination and assist us with press releases and public filings in connection with the Business Combination. We will pay Chardan Capital Markets, LLC a marketing fee for such services upon the completion of a Business Combination in an amount equal to, in the aggregate, 3.5% of the gross proceeds of the Initial Public Offering, including proceeds from the exercise of the underwriters’ over-allotment option. As a result, Chardan Capital Markets, LLC will not be entitled to such fee unless the Business Combination is consummated.</w:t>
      </w: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unaudited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use derivative instruments to hedge exposures to cash flow, market, or foreign currency risks. We evaluate all of our financial instruments, including issued warrants to purchase shares of common stock, to determine if such instruments are derivatives or contain features that qualify as embedded derivatives, pursuant to ASC 480 and ASC 815. We account for the Private Warrants in accordance with the guidance contained in ASC 815-40 under which the Private Warrants do not meet the criteria for equity treatment and must be recorded as liabilities. Accordingly, we classify the Private Warrants as liabilities at their fair value and adjust the Private Warrants to fair value at each reporting period. This liability is subject to re-measurement at each balance sheet date until exercised, and any change in fair value is recognized in our statements of operations. The Private Warrants are valued using a Modified Black Scholes model.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accounts for its common stock subject to possible redemption in accordance with the guidance in Accounting Standards Codification (“ASC”) Topic 480 “Distinguishing Liabilities from Equity.” Shares of common stock subject to mandatory redemption are classified as a liability instrument and are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Certain of the Company’s common stock features certain redemption rights that are considered to be outside of the Company’s control and subject to occurrence of uncertain future events. Accordingly, at September 30, 2021 and December 31, 2020, common stock subject to possible redemption is presented as temporary equity, outside of the stockholders’ equity section of the Company’s condensed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Per Share of Common Stock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(loss) per common stock is computed by dividing net income (loss) by the weighted average number of common stock outstanding for the period. Accretion associated with the redeemable shares of common stock is excluded from earnings per share as the redemption value approximates fair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August 2020, the Financial Accounting Standards Board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We are currently assessing the impact, if any, that ASU 2020-06 would have on its financial position, results of operations or cash flows.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our unaudited condensed financial statements.</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consummation of our Initial Public Offering, the proceeds held in the trust account have been invested in U.S. government treasury obligations with a maturity of 183 days or less or in certain money market funds that invest solely in U.S. treasuries. Due to the short-term nature of these investments, we believe there will be no associated material exposure to interest rate risk.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September 30, 2021. Based upon their evaluation, our Chief Executive Officer and Chief Financial Officer concluded that our disclosure controls and procedures (as defined in Rules 13a-15 (e) and 15d-15 (e) under the Exchange Act) were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was no change in our internal control over financial reporting that occurred during the fiscal quarter ended September 30, 2021 covered by this Quarterly Report on Form 10-Q that has materially affected, or is reasonably likely to materially affect, our internal control over financial reporting. The material weakness discussed below was remediated during the quarter ended September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of a Material Weakness in Internal Control over Financial Reporting</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designed and implemented remediation measures to address the material weakness described in “Management’s Report on Internal Control over Financial Report” included in our Annual Report on Form 10-K/A as filed with the SEC on June 22, 2021, and enhanced our internal control over financial reporting. Specifically, we enhanced our processes to identify and appropriately apply applicable accounting requirements to better evaluate and understand the complex accounting standards that apply to our financial statements, including enhancing the supervisory review of accounting procedures and expanding and improving our review process for complex securities and related accounting standards. The foregoing actions, which we believe remediated the material weakness in internal control over financial reporting previously identified, were completed as of the date of June 30, 2021.</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make disclosures under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previously disclosed, on December 23, 2020, we consummated the Initial Public Offering of 15,000,000 units (the “Units”). Each Unit consists of one share of common stock, $0.0001 par value (“Common Stock”), one right entitling the holder thereof to receive one-twentieth (1/20) of one share of Common Stock upon the consummation of a Business Combination, and one warrant entitling the holder thereof to purchase one-half (1/2) of one share of Common Stock at a price of $11.50 per whole share. The Units were sold at an offering price of $10.00 per Unit, generating gross proceeds of $150,000,000. Chardan Capital Markets, LLC acted as sole-book running manager. The securities in the offering were registered under the Securities Act on a registration statement on Form S-1 (No. 333-251048). The Securities and Exchange Commission declared the registration statement effective on December 23, 2020.</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Simultaneously with the closing of the Initial Public Offering, we consummated the private placement with initial stockholders of the Company of 6,000,000 warrants (the “Private Warrants”), generating total proceeds of $6,000,000. The Private Warrants are identical to the warrants sold as part of the public Units in the Initial Public Offering except that (i) each Private Warrant is exercisable for one share of Common Stock at an exercise price of $11.50 per share, and (ii) the Private Warrants will be non-redeemable and may be exercised on a cashless basis, in each case so long as they continue to be held by the initial purchasers or their permitted transferees, as further described in the Registration Statement. Such initial purchasers were granted certain demand and piggyback registration rights in connection with the purchase of the Private Warrants. The Private Warrants were issued pursuant to the exemption from registration contained in Section 4(a)(2) of the Securities Act.</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5, 2021, we consummated the closing of the issuance and sale of additional Units (the “Over-Allotment Option Units”) upon exercise by the underwriters of their over-allotment option in full. The total aggregate issuance by the Company of 2,250,000 Units at a price of $10.00 per Unit resulted in total gross proceeds of $22,500,000. On January 5, 2021, simultaneously with the sale of the Over-Allotment Option Units, the Company consummated the private sale of an additional 675,000 Private Warrants, generating gross proceeds of $675,000. The Private Warrants were issued pursuant to the exemption from registration contained in Section 4(a)(2) of the Securities Act.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total of $174,225,000 of the net proceeds from the sale of the Units in the Initial Public Offering (including the Over-Allotment Option Units) and the private placements on December 30, 2020 and January 5, 2021, were deposited in a trust account established for the benefit of the Company’s public stockholders.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paid a total of $3,993,017 in offering costs, consisting of $3,450,000 ($450,000 related to the underwriters’ exercise of their over-allotment option) in underwriting fees and $543,017 of other offering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14"/>
          </w:tcPr>
          <w:p>
            <w:pPr>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 †</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80" w:type="dxa"/>
            <w:vAlign w:val="bottom"/>
            <w:tcBorders>
              <w:top w:val="single" w:sz="8" w:color="auto"/>
              <w:bottom w:val="single" w:sz="8" w:color="0000EE"/>
            </w:tcBorders>
            <w:gridSpan w:val="13"/>
            <w:shd w:val="clear" w:color="auto" w:fill="CCEEFF"/>
          </w:tcPr>
          <w:p>
            <w:pPr>
              <w:spacing w:after="0" w:line="176" w:lineRule="exact"/>
              <w:rPr>
                <w:rFonts w:ascii="Arial" w:cs="Arial" w:eastAsia="Arial" w:hAnsi="Arial"/>
                <w:sz w:val="18"/>
                <w:szCs w:val="18"/>
                <w:color w:val="0000EE"/>
                <w:w w:val="92"/>
              </w:rPr>
            </w:pPr>
            <w:hyperlink r:id="rId64">
              <w:r>
                <w:rPr>
                  <w:rFonts w:ascii="Arial" w:cs="Arial" w:eastAsia="Arial" w:hAnsi="Arial"/>
                  <w:sz w:val="18"/>
                  <w:szCs w:val="18"/>
                  <w:color w:val="0000EE"/>
                  <w:w w:val="92"/>
                </w:rPr>
                <w:t>Merger Agreement, dated as of November 10, 2021, by and among the Company, Ventoux Merger Sub Inc., Ventoux Merger Sub II, LLC</w:t>
              </w:r>
            </w:hyperlink>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0000EE"/>
            </w:tcBorders>
            <w:gridSpan w:val="3"/>
            <w:shd w:val="clear" w:color="auto" w:fill="CCEEFF"/>
          </w:tcPr>
          <w:p>
            <w:pPr>
              <w:spacing w:after="0" w:line="196" w:lineRule="exact"/>
              <w:rPr>
                <w:rFonts w:ascii="Arial" w:cs="Arial" w:eastAsia="Arial" w:hAnsi="Arial"/>
                <w:sz w:val="18"/>
                <w:szCs w:val="18"/>
                <w:color w:val="0000EE"/>
                <w:w w:val="87"/>
              </w:rPr>
            </w:pPr>
            <w:hyperlink r:id="rId64">
              <w:r>
                <w:rPr>
                  <w:rFonts w:ascii="Arial" w:cs="Arial" w:eastAsia="Arial" w:hAnsi="Arial"/>
                  <w:sz w:val="18"/>
                  <w:szCs w:val="18"/>
                  <w:color w:val="0000EE"/>
                  <w:w w:val="87"/>
                </w:rPr>
                <w:t>and Presto (1).</w:t>
              </w:r>
            </w:hyperlink>
          </w:p>
        </w:tc>
        <w:tc>
          <w:tcPr>
            <w:tcW w:w="9040" w:type="dxa"/>
            <w:vAlign w:val="bottom"/>
            <w:tcBorders>
              <w:bottom w:val="single" w:sz="8" w:color="CCEEFF"/>
            </w:tcBorders>
            <w:gridSpan w:val="11"/>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5"/>
                <w:szCs w:val="15"/>
                <w:color w:val="auto"/>
              </w:rPr>
            </w:pPr>
          </w:p>
        </w:tc>
        <w:tc>
          <w:tcPr>
            <w:tcW w:w="10080" w:type="dxa"/>
            <w:vAlign w:val="bottom"/>
            <w:tcBorders>
              <w:bottom w:val="single" w:sz="8" w:color="0000EE"/>
            </w:tcBorders>
            <w:gridSpan w:val="13"/>
          </w:tcPr>
          <w:p>
            <w:pPr>
              <w:spacing w:after="0" w:line="176" w:lineRule="exact"/>
              <w:rPr>
                <w:rFonts w:ascii="Arial" w:cs="Arial" w:eastAsia="Arial" w:hAnsi="Arial"/>
                <w:sz w:val="18"/>
                <w:szCs w:val="18"/>
                <w:color w:val="0000EE"/>
                <w:w w:val="93"/>
              </w:rPr>
            </w:pPr>
            <w:hyperlink r:id="rId65">
              <w:r>
                <w:rPr>
                  <w:rFonts w:ascii="Arial" w:cs="Arial" w:eastAsia="Arial" w:hAnsi="Arial"/>
                  <w:sz w:val="18"/>
                  <w:szCs w:val="18"/>
                  <w:color w:val="0000EE"/>
                  <w:w w:val="93"/>
                </w:rPr>
                <w:t>Form of Indenture, by and among the Company, the guarantors from time to time party thereto and U.S. Bank, National Association, as</w:t>
              </w:r>
            </w:hyperlink>
          </w:p>
        </w:tc>
        <w:tc>
          <w:tcPr>
            <w:tcW w:w="2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trustee (1).</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76" w:lineRule="exact"/>
              <w:rPr>
                <w:rFonts w:ascii="Arial" w:cs="Arial" w:eastAsia="Arial" w:hAnsi="Arial"/>
                <w:sz w:val="18"/>
                <w:szCs w:val="18"/>
                <w:color w:val="0000EE"/>
              </w:rPr>
            </w:pPr>
            <w:hyperlink r:id="rId65">
              <w:r>
                <w:rPr>
                  <w:rFonts w:ascii="Arial" w:cs="Arial" w:eastAsia="Arial" w:hAnsi="Arial"/>
                  <w:sz w:val="18"/>
                  <w:szCs w:val="18"/>
                  <w:color w:val="0000EE"/>
                </w:rPr>
                <w:t>Form of 9.0%/11.0% Convertible Senior PIK Toggle Note due 2026, included as Exhibit A to Exhibit 4.1 (1).</w:t>
              </w:r>
            </w:hyperlink>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tcBorders>
              <w:top w:val="single" w:sz="8" w:color="CCEEFF"/>
            </w:tcBorders>
          </w:tcPr>
          <w:p>
            <w:pPr>
              <w:spacing w:after="0"/>
              <w:rPr>
                <w:sz w:val="15"/>
                <w:szCs w:val="15"/>
                <w:color w:val="auto"/>
              </w:rPr>
            </w:pPr>
          </w:p>
        </w:tc>
        <w:tc>
          <w:tcPr>
            <w:tcW w:w="788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r:id="rId66">
              <w:r>
                <w:rPr>
                  <w:rFonts w:ascii="Arial" w:cs="Arial" w:eastAsia="Arial" w:hAnsi="Arial"/>
                  <w:sz w:val="18"/>
                  <w:szCs w:val="18"/>
                  <w:color w:val="0000EE"/>
                </w:rPr>
                <w:t>Form of Equity Subscription Agreement (1).</w:t>
              </w:r>
            </w:hyperlink>
          </w:p>
        </w:tc>
        <w:tc>
          <w:tcPr>
            <w:tcW w:w="2220" w:type="dxa"/>
            <w:vAlign w:val="bottom"/>
            <w:tcBorders>
              <w:top w:val="single" w:sz="8" w:color="CCEEFF"/>
            </w:tcBorders>
            <w:gridSpan w:val="2"/>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17"/>
                <w:szCs w:val="17"/>
                <w:color w:val="auto"/>
              </w:rPr>
            </w:pPr>
          </w:p>
        </w:tc>
        <w:tc>
          <w:tcPr>
            <w:tcW w:w="398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2"/>
              </w:rPr>
            </w:pPr>
            <w:hyperlink r:id="rId67">
              <w:r>
                <w:rPr>
                  <w:rFonts w:ascii="Arial" w:cs="Arial" w:eastAsia="Arial" w:hAnsi="Arial"/>
                  <w:sz w:val="18"/>
                  <w:szCs w:val="18"/>
                  <w:color w:val="0000EE"/>
                  <w:w w:val="92"/>
                </w:rPr>
                <w:t>Form of Convertible Note Subscription Agreement (1).</w:t>
              </w:r>
            </w:hyperlink>
          </w:p>
        </w:tc>
        <w:tc>
          <w:tcPr>
            <w:tcW w:w="6120" w:type="dxa"/>
            <w:vAlign w:val="bottom"/>
            <w:tcBorders>
              <w:bottom w:val="single" w:sz="8" w:color="CCEEFF"/>
            </w:tcBorders>
            <w:gridSpan w:val="6"/>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5"/>
                <w:szCs w:val="15"/>
                <w:color w:val="auto"/>
              </w:rPr>
            </w:pPr>
          </w:p>
        </w:tc>
        <w:tc>
          <w:tcPr>
            <w:tcW w:w="10100" w:type="dxa"/>
            <w:vAlign w:val="bottom"/>
            <w:gridSpan w:val="14"/>
          </w:tcPr>
          <w:p>
            <w:pPr>
              <w:spacing w:after="0" w:line="176" w:lineRule="exact"/>
              <w:rPr>
                <w:rFonts w:ascii="Arial" w:cs="Arial" w:eastAsia="Arial" w:hAnsi="Arial"/>
                <w:sz w:val="18"/>
                <w:szCs w:val="18"/>
                <w:color w:val="0000EE"/>
              </w:rPr>
            </w:pPr>
            <w:hyperlink r:id="rId68">
              <w:r>
                <w:rPr>
                  <w:rFonts w:ascii="Arial" w:cs="Arial" w:eastAsia="Arial" w:hAnsi="Arial"/>
                  <w:sz w:val="18"/>
                  <w:szCs w:val="18"/>
                  <w:color w:val="0000EE"/>
                </w:rPr>
                <w:t>Form of Amended and Restated Warrant Agreement (1).</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5"/>
                <w:szCs w:val="15"/>
                <w:color w:val="auto"/>
              </w:rPr>
            </w:pPr>
          </w:p>
        </w:tc>
        <w:tc>
          <w:tcPr>
            <w:tcW w:w="10100" w:type="dxa"/>
            <w:vAlign w:val="bottom"/>
            <w:gridSpan w:val="14"/>
            <w:shd w:val="clear" w:color="auto" w:fill="CCEEFF"/>
          </w:tcPr>
          <w:p>
            <w:pPr>
              <w:spacing w:after="0" w:line="176" w:lineRule="exact"/>
              <w:rPr>
                <w:rFonts w:ascii="Arial" w:cs="Arial" w:eastAsia="Arial" w:hAnsi="Arial"/>
                <w:sz w:val="18"/>
                <w:szCs w:val="18"/>
                <w:color w:val="0000EE"/>
              </w:rPr>
            </w:pPr>
            <w:hyperlink r:id="rId69">
              <w:r>
                <w:rPr>
                  <w:rFonts w:ascii="Arial" w:cs="Arial" w:eastAsia="Arial" w:hAnsi="Arial"/>
                  <w:sz w:val="18"/>
                  <w:szCs w:val="18"/>
                  <w:color w:val="0000EE"/>
                </w:rPr>
                <w:t>Form of Amended and Restated Registration Rights Agreement (1).</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4"/>
          </w:tcPr>
          <w:p>
            <w:pPr>
              <w:spacing w:after="0" w:line="176" w:lineRule="exact"/>
              <w:rPr>
                <w:rFonts w:ascii="Arial" w:cs="Arial" w:eastAsia="Arial" w:hAnsi="Arial"/>
                <w:sz w:val="18"/>
                <w:szCs w:val="18"/>
                <w:color w:val="0000EE"/>
                <w:w w:val="98"/>
              </w:rPr>
            </w:pPr>
            <w:hyperlink r:id="rId70">
              <w:r>
                <w:rPr>
                  <w:rFonts w:ascii="Arial" w:cs="Arial" w:eastAsia="Arial" w:hAnsi="Arial"/>
                  <w:sz w:val="18"/>
                  <w:szCs w:val="18"/>
                  <w:color w:val="0000EE"/>
                  <w:w w:val="98"/>
                </w:rPr>
                <w:t>Sponsor Support Agreement, dated as of November 10, 2021, by and among Ventoux CCM Sponsor LLC, Chardan International</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Investments, LLC, the Company and Presto. (1)</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6"/>
              </w:rPr>
            </w:pPr>
            <w:hyperlink r:id="rId71">
              <w:r>
                <w:rPr>
                  <w:rFonts w:ascii="Arial" w:cs="Arial" w:eastAsia="Arial" w:hAnsi="Arial"/>
                  <w:sz w:val="18"/>
                  <w:szCs w:val="18"/>
                  <w:color w:val="0000EE"/>
                  <w:w w:val="96"/>
                </w:rPr>
                <w:t>Form of Presto Stockholder Support Agreement, dated as of November 10, 2021, by and among certain stockholders of Presto, the</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Company and Presto (1).</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5"/>
                <w:szCs w:val="15"/>
                <w:color w:val="auto"/>
              </w:rPr>
            </w:pPr>
          </w:p>
        </w:tc>
        <w:tc>
          <w:tcPr>
            <w:tcW w:w="10100" w:type="dxa"/>
            <w:vAlign w:val="bottom"/>
            <w:gridSpan w:val="14"/>
          </w:tcPr>
          <w:p>
            <w:pPr>
              <w:spacing w:after="0" w:line="176" w:lineRule="exact"/>
              <w:rPr>
                <w:rFonts w:ascii="Arial" w:cs="Arial" w:eastAsia="Arial" w:hAnsi="Arial"/>
                <w:sz w:val="18"/>
                <w:szCs w:val="18"/>
                <w:color w:val="0000EE"/>
              </w:rPr>
            </w:pPr>
            <w:hyperlink r:id="rId72">
              <w:r>
                <w:rPr>
                  <w:rFonts w:ascii="Arial" w:cs="Arial" w:eastAsia="Arial" w:hAnsi="Arial"/>
                  <w:sz w:val="18"/>
                  <w:szCs w:val="18"/>
                  <w:color w:val="0000EE"/>
                </w:rPr>
                <w:t>Form of Governance Agreement (1).</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Certification of Principal Executive Officer pursuant to Rules 13a-14(a) and 15d-14(a) under the Securities Exchange Act of 1934, as</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adopted pursuant to Section 302 of the Sarbanes-Oxley Act of 2002.</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4"/>
          </w:tcPr>
          <w:p>
            <w:pPr>
              <w:spacing w:after="0" w:line="176" w:lineRule="exact"/>
              <w:rPr>
                <w:rFonts w:ascii="Arial" w:cs="Arial" w:eastAsia="Arial" w:hAnsi="Arial"/>
                <w:sz w:val="18"/>
                <w:szCs w:val="18"/>
                <w:color w:val="0000EE"/>
                <w:w w:val="96"/>
              </w:rPr>
            </w:pPr>
            <w:hyperlink w:anchor="page38">
              <w:r>
                <w:rPr>
                  <w:rFonts w:ascii="Arial" w:cs="Arial" w:eastAsia="Arial" w:hAnsi="Arial"/>
                  <w:sz w:val="18"/>
                  <w:szCs w:val="18"/>
                  <w:color w:val="0000EE"/>
                  <w:w w:val="96"/>
                </w:rPr>
                <w:t>Certification of Principal Financial Officer pursuant to Rules 13a-14(a) and 15d-14(a) under the Securities Exchange Act of 1934, as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adopted pursuant to Section 302 of the Sarbanes-Oxley Act of 2002.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Act of 2002.</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32.2**</w:t>
            </w:r>
          </w:p>
        </w:tc>
        <w:tc>
          <w:tcPr>
            <w:tcW w:w="120" w:type="dxa"/>
            <w:vAlign w:val="bottom"/>
          </w:tcPr>
          <w:p>
            <w:pPr>
              <w:spacing w:after="0"/>
              <w:rPr>
                <w:sz w:val="15"/>
                <w:szCs w:val="15"/>
                <w:color w:val="auto"/>
              </w:rPr>
            </w:pPr>
          </w:p>
        </w:tc>
        <w:tc>
          <w:tcPr>
            <w:tcW w:w="10080" w:type="dxa"/>
            <w:vAlign w:val="bottom"/>
            <w:tcBorders>
              <w:bottom w:val="single" w:sz="8" w:color="0000EE"/>
            </w:tcBorders>
            <w:gridSpan w:val="13"/>
          </w:tcPr>
          <w:p>
            <w:pPr>
              <w:spacing w:after="0" w:line="17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Certification of Principal Financial Officer pursuant to 18 U.S.C. Section 1350, as adopted pursuant to Section 906 of the Sarbanes-Oxley</w:t>
              </w:r>
            </w:hyperlink>
          </w:p>
        </w:tc>
        <w:tc>
          <w:tcPr>
            <w:tcW w:w="2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Act of 2002.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340" w:right="20" w:hanging="339"/>
        <w:spacing w:after="0" w:line="250" w:lineRule="auto"/>
        <w:tabs>
          <w:tab w:leader="none" w:pos="320" w:val="left"/>
        </w:tabs>
        <w:rPr>
          <w:sz w:val="20"/>
          <w:szCs w:val="20"/>
          <w:color w:val="auto"/>
        </w:rPr>
      </w:pPr>
      <w:r>
        <w:rPr>
          <w:rFonts w:ascii="Arial" w:cs="Arial" w:eastAsia="Arial" w:hAnsi="Arial"/>
          <w:sz w:val="18"/>
          <w:szCs w:val="18"/>
          <w:color w:val="auto"/>
        </w:rPr>
        <w:t>**</w:t>
        <w:tab/>
        <w:t>Furnished herewith. This certification is being furnished solely to accompany this report pursuant to 18 U.S.C. Section 1350, and is not being filed for purposes of Section 18 of the Exchange Act of 1934, as amended, and is not to be incorporated by reference into any filings of the Company, whether made before or after the date hereof, regardless of any general incorporation language in such filing.</w:t>
      </w:r>
    </w:p>
    <w:p>
      <w:pPr>
        <w:spacing w:after="0" w:line="1"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Certain of the exhibits and schedules to this Exhibit have been omitted in accordance with Regulation S-K Item 601(a)(5). The Registrant agrees to</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furnish a copy of all omitted exhibits and schedules to the SEC upon its request.</w:t>
      </w:r>
    </w:p>
    <w:p>
      <w:pPr>
        <w:spacing w:after="0" w:line="9"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Portions of this exhibit (indicated by +) have been omitted under rules of the SEC permitting the confidential treatment of select information.</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  Incorporated by reference to the Company’s Form 8-K, filed with the SEC on November 10, 2021.</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262"/>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3060"/>
              <w:spacing w:after="0"/>
              <w:rPr>
                <w:sz w:val="20"/>
                <w:szCs w:val="20"/>
                <w:color w:val="auto"/>
              </w:rPr>
            </w:pPr>
            <w:r>
              <w:rPr>
                <w:rFonts w:ascii="Arial" w:cs="Arial" w:eastAsia="Arial" w:hAnsi="Arial"/>
                <w:sz w:val="18"/>
                <w:szCs w:val="18"/>
                <w:b w:val="1"/>
                <w:bCs w:val="1"/>
                <w:color w:val="auto"/>
              </w:rPr>
              <w:t>VENTOUX CCM ACQUISITION CORP.</w:t>
            </w:r>
          </w:p>
        </w:tc>
      </w:tr>
      <w:tr>
        <w:trPr>
          <w:trHeight w:val="439"/>
        </w:trPr>
        <w:tc>
          <w:tcPr>
            <w:tcW w:w="3700" w:type="dxa"/>
            <w:vAlign w:val="bottom"/>
          </w:tcPr>
          <w:p>
            <w:pPr>
              <w:spacing w:after="0"/>
              <w:rPr>
                <w:sz w:val="20"/>
                <w:szCs w:val="20"/>
                <w:color w:val="auto"/>
              </w:rPr>
            </w:pPr>
            <w:r>
              <w:rPr>
                <w:rFonts w:ascii="Arial" w:cs="Arial" w:eastAsia="Arial" w:hAnsi="Arial"/>
                <w:sz w:val="18"/>
                <w:szCs w:val="18"/>
                <w:color w:val="auto"/>
              </w:rPr>
              <w:t>Date: November 15, 2021</w:t>
            </w:r>
          </w:p>
        </w:tc>
        <w:tc>
          <w:tcPr>
            <w:tcW w:w="3620" w:type="dxa"/>
            <w:vAlign w:val="bottom"/>
          </w:tcPr>
          <w:p>
            <w:pPr>
              <w:ind w:left="30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Scheetz</w:t>
            </w:r>
          </w:p>
        </w:tc>
      </w:tr>
      <w:tr>
        <w:trPr>
          <w:trHeight w:val="202"/>
        </w:trPr>
        <w:tc>
          <w:tcPr>
            <w:tcW w:w="3700" w:type="dxa"/>
            <w:vAlign w:val="bottom"/>
          </w:tcPr>
          <w:p>
            <w:pPr>
              <w:spacing w:after="0"/>
              <w:rPr>
                <w:sz w:val="17"/>
                <w:szCs w:val="17"/>
                <w:color w:val="auto"/>
              </w:rPr>
            </w:pPr>
          </w:p>
        </w:tc>
        <w:tc>
          <w:tcPr>
            <w:tcW w:w="3620" w:type="dxa"/>
            <w:vAlign w:val="bottom"/>
          </w:tcPr>
          <w:p>
            <w:pPr>
              <w:ind w:left="306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Edward Scheetz</w:t>
            </w:r>
          </w:p>
        </w:tc>
      </w:tr>
      <w:tr>
        <w:trPr>
          <w:trHeight w:val="216"/>
        </w:trPr>
        <w:tc>
          <w:tcPr>
            <w:tcW w:w="3700" w:type="dxa"/>
            <w:vAlign w:val="bottom"/>
          </w:tcPr>
          <w:p>
            <w:pPr>
              <w:spacing w:after="0"/>
              <w:rPr>
                <w:sz w:val="18"/>
                <w:szCs w:val="18"/>
                <w:color w:val="auto"/>
              </w:rPr>
            </w:pPr>
          </w:p>
        </w:tc>
        <w:tc>
          <w:tcPr>
            <w:tcW w:w="3620" w:type="dxa"/>
            <w:vAlign w:val="bottom"/>
          </w:tcPr>
          <w:p>
            <w:pPr>
              <w:ind w:left="30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37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9"/>
        </w:trPr>
        <w:tc>
          <w:tcPr>
            <w:tcW w:w="3700" w:type="dxa"/>
            <w:vAlign w:val="bottom"/>
          </w:tcPr>
          <w:p>
            <w:pPr>
              <w:spacing w:after="0"/>
              <w:rPr>
                <w:sz w:val="20"/>
                <w:szCs w:val="20"/>
                <w:color w:val="auto"/>
              </w:rPr>
            </w:pPr>
            <w:r>
              <w:rPr>
                <w:rFonts w:ascii="Arial" w:cs="Arial" w:eastAsia="Arial" w:hAnsi="Arial"/>
                <w:sz w:val="18"/>
                <w:szCs w:val="18"/>
                <w:color w:val="auto"/>
              </w:rPr>
              <w:t>Date: November 15, 2021</w:t>
            </w:r>
          </w:p>
        </w:tc>
        <w:tc>
          <w:tcPr>
            <w:tcW w:w="3620" w:type="dxa"/>
            <w:vAlign w:val="bottom"/>
          </w:tcPr>
          <w:p>
            <w:pPr>
              <w:ind w:left="30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MacDonald</w:t>
            </w:r>
          </w:p>
        </w:tc>
      </w:tr>
      <w:tr>
        <w:trPr>
          <w:trHeight w:val="202"/>
        </w:trPr>
        <w:tc>
          <w:tcPr>
            <w:tcW w:w="3700" w:type="dxa"/>
            <w:vAlign w:val="bottom"/>
          </w:tcPr>
          <w:p>
            <w:pPr>
              <w:spacing w:after="0"/>
              <w:rPr>
                <w:sz w:val="17"/>
                <w:szCs w:val="17"/>
                <w:color w:val="auto"/>
              </w:rPr>
            </w:pPr>
          </w:p>
        </w:tc>
        <w:tc>
          <w:tcPr>
            <w:tcW w:w="3620" w:type="dxa"/>
            <w:vAlign w:val="bottom"/>
          </w:tcPr>
          <w:p>
            <w:pPr>
              <w:ind w:left="306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Matthew MacDonald</w:t>
            </w:r>
          </w:p>
        </w:tc>
      </w:tr>
      <w:tr>
        <w:trPr>
          <w:trHeight w:val="216"/>
        </w:trPr>
        <w:tc>
          <w:tcPr>
            <w:tcW w:w="3700" w:type="dxa"/>
            <w:vAlign w:val="bottom"/>
          </w:tcPr>
          <w:p>
            <w:pPr>
              <w:spacing w:after="0"/>
              <w:rPr>
                <w:sz w:val="18"/>
                <w:szCs w:val="18"/>
                <w:color w:val="auto"/>
              </w:rPr>
            </w:pPr>
          </w:p>
        </w:tc>
        <w:tc>
          <w:tcPr>
            <w:tcW w:w="3620" w:type="dxa"/>
            <w:vAlign w:val="bottom"/>
          </w:tcPr>
          <w:p>
            <w:pPr>
              <w:ind w:left="30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7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Accounting and Financial Officer)</w:t>
            </w:r>
          </w:p>
        </w:tc>
      </w:tr>
      <w:tr>
        <w:trPr>
          <w:trHeight w:val="547"/>
        </w:trPr>
        <w:tc>
          <w:tcPr>
            <w:tcW w:w="37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ind w:left="1820"/>
              <w:spacing w:after="0"/>
              <w:rPr>
                <w:sz w:val="20"/>
                <w:szCs w:val="20"/>
                <w:color w:val="auto"/>
              </w:rPr>
            </w:pPr>
            <w:r>
              <w:rPr>
                <w:rFonts w:ascii="Arial" w:cs="Arial" w:eastAsia="Arial" w:hAnsi="Arial"/>
                <w:sz w:val="18"/>
                <w:szCs w:val="18"/>
                <w:color w:val="auto"/>
              </w:rPr>
              <w:t>31</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Edward Scheetz,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Ventoux CCM Acquisition Corp.;</w:t>
      </w:r>
    </w:p>
    <w:p>
      <w:pPr>
        <w:spacing w:after="0" w:line="225" w:lineRule="exact"/>
        <w:rPr>
          <w:rFonts w:ascii="Arial" w:cs="Arial" w:eastAsia="Arial" w:hAnsi="Arial"/>
          <w:sz w:val="18"/>
          <w:szCs w:val="18"/>
          <w:color w:val="auto"/>
        </w:rPr>
      </w:pPr>
    </w:p>
    <w:p>
      <w:pPr>
        <w:jc w:val="both"/>
        <w:ind w:left="340" w:right="2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right="2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80" w:right="20" w:hanging="335"/>
        <w:spacing w:after="0" w:line="263" w:lineRule="auto"/>
        <w:tabs>
          <w:tab w:leader="none" w:pos="6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680" w:hanging="335"/>
        <w:spacing w:after="0"/>
        <w:tabs>
          <w:tab w:leader="none" w:pos="6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680" w:right="20" w:hanging="335"/>
        <w:spacing w:after="0" w:line="308" w:lineRule="auto"/>
        <w:tabs>
          <w:tab w:leader="none" w:pos="6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80" w:right="20" w:hanging="335"/>
        <w:spacing w:after="0" w:line="263" w:lineRule="auto"/>
        <w:tabs>
          <w:tab w:leader="none" w:pos="6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80" w:right="20" w:hanging="335"/>
        <w:spacing w:after="0" w:line="277" w:lineRule="auto"/>
        <w:tabs>
          <w:tab w:leader="none" w:pos="6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right="20" w:hanging="335"/>
        <w:spacing w:after="0" w:line="277" w:lineRule="auto"/>
        <w:tabs>
          <w:tab w:leader="none" w:pos="6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Edward Scheetz</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Matthew MacDonald,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Ventoux CCM Acquisition Corp.;</w:t>
      </w:r>
    </w:p>
    <w:p>
      <w:pPr>
        <w:spacing w:after="0" w:line="225" w:lineRule="exact"/>
        <w:rPr>
          <w:rFonts w:ascii="Arial" w:cs="Arial" w:eastAsia="Arial" w:hAnsi="Arial"/>
          <w:sz w:val="18"/>
          <w:szCs w:val="18"/>
          <w:color w:val="auto"/>
        </w:rPr>
      </w:pPr>
    </w:p>
    <w:p>
      <w:pPr>
        <w:jc w:val="both"/>
        <w:ind w:left="340" w:right="2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right="2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80" w:right="20" w:hanging="335"/>
        <w:spacing w:after="0" w:line="263" w:lineRule="auto"/>
        <w:tabs>
          <w:tab w:leader="none" w:pos="6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680" w:hanging="335"/>
        <w:spacing w:after="0"/>
        <w:tabs>
          <w:tab w:leader="none" w:pos="6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680" w:right="20" w:hanging="335"/>
        <w:spacing w:after="0" w:line="308" w:lineRule="auto"/>
        <w:tabs>
          <w:tab w:leader="none" w:pos="6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80" w:right="20" w:hanging="335"/>
        <w:spacing w:after="0" w:line="263" w:lineRule="auto"/>
        <w:tabs>
          <w:tab w:leader="none" w:pos="6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80" w:right="20" w:hanging="335"/>
        <w:spacing w:after="0" w:line="277" w:lineRule="auto"/>
        <w:tabs>
          <w:tab w:leader="none" w:pos="6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right="20" w:hanging="335"/>
        <w:spacing w:after="0" w:line="277" w:lineRule="auto"/>
        <w:tabs>
          <w:tab w:leader="none" w:pos="6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Matthew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Matthew MacDonald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Accounting and Financial Officer)</w:t>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Ventoux CCM Acquisition Corp. (the “Company”) on Form 10-Q for the quarterly period ended September 30, 2021, as filed with the Securities and Exchange Commission (the “Report”), I, Edward Scheetz, Chief Executive Officer of the Company, certify, pursuant to 18 U.S.C. §1350, as adopted pursuant to §906 of the Sarbanes-Oxley Act of 2002, that:</w:t>
      </w:r>
    </w:p>
    <w:p>
      <w:pPr>
        <w:spacing w:after="0" w:line="184" w:lineRule="exact"/>
        <w:rPr>
          <w:sz w:val="20"/>
          <w:szCs w:val="20"/>
          <w:color w:val="auto"/>
        </w:rPr>
      </w:pPr>
    </w:p>
    <w:p>
      <w:pPr>
        <w:ind w:left="680" w:hanging="335"/>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80" w:right="20" w:hanging="335"/>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15,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Edward Scheetz</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Ventoux CCM Acquisition Corp. (the “Company”) on Form 10-Q for the quarterly period ended September 30, 2021, as filed with the Securities and Exchange Commission (the “Report”), I, Matthew MacDonald, Chief Financial Officer of the Company, certify, pursuant to 18 U.S.C. §1350, as adopted pursuant to §906 of the Sarbanes-Oxley Act of 2002, that:</w:t>
      </w:r>
    </w:p>
    <w:p>
      <w:pPr>
        <w:spacing w:after="0" w:line="184" w:lineRule="exact"/>
        <w:rPr>
          <w:sz w:val="20"/>
          <w:szCs w:val="20"/>
          <w:color w:val="auto"/>
        </w:rPr>
      </w:pPr>
    </w:p>
    <w:p>
      <w:pPr>
        <w:ind w:left="680" w:hanging="335"/>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80" w:right="20" w:hanging="335"/>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15,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Matthew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Matthew MacDonald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Accounting and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
      <w:numFmt w:val="bullet"/>
      <w:start w:val="1"/>
    </w:lvl>
  </w:abstractNum>
  <w:abstractNum w:abstractNumId="1">
    <w:nsid w:val="12200854"/>
    <w:multiLevelType w:val="hybridMultilevel"/>
    <w:lvl w:ilvl="0">
      <w:lvlJc w:val="left"/>
      <w:lvlText w:val="\emdash "/>
      <w:numFmt w:val="bullet"/>
      <w:start w:val="1"/>
    </w:lvl>
  </w:abstractNum>
  <w:abstractNum w:abstractNumId="2">
    <w:nsid w:val="4DB127F8"/>
    <w:multiLevelType w:val="hybridMultilevel"/>
    <w:lvl w:ilvl="0">
      <w:lvlJc w:val="left"/>
      <w:lvlText w:val="\emdash "/>
      <w:numFmt w:val="bullet"/>
      <w:start w:val="1"/>
    </w:lvl>
  </w:abstractNum>
  <w:abstractNum w:abstractNumId="3">
    <w:nsid w:val="216231B"/>
    <w:multiLevelType w:val="hybridMultilevel"/>
    <w:lvl w:ilvl="0">
      <w:lvlJc w:val="left"/>
      <w:lvlText w:val="(%1)"/>
      <w:numFmt w:val="lowerRoman"/>
      <w:start w:val="3"/>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64" Type="http://schemas.openxmlformats.org/officeDocument/2006/relationships/hyperlink" Target="https://www.sec.gov/Archives/edgar/data/1822145/000121390021058217/ea150262ex2-1_ventouxccm.htm" TargetMode="External"/><Relationship Id="rId65" Type="http://schemas.openxmlformats.org/officeDocument/2006/relationships/hyperlink" Target="https://www.sec.gov/Archives/edgar/data/1822145/000121390021058217/ea150262ex4-1_ventouxccm.htm" TargetMode="External"/><Relationship Id="rId66" Type="http://schemas.openxmlformats.org/officeDocument/2006/relationships/hyperlink" Target="https://www.sec.gov/Archives/edgar/data/1822145/000121390021058217/ea150262ex10-1_ventouxccm.htm" TargetMode="External"/><Relationship Id="rId67" Type="http://schemas.openxmlformats.org/officeDocument/2006/relationships/hyperlink" Target="https://www.sec.gov/Archives/edgar/data/1822145/000121390021058217/ea150262ex10-2_ventouxccm.htm" TargetMode="External"/><Relationship Id="rId68" Type="http://schemas.openxmlformats.org/officeDocument/2006/relationships/hyperlink" Target="https://www.sec.gov/Archives/edgar/data/1822145/000121390021058217/ea150262ex10-3_ventouxccm.htm" TargetMode="External"/><Relationship Id="rId69" Type="http://schemas.openxmlformats.org/officeDocument/2006/relationships/hyperlink" Target="https://www.sec.gov/Archives/edgar/data/1822145/000121390021058217/ea150262ex10-4_ventouxccm.htm" TargetMode="External"/><Relationship Id="rId70" Type="http://schemas.openxmlformats.org/officeDocument/2006/relationships/hyperlink" Target="https://www.sec.gov/Archives/edgar/data/1822145/000121390021058217/ea150262ex10-5_ventouxccm.htm" TargetMode="External"/><Relationship Id="rId71" Type="http://schemas.openxmlformats.org/officeDocument/2006/relationships/hyperlink" Target="https://www.sec.gov/Archives/edgar/data/1822145/000121390021058217/ea150262ex10-6_ventouxccm.htm" TargetMode="External"/><Relationship Id="rId72" Type="http://schemas.openxmlformats.org/officeDocument/2006/relationships/hyperlink" Target="https://www.sec.gov/Archives/edgar/data/1822145/000121390021058217/ea150262ex10-7_ventouxcc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2021-11-15T15:27:15Z</dcterms:created>
  <dcterms:modified xsi:type="dcterms:W3CDTF">2021-11-15T15:27:15Z</dcterms:modified>
</cp:coreProperties>
</file>