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20"/>
        <w:spacing w:after="0"/>
        <w:rPr>
          <w:sz w:val="20"/>
          <w:szCs w:val="20"/>
          <w:color w:val="auto"/>
        </w:rPr>
      </w:pPr>
      <w:r>
        <w:rPr>
          <w:rFonts w:ascii="Arial" w:cs="Arial" w:eastAsia="Arial" w:hAnsi="Arial"/>
          <w:sz w:val="18"/>
          <w:szCs w:val="18"/>
          <w:b w:val="1"/>
          <w:bCs w:val="1"/>
          <w:color w:val="auto"/>
        </w:rPr>
        <w:t>As filed with the Securities and Exchange Commission on December 16, 2020.</w:t>
      </w:r>
    </w:p>
    <w:p>
      <w:pPr>
        <w:spacing w:after="0" w:line="36" w:lineRule="exact"/>
        <w:rPr>
          <w:sz w:val="24"/>
          <w:szCs w:val="24"/>
          <w:color w:val="auto"/>
        </w:rPr>
      </w:pPr>
    </w:p>
    <w:p>
      <w:pPr>
        <w:ind w:left="6380"/>
        <w:spacing w:after="0"/>
        <w:rPr>
          <w:sz w:val="20"/>
          <w:szCs w:val="20"/>
          <w:color w:val="auto"/>
        </w:rPr>
      </w:pPr>
      <w:r>
        <w:rPr>
          <w:rFonts w:ascii="Arial" w:cs="Arial" w:eastAsia="Arial" w:hAnsi="Arial"/>
          <w:sz w:val="18"/>
          <w:szCs w:val="18"/>
          <w:b w:val="1"/>
          <w:bCs w:val="1"/>
          <w:color w:val="auto"/>
        </w:rPr>
        <w:t>Registration No. 333-251048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68580</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111760</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_____________________</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9"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_____________________</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VENTOUX CCM ACQUISITION CORP.</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_____________________</w:t>
      </w:r>
    </w:p>
    <w:p>
      <w:pPr>
        <w:spacing w:after="0" w:line="225" w:lineRule="exact"/>
        <w:rPr>
          <w:sz w:val="24"/>
          <w:szCs w:val="24"/>
          <w:color w:val="auto"/>
        </w:rPr>
      </w:pPr>
    </w:p>
    <w:tbl>
      <w:tblPr>
        <w:tblLayout w:type="fixed"/>
        <w:tblInd w:w="460" w:type="dxa"/>
        <w:tblCellMar>
          <w:top w:w="0" w:type="dxa"/>
          <w:left w:w="0" w:type="dxa"/>
          <w:bottom w:w="0" w:type="dxa"/>
          <w:right w:w="0" w:type="dxa"/>
        </w:tblCellMar>
      </w:tblPr>
      <w:tr>
        <w:trPr>
          <w:trHeight w:val="210"/>
        </w:trPr>
        <w:tc>
          <w:tcPr>
            <w:tcW w:w="2700" w:type="dxa"/>
            <w:vAlign w:val="bottom"/>
            <w:gridSpan w:val="2"/>
          </w:tcPr>
          <w:p>
            <w:pPr>
              <w:ind w:left="940"/>
              <w:spacing w:after="0"/>
              <w:rPr>
                <w:sz w:val="20"/>
                <w:szCs w:val="20"/>
                <w:color w:val="auto"/>
              </w:rPr>
            </w:pPr>
            <w:r>
              <w:rPr>
                <w:rFonts w:ascii="Arial" w:cs="Arial" w:eastAsia="Arial" w:hAnsi="Arial"/>
                <w:sz w:val="16"/>
                <w:szCs w:val="16"/>
                <w:b w:val="1"/>
                <w:bCs w:val="1"/>
                <w:color w:val="auto"/>
              </w:rPr>
              <w:t>Delaware</w:t>
            </w:r>
          </w:p>
        </w:tc>
        <w:tc>
          <w:tcPr>
            <w:tcW w:w="2600" w:type="dxa"/>
            <w:vAlign w:val="bottom"/>
          </w:tcPr>
          <w:p>
            <w:pPr>
              <w:jc w:val="center"/>
              <w:spacing w:after="0"/>
              <w:rPr>
                <w:sz w:val="20"/>
                <w:szCs w:val="20"/>
                <w:color w:val="auto"/>
              </w:rPr>
            </w:pPr>
            <w:r>
              <w:rPr>
                <w:rFonts w:ascii="Arial" w:cs="Arial" w:eastAsia="Arial" w:hAnsi="Arial"/>
                <w:sz w:val="16"/>
                <w:szCs w:val="16"/>
                <w:b w:val="1"/>
                <w:bCs w:val="1"/>
                <w:color w:val="auto"/>
                <w:w w:val="89"/>
              </w:rPr>
              <w:t>6770</w:t>
            </w:r>
          </w:p>
        </w:tc>
        <w:tc>
          <w:tcPr>
            <w:tcW w:w="1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6"/>
                <w:szCs w:val="16"/>
                <w:b w:val="1"/>
                <w:bCs w:val="1"/>
                <w:color w:val="auto"/>
                <w:w w:val="91"/>
              </w:rPr>
              <w:t>84-2968594</w:t>
            </w: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600" w:type="dxa"/>
            <w:vAlign w:val="bottom"/>
          </w:tcPr>
          <w:p>
            <w:pPr>
              <w:ind w:left="220"/>
              <w:spacing w:after="0" w:line="195" w:lineRule="exact"/>
              <w:rPr>
                <w:sz w:val="20"/>
                <w:szCs w:val="20"/>
                <w:color w:val="auto"/>
              </w:rPr>
            </w:pPr>
            <w:r>
              <w:rPr>
                <w:rFonts w:ascii="Arial" w:cs="Arial" w:eastAsia="Arial" w:hAnsi="Arial"/>
                <w:sz w:val="18"/>
                <w:szCs w:val="18"/>
                <w:color w:val="auto"/>
              </w:rPr>
              <w:t>(State or other jurisdiction of</w:t>
            </w:r>
          </w:p>
        </w:tc>
        <w:tc>
          <w:tcPr>
            <w:tcW w:w="100" w:type="dxa"/>
            <w:vAlign w:val="bottom"/>
            <w:vMerge w:val="continue"/>
          </w:tcPr>
          <w:p>
            <w:pPr>
              <w:spacing w:after="0"/>
              <w:rPr>
                <w:sz w:val="16"/>
                <w:szCs w:val="16"/>
                <w:color w:val="auto"/>
              </w:rPr>
            </w:pPr>
          </w:p>
        </w:tc>
        <w:tc>
          <w:tcPr>
            <w:tcW w:w="2600" w:type="dxa"/>
            <w:vAlign w:val="bottom"/>
          </w:tcPr>
          <w:p>
            <w:pPr>
              <w:jc w:val="center"/>
              <w:spacing w:after="0" w:line="195" w:lineRule="exact"/>
              <w:rPr>
                <w:sz w:val="20"/>
                <w:szCs w:val="20"/>
                <w:color w:val="auto"/>
              </w:rPr>
            </w:pPr>
            <w:r>
              <w:rPr>
                <w:rFonts w:ascii="Arial" w:cs="Arial" w:eastAsia="Arial" w:hAnsi="Arial"/>
                <w:sz w:val="18"/>
                <w:szCs w:val="18"/>
                <w:color w:val="auto"/>
                <w:w w:val="91"/>
              </w:rPr>
              <w:t>(Primary Standard Industrial</w:t>
            </w:r>
          </w:p>
        </w:tc>
        <w:tc>
          <w:tcPr>
            <w:tcW w:w="100" w:type="dxa"/>
            <w:vAlign w:val="bottom"/>
            <w:vMerge w:val="continue"/>
          </w:tcPr>
          <w:p>
            <w:pPr>
              <w:spacing w:after="0"/>
              <w:rPr>
                <w:sz w:val="16"/>
                <w:szCs w:val="16"/>
                <w:color w:val="auto"/>
              </w:rPr>
            </w:pPr>
          </w:p>
        </w:tc>
        <w:tc>
          <w:tcPr>
            <w:tcW w:w="2700" w:type="dxa"/>
            <w:vAlign w:val="bottom"/>
          </w:tcPr>
          <w:p>
            <w:pPr>
              <w:jc w:val="center"/>
              <w:spacing w:after="0" w:line="195" w:lineRule="exact"/>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230"/>
        </w:trPr>
        <w:tc>
          <w:tcPr>
            <w:tcW w:w="2700" w:type="dxa"/>
            <w:vAlign w:val="bottom"/>
            <w:gridSpan w:val="2"/>
          </w:tcPr>
          <w:p>
            <w:pPr>
              <w:ind w:left="220"/>
              <w:spacing w:after="0"/>
              <w:rPr>
                <w:sz w:val="20"/>
                <w:szCs w:val="20"/>
                <w:color w:val="auto"/>
              </w:rPr>
            </w:pPr>
            <w:r>
              <w:rPr>
                <w:rFonts w:ascii="Arial" w:cs="Arial" w:eastAsia="Arial" w:hAnsi="Arial"/>
                <w:sz w:val="18"/>
                <w:szCs w:val="18"/>
                <w:color w:val="auto"/>
              </w:rPr>
              <w:t>incorporation or organization)</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Classification Code Number)</w:t>
            </w:r>
          </w:p>
        </w:tc>
        <w:tc>
          <w:tcPr>
            <w:tcW w:w="27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East Putnam Avenue, Floor 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Greenwich, CT 06830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465-9000</w:t>
      </w:r>
    </w:p>
    <w:p>
      <w:pPr>
        <w:spacing w:after="0" w:line="9"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32"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_____________________</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Edward Scheetz</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Chairman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East Putnam Avenue, Floor 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Greenwich, CT 06830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465-9000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9"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_____________________</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181" w:lineRule="exact"/>
        <w:rPr>
          <w:sz w:val="24"/>
          <w:szCs w:val="24"/>
          <w:color w:val="auto"/>
        </w:rPr>
      </w:pPr>
    </w:p>
    <w:tbl>
      <w:tblPr>
        <w:tblLayout w:type="fixed"/>
        <w:tblInd w:w="1360" w:type="dxa"/>
        <w:tblCellMar>
          <w:top w:w="0" w:type="dxa"/>
          <w:left w:w="0" w:type="dxa"/>
          <w:bottom w:w="0" w:type="dxa"/>
          <w:right w:w="0" w:type="dxa"/>
        </w:tblCellMar>
      </w:tblPr>
      <w:tr>
        <w:trPr>
          <w:trHeight w:val="216"/>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Mitchell S. Nussbaum</w:t>
            </w:r>
          </w:p>
        </w:tc>
        <w:tc>
          <w:tcPr>
            <w:tcW w:w="4080" w:type="dxa"/>
            <w:vAlign w:val="bottom"/>
          </w:tcPr>
          <w:p>
            <w:pPr>
              <w:jc w:val="center"/>
              <w:ind w:left="1850"/>
              <w:spacing w:after="0"/>
              <w:rPr>
                <w:sz w:val="20"/>
                <w:szCs w:val="20"/>
                <w:color w:val="auto"/>
              </w:rPr>
            </w:pPr>
            <w:r>
              <w:rPr>
                <w:rFonts w:ascii="Arial" w:cs="Arial" w:eastAsia="Arial" w:hAnsi="Arial"/>
                <w:sz w:val="18"/>
                <w:szCs w:val="18"/>
                <w:b w:val="1"/>
                <w:bCs w:val="1"/>
                <w:color w:val="auto"/>
                <w:w w:val="92"/>
              </w:rPr>
              <w:t>Alan I. Annex</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Giovanni Caruso</w:t>
            </w:r>
          </w:p>
        </w:tc>
        <w:tc>
          <w:tcPr>
            <w:tcW w:w="4080" w:type="dxa"/>
            <w:vAlign w:val="bottom"/>
          </w:tcPr>
          <w:p>
            <w:pPr>
              <w:jc w:val="center"/>
              <w:ind w:left="1850"/>
              <w:spacing w:after="0"/>
              <w:rPr>
                <w:sz w:val="20"/>
                <w:szCs w:val="20"/>
                <w:color w:val="auto"/>
              </w:rPr>
            </w:pPr>
            <w:r>
              <w:rPr>
                <w:rFonts w:ascii="Arial" w:cs="Arial" w:eastAsia="Arial" w:hAnsi="Arial"/>
                <w:sz w:val="18"/>
                <w:szCs w:val="18"/>
                <w:b w:val="1"/>
                <w:bCs w:val="1"/>
                <w:color w:val="auto"/>
                <w:w w:val="92"/>
              </w:rPr>
              <w:t>Philip R. Weingold</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5"/>
              </w:rPr>
              <w:t>Loeb &amp; Loeb LLP</w:t>
            </w:r>
          </w:p>
        </w:tc>
        <w:tc>
          <w:tcPr>
            <w:tcW w:w="4080" w:type="dxa"/>
            <w:vAlign w:val="bottom"/>
          </w:tcPr>
          <w:p>
            <w:pPr>
              <w:jc w:val="center"/>
              <w:ind w:left="1850"/>
              <w:spacing w:after="0"/>
              <w:rPr>
                <w:sz w:val="20"/>
                <w:szCs w:val="20"/>
                <w:color w:val="auto"/>
              </w:rPr>
            </w:pPr>
            <w:r>
              <w:rPr>
                <w:rFonts w:ascii="Arial" w:cs="Arial" w:eastAsia="Arial" w:hAnsi="Arial"/>
                <w:sz w:val="18"/>
                <w:szCs w:val="18"/>
                <w:b w:val="1"/>
                <w:bCs w:val="1"/>
                <w:color w:val="auto"/>
                <w:w w:val="88"/>
              </w:rPr>
              <w:t>Jason T. Simon</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345 Park Avenue</w:t>
            </w:r>
          </w:p>
        </w:tc>
        <w:tc>
          <w:tcPr>
            <w:tcW w:w="4080" w:type="dxa"/>
            <w:vAlign w:val="bottom"/>
          </w:tcPr>
          <w:p>
            <w:pPr>
              <w:jc w:val="center"/>
              <w:ind w:left="1850"/>
              <w:spacing w:after="0"/>
              <w:rPr>
                <w:sz w:val="20"/>
                <w:szCs w:val="20"/>
                <w:color w:val="auto"/>
              </w:rPr>
            </w:pPr>
            <w:r>
              <w:rPr>
                <w:rFonts w:ascii="Arial" w:cs="Arial" w:eastAsia="Arial" w:hAnsi="Arial"/>
                <w:sz w:val="18"/>
                <w:szCs w:val="18"/>
                <w:b w:val="1"/>
                <w:bCs w:val="1"/>
                <w:color w:val="auto"/>
                <w:w w:val="94"/>
              </w:rPr>
              <w:t>Greenberg Traurig, LLP</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New York, New York 10154</w:t>
            </w:r>
          </w:p>
        </w:tc>
        <w:tc>
          <w:tcPr>
            <w:tcW w:w="4080" w:type="dxa"/>
            <w:vAlign w:val="bottom"/>
          </w:tcPr>
          <w:p>
            <w:pPr>
              <w:jc w:val="center"/>
              <w:ind w:left="1850"/>
              <w:spacing w:after="0"/>
              <w:rPr>
                <w:sz w:val="20"/>
                <w:szCs w:val="20"/>
                <w:color w:val="auto"/>
              </w:rPr>
            </w:pPr>
            <w:r>
              <w:rPr>
                <w:rFonts w:ascii="Arial" w:cs="Arial" w:eastAsia="Arial" w:hAnsi="Arial"/>
                <w:sz w:val="18"/>
                <w:szCs w:val="18"/>
                <w:b w:val="1"/>
                <w:bCs w:val="1"/>
                <w:color w:val="auto"/>
                <w:w w:val="90"/>
              </w:rPr>
              <w:t>200 Park Avenue</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2"/>
              </w:rPr>
              <w:t>(212) 407-4000</w:t>
            </w:r>
          </w:p>
        </w:tc>
        <w:tc>
          <w:tcPr>
            <w:tcW w:w="4080" w:type="dxa"/>
            <w:vAlign w:val="bottom"/>
          </w:tcPr>
          <w:p>
            <w:pPr>
              <w:jc w:val="center"/>
              <w:ind w:left="1850"/>
              <w:spacing w:after="0"/>
              <w:rPr>
                <w:sz w:val="20"/>
                <w:szCs w:val="20"/>
                <w:color w:val="auto"/>
              </w:rPr>
            </w:pPr>
            <w:r>
              <w:rPr>
                <w:rFonts w:ascii="Arial" w:cs="Arial" w:eastAsia="Arial" w:hAnsi="Arial"/>
                <w:sz w:val="18"/>
                <w:szCs w:val="18"/>
                <w:b w:val="1"/>
                <w:bCs w:val="1"/>
                <w:color w:val="auto"/>
                <w:w w:val="91"/>
              </w:rPr>
              <w:t>New York, New York 10166</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(212) 407-4990 — Facsimile</w:t>
            </w:r>
          </w:p>
        </w:tc>
        <w:tc>
          <w:tcPr>
            <w:tcW w:w="4080" w:type="dxa"/>
            <w:vAlign w:val="bottom"/>
          </w:tcPr>
          <w:p>
            <w:pPr>
              <w:jc w:val="center"/>
              <w:ind w:left="1850"/>
              <w:spacing w:after="0"/>
              <w:rPr>
                <w:sz w:val="20"/>
                <w:szCs w:val="20"/>
                <w:color w:val="auto"/>
              </w:rPr>
            </w:pPr>
            <w:r>
              <w:rPr>
                <w:rFonts w:ascii="Arial" w:cs="Arial" w:eastAsia="Arial" w:hAnsi="Arial"/>
                <w:sz w:val="18"/>
                <w:szCs w:val="18"/>
                <w:b w:val="1"/>
                <w:bCs w:val="1"/>
                <w:color w:val="auto"/>
                <w:w w:val="92"/>
              </w:rPr>
              <w:t>(212) 801-8200</w:t>
            </w:r>
          </w:p>
        </w:tc>
      </w:tr>
      <w:tr>
        <w:trPr>
          <w:trHeight w:val="234"/>
        </w:trPr>
        <w:tc>
          <w:tcPr>
            <w:tcW w:w="2160" w:type="dxa"/>
            <w:vAlign w:val="bottom"/>
          </w:tcPr>
          <w:p>
            <w:pPr>
              <w:spacing w:after="0"/>
              <w:rPr>
                <w:sz w:val="20"/>
                <w:szCs w:val="20"/>
                <w:color w:val="auto"/>
              </w:rPr>
            </w:pPr>
          </w:p>
        </w:tc>
        <w:tc>
          <w:tcPr>
            <w:tcW w:w="4080" w:type="dxa"/>
            <w:vAlign w:val="bottom"/>
          </w:tcPr>
          <w:p>
            <w:pPr>
              <w:jc w:val="center"/>
              <w:ind w:left="1850"/>
              <w:spacing w:after="0"/>
              <w:rPr>
                <w:sz w:val="20"/>
                <w:szCs w:val="20"/>
                <w:color w:val="auto"/>
              </w:rPr>
            </w:pPr>
            <w:r>
              <w:rPr>
                <w:rFonts w:ascii="Arial" w:cs="Arial" w:eastAsia="Arial" w:hAnsi="Arial"/>
                <w:sz w:val="18"/>
                <w:szCs w:val="18"/>
                <w:b w:val="1"/>
                <w:bCs w:val="1"/>
                <w:color w:val="auto"/>
                <w:w w:val="91"/>
              </w:rPr>
              <w:t>(212) 801-6400 — Facsimile</w:t>
            </w:r>
          </w:p>
        </w:tc>
      </w:tr>
      <w:tr>
        <w:trPr>
          <w:trHeight w:val="432"/>
        </w:trPr>
        <w:tc>
          <w:tcPr>
            <w:tcW w:w="2160" w:type="dxa"/>
            <w:vAlign w:val="bottom"/>
          </w:tcPr>
          <w:p>
            <w:pPr>
              <w:spacing w:after="0"/>
              <w:rPr>
                <w:sz w:val="24"/>
                <w:szCs w:val="24"/>
                <w:color w:val="auto"/>
              </w:rPr>
            </w:pPr>
          </w:p>
        </w:tc>
        <w:tc>
          <w:tcPr>
            <w:tcW w:w="4080" w:type="dxa"/>
            <w:vAlign w:val="bottom"/>
          </w:tcPr>
          <w:p>
            <w:pPr>
              <w:jc w:val="right"/>
              <w:ind w:right="2070"/>
              <w:spacing w:after="0"/>
              <w:rPr>
                <w:sz w:val="20"/>
                <w:szCs w:val="20"/>
                <w:color w:val="auto"/>
              </w:rPr>
            </w:pPr>
            <w:r>
              <w:rPr>
                <w:rFonts w:ascii="Arial" w:cs="Arial" w:eastAsia="Arial" w:hAnsi="Arial"/>
                <w:sz w:val="18"/>
                <w:szCs w:val="18"/>
                <w:b w:val="1"/>
                <w:bCs w:val="1"/>
                <w:color w:val="auto"/>
                <w:w w:val="90"/>
              </w:rPr>
              <w:t>_____________________</w:t>
            </w:r>
          </w:p>
        </w:tc>
      </w:tr>
    </w:tbl>
    <w:p>
      <w:pPr>
        <w:spacing w:after="0" w:line="135" w:lineRule="exact"/>
        <w:rPr>
          <w:sz w:val="24"/>
          <w:szCs w:val="24"/>
          <w:color w:val="auto"/>
        </w:rPr>
      </w:pPr>
    </w:p>
    <w:p>
      <w:pPr>
        <w:jc w:val="both"/>
        <w:ind w:left="460" w:right="479" w:firstLine="432"/>
        <w:spacing w:after="0" w:line="293" w:lineRule="auto"/>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 effective date</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offering.</w:t>
      </w:r>
    </w:p>
    <w:p>
      <w:pPr>
        <w:jc w:val="both"/>
        <w:ind w:left="460" w:right="479" w:firstLine="432"/>
        <w:spacing w:after="0" w:line="293"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check the following box. £</w:t>
      </w:r>
    </w:p>
    <w:p>
      <w:pPr>
        <w:spacing w:after="0" w:line="10" w:lineRule="exact"/>
        <w:rPr>
          <w:sz w:val="24"/>
          <w:szCs w:val="24"/>
          <w:color w:val="auto"/>
        </w:rPr>
      </w:pPr>
    </w:p>
    <w:p>
      <w:pPr>
        <w:jc w:val="both"/>
        <w:ind w:left="460" w:right="479" w:firstLine="432"/>
        <w:spacing w:after="0" w:line="278" w:lineRule="auto"/>
        <w:rPr>
          <w:sz w:val="20"/>
          <w:szCs w:val="20"/>
          <w:color w:val="auto"/>
        </w:rPr>
      </w:pPr>
      <w:r>
        <w:rPr>
          <w:rFonts w:ascii="Arial" w:cs="Arial" w:eastAsia="Arial" w:hAnsi="Arial"/>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spacing w:after="0" w:line="9" w:lineRule="exact"/>
        <w:rPr>
          <w:sz w:val="24"/>
          <w:szCs w:val="24"/>
          <w:color w:val="auto"/>
        </w:rPr>
      </w:pPr>
    </w:p>
    <w:p>
      <w:pPr>
        <w:jc w:val="both"/>
        <w:ind w:left="460" w:right="459" w:firstLine="432"/>
        <w:spacing w:after="0" w:line="278" w:lineRule="auto"/>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w:t>
      </w:r>
    </w:p>
    <w:p>
      <w:pPr>
        <w:spacing w:after="0" w:line="9" w:lineRule="exact"/>
        <w:rPr>
          <w:sz w:val="24"/>
          <w:szCs w:val="24"/>
          <w:color w:val="auto"/>
        </w:rPr>
      </w:pPr>
    </w:p>
    <w:p>
      <w:pPr>
        <w:jc w:val="both"/>
        <w:ind w:left="460" w:right="479" w:firstLine="432"/>
        <w:spacing w:after="0" w:line="278" w:lineRule="auto"/>
        <w:rPr>
          <w:sz w:val="20"/>
          <w:szCs w:val="20"/>
          <w:color w:val="auto"/>
        </w:rPr>
      </w:pPr>
      <w:r>
        <w:rPr>
          <w:rFonts w:ascii="Arial" w:cs="Arial" w:eastAsia="Arial" w:hAnsi="Arial"/>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w:t>
      </w:r>
    </w:p>
    <w:p>
      <w:pPr>
        <w:spacing w:after="0" w:line="22" w:lineRule="exact"/>
        <w:rPr>
          <w:sz w:val="24"/>
          <w:szCs w:val="24"/>
          <w:color w:val="auto"/>
        </w:rPr>
      </w:pPr>
    </w:p>
    <w:p>
      <w:pPr>
        <w:jc w:val="both"/>
        <w:ind w:left="460" w:right="459" w:firstLine="432"/>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84" w:lineRule="exact"/>
        <w:rPr>
          <w:sz w:val="24"/>
          <w:szCs w:val="24"/>
          <w:color w:val="auto"/>
        </w:rPr>
      </w:pPr>
    </w:p>
    <w:tbl>
      <w:tblPr>
        <w:tblLayout w:type="fixed"/>
        <w:tblInd w:w="920" w:type="dxa"/>
        <w:tblCellMar>
          <w:top w:w="0" w:type="dxa"/>
          <w:left w:w="0" w:type="dxa"/>
          <w:bottom w:w="0" w:type="dxa"/>
          <w:right w:w="0" w:type="dxa"/>
        </w:tblCellMar>
      </w:tblPr>
      <w:tr>
        <w:trPr>
          <w:trHeight w:val="220"/>
        </w:trPr>
        <w:tc>
          <w:tcPr>
            <w:tcW w:w="17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300" w:type="dxa"/>
            <w:vAlign w:val="bottom"/>
          </w:tcPr>
          <w:p>
            <w:pPr>
              <w:ind w:left="260"/>
              <w:spacing w:after="0"/>
              <w:rPr>
                <w:sz w:val="20"/>
                <w:szCs w:val="20"/>
                <w:color w:val="auto"/>
              </w:rPr>
            </w:pPr>
            <w:r>
              <w:rPr>
                <w:rFonts w:ascii="Arial" w:cs="Arial" w:eastAsia="Arial" w:hAnsi="Arial"/>
                <w:sz w:val="16"/>
                <w:szCs w:val="16"/>
                <w:color w:val="auto"/>
              </w:rPr>
              <w:t>£</w:t>
            </w:r>
          </w:p>
        </w:tc>
        <w:tc>
          <w:tcPr>
            <w:tcW w:w="2980" w:type="dxa"/>
            <w:vAlign w:val="bottom"/>
          </w:tcPr>
          <w:p>
            <w:pPr>
              <w:ind w:left="920"/>
              <w:spacing w:after="0"/>
              <w:rPr>
                <w:sz w:val="20"/>
                <w:szCs w:val="20"/>
                <w:color w:val="auto"/>
              </w:rPr>
            </w:pPr>
            <w:r>
              <w:rPr>
                <w:rFonts w:ascii="Arial" w:cs="Arial" w:eastAsia="Arial" w:hAnsi="Arial"/>
                <w:sz w:val="16"/>
                <w:szCs w:val="16"/>
                <w:color w:val="auto"/>
              </w:rPr>
              <w:t>Accelerated filer</w:t>
            </w:r>
          </w:p>
        </w:tc>
        <w:tc>
          <w:tcPr>
            <w:tcW w:w="420" w:type="dxa"/>
            <w:vAlign w:val="bottom"/>
          </w:tcPr>
          <w:p>
            <w:pPr>
              <w:ind w:left="300"/>
              <w:spacing w:after="0"/>
              <w:rPr>
                <w:sz w:val="20"/>
                <w:szCs w:val="20"/>
                <w:color w:val="auto"/>
              </w:rPr>
            </w:pPr>
            <w:r>
              <w:rPr>
                <w:rFonts w:ascii="Arial" w:cs="Arial" w:eastAsia="Arial" w:hAnsi="Arial"/>
                <w:sz w:val="16"/>
                <w:szCs w:val="16"/>
                <w:color w:val="auto"/>
              </w:rPr>
              <w:t>£</w:t>
            </w:r>
          </w:p>
        </w:tc>
      </w:tr>
      <w:tr>
        <w:trPr>
          <w:trHeight w:val="283"/>
        </w:trPr>
        <w:tc>
          <w:tcPr>
            <w:tcW w:w="1700" w:type="dxa"/>
            <w:vAlign w:val="bottom"/>
          </w:tcPr>
          <w:p>
            <w:pPr>
              <w:spacing w:after="0"/>
              <w:rPr>
                <w:sz w:val="20"/>
                <w:szCs w:val="20"/>
                <w:color w:val="auto"/>
              </w:rPr>
            </w:pPr>
            <w:r>
              <w:rPr>
                <w:rFonts w:ascii="Arial" w:cs="Arial" w:eastAsia="Arial" w:hAnsi="Arial"/>
                <w:sz w:val="16"/>
                <w:szCs w:val="16"/>
                <w:color w:val="auto"/>
              </w:rPr>
              <w:t>Non-accelerated filer</w:t>
            </w:r>
          </w:p>
        </w:tc>
        <w:tc>
          <w:tcPr>
            <w:tcW w:w="1300" w:type="dxa"/>
            <w:vAlign w:val="bottom"/>
          </w:tcPr>
          <w:p>
            <w:pPr>
              <w:ind w:left="260"/>
              <w:spacing w:after="0"/>
              <w:rPr>
                <w:sz w:val="20"/>
                <w:szCs w:val="20"/>
                <w:color w:val="auto"/>
              </w:rPr>
            </w:pPr>
            <w:r>
              <w:rPr>
                <w:rFonts w:ascii="Arial" w:cs="Arial" w:eastAsia="Arial" w:hAnsi="Arial"/>
                <w:sz w:val="16"/>
                <w:szCs w:val="16"/>
                <w:color w:val="auto"/>
              </w:rPr>
              <w:t>S</w:t>
            </w:r>
          </w:p>
        </w:tc>
        <w:tc>
          <w:tcPr>
            <w:tcW w:w="2980" w:type="dxa"/>
            <w:vAlign w:val="bottom"/>
          </w:tcPr>
          <w:p>
            <w:pPr>
              <w:ind w:left="920"/>
              <w:spacing w:after="0"/>
              <w:rPr>
                <w:sz w:val="20"/>
                <w:szCs w:val="20"/>
                <w:color w:val="auto"/>
              </w:rPr>
            </w:pPr>
            <w:r>
              <w:rPr>
                <w:rFonts w:ascii="Arial" w:cs="Arial" w:eastAsia="Arial" w:hAnsi="Arial"/>
                <w:sz w:val="16"/>
                <w:szCs w:val="16"/>
                <w:color w:val="auto"/>
              </w:rPr>
              <w:t>Smaller reporting company</w:t>
            </w:r>
          </w:p>
        </w:tc>
        <w:tc>
          <w:tcPr>
            <w:tcW w:w="420" w:type="dxa"/>
            <w:vAlign w:val="bottom"/>
          </w:tcPr>
          <w:p>
            <w:pPr>
              <w:ind w:left="300"/>
              <w:spacing w:after="0"/>
              <w:rPr>
                <w:sz w:val="20"/>
                <w:szCs w:val="20"/>
                <w:color w:val="auto"/>
              </w:rPr>
            </w:pPr>
            <w:r>
              <w:rPr>
                <w:rFonts w:ascii="Arial" w:cs="Arial" w:eastAsia="Arial" w:hAnsi="Arial"/>
                <w:sz w:val="16"/>
                <w:szCs w:val="16"/>
                <w:color w:val="auto"/>
                <w:w w:val="93"/>
              </w:rPr>
              <w:t>S</w:t>
            </w:r>
          </w:p>
        </w:tc>
      </w:tr>
      <w:tr>
        <w:trPr>
          <w:trHeight w:val="283"/>
        </w:trPr>
        <w:tc>
          <w:tcPr>
            <w:tcW w:w="1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980" w:type="dxa"/>
            <w:vAlign w:val="bottom"/>
          </w:tcPr>
          <w:p>
            <w:pPr>
              <w:ind w:left="920"/>
              <w:spacing w:after="0"/>
              <w:rPr>
                <w:sz w:val="20"/>
                <w:szCs w:val="20"/>
                <w:color w:val="auto"/>
              </w:rPr>
            </w:pPr>
            <w:r>
              <w:rPr>
                <w:rFonts w:ascii="Arial" w:cs="Arial" w:eastAsia="Arial" w:hAnsi="Arial"/>
                <w:sz w:val="16"/>
                <w:szCs w:val="16"/>
                <w:color w:val="auto"/>
              </w:rPr>
              <w:t>Emerging growth company</w:t>
            </w:r>
          </w:p>
        </w:tc>
        <w:tc>
          <w:tcPr>
            <w:tcW w:w="420" w:type="dxa"/>
            <w:vAlign w:val="bottom"/>
          </w:tcPr>
          <w:p>
            <w:pPr>
              <w:ind w:left="300"/>
              <w:spacing w:after="0"/>
              <w:rPr>
                <w:sz w:val="20"/>
                <w:szCs w:val="20"/>
                <w:color w:val="auto"/>
              </w:rPr>
            </w:pPr>
            <w:r>
              <w:rPr>
                <w:rFonts w:ascii="Arial" w:cs="Arial" w:eastAsia="Arial" w:hAnsi="Arial"/>
                <w:sz w:val="16"/>
                <w:szCs w:val="16"/>
                <w:color w:val="auto"/>
                <w:w w:val="93"/>
              </w:rPr>
              <w:t>S</w:t>
            </w:r>
          </w:p>
        </w:tc>
      </w:tr>
    </w:tbl>
    <w:p>
      <w:pPr>
        <w:spacing w:after="0" w:line="199" w:lineRule="exact"/>
        <w:rPr>
          <w:sz w:val="24"/>
          <w:szCs w:val="24"/>
          <w:color w:val="auto"/>
        </w:rPr>
      </w:pPr>
    </w:p>
    <w:p>
      <w:pPr>
        <w:jc w:val="both"/>
        <w:ind w:left="460" w:right="479" w:firstLine="432"/>
        <w:spacing w:after="0" w:line="278"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243205</wp:posOffset>
            </wp:positionV>
            <wp:extent cx="5143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398" w:gutter="0" w:footer="0" w:header="0"/>
        </w:sectPr>
      </w:pPr>
    </w:p>
    <w:bookmarkStart w:id="1" w:name="page2"/>
    <w:bookmarkEnd w:id="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6"/>
              </w:rPr>
              <w:t>Proposed</w:t>
            </w: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Proposed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7"/>
              </w:rPr>
              <w:t>Maximum</w:t>
            </w: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Maximum</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Amount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Offering</w:t>
            </w: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Aggregate</w:t>
            </w:r>
          </w:p>
        </w:tc>
        <w:tc>
          <w:tcPr>
            <w:tcW w:w="120" w:type="dxa"/>
            <w:vAlign w:val="bottom"/>
          </w:tcPr>
          <w:p>
            <w:pPr>
              <w:spacing w:after="0"/>
              <w:rPr>
                <w:sz w:val="17"/>
                <w:szCs w:val="17"/>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Amount of</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Being</w:t>
            </w:r>
          </w:p>
        </w:tc>
        <w:tc>
          <w:tcPr>
            <w:tcW w:w="40" w:type="dxa"/>
            <w:vAlign w:val="bottom"/>
          </w:tcPr>
          <w:p>
            <w:pPr>
              <w:spacing w:after="0"/>
              <w:rPr>
                <w:sz w:val="17"/>
                <w:szCs w:val="17"/>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3"/>
              </w:rPr>
              <w:t>Price per</w:t>
            </w: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Offering</w:t>
            </w:r>
          </w:p>
        </w:tc>
        <w:tc>
          <w:tcPr>
            <w:tcW w:w="120" w:type="dxa"/>
            <w:vAlign w:val="bottom"/>
          </w:tcPr>
          <w:p>
            <w:pPr>
              <w:spacing w:after="0"/>
              <w:rPr>
                <w:sz w:val="17"/>
                <w:szCs w:val="17"/>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Registration</w:t>
            </w:r>
          </w:p>
        </w:tc>
        <w:tc>
          <w:tcPr>
            <w:tcW w:w="0" w:type="dxa"/>
            <w:vAlign w:val="bottom"/>
          </w:tcPr>
          <w:p>
            <w:pPr>
              <w:spacing w:after="0"/>
              <w:rPr>
                <w:sz w:val="1"/>
                <w:szCs w:val="1"/>
                <w:color w:val="auto"/>
              </w:rPr>
            </w:pPr>
          </w:p>
        </w:tc>
      </w:tr>
      <w:tr>
        <w:trPr>
          <w:trHeight w:val="257"/>
        </w:trPr>
        <w:tc>
          <w:tcPr>
            <w:tcW w:w="3800" w:type="dxa"/>
            <w:vAlign w:val="bottom"/>
            <w:gridSpan w:val="2"/>
          </w:tcPr>
          <w:p>
            <w:pPr>
              <w:spacing w:after="0"/>
              <w:rPr>
                <w:sz w:val="20"/>
                <w:szCs w:val="20"/>
                <w:color w:val="auto"/>
              </w:rPr>
            </w:pPr>
            <w:r>
              <w:rPr>
                <w:rFonts w:ascii="Arial" w:cs="Arial" w:eastAsia="Arial" w:hAnsi="Arial"/>
                <w:sz w:val="16"/>
                <w:szCs w:val="16"/>
                <w:b w:val="1"/>
                <w:bCs w:val="1"/>
                <w:color w:val="auto"/>
              </w:rPr>
              <w:t>Title of Each Class of Security being registered</w:t>
            </w:r>
          </w:p>
        </w:tc>
        <w:tc>
          <w:tcPr>
            <w:tcW w:w="9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9"/>
              </w:rPr>
              <w:t>Registered</w:t>
            </w:r>
          </w:p>
        </w:tc>
        <w:tc>
          <w:tcPr>
            <w:tcW w:w="40" w:type="dxa"/>
            <w:vAlign w:val="bottom"/>
          </w:tcPr>
          <w:p>
            <w:pPr>
              <w:spacing w:after="0"/>
              <w:rPr>
                <w:sz w:val="22"/>
                <w:szCs w:val="22"/>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7"/>
              </w:rPr>
              <w:t>Security</w:t>
            </w:r>
            <w:r>
              <w:rPr>
                <w:rFonts w:ascii="Arial" w:cs="Arial" w:eastAsia="Arial" w:hAnsi="Arial"/>
                <w:sz w:val="18"/>
                <w:szCs w:val="18"/>
                <w:b w:val="1"/>
                <w:bCs w:val="1"/>
                <w:color w:val="auto"/>
                <w:w w:val="87"/>
                <w:vertAlign w:val="superscript"/>
              </w:rPr>
              <w:t>(1)</w:t>
            </w:r>
          </w:p>
        </w:tc>
        <w:tc>
          <w:tcPr>
            <w:tcW w:w="120" w:type="dxa"/>
            <w:vAlign w:val="bottom"/>
          </w:tcPr>
          <w:p>
            <w:pPr>
              <w:spacing w:after="0"/>
              <w:rPr>
                <w:sz w:val="22"/>
                <w:szCs w:val="22"/>
                <w:color w:val="auto"/>
              </w:rPr>
            </w:pPr>
          </w:p>
        </w:tc>
        <w:tc>
          <w:tcPr>
            <w:tcW w:w="1080" w:type="dxa"/>
            <w:vAlign w:val="bottom"/>
            <w:gridSpan w:val="2"/>
          </w:tcPr>
          <w:p>
            <w:pPr>
              <w:jc w:val="center"/>
              <w:ind w:right="220"/>
              <w:spacing w:after="0" w:line="256" w:lineRule="exact"/>
              <w:rPr>
                <w:sz w:val="20"/>
                <w:szCs w:val="20"/>
                <w:color w:val="auto"/>
              </w:rPr>
            </w:pPr>
            <w:r>
              <w:rPr>
                <w:rFonts w:ascii="Arial" w:cs="Arial" w:eastAsia="Arial" w:hAnsi="Arial"/>
                <w:sz w:val="29"/>
                <w:szCs w:val="29"/>
                <w:b w:val="1"/>
                <w:bCs w:val="1"/>
                <w:color w:val="auto"/>
                <w:w w:val="83"/>
                <w:vertAlign w:val="subscript"/>
              </w:rPr>
              <w:t>Price</w:t>
            </w:r>
            <w:r>
              <w:rPr>
                <w:rFonts w:ascii="Arial" w:cs="Arial" w:eastAsia="Arial" w:hAnsi="Arial"/>
                <w:sz w:val="9"/>
                <w:szCs w:val="9"/>
                <w:b w:val="1"/>
                <w:bCs w:val="1"/>
                <w:color w:val="auto"/>
                <w:w w:val="83"/>
              </w:rPr>
              <w:t>(1)(2)</w:t>
            </w:r>
          </w:p>
        </w:tc>
        <w:tc>
          <w:tcPr>
            <w:tcW w:w="120" w:type="dxa"/>
            <w:vAlign w:val="bottom"/>
          </w:tcPr>
          <w:p>
            <w:pPr>
              <w:spacing w:after="0"/>
              <w:rPr>
                <w:sz w:val="22"/>
                <w:szCs w:val="22"/>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Fee</w:t>
            </w:r>
          </w:p>
        </w:tc>
        <w:tc>
          <w:tcPr>
            <w:tcW w:w="0" w:type="dxa"/>
            <w:vAlign w:val="bottom"/>
          </w:tcPr>
          <w:p>
            <w:pPr>
              <w:spacing w:after="0"/>
              <w:rPr>
                <w:sz w:val="1"/>
                <w:szCs w:val="1"/>
                <w:color w:val="auto"/>
              </w:rPr>
            </w:pPr>
          </w:p>
        </w:tc>
      </w:tr>
      <w:tr>
        <w:trPr>
          <w:trHeight w:val="195"/>
        </w:trPr>
        <w:tc>
          <w:tcPr>
            <w:tcW w:w="3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8"/>
              </w:rPr>
              <w:t>Units, each consisting of one share of common</w:t>
            </w: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$0.0001 par value, one right, and one</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warrant entitling the holder to purchase one-half</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 one share of common stock</w:t>
            </w:r>
            <w:r>
              <w:rPr>
                <w:rFonts w:ascii="Arial" w:cs="Arial" w:eastAsia="Arial" w:hAnsi="Arial"/>
                <w:sz w:val="20"/>
                <w:szCs w:val="20"/>
                <w:color w:val="auto"/>
                <w:vertAlign w:val="superscript"/>
              </w:rPr>
              <w:t>(2)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17,250,000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172,500,000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7"/>
              </w:rPr>
              <w:t>18,819.75</w:t>
            </w: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3800" w:type="dxa"/>
            <w:vAlign w:val="bottom"/>
            <w:gridSpan w:val="2"/>
          </w:tcPr>
          <w:p>
            <w:pPr>
              <w:spacing w:after="0" w:line="201" w:lineRule="exact"/>
              <w:rPr>
                <w:sz w:val="20"/>
                <w:szCs w:val="20"/>
                <w:color w:val="auto"/>
              </w:rPr>
            </w:pPr>
            <w:r>
              <w:rPr>
                <w:rFonts w:ascii="Arial" w:cs="Arial" w:eastAsia="Arial" w:hAnsi="Arial"/>
                <w:sz w:val="18"/>
                <w:szCs w:val="18"/>
                <w:color w:val="auto"/>
              </w:rPr>
              <w:t>Shares of common stock, $0.0001 par value,</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800" w:type="dxa"/>
            <w:vAlign w:val="bottom"/>
            <w:gridSpan w:val="2"/>
          </w:tcPr>
          <w:p>
            <w:pPr>
              <w:ind w:left="180"/>
              <w:spacing w:after="0"/>
              <w:rPr>
                <w:sz w:val="20"/>
                <w:szCs w:val="20"/>
                <w:color w:val="auto"/>
              </w:rPr>
            </w:pPr>
            <w:r>
              <w:rPr>
                <w:rFonts w:ascii="Arial" w:cs="Arial" w:eastAsia="Arial" w:hAnsi="Arial"/>
                <w:sz w:val="18"/>
                <w:szCs w:val="18"/>
                <w:color w:val="auto"/>
              </w:rPr>
              <w:t>included as part of the units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17,250,000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60" w:type="dxa"/>
            <w:vAlign w:val="bottom"/>
            <w:gridSpan w:val="2"/>
          </w:tcPr>
          <w:p>
            <w:pPr>
              <w:ind w:left="720"/>
              <w:spacing w:after="0" w:line="271" w:lineRule="exact"/>
              <w:rPr>
                <w:sz w:val="20"/>
                <w:szCs w:val="20"/>
                <w:color w:val="auto"/>
              </w:rPr>
            </w:pPr>
            <w:r>
              <w:rPr>
                <w:rFonts w:ascii="Arial" w:cs="Arial" w:eastAsia="Arial" w:hAnsi="Arial"/>
                <w:sz w:val="31"/>
                <w:szCs w:val="31"/>
                <w:color w:val="auto"/>
                <w:w w:val="97"/>
                <w:vertAlign w:val="subscript"/>
              </w:rPr>
              <w:t>—</w:t>
            </w:r>
            <w:r>
              <w:rPr>
                <w:rFonts w:ascii="Arial" w:cs="Arial" w:eastAsia="Arial" w:hAnsi="Arial"/>
                <w:sz w:val="10"/>
                <w:szCs w:val="10"/>
                <w:color w:val="auto"/>
                <w:w w:val="97"/>
              </w:rPr>
              <w:t>(3)</w:t>
            </w:r>
          </w:p>
        </w:tc>
        <w:tc>
          <w:tcPr>
            <w:tcW w:w="0" w:type="dxa"/>
            <w:vAlign w:val="bottom"/>
          </w:tcPr>
          <w:p>
            <w:pPr>
              <w:spacing w:after="0"/>
              <w:rPr>
                <w:sz w:val="1"/>
                <w:szCs w:val="1"/>
                <w:color w:val="auto"/>
              </w:rPr>
            </w:pPr>
          </w:p>
        </w:tc>
      </w:tr>
      <w:tr>
        <w:trPr>
          <w:trHeight w:val="283"/>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Rights included as part of the units</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17,250,000</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720"/>
              <w:spacing w:after="0" w:line="283" w:lineRule="exact"/>
              <w:rPr>
                <w:sz w:val="20"/>
                <w:szCs w:val="20"/>
                <w:color w:val="auto"/>
              </w:rPr>
            </w:pPr>
            <w:r>
              <w:rPr>
                <w:rFonts w:ascii="Arial" w:cs="Arial" w:eastAsia="Arial" w:hAnsi="Arial"/>
                <w:sz w:val="32"/>
                <w:szCs w:val="32"/>
                <w:color w:val="auto"/>
                <w:w w:val="95"/>
                <w:vertAlign w:val="subscript"/>
              </w:rPr>
              <w:t>—</w:t>
            </w:r>
            <w:r>
              <w:rPr>
                <w:rFonts w:ascii="Arial" w:cs="Arial" w:eastAsia="Arial" w:hAnsi="Arial"/>
                <w:sz w:val="10"/>
                <w:szCs w:val="10"/>
                <w:color w:val="auto"/>
                <w:w w:val="95"/>
              </w:rPr>
              <w:t>(3)</w:t>
            </w:r>
          </w:p>
        </w:tc>
        <w:tc>
          <w:tcPr>
            <w:tcW w:w="0" w:type="dxa"/>
            <w:vAlign w:val="bottom"/>
          </w:tcPr>
          <w:p>
            <w:pPr>
              <w:spacing w:after="0"/>
              <w:rPr>
                <w:sz w:val="1"/>
                <w:szCs w:val="1"/>
                <w:color w:val="auto"/>
              </w:rPr>
            </w:pPr>
          </w:p>
        </w:tc>
      </w:tr>
      <w:tr>
        <w:trPr>
          <w:trHeight w:val="202"/>
        </w:trPr>
        <w:tc>
          <w:tcPr>
            <w:tcW w:w="3800" w:type="dxa"/>
            <w:vAlign w:val="bottom"/>
            <w:gridSpan w:val="2"/>
          </w:tcPr>
          <w:p>
            <w:pPr>
              <w:spacing w:after="0" w:line="201" w:lineRule="exact"/>
              <w:rPr>
                <w:sz w:val="20"/>
                <w:szCs w:val="20"/>
                <w:color w:val="auto"/>
              </w:rPr>
            </w:pPr>
            <w:r>
              <w:rPr>
                <w:rFonts w:ascii="Arial" w:cs="Arial" w:eastAsia="Arial" w:hAnsi="Arial"/>
                <w:sz w:val="18"/>
                <w:szCs w:val="18"/>
                <w:color w:val="auto"/>
              </w:rPr>
              <w:t>Shares of common stock underlying the rights</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800" w:type="dxa"/>
            <w:vAlign w:val="bottom"/>
            <w:gridSpan w:val="2"/>
          </w:tcPr>
          <w:p>
            <w:pPr>
              <w:ind w:left="180"/>
              <w:spacing w:after="0"/>
              <w:rPr>
                <w:sz w:val="20"/>
                <w:szCs w:val="20"/>
                <w:color w:val="auto"/>
              </w:rPr>
            </w:pPr>
            <w:r>
              <w:rPr>
                <w:rFonts w:ascii="Arial" w:cs="Arial" w:eastAsia="Arial" w:hAnsi="Arial"/>
                <w:sz w:val="18"/>
                <w:szCs w:val="18"/>
                <w:color w:val="auto"/>
              </w:rPr>
              <w:t>included in the units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862,500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60" w:type="dxa"/>
            <w:vAlign w:val="bottom"/>
            <w:gridSpan w:val="2"/>
          </w:tcPr>
          <w:p>
            <w:pPr>
              <w:ind w:left="720"/>
              <w:spacing w:after="0" w:line="271" w:lineRule="exact"/>
              <w:rPr>
                <w:sz w:val="20"/>
                <w:szCs w:val="20"/>
                <w:color w:val="auto"/>
              </w:rPr>
            </w:pPr>
            <w:r>
              <w:rPr>
                <w:rFonts w:ascii="Arial" w:cs="Arial" w:eastAsia="Arial" w:hAnsi="Arial"/>
                <w:sz w:val="31"/>
                <w:szCs w:val="31"/>
                <w:color w:val="auto"/>
                <w:w w:val="97"/>
                <w:vertAlign w:val="subscript"/>
              </w:rPr>
              <w:t>—</w:t>
            </w:r>
            <w:r>
              <w:rPr>
                <w:rFonts w:ascii="Arial" w:cs="Arial" w:eastAsia="Arial" w:hAnsi="Arial"/>
                <w:sz w:val="10"/>
                <w:szCs w:val="10"/>
                <w:color w:val="auto"/>
                <w:w w:val="97"/>
              </w:rPr>
              <w:t>(3)</w:t>
            </w:r>
          </w:p>
        </w:tc>
        <w:tc>
          <w:tcPr>
            <w:tcW w:w="0" w:type="dxa"/>
            <w:vAlign w:val="bottom"/>
          </w:tcPr>
          <w:p>
            <w:pPr>
              <w:spacing w:after="0"/>
              <w:rPr>
                <w:sz w:val="1"/>
                <w:szCs w:val="1"/>
                <w:color w:val="auto"/>
              </w:rPr>
            </w:pPr>
          </w:p>
        </w:tc>
      </w:tr>
      <w:tr>
        <w:trPr>
          <w:trHeight w:val="283"/>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included as part of the units</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17,250,000</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720"/>
              <w:spacing w:after="0" w:line="283" w:lineRule="exact"/>
              <w:rPr>
                <w:sz w:val="20"/>
                <w:szCs w:val="20"/>
                <w:color w:val="auto"/>
              </w:rPr>
            </w:pPr>
            <w:r>
              <w:rPr>
                <w:rFonts w:ascii="Arial" w:cs="Arial" w:eastAsia="Arial" w:hAnsi="Arial"/>
                <w:sz w:val="32"/>
                <w:szCs w:val="32"/>
                <w:color w:val="auto"/>
                <w:w w:val="95"/>
                <w:vertAlign w:val="subscript"/>
              </w:rPr>
              <w:t>—</w:t>
            </w:r>
            <w:r>
              <w:rPr>
                <w:rFonts w:ascii="Arial" w:cs="Arial" w:eastAsia="Arial" w:hAnsi="Arial"/>
                <w:sz w:val="10"/>
                <w:szCs w:val="10"/>
                <w:color w:val="auto"/>
                <w:w w:val="95"/>
              </w:rPr>
              <w:t>(3)</w:t>
            </w: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800" w:type="dxa"/>
            <w:vAlign w:val="bottom"/>
            <w:gridSpan w:val="2"/>
            <w:vMerge w:val="continue"/>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172,500,000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ind w:left="180"/>
              <w:spacing w:after="0"/>
              <w:rPr>
                <w:sz w:val="20"/>
                <w:szCs w:val="20"/>
                <w:color w:val="auto"/>
              </w:rPr>
            </w:pPr>
            <w:r>
              <w:rPr>
                <w:rFonts w:ascii="Arial" w:cs="Arial" w:eastAsia="Arial" w:hAnsi="Arial"/>
                <w:sz w:val="18"/>
                <w:szCs w:val="18"/>
                <w:color w:val="auto"/>
                <w:w w:val="87"/>
              </w:rPr>
              <w:t>18,819.75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459" w:hanging="426"/>
        <w:spacing w:after="0" w:line="266" w:lineRule="auto"/>
        <w:tabs>
          <w:tab w:leader="none" w:pos="887"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457(o) under the Securities Act of 1933, as amended.</w:t>
      </w:r>
    </w:p>
    <w:p>
      <w:pPr>
        <w:spacing w:after="0" w:line="1" w:lineRule="exact"/>
        <w:rPr>
          <w:rFonts w:ascii="Arial" w:cs="Arial" w:eastAsia="Arial" w:hAnsi="Arial"/>
          <w:sz w:val="16"/>
          <w:szCs w:val="16"/>
          <w:color w:val="auto"/>
        </w:rPr>
      </w:pPr>
    </w:p>
    <w:p>
      <w:pPr>
        <w:jc w:val="both"/>
        <w:ind w:left="880" w:right="479" w:hanging="426"/>
        <w:spacing w:after="0" w:line="264" w:lineRule="auto"/>
        <w:tabs>
          <w:tab w:leader="none" w:pos="1045"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Includes (A) the aggregate of 15,000,000 units to be issued to public stockholders in the public offering, and 2,250,000 units which may be issued upon exercise of a 45-day option granted to the underwriters to cover over-allotments, if any; and (B) shares of common stock and warrants underlying such units.</w:t>
      </w:r>
    </w:p>
    <w:p>
      <w:pPr>
        <w:ind w:left="880" w:hanging="426"/>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No fee pursuant to Rule 457(g).</w:t>
      </w:r>
    </w:p>
    <w:p>
      <w:pPr>
        <w:spacing w:after="0" w:line="141" w:lineRule="exact"/>
        <w:rPr>
          <w:sz w:val="20"/>
          <w:szCs w:val="20"/>
          <w:color w:val="auto"/>
        </w:rPr>
      </w:pPr>
    </w:p>
    <w:p>
      <w:pPr>
        <w:jc w:val="both"/>
        <w:ind w:left="460" w:right="459" w:firstLine="432"/>
        <w:spacing w:after="0" w:line="298"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23495</wp:posOffset>
            </wp:positionV>
            <wp:extent cx="514350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66675</wp:posOffset>
            </wp:positionV>
            <wp:extent cx="514350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340995</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 w:name="page3"/>
    <w:bookmarkEnd w:id="2"/>
    <w:p>
      <w:pPr>
        <w:spacing w:after="0" w:line="12" w:lineRule="exact"/>
        <w:rPr>
          <w:sz w:val="20"/>
          <w:szCs w:val="20"/>
          <w:color w:val="auto"/>
        </w:rPr>
      </w:pPr>
    </w:p>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5"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6"/>
          <w:szCs w:val="16"/>
          <w:b w:val="1"/>
          <w:bCs w:val="1"/>
          <w:color w:val="D2232A"/>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78" w:lineRule="exact"/>
        <w:rPr>
          <w:sz w:val="20"/>
          <w:szCs w:val="20"/>
          <w:color w:val="auto"/>
        </w:rPr>
      </w:pPr>
    </w:p>
    <w:p>
      <w:pPr>
        <w:ind w:left="460"/>
        <w:spacing w:after="0"/>
        <w:tabs>
          <w:tab w:leader="none" w:pos="3660" w:val="left"/>
        </w:tabs>
        <w:rPr>
          <w:sz w:val="20"/>
          <w:szCs w:val="20"/>
          <w:color w:val="auto"/>
        </w:rPr>
      </w:pPr>
      <w:r>
        <w:rPr>
          <w:rFonts w:ascii="Arial" w:cs="Arial" w:eastAsia="Arial" w:hAnsi="Arial"/>
          <w:sz w:val="18"/>
          <w:szCs w:val="18"/>
          <w:b w:val="1"/>
          <w:bCs w:val="1"/>
          <w:color w:val="D2232A"/>
        </w:rPr>
        <w:t>PRELIMINARY PROSPECTUS</w:t>
      </w:r>
      <w:r>
        <w:rPr>
          <w:sz w:val="20"/>
          <w:szCs w:val="20"/>
          <w:color w:val="auto"/>
        </w:rPr>
        <w:tab/>
      </w:r>
      <w:r>
        <w:rPr>
          <w:rFonts w:ascii="Arial" w:cs="Arial" w:eastAsia="Arial" w:hAnsi="Arial"/>
          <w:sz w:val="17"/>
          <w:szCs w:val="17"/>
          <w:b w:val="1"/>
          <w:bCs w:val="1"/>
          <w:color w:val="D2232A"/>
        </w:rPr>
        <w:t>SUBJECT TO COMPLETION, DATED DECEMBER 16, 2020</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$150,000,000</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VENTOUX CCM ACQUISITION CORP.</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15,000,000 UNITS</w:t>
      </w:r>
    </w:p>
    <w:p>
      <w:pPr>
        <w:spacing w:after="0" w:line="54" w:lineRule="exact"/>
        <w:rPr>
          <w:sz w:val="20"/>
          <w:szCs w:val="20"/>
          <w:color w:val="auto"/>
        </w:rPr>
      </w:pPr>
    </w:p>
    <w:p>
      <w:pPr>
        <w:jc w:val="both"/>
        <w:ind w:left="460" w:right="459" w:firstLine="432"/>
        <w:spacing w:after="0" w:line="227" w:lineRule="auto"/>
        <w:rPr>
          <w:sz w:val="20"/>
          <w:szCs w:val="20"/>
          <w:color w:val="auto"/>
        </w:rPr>
      </w:pPr>
      <w:r>
        <w:rPr>
          <w:rFonts w:ascii="Arial" w:cs="Arial" w:eastAsia="Arial" w:hAnsi="Arial"/>
          <w:sz w:val="14"/>
          <w:szCs w:val="14"/>
          <w:color w:val="auto"/>
        </w:rPr>
        <w:t>Ventoux CCM Acquisition Corp., which we refer to as “we,” “us” or “our company,” is a newly organized blank check company incorporated in Delaware and formed for the purpose of entering into a merger, share exchange, asset acquisition, stock purchase, recapitalization, reorganization or other similar business combination with one or more businesses or entities, which we refer to throughout this prospectus as our “initial business combination.” While we may pursue an initial business combination in any region or sector, we intend to focus our efforts on businesses in North America within the hospitality, leisure, travel and dining sectors with an emphasis on consumer branded businesses that have attractive growth characteristics. In addition, we intend to pursue technology companies operating in these sectors, such as business and consumer services and infrastructure. However, we do not intend to invest in businesses with large exposure to investments in physical real estate.</w:t>
      </w:r>
    </w:p>
    <w:p>
      <w:pPr>
        <w:spacing w:after="0" w:line="4" w:lineRule="exact"/>
        <w:rPr>
          <w:sz w:val="20"/>
          <w:szCs w:val="20"/>
          <w:color w:val="auto"/>
        </w:rPr>
      </w:pPr>
    </w:p>
    <w:p>
      <w:pPr>
        <w:jc w:val="both"/>
        <w:ind w:left="460" w:right="459" w:firstLine="432"/>
        <w:spacing w:after="0" w:line="225" w:lineRule="auto"/>
        <w:rPr>
          <w:sz w:val="20"/>
          <w:szCs w:val="20"/>
          <w:color w:val="auto"/>
        </w:rPr>
      </w:pPr>
      <w:r>
        <w:rPr>
          <w:rFonts w:ascii="Arial" w:cs="Arial" w:eastAsia="Arial" w:hAnsi="Arial"/>
          <w:sz w:val="14"/>
          <w:szCs w:val="14"/>
          <w:color w:val="auto"/>
        </w:rPr>
        <w:t>This is an initial public offering of our securities. We are offering 15,000,000 units at an offering price of $10.00 per unit. Each unit consists of one share of common stock, par value $0.0001, one right, which we refer throughout this prospectus as “rights,” and one warrant, which we refer to throughout this prospectus as “warrants” or the “public warrants.” Each right entitles the holder thereof to receive one-twentieth (1/20) of one share of common stock upon the consummation of an initial business combination, as described in more detail in this prospectus. Each warrant entitles the holder thereof to purchase one-half of one share of common stock at a price of $11.50 per whole share, subject to adjustment as described in the prospectus. We will not issue fractional shares. As a result, you must have 20 rights to receive a share of common stock at the closing of the initial business combination and 2 warrants to receive a share of common stock when exercising your warrants. Each public warrant will become exercisable on the later of one year after the closing of this offering or the consummation of an initial business combination, and will expire five years after the completion of an initial business combination, or earlier upon redemption.</w:t>
      </w:r>
    </w:p>
    <w:p>
      <w:pPr>
        <w:spacing w:after="0" w:line="3" w:lineRule="exact"/>
        <w:rPr>
          <w:sz w:val="20"/>
          <w:szCs w:val="20"/>
          <w:color w:val="auto"/>
        </w:rPr>
      </w:pPr>
    </w:p>
    <w:p>
      <w:pPr>
        <w:jc w:val="both"/>
        <w:ind w:left="460" w:right="459" w:firstLine="432"/>
        <w:spacing w:after="0" w:line="241" w:lineRule="auto"/>
        <w:rPr>
          <w:sz w:val="20"/>
          <w:szCs w:val="20"/>
          <w:color w:val="auto"/>
        </w:rPr>
      </w:pPr>
      <w:r>
        <w:rPr>
          <w:rFonts w:ascii="Arial" w:cs="Arial" w:eastAsia="Arial" w:hAnsi="Arial"/>
          <w:sz w:val="14"/>
          <w:szCs w:val="14"/>
          <w:color w:val="auto"/>
        </w:rPr>
        <w:t>We have granted Chardan Capital Markets, LLC, the representative of the underwriters, a 45-day option to purchase up to an additional 2,250,000 units (over and above the 15,000,000 units referred to above) solely to cover over-allotments, if any.</w:t>
      </w:r>
    </w:p>
    <w:p>
      <w:pPr>
        <w:spacing w:after="0" w:line="1" w:lineRule="exact"/>
        <w:rPr>
          <w:sz w:val="20"/>
          <w:szCs w:val="20"/>
          <w:color w:val="auto"/>
        </w:rPr>
      </w:pPr>
    </w:p>
    <w:p>
      <w:pPr>
        <w:jc w:val="both"/>
        <w:ind w:left="460" w:right="459" w:firstLine="432"/>
        <w:spacing w:after="0" w:line="242" w:lineRule="auto"/>
        <w:rPr>
          <w:sz w:val="20"/>
          <w:szCs w:val="20"/>
          <w:color w:val="auto"/>
        </w:rPr>
      </w:pPr>
      <w:r>
        <w:rPr>
          <w:rFonts w:ascii="Arial" w:cs="Arial" w:eastAsia="Arial" w:hAnsi="Arial"/>
          <w:sz w:val="13"/>
          <w:szCs w:val="13"/>
          <w:color w:val="auto"/>
        </w:rPr>
        <w:t>We will provide the holders of our outstanding shares of common stock that were sold as part of the units in this offering, or the “public stockholders,” with the opportunity to redeem their shares of common stock upon the consummation of our initial business combination at a per-share price, payable in cash, equal to the aggregate amount then on deposit in the trust account described below, including interest (net of taxes payable), divided by the number of then outstanding shares of common stock that were sold as part of the units in this offering, which we refer to as our “public shares.” 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5" w:lineRule="exact"/>
        <w:rPr>
          <w:sz w:val="20"/>
          <w:szCs w:val="20"/>
          <w:color w:val="auto"/>
        </w:rPr>
      </w:pPr>
    </w:p>
    <w:p>
      <w:pPr>
        <w:jc w:val="both"/>
        <w:ind w:left="460" w:right="459" w:firstLine="432"/>
        <w:spacing w:after="0" w:line="229" w:lineRule="auto"/>
        <w:rPr>
          <w:sz w:val="20"/>
          <w:szCs w:val="20"/>
          <w:color w:val="auto"/>
        </w:rPr>
      </w:pPr>
      <w:r>
        <w:rPr>
          <w:rFonts w:ascii="Arial" w:cs="Arial" w:eastAsia="Arial" w:hAnsi="Arial"/>
          <w:sz w:val="14"/>
          <w:szCs w:val="14"/>
          <w:color w:val="auto"/>
        </w:rPr>
        <w:t>We have 15 months (or up to 18 months if we have extended the period of time as described in this prospectus) to consummate our initial business combination. If we are unable to consummate our initial business combination within the above time period, we will distribute the aggregate amount then on deposit in the trust account, pro rata to our public stockholders, by way of the redemption of their shares and thereafter cease all operations except for the purposes of winding up of our affairs, as further described herein. In such event, the warrants will expire and be worthless.</w:t>
      </w:r>
    </w:p>
    <w:p>
      <w:pPr>
        <w:spacing w:after="0" w:line="1" w:lineRule="exact"/>
        <w:rPr>
          <w:sz w:val="20"/>
          <w:szCs w:val="20"/>
          <w:color w:val="auto"/>
        </w:rPr>
      </w:pPr>
    </w:p>
    <w:p>
      <w:pPr>
        <w:jc w:val="both"/>
        <w:ind w:left="460" w:right="459" w:firstLine="432"/>
        <w:spacing w:after="0" w:line="225" w:lineRule="auto"/>
        <w:rPr>
          <w:sz w:val="20"/>
          <w:szCs w:val="20"/>
          <w:color w:val="auto"/>
        </w:rPr>
      </w:pPr>
      <w:r>
        <w:rPr>
          <w:rFonts w:ascii="Arial" w:cs="Arial" w:eastAsia="Arial" w:hAnsi="Arial"/>
          <w:sz w:val="14"/>
          <w:szCs w:val="14"/>
          <w:color w:val="auto"/>
        </w:rPr>
        <w:t>Ventoux Acquisition Holdings LLC (“Ventoux Acquisition”), our co-sponsor and an affiliate of certain of our directors and officers, has committed to purchase from us an aggregate of 4,000,000 warrants (or 4,450,000 warrants if the over-allotment option is exercised in full), and Chardan International Investments, LLC (“Chardan Investments”), our co-sponsor and an affiliate of one of our directors and Chardan Capital Markets, LLC,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$6,000,000 (or $6,675,000 if the over-allotment option is exercised in full) we will receive from the sale of the private warrants, $3,500,000 (or $3,950,000 if the over-allotment option is exercised in full) will be used for offering expenses and $1,000,000 will be used for working capital.</w:t>
      </w:r>
    </w:p>
    <w:p>
      <w:pPr>
        <w:spacing w:after="0" w:line="3" w:lineRule="exact"/>
        <w:rPr>
          <w:sz w:val="20"/>
          <w:szCs w:val="20"/>
          <w:color w:val="auto"/>
        </w:rPr>
      </w:pPr>
    </w:p>
    <w:p>
      <w:pPr>
        <w:jc w:val="both"/>
        <w:ind w:left="460" w:right="459" w:firstLine="432"/>
        <w:spacing w:after="0" w:line="242" w:lineRule="auto"/>
        <w:rPr>
          <w:sz w:val="20"/>
          <w:szCs w:val="20"/>
          <w:color w:val="auto"/>
        </w:rPr>
      </w:pPr>
      <w:r>
        <w:rPr>
          <w:rFonts w:ascii="Arial" w:cs="Arial" w:eastAsia="Arial" w:hAnsi="Arial"/>
          <w:sz w:val="13"/>
          <w:szCs w:val="13"/>
          <w:color w:val="auto"/>
        </w:rPr>
        <w:t>On September 19, 2019, Chardan Investments purchased 5,000,000 shares of common stock from us for $25,000. On July 23, 2020, Chardan Investments sold 3,250,000 shares of common stock back to us for $16,250. On August 25, 2020, Chardan Investments transferred 256,375 shares of common stock back to us for nominal consideration, which shares were cancelled, resulting in Chardan Investments holding a balance of 1,493,625 shares of common stock. On July 23, 2020, Ventoux Acquisition purchased 3,250,000 shares of common stock from us for $16,250. On August 25, 2020, Ventoux Acquisition transferred 431,125 shares of common stock back to us for nominal considerations, which shares were cancelled. On December 15, 2020, Ventoux Acquisition transferred 22,500 shares of common stock to Cindat USA LLC, a wholly owned subsidiary of Cindat Capital Management Limited and an affiliate of one of our directors. As of the date hereof, Ventoux Acquisition holds 2,796,375 shares of common stock, of which Ventoux Acquisition intends to distribute 67,500 shares to certain of our directors prior to the consummation of the offering, resulting in Ventoux Acquisition holding a balance of 2,728,875 shares. We refer to the shares held by our co-sponsors, officers and directors as “founder” shares or “insider shares. The founder shares include an aggregate of up to 562,500 shares that are subject to forfeiture to the extent that the underwriters’ over-allotment option is not exercised in full or in part.</w:t>
      </w:r>
    </w:p>
    <w:p>
      <w:pPr>
        <w:jc w:val="both"/>
        <w:ind w:left="460" w:right="459" w:firstLine="432"/>
        <w:spacing w:after="0" w:line="247" w:lineRule="auto"/>
        <w:rPr>
          <w:sz w:val="20"/>
          <w:szCs w:val="20"/>
          <w:color w:val="auto"/>
        </w:rPr>
      </w:pPr>
      <w:r>
        <w:rPr>
          <w:rFonts w:ascii="Arial" w:cs="Arial" w:eastAsia="Arial" w:hAnsi="Arial"/>
          <w:sz w:val="13"/>
          <w:szCs w:val="13"/>
          <w:color w:val="auto"/>
        </w:rPr>
        <w:t>There is presently no public market for our units, common stock, rights or warrants. We intend to apply to have our units listed on the Nasdaq Capital Market, or Nasdaq, under the symbol “VTAQU” on or promptly after the date of this prospectus. We cannot guarantee that our securities will be approved for listing on Nasdaq. Once the securities comprising the units begin separate trading as described in this prospectus, the shares of common stock, rights and warrants will be traded on Nasdaq under the symbols “VTAQ,” “VTAQR” and “VTAQW,” respectively. We cannot assure you that our securities will continue to be listed on Nasdaq after this offering.</w:t>
      </w:r>
    </w:p>
    <w:p>
      <w:pPr>
        <w:jc w:val="both"/>
        <w:ind w:left="460" w:right="459" w:firstLine="432"/>
        <w:spacing w:after="0" w:line="241" w:lineRule="auto"/>
        <w:rPr>
          <w:sz w:val="20"/>
          <w:szCs w:val="20"/>
          <w:color w:val="auto"/>
        </w:rPr>
      </w:pPr>
      <w:r>
        <w:rPr>
          <w:rFonts w:ascii="Arial" w:cs="Arial" w:eastAsia="Arial" w:hAnsi="Arial"/>
          <w:sz w:val="14"/>
          <w:szCs w:val="14"/>
          <w:color w:val="auto"/>
        </w:rPr>
        <w:t>We are an “emerging growth company” as defined in the Jumpstart Our Business Startups Act of 2012, and we will therefore be subject to reduced public company reporting requirements.</w:t>
      </w:r>
    </w:p>
    <w:p>
      <w:pPr>
        <w:spacing w:after="0" w:line="1" w:lineRule="exact"/>
        <w:rPr>
          <w:sz w:val="20"/>
          <w:szCs w:val="20"/>
          <w:color w:val="auto"/>
        </w:rPr>
      </w:pPr>
    </w:p>
    <w:p>
      <w:pPr>
        <w:jc w:val="both"/>
        <w:ind w:left="460" w:right="479" w:firstLine="432"/>
        <w:spacing w:after="0" w:line="241" w:lineRule="auto"/>
        <w:rPr>
          <w:sz w:val="20"/>
          <w:szCs w:val="20"/>
          <w:color w:val="auto"/>
        </w:rPr>
      </w:pPr>
      <w:r>
        <w:rPr>
          <w:rFonts w:ascii="Arial" w:cs="Arial" w:eastAsia="Arial" w:hAnsi="Arial"/>
          <w:sz w:val="14"/>
          <w:szCs w:val="14"/>
          <w:b w:val="1"/>
          <w:bCs w:val="1"/>
          <w:color w:val="auto"/>
        </w:rPr>
        <w:t>Investing in our securities involves a high degree of risk. See “Risk Factors” beginning on page 22 of this prospectus for a discussion of information that should be considered in connection with an investment in our securities.</w:t>
      </w:r>
    </w:p>
    <w:p>
      <w:pPr>
        <w:spacing w:after="0" w:line="1" w:lineRule="exact"/>
        <w:rPr>
          <w:sz w:val="20"/>
          <w:szCs w:val="20"/>
          <w:color w:val="auto"/>
        </w:rPr>
      </w:pPr>
    </w:p>
    <w:p>
      <w:pPr>
        <w:jc w:val="both"/>
        <w:ind w:left="460" w:right="459" w:firstLine="432"/>
        <w:spacing w:after="0" w:line="234" w:lineRule="auto"/>
        <w:rPr>
          <w:sz w:val="20"/>
          <w:szCs w:val="20"/>
          <w:color w:val="auto"/>
        </w:rPr>
      </w:pPr>
      <w:r>
        <w:rPr>
          <w:rFonts w:ascii="Arial" w:cs="Arial" w:eastAsia="Arial" w:hAnsi="Arial"/>
          <w:sz w:val="14"/>
          <w:szCs w:val="14"/>
          <w:color w:val="auto"/>
        </w:rPr>
        <w:t>Neither the Securities and Exchange Commission (also referred to as the “SEC”) nor any state securities commission has approved or disapproved of these securities or determined if this prospectus is truthful or complete. Any representation to the contrary is a criminal offense.</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28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Price to</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Underwriting</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ind w:right="68"/>
              <w:spacing w:after="0"/>
              <w:rPr>
                <w:sz w:val="20"/>
                <w:szCs w:val="20"/>
                <w:color w:val="auto"/>
              </w:rPr>
            </w:pPr>
            <w:r>
              <w:rPr>
                <w:rFonts w:ascii="Arial" w:cs="Arial" w:eastAsia="Arial" w:hAnsi="Arial"/>
                <w:sz w:val="14"/>
                <w:szCs w:val="14"/>
                <w:b w:val="1"/>
                <w:bCs w:val="1"/>
                <w:color w:val="auto"/>
                <w:w w:val="86"/>
              </w:rPr>
              <w:t>Proceeds,</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Discount and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Before</w:t>
            </w:r>
          </w:p>
        </w:tc>
        <w:tc>
          <w:tcPr>
            <w:tcW w:w="0" w:type="dxa"/>
            <w:vAlign w:val="bottom"/>
          </w:tcPr>
          <w:p>
            <w:pPr>
              <w:spacing w:after="0"/>
              <w:rPr>
                <w:sz w:val="1"/>
                <w:szCs w:val="1"/>
                <w:color w:val="auto"/>
              </w:rPr>
            </w:pPr>
          </w:p>
        </w:tc>
      </w:tr>
      <w:tr>
        <w:trPr>
          <w:trHeight w:val="216"/>
        </w:trPr>
        <w:tc>
          <w:tcPr>
            <w:tcW w:w="280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Public</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gridSpan w:val="2"/>
          </w:tcPr>
          <w:p>
            <w:pPr>
              <w:jc w:val="center"/>
              <w:spacing w:after="0" w:line="216" w:lineRule="exact"/>
              <w:rPr>
                <w:sz w:val="20"/>
                <w:szCs w:val="20"/>
                <w:color w:val="auto"/>
              </w:rPr>
            </w:pPr>
            <w:r>
              <w:rPr>
                <w:rFonts w:ascii="Arial" w:cs="Arial" w:eastAsia="Arial" w:hAnsi="Arial"/>
                <w:sz w:val="14"/>
                <w:szCs w:val="14"/>
                <w:b w:val="1"/>
                <w:bCs w:val="1"/>
                <w:color w:val="auto"/>
                <w:w w:val="84"/>
              </w:rPr>
              <w:t>Commissions</w:t>
            </w:r>
            <w:r>
              <w:rPr>
                <w:rFonts w:ascii="Arial" w:cs="Arial" w:eastAsia="Arial" w:hAnsi="Arial"/>
                <w:sz w:val="21"/>
                <w:szCs w:val="21"/>
                <w:b w:val="1"/>
                <w:bCs w:val="1"/>
                <w:color w:val="auto"/>
                <w:w w:val="84"/>
                <w:vertAlign w:val="superscript"/>
              </w:rPr>
              <w:t>(1)(2)</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8"/>
              </w:rPr>
              <w:t>Expenses, to us</w:t>
            </w:r>
          </w:p>
        </w:tc>
        <w:tc>
          <w:tcPr>
            <w:tcW w:w="0" w:type="dxa"/>
            <w:vAlign w:val="bottom"/>
          </w:tcPr>
          <w:p>
            <w:pPr>
              <w:spacing w:after="0"/>
              <w:rPr>
                <w:sz w:val="1"/>
                <w:szCs w:val="1"/>
                <w:color w:val="auto"/>
              </w:rPr>
            </w:pPr>
          </w:p>
        </w:tc>
      </w:tr>
      <w:tr>
        <w:trPr>
          <w:trHeight w:val="243"/>
        </w:trPr>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Per unit</w:t>
            </w:r>
          </w:p>
        </w:tc>
        <w:tc>
          <w:tcPr>
            <w:tcW w:w="2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0.20</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9.80</w:t>
            </w:r>
          </w:p>
        </w:tc>
        <w:tc>
          <w:tcPr>
            <w:tcW w:w="0" w:type="dxa"/>
            <w:vAlign w:val="bottom"/>
          </w:tcPr>
          <w:p>
            <w:pPr>
              <w:spacing w:after="0"/>
              <w:rPr>
                <w:sz w:val="1"/>
                <w:szCs w:val="1"/>
                <w:color w:val="auto"/>
              </w:rPr>
            </w:pPr>
          </w:p>
        </w:tc>
      </w:tr>
      <w:tr>
        <w:trPr>
          <w:trHeight w:val="258"/>
        </w:trPr>
        <w:tc>
          <w:tcPr>
            <w:tcW w:w="280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2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150,000,000</w:t>
            </w:r>
          </w:p>
        </w:tc>
        <w:tc>
          <w:tcPr>
            <w:tcW w:w="1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3,000,000</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147,000,000</w:t>
            </w:r>
          </w:p>
        </w:tc>
        <w:tc>
          <w:tcPr>
            <w:tcW w:w="0" w:type="dxa"/>
            <w:vAlign w:val="bottom"/>
          </w:tcPr>
          <w:p>
            <w:pPr>
              <w:spacing w:after="0"/>
              <w:rPr>
                <w:sz w:val="1"/>
                <w:szCs w:val="1"/>
                <w:color w:val="auto"/>
              </w:rPr>
            </w:pPr>
          </w:p>
        </w:tc>
      </w:tr>
      <w:tr>
        <w:trPr>
          <w:trHeight w:val="276"/>
        </w:trPr>
        <w:tc>
          <w:tcPr>
            <w:tcW w:w="2800" w:type="dxa"/>
            <w:vAlign w:val="bottom"/>
          </w:tcPr>
          <w:p>
            <w:pPr>
              <w:spacing w:after="0"/>
              <w:rPr>
                <w:sz w:val="20"/>
                <w:szCs w:val="20"/>
                <w:color w:val="auto"/>
              </w:rPr>
            </w:pPr>
            <w:r>
              <w:rPr>
                <w:rFonts w:ascii="Arial" w:cs="Arial" w:eastAsia="Arial" w:hAnsi="Arial"/>
                <w:sz w:val="16"/>
                <w:szCs w:val="16"/>
                <w:color w:val="auto"/>
              </w:rPr>
              <w:t>____________</w:t>
            </w: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jc w:val="both"/>
        <w:ind w:left="880" w:right="479" w:hanging="426"/>
        <w:spacing w:after="0" w:line="227" w:lineRule="auto"/>
        <w:tabs>
          <w:tab w:leader="none" w:pos="919"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$100,000 payable to B. Riley Securities, Inc. for acting as a qualified independent underwriter. Please see the section titled “Underwriting (Conflicts of Interest)” for further information relating to the underwriting arrangements agreed to between us and the underwriters in this offering.</w:t>
      </w:r>
    </w:p>
    <w:p>
      <w:pPr>
        <w:ind w:left="880" w:right="479" w:hanging="426"/>
        <w:spacing w:after="0" w:line="237" w:lineRule="auto"/>
        <w:tabs>
          <w:tab w:leader="none" w:pos="914"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underwriters will receive compensation in addition to the underwriting discount. See “Underwriting (Conflict of Interest)” for a description of compensation and other items of value payable to the underwriters.</w:t>
      </w:r>
    </w:p>
    <w:p>
      <w:pPr>
        <w:spacing w:after="0" w:line="1" w:lineRule="exact"/>
        <w:rPr>
          <w:sz w:val="20"/>
          <w:szCs w:val="20"/>
          <w:color w:val="auto"/>
        </w:rPr>
      </w:pPr>
    </w:p>
    <w:p>
      <w:pPr>
        <w:jc w:val="both"/>
        <w:ind w:left="460" w:right="459" w:firstLine="432"/>
        <w:spacing w:after="0" w:line="229" w:lineRule="auto"/>
        <w:rPr>
          <w:sz w:val="20"/>
          <w:szCs w:val="20"/>
          <w:color w:val="auto"/>
        </w:rPr>
      </w:pPr>
      <w:r>
        <w:rPr>
          <w:rFonts w:ascii="Arial" w:cs="Arial" w:eastAsia="Arial" w:hAnsi="Arial"/>
          <w:sz w:val="14"/>
          <w:szCs w:val="14"/>
          <w:color w:val="auto"/>
        </w:rPr>
        <w:t>Upon consummation of the offering, $10.10 per unit sold to the public in this offering (whether or not the over-allotment option has been exercised in full or part) will be deposited into a United States-based trust account at Morgan Stanley with Continental Stock Transfer &amp; Trust Company acting as trustee. Except as described in this prospectus, these funds will not be released to us until the earlier of the completion of our initial business combination and our redemption of the public shares upon our failure to consummate a business combination within the required period.</w:t>
      </w:r>
    </w:p>
    <w:p>
      <w:pPr>
        <w:sectPr>
          <w:pgSz w:w="11900" w:h="16851" w:orient="portrait"/>
          <w:cols w:equalWidth="0" w:num="1">
            <w:col w:w="9019"/>
          </w:cols>
          <w:pgMar w:left="1440" w:top="274" w:right="1440" w:bottom="0" w:gutter="0" w:footer="0" w:header="0"/>
        </w:sectPr>
      </w:pPr>
    </w:p>
    <w:bookmarkStart w:id="3" w:name="page4"/>
    <w:bookmarkEnd w:id="3"/>
    <w:p>
      <w:pPr>
        <w:ind w:left="460" w:right="479" w:firstLine="432"/>
        <w:spacing w:after="0" w:line="251" w:lineRule="auto"/>
        <w:rPr>
          <w:sz w:val="20"/>
          <w:szCs w:val="20"/>
          <w:color w:val="auto"/>
        </w:rPr>
      </w:pPr>
      <w:r>
        <w:rPr>
          <w:rFonts w:ascii="Arial" w:cs="Arial" w:eastAsia="Arial" w:hAnsi="Arial"/>
          <w:sz w:val="14"/>
          <w:szCs w:val="14"/>
          <w:color w:val="auto"/>
        </w:rPr>
        <w:t xml:space="preserve">The underwriters are offering the units on a firm commitment basis. Chardan Capital Markets, LLC, acting as the representative of the underwriters, expects to deliver the units to purchasers on or about </w:t>
      </w:r>
      <w:r>
        <w:rPr>
          <w:rFonts w:ascii="Arial" w:cs="Arial" w:eastAsia="Arial" w:hAnsi="Arial"/>
          <w:sz w:val="14"/>
          <w:szCs w:val="14"/>
          <w:b w:val="1"/>
          <w:bCs w:val="1"/>
          <w:color w:val="auto"/>
        </w:rPr>
        <w:t>___________,</w:t>
      </w:r>
      <w:r>
        <w:rPr>
          <w:rFonts w:ascii="Arial" w:cs="Arial" w:eastAsia="Arial" w:hAnsi="Arial"/>
          <w:sz w:val="14"/>
          <w:szCs w:val="14"/>
          <w:color w:val="auto"/>
        </w:rPr>
        <w:t xml:space="preserve"> 2020</w:t>
      </w:r>
      <w:r>
        <w:rPr>
          <w:rFonts w:ascii="Arial" w:cs="Arial" w:eastAsia="Arial" w:hAnsi="Arial"/>
          <w:sz w:val="14"/>
          <w:szCs w:val="14"/>
          <w:b w:val="1"/>
          <w:bCs w:val="1"/>
          <w:color w:val="auto"/>
        </w:rPr>
        <w: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i w:val="1"/>
          <w:iCs w:val="1"/>
          <w:color w:val="auto"/>
        </w:rPr>
        <w:t>Chardan</w:t>
      </w:r>
    </w:p>
    <w:p>
      <w:pPr>
        <w:spacing w:after="0" w:line="35"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___________,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266065</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 w:name="page5"/>
    <w:bookmarkEnd w:id="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6"/>
        </w:trPr>
        <w:tc>
          <w:tcPr>
            <w:tcW w:w="180" w:type="dxa"/>
            <w:vAlign w:val="bottom"/>
            <w:tcBorders>
              <w:bottom w:val="single" w:sz="8" w:color="CCEEFF"/>
            </w:tcBorders>
          </w:tcPr>
          <w:p>
            <w:pPr>
              <w:spacing w:after="0"/>
              <w:rPr>
                <w:sz w:val="4"/>
                <w:szCs w:val="4"/>
                <w:color w:val="auto"/>
              </w:rPr>
            </w:pPr>
          </w:p>
        </w:tc>
        <w:tc>
          <w:tcPr>
            <w:tcW w:w="2180" w:type="dxa"/>
            <w:vAlign w:val="bottom"/>
            <w:tcBorders>
              <w:bottom w:val="single" w:sz="8" w:color="CCEEFF"/>
            </w:tcBorders>
          </w:tcPr>
          <w:p>
            <w:pPr>
              <w:spacing w:after="0"/>
              <w:rPr>
                <w:sz w:val="4"/>
                <w:szCs w:val="4"/>
                <w:color w:val="auto"/>
              </w:rPr>
            </w:pPr>
          </w:p>
        </w:tc>
        <w:tc>
          <w:tcPr>
            <w:tcW w:w="432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43"/>
        </w:trPr>
        <w:tc>
          <w:tcPr>
            <w:tcW w:w="756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SUMMARY</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43"/>
        </w:trPr>
        <w:tc>
          <w:tcPr>
            <w:tcW w:w="7560" w:type="dxa"/>
            <w:vAlign w:val="bottom"/>
            <w:gridSpan w:val="4"/>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SUMMARY FINANCIAL DATA</w:t>
              </w:r>
            </w:hyperlink>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21</w:t>
            </w:r>
          </w:p>
        </w:tc>
      </w:tr>
      <w:tr>
        <w:trPr>
          <w:trHeight w:val="41"/>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RISK FACTORS</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22</w:t>
            </w:r>
          </w:p>
        </w:tc>
      </w:tr>
      <w:tr>
        <w:trPr>
          <w:trHeight w:val="243"/>
        </w:trPr>
        <w:tc>
          <w:tcPr>
            <w:tcW w:w="7560" w:type="dxa"/>
            <w:vAlign w:val="bottom"/>
            <w:gridSpan w:val="4"/>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CAUTIONARY NOTE REGARDING FORWARD-LOOKING STATEMENTS</w:t>
              </w:r>
            </w:hyperlink>
          </w:p>
        </w:tc>
        <w:tc>
          <w:tcPr>
            <w:tcW w:w="540" w:type="dxa"/>
            <w:vAlign w:val="bottom"/>
          </w:tcPr>
          <w:p>
            <w:pPr>
              <w:jc w:val="center"/>
              <w:spacing w:after="0"/>
              <w:rPr>
                <w:sz w:val="20"/>
                <w:szCs w:val="20"/>
                <w:color w:val="auto"/>
              </w:rPr>
            </w:pPr>
            <w:r>
              <w:rPr>
                <w:rFonts w:ascii="Arial" w:cs="Arial" w:eastAsia="Arial" w:hAnsi="Arial"/>
                <w:sz w:val="18"/>
                <w:szCs w:val="18"/>
                <w:color w:val="auto"/>
                <w:w w:val="89"/>
              </w:rPr>
              <w:t>43</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USE OF PROCEEDS</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r>
      <w:tr>
        <w:trPr>
          <w:trHeight w:val="243"/>
        </w:trPr>
        <w:tc>
          <w:tcPr>
            <w:tcW w:w="7560" w:type="dxa"/>
            <w:vAlign w:val="bottom"/>
            <w:gridSpan w:val="4"/>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DIVIDEND POLICY</w:t>
              </w:r>
            </w:hyperlink>
          </w:p>
        </w:tc>
        <w:tc>
          <w:tcPr>
            <w:tcW w:w="540" w:type="dxa"/>
            <w:vAlign w:val="bottom"/>
          </w:tcPr>
          <w:p>
            <w:pPr>
              <w:jc w:val="center"/>
              <w:spacing w:after="0"/>
              <w:rPr>
                <w:sz w:val="20"/>
                <w:szCs w:val="20"/>
                <w:color w:val="auto"/>
              </w:rPr>
            </w:pPr>
            <w:r>
              <w:rPr>
                <w:rFonts w:ascii="Arial" w:cs="Arial" w:eastAsia="Arial" w:hAnsi="Arial"/>
                <w:sz w:val="18"/>
                <w:szCs w:val="18"/>
                <w:color w:val="auto"/>
                <w:w w:val="89"/>
              </w:rPr>
              <w:t>47</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DILUTION</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48</w:t>
            </w:r>
          </w:p>
        </w:tc>
      </w:tr>
      <w:tr>
        <w:trPr>
          <w:trHeight w:val="243"/>
        </w:trPr>
        <w:tc>
          <w:tcPr>
            <w:tcW w:w="7560" w:type="dxa"/>
            <w:vAlign w:val="bottom"/>
            <w:gridSpan w:val="4"/>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CAPITALIZATION</w:t>
              </w:r>
            </w:hyperlink>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41"/>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175"/>
        </w:trPr>
        <w:tc>
          <w:tcPr>
            <w:tcW w:w="66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8"/>
              </w:rPr>
            </w:pPr>
            <w:hyperlink w:anchor="page56">
              <w:r>
                <w:rPr>
                  <w:rFonts w:ascii="Arial" w:cs="Arial" w:eastAsia="Arial" w:hAnsi="Arial"/>
                  <w:sz w:val="18"/>
                  <w:szCs w:val="18"/>
                  <w:color w:val="0000EE"/>
                  <w:w w:val="98"/>
                </w:rPr>
                <w:t>MANAGEMENT’S DISCUSSION AND ANALYSIS OF FINANCIAL CONDITION AND</w:t>
              </w:r>
            </w:hyperlink>
          </w:p>
        </w:tc>
        <w:tc>
          <w:tcPr>
            <w:tcW w:w="8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380" w:type="dxa"/>
            <w:vAlign w:val="bottom"/>
            <w:gridSpan w:val="3"/>
            <w:shd w:val="clear" w:color="auto" w:fill="CCEEFF"/>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RESULTS OF OPERATIONS</w:t>
              </w:r>
            </w:hyperlink>
          </w:p>
        </w:tc>
        <w:tc>
          <w:tcPr>
            <w:tcW w:w="5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51</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2180" w:type="dxa"/>
            <w:vAlign w:val="bottom"/>
            <w:tcBorders>
              <w:top w:val="single" w:sz="8" w:color="0000EE"/>
            </w:tcBorders>
            <w:shd w:val="clear" w:color="auto" w:fill="CCEEFF"/>
          </w:tcPr>
          <w:p>
            <w:pPr>
              <w:spacing w:after="0"/>
              <w:rPr>
                <w:sz w:val="5"/>
                <w:szCs w:val="5"/>
                <w:color w:val="auto"/>
              </w:rPr>
            </w:pPr>
          </w:p>
        </w:tc>
        <w:tc>
          <w:tcPr>
            <w:tcW w:w="43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r>
      <w:tr>
        <w:trPr>
          <w:trHeight w:val="243"/>
        </w:trPr>
        <w:tc>
          <w:tcPr>
            <w:tcW w:w="7560" w:type="dxa"/>
            <w:vAlign w:val="bottom"/>
            <w:gridSpan w:val="4"/>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PROPOSED BUSINESS</w:t>
              </w:r>
            </w:hyperlink>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55</w:t>
            </w:r>
          </w:p>
        </w:tc>
      </w:tr>
      <w:tr>
        <w:trPr>
          <w:trHeight w:val="41"/>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MANAGEMENT</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74</w:t>
            </w:r>
          </w:p>
        </w:tc>
      </w:tr>
      <w:tr>
        <w:trPr>
          <w:trHeight w:val="243"/>
        </w:trPr>
        <w:tc>
          <w:tcPr>
            <w:tcW w:w="7560" w:type="dxa"/>
            <w:vAlign w:val="bottom"/>
            <w:gridSpan w:val="4"/>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PRINCIPAL STOCKHOLDERS</w:t>
              </w:r>
            </w:hyperlink>
          </w:p>
        </w:tc>
        <w:tc>
          <w:tcPr>
            <w:tcW w:w="540" w:type="dxa"/>
            <w:vAlign w:val="bottom"/>
          </w:tcPr>
          <w:p>
            <w:pPr>
              <w:jc w:val="center"/>
              <w:spacing w:after="0"/>
              <w:rPr>
                <w:sz w:val="20"/>
                <w:szCs w:val="20"/>
                <w:color w:val="auto"/>
              </w:rPr>
            </w:pPr>
            <w:r>
              <w:rPr>
                <w:rFonts w:ascii="Arial" w:cs="Arial" w:eastAsia="Arial" w:hAnsi="Arial"/>
                <w:sz w:val="18"/>
                <w:szCs w:val="18"/>
                <w:color w:val="auto"/>
                <w:w w:val="89"/>
              </w:rPr>
              <w:t>84</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CERTAIN TRANSACTIONS</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87</w:t>
            </w:r>
          </w:p>
        </w:tc>
      </w:tr>
      <w:tr>
        <w:trPr>
          <w:trHeight w:val="243"/>
        </w:trPr>
        <w:tc>
          <w:tcPr>
            <w:tcW w:w="7560" w:type="dxa"/>
            <w:vAlign w:val="bottom"/>
            <w:gridSpan w:val="4"/>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DESCRIPTION OF SECURITIES</w:t>
              </w:r>
            </w:hyperlink>
          </w:p>
        </w:tc>
        <w:tc>
          <w:tcPr>
            <w:tcW w:w="540" w:type="dxa"/>
            <w:vAlign w:val="bottom"/>
          </w:tcPr>
          <w:p>
            <w:pPr>
              <w:jc w:val="center"/>
              <w:spacing w:after="0"/>
              <w:rPr>
                <w:sz w:val="20"/>
                <w:szCs w:val="20"/>
                <w:color w:val="auto"/>
              </w:rPr>
            </w:pPr>
            <w:r>
              <w:rPr>
                <w:rFonts w:ascii="Arial" w:cs="Arial" w:eastAsia="Arial" w:hAnsi="Arial"/>
                <w:sz w:val="18"/>
                <w:szCs w:val="18"/>
                <w:color w:val="auto"/>
                <w:w w:val="89"/>
              </w:rPr>
              <w:t>90</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4"/>
        </w:trPr>
        <w:tc>
          <w:tcPr>
            <w:tcW w:w="756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SECURITIES ELIGIBLE FOR FUTURE SALE</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97</w:t>
            </w:r>
          </w:p>
        </w:tc>
      </w:tr>
      <w:tr>
        <w:trPr>
          <w:trHeight w:val="243"/>
        </w:trPr>
        <w:tc>
          <w:tcPr>
            <w:tcW w:w="7560" w:type="dxa"/>
            <w:vAlign w:val="bottom"/>
            <w:gridSpan w:val="4"/>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UNDERWRITING (CONFLICTS OF INTEREST)</w:t>
              </w:r>
            </w:hyperlink>
          </w:p>
        </w:tc>
        <w:tc>
          <w:tcPr>
            <w:tcW w:w="540" w:type="dxa"/>
            <w:vAlign w:val="bottom"/>
          </w:tcPr>
          <w:p>
            <w:pPr>
              <w:jc w:val="center"/>
              <w:spacing w:after="0"/>
              <w:rPr>
                <w:sz w:val="20"/>
                <w:szCs w:val="20"/>
                <w:color w:val="auto"/>
              </w:rPr>
            </w:pPr>
            <w:r>
              <w:rPr>
                <w:rFonts w:ascii="Arial" w:cs="Arial" w:eastAsia="Arial" w:hAnsi="Arial"/>
                <w:sz w:val="18"/>
                <w:szCs w:val="18"/>
                <w:color w:val="auto"/>
                <w:w w:val="89"/>
              </w:rPr>
              <w:t>99</w:t>
            </w:r>
          </w:p>
        </w:tc>
      </w:tr>
      <w:tr>
        <w:trPr>
          <w:trHeight w:val="41"/>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LEGAL MATTERS</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104</w:t>
            </w:r>
          </w:p>
        </w:tc>
      </w:tr>
      <w:tr>
        <w:trPr>
          <w:trHeight w:val="243"/>
        </w:trPr>
        <w:tc>
          <w:tcPr>
            <w:tcW w:w="7560" w:type="dxa"/>
            <w:vAlign w:val="bottom"/>
            <w:gridSpan w:val="4"/>
          </w:tcPr>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EXPERTS</w:t>
              </w:r>
            </w:hyperlink>
          </w:p>
        </w:tc>
        <w:tc>
          <w:tcPr>
            <w:tcW w:w="540" w:type="dxa"/>
            <w:vAlign w:val="bottom"/>
          </w:tcPr>
          <w:p>
            <w:pPr>
              <w:jc w:val="center"/>
              <w:spacing w:after="0"/>
              <w:rPr>
                <w:sz w:val="20"/>
                <w:szCs w:val="20"/>
                <w:color w:val="auto"/>
              </w:rPr>
            </w:pPr>
            <w:r>
              <w:rPr>
                <w:rFonts w:ascii="Arial" w:cs="Arial" w:eastAsia="Arial" w:hAnsi="Arial"/>
                <w:sz w:val="18"/>
                <w:szCs w:val="18"/>
                <w:color w:val="auto"/>
                <w:w w:val="93"/>
              </w:rPr>
              <w:t>104</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4"/>
        </w:trPr>
        <w:tc>
          <w:tcPr>
            <w:tcW w:w="756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WHERE YOU CAN FIND ADDITIONAL INFORMATION</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104</w:t>
            </w:r>
          </w:p>
        </w:tc>
      </w:tr>
      <w:tr>
        <w:trPr>
          <w:trHeight w:val="243"/>
        </w:trPr>
        <w:tc>
          <w:tcPr>
            <w:tcW w:w="7560" w:type="dxa"/>
            <w:vAlign w:val="bottom"/>
            <w:gridSpan w:val="4"/>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INDEX TO FINANCIAL STATEMENTS</w:t>
              </w:r>
            </w:hyperlink>
          </w:p>
        </w:tc>
        <w:tc>
          <w:tcPr>
            <w:tcW w:w="540" w:type="dxa"/>
            <w:vAlign w:val="bottom"/>
          </w:tcPr>
          <w:p>
            <w:pPr>
              <w:jc w:val="center"/>
              <w:spacing w:after="0"/>
              <w:rPr>
                <w:sz w:val="20"/>
                <w:szCs w:val="20"/>
                <w:color w:val="auto"/>
              </w:rPr>
            </w:pPr>
            <w:r>
              <w:rPr>
                <w:rFonts w:ascii="Arial" w:cs="Arial" w:eastAsia="Arial" w:hAnsi="Arial"/>
                <w:sz w:val="18"/>
                <w:szCs w:val="18"/>
                <w:color w:val="auto"/>
                <w:w w:val="88"/>
              </w:rPr>
              <w:t>F-1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 w:name="page6"/>
    <w:bookmarkEnd w:id="5"/>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5680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7310" cy="85680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jc w:val="both"/>
        <w:ind w:left="540" w:right="559" w:firstLine="432"/>
        <w:spacing w:after="0" w:line="257"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 Unless otherwise stated in this prospectus:</w:t>
      </w:r>
    </w:p>
    <w:p>
      <w:pPr>
        <w:spacing w:after="0" w:line="120" w:lineRule="exact"/>
        <w:rPr>
          <w:sz w:val="20"/>
          <w:szCs w:val="20"/>
          <w:color w:val="auto"/>
        </w:rPr>
      </w:pPr>
    </w:p>
    <w:p>
      <w:pPr>
        <w:ind w:left="1400" w:hanging="424"/>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“us” “our” or “our company” refers to Ventoux CCM Acquisition Corp.;</w:t>
      </w:r>
    </w:p>
    <w:p>
      <w:pPr>
        <w:spacing w:after="0" w:line="144" w:lineRule="exact"/>
        <w:rPr>
          <w:rFonts w:ascii="Arial" w:cs="Arial" w:eastAsia="Arial" w:hAnsi="Arial"/>
          <w:sz w:val="18"/>
          <w:szCs w:val="18"/>
          <w:color w:val="auto"/>
        </w:rPr>
      </w:pPr>
    </w:p>
    <w:p>
      <w:pPr>
        <w:jc w:val="both"/>
        <w:ind w:left="1400" w:right="559" w:hanging="424"/>
        <w:spacing w:after="0" w:line="263" w:lineRule="auto"/>
        <w:tabs>
          <w:tab w:leader="none" w:pos="1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“initial stockholders” refers to all of our stockholders immediately prior to the date of this prospectus, including our co-sponsors and officers and directors to the extent they hold such shares;</w:t>
      </w:r>
    </w:p>
    <w:p>
      <w:pPr>
        <w:spacing w:after="0" w:line="116" w:lineRule="exact"/>
        <w:rPr>
          <w:rFonts w:ascii="Arial" w:cs="Arial" w:eastAsia="Arial" w:hAnsi="Arial"/>
          <w:sz w:val="18"/>
          <w:szCs w:val="18"/>
          <w:color w:val="auto"/>
        </w:rPr>
      </w:pPr>
    </w:p>
    <w:p>
      <w:pPr>
        <w:jc w:val="both"/>
        <w:ind w:left="1400" w:right="559" w:hanging="424"/>
        <w:spacing w:after="0" w:line="301" w:lineRule="auto"/>
        <w:tabs>
          <w:tab w:leader="none" w:pos="1404"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“founder shares” or “insider shares” refers to the 4,312,500 shares of common stock held by our co-sponsors, our directors, and affiliates of our management team and directors prior to this offering (including up to an aggregate of 562,500 shares of common stock subject to forfeiture to the extent that the underwriters’ over-allotment option is not exercised in full or in part);</w:t>
      </w:r>
    </w:p>
    <w:p>
      <w:pPr>
        <w:spacing w:after="0" w:line="89" w:lineRule="exact"/>
        <w:rPr>
          <w:rFonts w:ascii="Arial" w:cs="Arial" w:eastAsia="Arial" w:hAnsi="Arial"/>
          <w:sz w:val="16"/>
          <w:szCs w:val="16"/>
          <w:color w:val="auto"/>
        </w:rPr>
      </w:pPr>
    </w:p>
    <w:p>
      <w:pPr>
        <w:ind w:left="1400" w:right="559" w:hanging="424"/>
        <w:spacing w:after="0" w:line="308" w:lineRule="auto"/>
        <w:tabs>
          <w:tab w:leader="none" w:pos="1634"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“private warrants” refers to the warrants we are selling privately to Ventoux Acquisition, Chardan Investments, and/or their designees upon consummation of this offering;</w:t>
      </w:r>
    </w:p>
    <w:p>
      <w:pPr>
        <w:spacing w:after="0" w:line="65" w:lineRule="exact"/>
        <w:rPr>
          <w:rFonts w:ascii="Arial" w:cs="Arial" w:eastAsia="Arial" w:hAnsi="Arial"/>
          <w:sz w:val="17"/>
          <w:szCs w:val="17"/>
          <w:color w:val="auto"/>
        </w:rPr>
      </w:pPr>
    </w:p>
    <w:p>
      <w:pPr>
        <w:jc w:val="both"/>
        <w:ind w:left="1400" w:right="559" w:hanging="424"/>
        <w:spacing w:after="0" w:line="263" w:lineRule="auto"/>
        <w:tabs>
          <w:tab w:leader="none" w:pos="1526"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“warrants” refers to our warrants, which includes the public warrants as well as the private warrants to the extent they are no longer held by the initial purchasers of the private warrants or their permitted transferees;</w:t>
      </w:r>
    </w:p>
    <w:p>
      <w:pPr>
        <w:spacing w:after="0" w:line="116" w:lineRule="exact"/>
        <w:rPr>
          <w:rFonts w:ascii="Arial" w:cs="Arial" w:eastAsia="Arial" w:hAnsi="Arial"/>
          <w:sz w:val="18"/>
          <w:szCs w:val="18"/>
          <w:color w:val="auto"/>
        </w:rPr>
      </w:pPr>
    </w:p>
    <w:p>
      <w:pPr>
        <w:ind w:left="1400" w:right="559" w:hanging="424"/>
        <w:spacing w:after="0" w:line="277" w:lineRule="auto"/>
        <w:tabs>
          <w:tab w:leader="none" w:pos="1431"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“rights” refers to the rights sold as part of the units in this offering (whether they are purchased in this offering or thereafter in the open market);</w:t>
      </w:r>
    </w:p>
    <w:p>
      <w:pPr>
        <w:spacing w:after="0" w:line="102" w:lineRule="exact"/>
        <w:rPr>
          <w:rFonts w:ascii="Arial" w:cs="Arial" w:eastAsia="Arial" w:hAnsi="Arial"/>
          <w:sz w:val="18"/>
          <w:szCs w:val="18"/>
          <w:color w:val="auto"/>
        </w:rPr>
      </w:pPr>
    </w:p>
    <w:p>
      <w:pPr>
        <w:ind w:left="1400" w:hanging="424"/>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“co-sponsors” refers to Ventoux Acquisition and Chardan Investments;</w:t>
      </w:r>
    </w:p>
    <w:p>
      <w:pPr>
        <w:spacing w:after="0" w:line="144" w:lineRule="exact"/>
        <w:rPr>
          <w:rFonts w:ascii="Arial" w:cs="Arial" w:eastAsia="Arial" w:hAnsi="Arial"/>
          <w:sz w:val="18"/>
          <w:szCs w:val="18"/>
          <w:color w:val="auto"/>
        </w:rPr>
      </w:pPr>
    </w:p>
    <w:p>
      <w:pPr>
        <w:ind w:left="1400" w:right="559" w:hanging="424"/>
        <w:spacing w:after="0" w:line="277" w:lineRule="auto"/>
        <w:tabs>
          <w:tab w:leader="none" w:pos="1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“Ventoux Acquisition” refers to Ventoux Acquisition Holdings LLC, an entity affiliated with certain of our director and officers;</w:t>
      </w:r>
    </w:p>
    <w:p>
      <w:pPr>
        <w:spacing w:after="0" w:line="102" w:lineRule="exact"/>
        <w:rPr>
          <w:rFonts w:ascii="Arial" w:cs="Arial" w:eastAsia="Arial" w:hAnsi="Arial"/>
          <w:sz w:val="18"/>
          <w:szCs w:val="18"/>
          <w:color w:val="auto"/>
        </w:rPr>
      </w:pPr>
    </w:p>
    <w:p>
      <w:pPr>
        <w:ind w:left="1400" w:right="559" w:hanging="424"/>
        <w:spacing w:after="0" w:line="277" w:lineRule="auto"/>
        <w:tabs>
          <w:tab w:leader="none" w:pos="1526"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“Chardan Investments” refers to Chardan International Investments, LLC, an entity affiliated with certain of our investors and Chardan Capital Markets, LLC;</w:t>
      </w:r>
    </w:p>
    <w:p>
      <w:pPr>
        <w:spacing w:after="0" w:line="102" w:lineRule="exact"/>
        <w:rPr>
          <w:rFonts w:ascii="Arial" w:cs="Arial" w:eastAsia="Arial" w:hAnsi="Arial"/>
          <w:sz w:val="18"/>
          <w:szCs w:val="18"/>
          <w:color w:val="auto"/>
        </w:rPr>
      </w:pPr>
    </w:p>
    <w:p>
      <w:pPr>
        <w:ind w:left="1400" w:right="559" w:hanging="424"/>
        <w:spacing w:after="0" w:line="277" w:lineRule="auto"/>
        <w:tabs>
          <w:tab w:leader="none" w:pos="148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“Chardan” or “Chardan Capital Markets, LLC” refers to Chardan Capital Markets, LLC, the representative of the underwriters;</w:t>
      </w:r>
    </w:p>
    <w:p>
      <w:pPr>
        <w:spacing w:after="0" w:line="89" w:lineRule="exact"/>
        <w:rPr>
          <w:rFonts w:ascii="Arial" w:cs="Arial" w:eastAsia="Arial" w:hAnsi="Arial"/>
          <w:sz w:val="18"/>
          <w:szCs w:val="18"/>
          <w:color w:val="auto"/>
        </w:rPr>
      </w:pPr>
    </w:p>
    <w:p>
      <w:pPr>
        <w:jc w:val="both"/>
        <w:ind w:left="1400" w:right="559" w:hanging="424"/>
        <w:spacing w:after="0" w:line="275" w:lineRule="auto"/>
        <w:tabs>
          <w:tab w:leader="none" w:pos="1499"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the term “public stockholders” means the holders of shares of common stock which are being sold as part of the units in this public offering, or “public shares,” whether they are purchased in the public offering or in the aftermarket, including any of our initial stockholders to the extent that they purchase such public shares (except that our initial stockholders will not have conversion or tender rights with respect to any public shares they own); and</w:t>
      </w:r>
    </w:p>
    <w:p>
      <w:pPr>
        <w:spacing w:after="0" w:line="108" w:lineRule="exact"/>
        <w:rPr>
          <w:rFonts w:ascii="Arial" w:cs="Arial" w:eastAsia="Arial" w:hAnsi="Arial"/>
          <w:sz w:val="17"/>
          <w:szCs w:val="17"/>
          <w:color w:val="auto"/>
        </w:rPr>
      </w:pPr>
    </w:p>
    <w:p>
      <w:pPr>
        <w:ind w:left="1400" w:right="559" w:hanging="424"/>
        <w:spacing w:after="0" w:line="277" w:lineRule="auto"/>
        <w:tabs>
          <w:tab w:leader="none" w:pos="153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information in this prospectus assumes that the underwriters will not exercise their over-allotment option (unless otherwise indicated).</w:t>
      </w:r>
    </w:p>
    <w:p>
      <w:pPr>
        <w:spacing w:after="0" w:line="103" w:lineRule="exact"/>
        <w:rPr>
          <w:sz w:val="20"/>
          <w:szCs w:val="20"/>
          <w:color w:val="auto"/>
        </w:rPr>
      </w:pPr>
    </w:p>
    <w:p>
      <w:pPr>
        <w:jc w:val="both"/>
        <w:ind w:left="540" w:right="559" w:firstLine="432"/>
        <w:spacing w:after="0" w:line="263" w:lineRule="auto"/>
        <w:rPr>
          <w:sz w:val="20"/>
          <w:szCs w:val="20"/>
          <w:color w:val="auto"/>
        </w:rPr>
      </w:pPr>
      <w:r>
        <w:rPr>
          <w:rFonts w:ascii="Arial" w:cs="Arial" w:eastAsia="Arial" w:hAnsi="Arial"/>
          <w:sz w:val="18"/>
          <w:szCs w:val="18"/>
          <w:i w:val="1"/>
          <w:iCs w:val="1"/>
          <w:color w:val="auto"/>
        </w:rPr>
        <w:t>Certain financial information contained in this prospectus has been rounded and, as a result, certain totals shown in this prospectus may not equal the arithmetic sum of the figures that should otherwise aggregate to those totals.</w:t>
      </w:r>
    </w:p>
    <w:p>
      <w:pPr>
        <w:spacing w:after="0" w:line="103" w:lineRule="exact"/>
        <w:rPr>
          <w:sz w:val="20"/>
          <w:szCs w:val="20"/>
          <w:color w:val="auto"/>
        </w:rPr>
      </w:pPr>
    </w:p>
    <w:p>
      <w:pPr>
        <w:jc w:val="both"/>
        <w:ind w:left="540" w:right="559" w:firstLine="432"/>
        <w:spacing w:after="0" w:line="311" w:lineRule="auto"/>
        <w:rPr>
          <w:sz w:val="20"/>
          <w:szCs w:val="20"/>
          <w:color w:val="auto"/>
        </w:rPr>
      </w:pPr>
      <w:r>
        <w:rPr>
          <w:rFonts w:ascii="Arial" w:cs="Arial" w:eastAsia="Arial" w:hAnsi="Arial"/>
          <w:sz w:val="16"/>
          <w:szCs w:val="16"/>
          <w:i w:val="1"/>
          <w:iCs w:val="1"/>
          <w:color w:val="auto"/>
        </w:rPr>
        <w:t>You should rely only on the information contained in this prospectus. We have not, and the underwriters have not, authorized anyone to provide you with different information. We are not, and the underwriters are not, making an offer of these securities in any jurisdiction where the offer is not permitted.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jc w:val="both"/>
        <w:ind w:left="540" w:right="559" w:firstLine="432"/>
        <w:spacing w:after="0" w:line="255" w:lineRule="auto"/>
        <w:rPr>
          <w:sz w:val="20"/>
          <w:szCs w:val="20"/>
          <w:color w:val="auto"/>
        </w:rPr>
      </w:pPr>
      <w:r>
        <w:rPr>
          <w:rFonts w:ascii="Arial" w:cs="Arial" w:eastAsia="Arial" w:hAnsi="Arial"/>
          <w:sz w:val="18"/>
          <w:szCs w:val="18"/>
          <w:color w:val="auto"/>
        </w:rPr>
        <w:t>We are a blank check company formed under the laws of the State of Delaware on July 10, 2019. We were formed for the purpose of effecting a merger, share exchange, asset acquisition, share purchase, reorganization or similar business combination with one or more businesses, which we refer to throughout this prospectus as our initial business combination. While we may pursue an initial business combination in any region or sector, we intend to focus our efforts on businesses in North America within the hospitality, leisure, travel and dining sectors with an</w:t>
      </w:r>
    </w:p>
    <w:p>
      <w:pPr>
        <w:sectPr>
          <w:pgSz w:w="11900" w:h="16838" w:orient="portrait"/>
          <w:cols w:equalWidth="0" w:num="1">
            <w:col w:w="9019"/>
          </w:cols>
          <w:pgMar w:left="1440" w:top="274" w:right="1440" w:bottom="1440" w:gutter="0" w:footer="0" w:header="0"/>
          <w:type w:val="continuous"/>
        </w:sect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 w:name="page7"/>
    <w:bookmarkEnd w:id="6"/>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8938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7310" cy="889381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559"/>
        <w:spacing w:after="0" w:line="259" w:lineRule="auto"/>
        <w:rPr>
          <w:sz w:val="20"/>
          <w:szCs w:val="20"/>
          <w:color w:val="auto"/>
        </w:rPr>
      </w:pPr>
      <w:r>
        <w:rPr>
          <w:rFonts w:ascii="Arial" w:cs="Arial" w:eastAsia="Arial" w:hAnsi="Arial"/>
          <w:sz w:val="18"/>
          <w:szCs w:val="18"/>
          <w:color w:val="auto"/>
        </w:rPr>
        <w:t>emphasis on consumer branded businesses that have attractive growth characteristics. In addition, we intend to pursue technology companies operating in these sectors, such as business and consumer services and infrastructure. However, we do not intend to invest in businesses with large exposure to investments in physical real estate.</w:t>
      </w:r>
    </w:p>
    <w:p>
      <w:pPr>
        <w:spacing w:after="0" w:line="119" w:lineRule="exact"/>
        <w:rPr>
          <w:sz w:val="20"/>
          <w:szCs w:val="20"/>
          <w:color w:val="auto"/>
        </w:rPr>
      </w:pPr>
    </w:p>
    <w:p>
      <w:pPr>
        <w:jc w:val="both"/>
        <w:ind w:left="540" w:right="559" w:firstLine="432"/>
        <w:spacing w:after="0" w:line="275" w:lineRule="auto"/>
        <w:rPr>
          <w:sz w:val="20"/>
          <w:szCs w:val="20"/>
          <w:color w:val="auto"/>
        </w:rPr>
      </w:pPr>
      <w:r>
        <w:rPr>
          <w:rFonts w:ascii="Arial" w:cs="Arial" w:eastAsia="Arial" w:hAnsi="Arial"/>
          <w:sz w:val="17"/>
          <w:szCs w:val="17"/>
          <w:color w:val="auto"/>
        </w:rPr>
        <w:t>We intend to focus on established and high-growth businesses that have an aggregate enterprise value of approximately $500 million to $2.0 billion and would benefit from access to public markets and the operational and strategic expertise of our management team and board of directors. We will seek to capitalize on the significant experience of our management team in consummating an initial business combination with the ultimate goal of pursuing attractive returns for our shareholders.</w:t>
      </w:r>
    </w:p>
    <w:p>
      <w:pPr>
        <w:spacing w:after="0" w:line="95" w:lineRule="exact"/>
        <w:rPr>
          <w:sz w:val="20"/>
          <w:szCs w:val="20"/>
          <w:color w:val="auto"/>
        </w:rPr>
      </w:pPr>
    </w:p>
    <w:p>
      <w:pPr>
        <w:jc w:val="both"/>
        <w:ind w:left="540" w:right="559" w:firstLine="432"/>
        <w:spacing w:after="0" w:line="311" w:lineRule="auto"/>
        <w:rPr>
          <w:sz w:val="20"/>
          <w:szCs w:val="20"/>
          <w:color w:val="auto"/>
        </w:rPr>
      </w:pPr>
      <w:r>
        <w:rPr>
          <w:rFonts w:ascii="Arial" w:cs="Arial" w:eastAsia="Arial" w:hAnsi="Arial"/>
          <w:sz w:val="16"/>
          <w:szCs w:val="16"/>
          <w:color w:val="auto"/>
        </w:rPr>
        <w:t>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Co-Sponsors, Management, Board of Directors and Competitive Advantages</w:t>
      </w:r>
    </w:p>
    <w:p>
      <w:pPr>
        <w:spacing w:after="0" w:line="162" w:lineRule="exact"/>
        <w:rPr>
          <w:sz w:val="20"/>
          <w:szCs w:val="20"/>
          <w:color w:val="auto"/>
        </w:rPr>
      </w:pPr>
    </w:p>
    <w:p>
      <w:pPr>
        <w:jc w:val="both"/>
        <w:ind w:left="540" w:right="559" w:firstLine="432"/>
        <w:spacing w:after="0" w:line="270" w:lineRule="auto"/>
        <w:rPr>
          <w:sz w:val="20"/>
          <w:szCs w:val="20"/>
          <w:color w:val="auto"/>
        </w:rPr>
      </w:pPr>
      <w:r>
        <w:rPr>
          <w:rFonts w:ascii="Arial" w:cs="Arial" w:eastAsia="Arial" w:hAnsi="Arial"/>
          <w:sz w:val="17"/>
          <w:szCs w:val="17"/>
          <w:color w:val="auto"/>
        </w:rPr>
        <w:t>As we search for a prospective target company or business, we intend to leverage the multiple decades of combined investment experience, successful Special Purpose Acquisition Company, or SPAC, execution experience and the expansive network of relationships of the principals and affiliates of our co-sponsors, Ventoux Acquisitions and Chardan Investments. Our management team, led by co-founders Mr. Edward Scheetz and Mr. Matthew MacDonald, have a combined 40 years of hospitality and investment experience. Together with our management team, Chardan Investments and its affiliate, Chardan Capital Markets, LLC, our board of directors and our Senior Advisor, Mr. Robert Martin, we are confident that the combined experience makes us well situated to identify, source, negotiate and execute an initial business combination in the hospitality, leisure, travel and dining sectors.</w:t>
      </w:r>
    </w:p>
    <w:p>
      <w:pPr>
        <w:spacing w:after="0" w:line="113" w:lineRule="exact"/>
        <w:rPr>
          <w:sz w:val="20"/>
          <w:szCs w:val="20"/>
          <w:color w:val="auto"/>
        </w:rPr>
      </w:pPr>
    </w:p>
    <w:p>
      <w:pPr>
        <w:jc w:val="both"/>
        <w:ind w:left="540" w:right="559" w:firstLine="432"/>
        <w:spacing w:after="0" w:line="287" w:lineRule="auto"/>
        <w:rPr>
          <w:sz w:val="20"/>
          <w:szCs w:val="20"/>
          <w:color w:val="auto"/>
        </w:rPr>
      </w:pPr>
      <w:r>
        <w:rPr>
          <w:rFonts w:ascii="Arial" w:cs="Arial" w:eastAsia="Arial" w:hAnsi="Arial"/>
          <w:sz w:val="16"/>
          <w:szCs w:val="16"/>
          <w:color w:val="auto"/>
        </w:rPr>
        <w:t>Mr. Scheetz is our co-founder, Chief Executive Officer and Chairman of the board of directors. Mr. Scheetz has over thirty years of experience as a leader and innovator in real estate, hospitality and leisure investments. He has been involved in numerous public companies including the leadership of several initial public offerings during his career. Mr. Scheetz was a partner at Apollo Management where he was the co-head of Apollo Real Estate Advisors and raised, invested and managed their first three real estate funds. Mr. Scheetz was co-founder and co-CEO of NorthStar Capital Investment Corporation, and he was also the co-founder and Executive Chairman of NorthStar Realty Finance Corp. (NYSE: NRF), which he successfully took public in 2004. In 2005, Mr. Scheetz became the Chief Executive Officer of Morgans Hotel Group Co. (NASDAQ: MHGC), which he took public in 2006. Morgans was the developer, owner and operator of such iconic hotel properties as Delano and Shore Club in Miami, Mondrian in Los Angeles, Morgans, Royalton, Paramount and Hudson in New York, and Sanderson and St. Martin’s Lane in London.</w:t>
      </w:r>
    </w:p>
    <w:p>
      <w:pPr>
        <w:spacing w:after="0" w:line="91" w:lineRule="exact"/>
        <w:rPr>
          <w:sz w:val="20"/>
          <w:szCs w:val="20"/>
          <w:color w:val="auto"/>
        </w:rPr>
      </w:pPr>
    </w:p>
    <w:p>
      <w:pPr>
        <w:jc w:val="both"/>
        <w:ind w:left="540" w:right="559" w:firstLine="432"/>
        <w:spacing w:after="0" w:line="259" w:lineRule="auto"/>
        <w:rPr>
          <w:sz w:val="20"/>
          <w:szCs w:val="20"/>
          <w:color w:val="auto"/>
        </w:rPr>
      </w:pPr>
      <w:r>
        <w:rPr>
          <w:rFonts w:ascii="Arial" w:cs="Arial" w:eastAsia="Arial" w:hAnsi="Arial"/>
          <w:sz w:val="18"/>
          <w:szCs w:val="18"/>
          <w:color w:val="auto"/>
        </w:rPr>
        <w:t>In 2010, Mr. Scheetz founded Chelsea Hotels which had properties in Manhattan (including the renowned Hotel Chelsea), Brooklyn, Montauk, Miami, and Chicago. Mr. Scheetz successfully sold Chelsea Hotels in 2016. Throughout his career, Mr. Scheetz has acquired and invested in excess of $10 billion in private companies.</w:t>
      </w:r>
    </w:p>
    <w:p>
      <w:pPr>
        <w:spacing w:after="0" w:line="119" w:lineRule="exact"/>
        <w:rPr>
          <w:sz w:val="20"/>
          <w:szCs w:val="20"/>
          <w:color w:val="auto"/>
        </w:rPr>
      </w:pPr>
    </w:p>
    <w:p>
      <w:pPr>
        <w:jc w:val="both"/>
        <w:ind w:left="540" w:right="559" w:firstLine="432"/>
        <w:spacing w:after="0" w:line="272" w:lineRule="auto"/>
        <w:rPr>
          <w:sz w:val="20"/>
          <w:szCs w:val="20"/>
          <w:color w:val="auto"/>
        </w:rPr>
      </w:pPr>
      <w:r>
        <w:rPr>
          <w:rFonts w:ascii="Arial" w:cs="Arial" w:eastAsia="Arial" w:hAnsi="Arial"/>
          <w:sz w:val="17"/>
          <w:szCs w:val="17"/>
          <w:color w:val="auto"/>
        </w:rPr>
        <w:t>Mr. MacDonald is our co-founder, Chief Financial Officer and Secretary, and has over a decade of experience in real estate, hospitality and leisure investments at public companies and private equity-backed ventures. Mr. MacDonald was responsible for corporate merger and acquisition transaction activity at Hyatt Hotel Corporation (NYSE: H), where, as part of Hyatt’s global platform, he oversaw merger and acquisition investments and underwrote public and private companies within the broader hotel and leisure sectors. Prior to his work at Hyatt, Mr. MacDonald worked in the Real Estate Investment Management and Acquisitions group at Starwood Hotels &amp; Resorts (NYSE: HOT).</w:t>
      </w:r>
    </w:p>
    <w:p>
      <w:pPr>
        <w:spacing w:after="0" w:line="110" w:lineRule="exact"/>
        <w:rPr>
          <w:sz w:val="20"/>
          <w:szCs w:val="20"/>
          <w:color w:val="auto"/>
        </w:rPr>
      </w:pPr>
    </w:p>
    <w:p>
      <w:pPr>
        <w:jc w:val="both"/>
        <w:ind w:left="540" w:right="559" w:firstLine="432"/>
        <w:spacing w:after="0" w:line="254" w:lineRule="auto"/>
        <w:rPr>
          <w:sz w:val="20"/>
          <w:szCs w:val="20"/>
          <w:color w:val="auto"/>
        </w:rPr>
      </w:pPr>
      <w:r>
        <w:rPr>
          <w:rFonts w:ascii="Arial" w:cs="Arial" w:eastAsia="Arial" w:hAnsi="Arial"/>
          <w:sz w:val="18"/>
          <w:szCs w:val="18"/>
          <w:color w:val="auto"/>
        </w:rPr>
        <w:t>Mr. Brock Strasbourger is our Chief Operating Officer, and has over a decade of experience in venture and private equity backed entertainment, hospitality, travel and real estate technology companies as a founder, operator, and board member. Mr. Strasbourger most recently was responsible for strategic partnerships and corporate development at Convene and has overseen revenue, marketing, and digital at previous companies. Leveraging his financial background, Mr. Strasbourger takes a revenue and ROI generating lens across strategy, business development, product and growth marketing. Prior to his work as a technology executive, Mr. Strasbourger spent four years working in the Emerging Markets Fixed Income group at Barclays Capital (NYSE: BCS).</w:t>
      </w:r>
    </w:p>
    <w:p>
      <w:pPr>
        <w:spacing w:after="0" w:line="111" w:lineRule="exact"/>
        <w:rPr>
          <w:sz w:val="20"/>
          <w:szCs w:val="20"/>
          <w:color w:val="auto"/>
        </w:rPr>
      </w:pPr>
    </w:p>
    <w:p>
      <w:pPr>
        <w:jc w:val="both"/>
        <w:ind w:left="540" w:right="559" w:firstLine="432"/>
        <w:spacing w:after="0" w:line="259" w:lineRule="auto"/>
        <w:rPr>
          <w:sz w:val="20"/>
          <w:szCs w:val="20"/>
          <w:color w:val="auto"/>
        </w:rPr>
      </w:pPr>
      <w:r>
        <w:rPr>
          <w:rFonts w:ascii="Arial" w:cs="Arial" w:eastAsia="Arial" w:hAnsi="Arial"/>
          <w:sz w:val="18"/>
          <w:szCs w:val="18"/>
          <w:color w:val="auto"/>
        </w:rPr>
        <w:t>Mr. Phatak is our Chief Investment Officer, and has over 17 years of experience in various finance and direct investment roles on Wall Street. Mr. Phatak founded his own investment firm, Tappan Street Partners LLC, where he has led a research driven investment process for a number of private funds over the past nine years. Additionally,</w:t>
      </w:r>
    </w:p>
    <w:p>
      <w:pPr>
        <w:sectPr>
          <w:pgSz w:w="11900" w:h="16838" w:orient="portrait"/>
          <w:cols w:equalWidth="0" w:num="1">
            <w:col w:w="9019"/>
          </w:cols>
          <w:pgMar w:left="1440" w:top="274"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 w:name="page8"/>
    <w:bookmarkEnd w:id="7"/>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7306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873061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559"/>
        <w:spacing w:after="0" w:line="272" w:lineRule="auto"/>
        <w:rPr>
          <w:sz w:val="20"/>
          <w:szCs w:val="20"/>
          <w:color w:val="auto"/>
        </w:rPr>
      </w:pPr>
      <w:r>
        <w:rPr>
          <w:rFonts w:ascii="Arial" w:cs="Arial" w:eastAsia="Arial" w:hAnsi="Arial"/>
          <w:sz w:val="17"/>
          <w:szCs w:val="17"/>
          <w:color w:val="auto"/>
        </w:rPr>
        <w:t>Mr. Phatak was a Partner at Markley Capital Management from 2019 to 2020. Prior to Tappan Street, Mr. Phatak developed his investment expertise as a member of the US investment team at Eton Park Capital Management from 2005 to 2011, helping to deploy approximately $5 billion of capital as part of a six-member team. During his career, Mr. Phatak has underwritten investments in a variety of different sectors, including gaming, hospitality, and leisure. Mr. Phatak began his career at the Blackstone Group (NYSE: BX) as an analyst in the Restructuring and Reorganization Advisory group from 2003 to 2005, and later as a private equity associate at Madison Dearborn Partners during 2005.</w:t>
      </w:r>
    </w:p>
    <w:p>
      <w:pPr>
        <w:spacing w:after="0" w:line="110" w:lineRule="exact"/>
        <w:rPr>
          <w:sz w:val="20"/>
          <w:szCs w:val="20"/>
          <w:color w:val="auto"/>
        </w:rPr>
      </w:pPr>
    </w:p>
    <w:p>
      <w:pPr>
        <w:jc w:val="both"/>
        <w:ind w:left="540" w:right="559" w:firstLine="432"/>
        <w:spacing w:after="0" w:line="272" w:lineRule="auto"/>
        <w:rPr>
          <w:sz w:val="20"/>
          <w:szCs w:val="20"/>
          <w:color w:val="auto"/>
        </w:rPr>
      </w:pPr>
      <w:r>
        <w:rPr>
          <w:rFonts w:ascii="Arial" w:cs="Arial" w:eastAsia="Arial" w:hAnsi="Arial"/>
          <w:sz w:val="17"/>
          <w:szCs w:val="17"/>
          <w:color w:val="auto"/>
        </w:rPr>
        <w:t>Our management team is supported by Chardan Capital Markets’ team of investment banking professionals who each possess extensive experience in corporate finance, mergers and acquisitions, equity and debt capital markets, strategic consulting and operations. Mr. Jonas Grossman, Partner and President of Chardan Capital Markets, and Mr. Alex Weil, co-head of FinTech Investment Banking at Chardan Capital Markets, will each serve on our board of directors. We believe Chardan’s decades of successfully executing SPAC and M&amp;A transactions benefit us, complementing the deep sector expertise and expansive networks of Messrs. Scheetz and MacDonald, our board of directors and advisors.</w:t>
      </w:r>
    </w:p>
    <w:p>
      <w:pPr>
        <w:spacing w:after="0" w:line="83" w:lineRule="exact"/>
        <w:rPr>
          <w:sz w:val="20"/>
          <w:szCs w:val="20"/>
          <w:color w:val="auto"/>
        </w:rPr>
      </w:pPr>
    </w:p>
    <w:p>
      <w:pPr>
        <w:jc w:val="both"/>
        <w:ind w:left="540" w:right="559" w:firstLine="432"/>
        <w:spacing w:after="0" w:line="287" w:lineRule="auto"/>
        <w:rPr>
          <w:sz w:val="20"/>
          <w:szCs w:val="20"/>
          <w:color w:val="auto"/>
        </w:rPr>
      </w:pPr>
      <w:r>
        <w:rPr>
          <w:rFonts w:ascii="Arial" w:cs="Arial" w:eastAsia="Arial" w:hAnsi="Arial"/>
          <w:sz w:val="16"/>
          <w:szCs w:val="16"/>
          <w:color w:val="auto"/>
        </w:rPr>
        <w:t>Chardan has an extensive track record in the SPAC market as underwriter, sponsor and advisor. Since 2004, Chardan has been lead or co-lead underwriter on 81 SPAC IPOs. Since 2018, Chardan has been merger and acquisition advisor to eleven SPACs, helping companies close transactions valued at approximately $5.1 billion. Chardan-advised SPACs have targeted a wide range of industries, including life sciences, healthcare services, technology hardware and software, financial technology, insurance, financial services, education, media &amp; entertainment, industrials, materials, consumer staples and energy. Chardan has advised SPACs targeting both global and regional markets as well as those with more defined areas of focus in emerging and other geographic markets, including in North America. No Chardan advised or lead underwritten SPAC has liquidated to-date. In addition to its active advisory and underwriting business, Chardan’s principals have founded seven SPACs, five of which have closed successful business combinations, one of which has announced a business combination and one of which is currently seeking an acquisition.</w:t>
      </w:r>
    </w:p>
    <w:p>
      <w:pPr>
        <w:spacing w:after="0" w:line="77" w:lineRule="exact"/>
        <w:rPr>
          <w:sz w:val="20"/>
          <w:szCs w:val="20"/>
          <w:color w:val="auto"/>
        </w:rPr>
      </w:pPr>
    </w:p>
    <w:p>
      <w:pPr>
        <w:jc w:val="both"/>
        <w:ind w:left="540" w:right="559" w:firstLine="432"/>
        <w:spacing w:after="0" w:line="277" w:lineRule="auto"/>
        <w:rPr>
          <w:sz w:val="20"/>
          <w:szCs w:val="20"/>
          <w:color w:val="auto"/>
        </w:rPr>
      </w:pPr>
      <w:r>
        <w:rPr>
          <w:rFonts w:ascii="Arial" w:cs="Arial" w:eastAsia="Arial" w:hAnsi="Arial"/>
          <w:sz w:val="18"/>
          <w:szCs w:val="18"/>
          <w:color w:val="auto"/>
        </w:rPr>
        <w:t>Our board of directors will include Woodrow (“Woody”) H. Levin, Julie Atkinson, Christian (“Chris”) Ahrens and Bernard Van der Lande.</w:t>
      </w:r>
    </w:p>
    <w:p>
      <w:pPr>
        <w:spacing w:after="0" w:line="89" w:lineRule="exact"/>
        <w:rPr>
          <w:sz w:val="20"/>
          <w:szCs w:val="20"/>
          <w:color w:val="auto"/>
        </w:rPr>
      </w:pPr>
    </w:p>
    <w:p>
      <w:pPr>
        <w:jc w:val="both"/>
        <w:ind w:left="540" w:right="559" w:firstLine="432"/>
        <w:spacing w:after="0" w:line="253" w:lineRule="auto"/>
        <w:rPr>
          <w:sz w:val="20"/>
          <w:szCs w:val="20"/>
          <w:color w:val="auto"/>
        </w:rPr>
      </w:pPr>
      <w:r>
        <w:rPr>
          <w:rFonts w:ascii="Arial" w:cs="Arial" w:eastAsia="Arial" w:hAnsi="Arial"/>
          <w:sz w:val="18"/>
          <w:szCs w:val="18"/>
          <w:color w:val="auto"/>
        </w:rPr>
        <w:t>Woody Levin is the founder and has served as Chief Executive Officer of Extend, Inc., which offers an API-first solution for merchants to offer extended warranties and protection plans, and 3.0 Capital GP, LLC, which is a multi-strategy crypto asset hedge fund. Mr. Levin also served as Vice President of Growth at DocuSign, Inc. (NASDAQ: DOCU), which allows organizations to digitally prepare, sign, act on, and manage agreements. In addition, Mr. Levin served as the founder and Chief Executive Officer of Estate Assist, Inc., a digital estate planning platform until its acquisition, and of BringIt, Inc., a virtual currency casino and arcade until its acquisition. Mr. Levin served as Director Emerging Business — Office of the CTO at International Game Technology PLC (NYSE: IGT), which manufactures and distributes slot machines and other gaming technology. Mr. Levin serves a member of the board of directors of DraftKings Inc. (NASDAQ: DKNG) and of Extend, Inc.</w:t>
      </w:r>
    </w:p>
    <w:p>
      <w:pPr>
        <w:spacing w:after="0" w:line="100" w:lineRule="exact"/>
        <w:rPr>
          <w:sz w:val="20"/>
          <w:szCs w:val="20"/>
          <w:color w:val="auto"/>
        </w:rPr>
      </w:pPr>
    </w:p>
    <w:p>
      <w:pPr>
        <w:jc w:val="both"/>
        <w:ind w:left="540" w:right="559" w:firstLine="432"/>
        <w:spacing w:after="0" w:line="253" w:lineRule="auto"/>
        <w:rPr>
          <w:sz w:val="20"/>
          <w:szCs w:val="20"/>
          <w:color w:val="auto"/>
        </w:rPr>
      </w:pPr>
      <w:r>
        <w:rPr>
          <w:rFonts w:ascii="Arial" w:cs="Arial" w:eastAsia="Arial" w:hAnsi="Arial"/>
          <w:sz w:val="18"/>
          <w:szCs w:val="18"/>
          <w:color w:val="auto"/>
        </w:rPr>
        <w:t>Julie Atkinson is the Chief Marketing Officer for Founders Table Restaurant Group, which includes the Chopt and Dos Toros restaurant brands. She previously served as Senior Vice President, Global Digital at Tory Burch LLC from January 2017 to May 2018. Prior to joining Tory Burch, Ms. Atkinson served in various leadership roles at Starwood Hotels &amp; Resorts Worldwide, Inc., most recently as Senior Vice President, Global Digital from November 2014 to January 2017 and as Vice President of Global Online Distribution from September 2012 until November 2014. Prior to joining Starwood, Ms. Atkinson held multiple roles at Travelocity including marketing and operations. Ms. Atkinson is an accomplished digital, marketing, and technology executive with a 20-year track record of innovative and strategic leadership for multiple global consumer brands. She also sits on the board of directors of Bright Horizons Family Solutions Inc. (NYSE: BFAM).</w:t>
      </w:r>
    </w:p>
    <w:p>
      <w:pPr>
        <w:spacing w:after="0" w:line="100" w:lineRule="exact"/>
        <w:rPr>
          <w:sz w:val="20"/>
          <w:szCs w:val="20"/>
          <w:color w:val="auto"/>
        </w:rPr>
      </w:pPr>
    </w:p>
    <w:p>
      <w:pPr>
        <w:jc w:val="both"/>
        <w:ind w:left="540" w:right="559" w:firstLine="432"/>
        <w:spacing w:after="0" w:line="293" w:lineRule="auto"/>
        <w:rPr>
          <w:sz w:val="20"/>
          <w:szCs w:val="20"/>
          <w:color w:val="auto"/>
        </w:rPr>
      </w:pPr>
      <w:r>
        <w:rPr>
          <w:rFonts w:ascii="Arial" w:cs="Arial" w:eastAsia="Arial" w:hAnsi="Arial"/>
          <w:sz w:val="16"/>
          <w:szCs w:val="16"/>
          <w:color w:val="auto"/>
        </w:rPr>
        <w:t>Chris Ahrens is an Advisor with Certares Management LLC (“Certares”), a travel focused investment firm. Prior to joining Certares, he was a Managing Director of One Equity Partners (“OEP”), the private equity investment arm of JPMorgan Chase. He was active in OEP’s travel industry, technology and healthcare investments. Chris currently serves on the Board of Directors of Internova Travel Group, a leading premium corporate, leisure, franchise and consortia travel company operating under a variety of diversified divisions and brands, including Tzell Travel, Protravel International,Travel Leaders Network and Nexion.</w:t>
      </w:r>
    </w:p>
    <w:p>
      <w:pPr>
        <w:spacing w:after="0" w:line="83" w:lineRule="exact"/>
        <w:rPr>
          <w:sz w:val="20"/>
          <w:szCs w:val="20"/>
          <w:color w:val="auto"/>
        </w:rPr>
      </w:pPr>
    </w:p>
    <w:p>
      <w:pPr>
        <w:jc w:val="both"/>
        <w:ind w:left="540" w:right="559" w:firstLine="432"/>
        <w:spacing w:after="0" w:line="259" w:lineRule="auto"/>
        <w:rPr>
          <w:sz w:val="20"/>
          <w:szCs w:val="20"/>
          <w:color w:val="auto"/>
        </w:rPr>
      </w:pPr>
      <w:r>
        <w:rPr>
          <w:rFonts w:ascii="Arial" w:cs="Arial" w:eastAsia="Arial" w:hAnsi="Arial"/>
          <w:sz w:val="18"/>
          <w:szCs w:val="18"/>
          <w:color w:val="auto"/>
        </w:rPr>
        <w:t>Bernard Van der Lande is Managing Director of Cindat USA LLC, a wholly owned subsidiary of Cindat Capital Management Limited (“Cindat”), an international private equity investment platform for whom Mr. Van der Lande oversees US and European operations as well as strategy and fund formation initiatives. Consistently in the vanguard</w:t>
      </w:r>
    </w:p>
    <w:p>
      <w:pPr>
        <w:sectPr>
          <w:pgSz w:w="11900" w:h="16838" w:orient="portrait"/>
          <w:cols w:equalWidth="0" w:num="1">
            <w:col w:w="9019"/>
          </w:cols>
          <w:pgMar w:left="1440" w:top="274"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 w:name="page9"/>
    <w:bookmarkEnd w:id="8"/>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0906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9090660"/>
                    </a:xfrm>
                    <a:prstGeom prst="rect">
                      <a:avLst/>
                    </a:prstGeom>
                    <a:noFill/>
                  </pic:spPr>
                </pic:pic>
              </a:graphicData>
            </a:graphic>
          </wp:anchor>
        </w:drawing>
      </w:r>
    </w:p>
    <w:p>
      <w:pPr>
        <w:sectPr>
          <w:pgSz w:w="11900" w:h="16838" w:orient="portrait"/>
          <w:cols w:equalWidth="0" w:num="1">
            <w:col w:w="9019"/>
          </w:cols>
          <w:pgMar w:left="1440" w:top="274" w:right="1440" w:bottom="1149" w:gutter="0" w:footer="0" w:header="0"/>
        </w:sectPr>
      </w:pPr>
    </w:p>
    <w:p>
      <w:pPr>
        <w:spacing w:after="0" w:line="356" w:lineRule="exact"/>
        <w:rPr>
          <w:sz w:val="20"/>
          <w:szCs w:val="20"/>
          <w:color w:val="auto"/>
        </w:rPr>
      </w:pPr>
    </w:p>
    <w:p>
      <w:pPr>
        <w:jc w:val="both"/>
        <w:ind w:left="540" w:right="559"/>
        <w:spacing w:after="0" w:line="255" w:lineRule="auto"/>
        <w:rPr>
          <w:sz w:val="20"/>
          <w:szCs w:val="20"/>
          <w:color w:val="auto"/>
        </w:rPr>
      </w:pPr>
      <w:r>
        <w:rPr>
          <w:rFonts w:ascii="Arial" w:cs="Arial" w:eastAsia="Arial" w:hAnsi="Arial"/>
          <w:sz w:val="18"/>
          <w:szCs w:val="18"/>
          <w:color w:val="auto"/>
        </w:rPr>
        <w:t>of cross-border and digitized capital formation strategies, Mr. Van der Lande has transacted on or recapitalized a variety of public and private investment vehicles. Bernard Van der Lande was previously Managing Director of Easterly LLC, a private asset management holding company with interests in boutique investment management firms. Previously, he was Managing Director of CBRE Capital Advisors, Inc., CBRE’s real estate investment banking business, and Managing Director of Hodges Ward Elliott, another capital markets and investment banking business.</w:t>
      </w:r>
    </w:p>
    <w:p>
      <w:pPr>
        <w:spacing w:after="0" w:line="98" w:lineRule="exact"/>
        <w:rPr>
          <w:sz w:val="20"/>
          <w:szCs w:val="20"/>
          <w:color w:val="auto"/>
        </w:rPr>
      </w:pPr>
    </w:p>
    <w:p>
      <w:pPr>
        <w:jc w:val="both"/>
        <w:ind w:left="540" w:right="559" w:firstLine="432"/>
        <w:spacing w:after="0" w:line="253" w:lineRule="auto"/>
        <w:rPr>
          <w:sz w:val="20"/>
          <w:szCs w:val="20"/>
          <w:color w:val="auto"/>
        </w:rPr>
      </w:pPr>
      <w:r>
        <w:rPr>
          <w:rFonts w:ascii="Arial" w:cs="Arial" w:eastAsia="Arial" w:hAnsi="Arial"/>
          <w:sz w:val="18"/>
          <w:szCs w:val="18"/>
          <w:color w:val="auto"/>
        </w:rPr>
        <w:t>Mr. Robert Martin will serve as Senior Advisor to the management team. Mr. Martin is a Vice Chairman in JLL’s New York office, where he leads a ten member brokerage, advisory and consulting team that focuses on tenant representation in the New York Tri-state market. Mr. Martin is an accomplished real estate professional, having completed transactions involving more than 50 million square feet over his 35-year real estate career. Mr. Martin is also the principal and founder of RGM Holdings, a real estate investment firm that sources and invests in real estate assets in the New York metro area. RGM Holdings is the General Partner in a portfolio of real estate investments comprising over 690,000 square feet and a value in excess of $1.3 billion. Mr. Martin is also an early investor in a variety of ventures, including in the proptech and fintech sectors.</w:t>
      </w:r>
    </w:p>
    <w:p>
      <w:pPr>
        <w:spacing w:after="0" w:line="102" w:lineRule="exact"/>
        <w:rPr>
          <w:sz w:val="20"/>
          <w:szCs w:val="20"/>
          <w:color w:val="auto"/>
        </w:rPr>
      </w:pPr>
    </w:p>
    <w:p>
      <w:pPr>
        <w:jc w:val="both"/>
        <w:ind w:left="540" w:right="559" w:firstLine="432"/>
        <w:spacing w:after="0" w:line="263" w:lineRule="auto"/>
        <w:rPr>
          <w:sz w:val="20"/>
          <w:szCs w:val="20"/>
          <w:color w:val="auto"/>
        </w:rPr>
      </w:pPr>
      <w:r>
        <w:rPr>
          <w:rFonts w:ascii="Arial" w:cs="Arial" w:eastAsia="Arial" w:hAnsi="Arial"/>
          <w:sz w:val="18"/>
          <w:szCs w:val="18"/>
          <w:color w:val="auto"/>
        </w:rPr>
        <w:t>We believe the combined networks and relationships of our management, directors and advisors will allow us to identify, source, underwrite, negotiate and execute an initial business combination with a successful and fast-growing company within our target sector.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Opportunity</w:t>
      </w:r>
    </w:p>
    <w:p>
      <w:pPr>
        <w:spacing w:after="0" w:line="148" w:lineRule="exact"/>
        <w:rPr>
          <w:sz w:val="20"/>
          <w:szCs w:val="20"/>
          <w:color w:val="auto"/>
        </w:rPr>
      </w:pPr>
    </w:p>
    <w:p>
      <w:pPr>
        <w:jc w:val="both"/>
        <w:ind w:left="540" w:right="559" w:firstLine="432"/>
        <w:spacing w:after="0" w:line="254" w:lineRule="auto"/>
        <w:rPr>
          <w:sz w:val="20"/>
          <w:szCs w:val="20"/>
          <w:color w:val="auto"/>
        </w:rPr>
      </w:pPr>
      <w:r>
        <w:rPr>
          <w:rFonts w:ascii="Arial" w:cs="Arial" w:eastAsia="Arial" w:hAnsi="Arial"/>
          <w:sz w:val="18"/>
          <w:szCs w:val="18"/>
          <w:color w:val="auto"/>
        </w:rPr>
        <w:t>We intend to identify and acquire a business within the hospitality, leisure, travel and dining sectors with an overall transaction value between approximately $500 million and $2.0 billion. We believe that these sectors represent attractive target markets given the size, breadth and prospects for growth, with travel and tourism having contributed nearly $8.8 trillion to global GDP in 2018, having been expected to grow an average of 7.1% annually through 2020 prior to COVID-19, which has adversely impacted the sector. Based on demographic and behavioral trends and a long-term demand for travel and leisure experiences, consumers are investing more in experiences than products, and we believe this will continue through a down-cycle in hospitality due to COVID-19.</w:t>
      </w:r>
    </w:p>
    <w:p>
      <w:pPr>
        <w:spacing w:after="0" w:line="97" w:lineRule="exact"/>
        <w:rPr>
          <w:sz w:val="20"/>
          <w:szCs w:val="20"/>
          <w:color w:val="auto"/>
        </w:rPr>
      </w:pPr>
    </w:p>
    <w:p>
      <w:pPr>
        <w:jc w:val="both"/>
        <w:ind w:left="540" w:right="559" w:firstLine="432"/>
        <w:spacing w:after="0" w:line="273" w:lineRule="auto"/>
        <w:rPr>
          <w:sz w:val="20"/>
          <w:szCs w:val="20"/>
          <w:color w:val="auto"/>
        </w:rPr>
      </w:pPr>
      <w:r>
        <w:rPr>
          <w:rFonts w:ascii="Arial" w:cs="Arial" w:eastAsia="Arial" w:hAnsi="Arial"/>
          <w:sz w:val="17"/>
          <w:szCs w:val="17"/>
          <w:color w:val="auto"/>
        </w:rPr>
        <w:t>In 2019, domestic and international travelers spent $1.126 trillion in the U.S. and domestic travelers alone spent $972 billion in the U.S. (a 4.4% increase from 2018), according to the U.S. Travel Association. Moreover, domestic and international leisure travelers spent a total of $792 billion in 2019 in the U.S., up 4.1% from 2018, and domestic and international business traveler spending increased 2.2% to $334 billion in 2019. Other sectors, from entertainment to venues, tours and restaurants, also benefited as U.S. consumers invested in an inherent love for leisure, travel and dining experiences.</w:t>
      </w:r>
    </w:p>
    <w:p>
      <w:pPr>
        <w:spacing w:after="0" w:line="83" w:lineRule="exact"/>
        <w:rPr>
          <w:sz w:val="20"/>
          <w:szCs w:val="20"/>
          <w:color w:val="auto"/>
        </w:rPr>
      </w:pPr>
    </w:p>
    <w:p>
      <w:pPr>
        <w:jc w:val="both"/>
        <w:ind w:left="540" w:right="559" w:firstLine="432"/>
        <w:spacing w:after="0" w:line="257" w:lineRule="auto"/>
        <w:rPr>
          <w:sz w:val="20"/>
          <w:szCs w:val="20"/>
          <w:color w:val="auto"/>
        </w:rPr>
      </w:pPr>
      <w:r>
        <w:rPr>
          <w:rFonts w:ascii="Arial" w:cs="Arial" w:eastAsia="Arial" w:hAnsi="Arial"/>
          <w:sz w:val="18"/>
          <w:szCs w:val="18"/>
          <w:color w:val="auto"/>
        </w:rPr>
        <w:t>COVID-19 has created a temporary valuation dislocation, and has adversely impacted the ability of companies and business divisions to access to the public and/or private financing markets. We believe that COVID-19 will create a pervasive and permanent change in global consumer and business behavior similar to previous crises, such as 9/11’s impact on travel security and the global financial crisis’ impact on (increased) financial regulation.</w:t>
      </w:r>
    </w:p>
    <w:p>
      <w:pPr>
        <w:spacing w:after="0" w:line="107" w:lineRule="exact"/>
        <w:rPr>
          <w:sz w:val="20"/>
          <w:szCs w:val="20"/>
          <w:color w:val="auto"/>
        </w:rPr>
      </w:pPr>
    </w:p>
    <w:p>
      <w:pPr>
        <w:jc w:val="both"/>
        <w:ind w:left="540" w:right="559" w:firstLine="432"/>
        <w:spacing w:after="0" w:line="254" w:lineRule="auto"/>
        <w:rPr>
          <w:sz w:val="20"/>
          <w:szCs w:val="20"/>
          <w:color w:val="auto"/>
        </w:rPr>
      </w:pPr>
      <w:r>
        <w:rPr>
          <w:rFonts w:ascii="Arial" w:cs="Arial" w:eastAsia="Arial" w:hAnsi="Arial"/>
          <w:sz w:val="18"/>
          <w:szCs w:val="18"/>
          <w:color w:val="auto"/>
        </w:rPr>
        <w:t>Competition for consumers’ hospitality, travel, leisure and dining spending has remained high, and resulted in companies introducing innovative concepts, technologies and strategies to establish competitive market positioning. We believe the private market for hospitality, leisure, travel and dining companies will provide attractive opportunities for identifying a business combination target. We are confident that we will identify and capitalize on the many attractive and well-positioned companies whose operating models have, or will adapt, to the changing consumer and business behaviors in a COVID-19 or post-COVID-19 environment.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Strategy</w:t>
      </w:r>
    </w:p>
    <w:p>
      <w:pPr>
        <w:spacing w:after="0" w:line="148" w:lineRule="exact"/>
        <w:rPr>
          <w:sz w:val="20"/>
          <w:szCs w:val="20"/>
          <w:color w:val="auto"/>
        </w:rPr>
      </w:pPr>
    </w:p>
    <w:p>
      <w:pPr>
        <w:jc w:val="both"/>
        <w:ind w:left="540" w:right="559" w:firstLine="432"/>
        <w:spacing w:after="0" w:line="255" w:lineRule="auto"/>
        <w:rPr>
          <w:sz w:val="20"/>
          <w:szCs w:val="20"/>
          <w:color w:val="auto"/>
        </w:rPr>
      </w:pPr>
      <w:r>
        <w:rPr>
          <w:rFonts w:ascii="Arial" w:cs="Arial" w:eastAsia="Arial" w:hAnsi="Arial"/>
          <w:sz w:val="18"/>
          <w:szCs w:val="18"/>
          <w:color w:val="auto"/>
        </w:rPr>
        <w:t>Our management team’s objective is to generate attractive returns and create long-term value for our shareholders by applying a disciplined approach of identifying attractive business combination targets that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125" w:lineRule="exact"/>
        <w:rPr>
          <w:sz w:val="20"/>
          <w:szCs w:val="20"/>
          <w:color w:val="auto"/>
        </w:rPr>
      </w:pPr>
    </w:p>
    <w:p>
      <w:pPr>
        <w:jc w:val="both"/>
        <w:ind w:left="540" w:right="559" w:firstLine="432"/>
        <w:spacing w:after="0" w:line="257" w:lineRule="auto"/>
        <w:rPr>
          <w:sz w:val="20"/>
          <w:szCs w:val="20"/>
          <w:color w:val="auto"/>
        </w:rPr>
      </w:pPr>
      <w:r>
        <w:rPr>
          <w:rFonts w:ascii="Arial" w:cs="Arial" w:eastAsia="Arial" w:hAnsi="Arial"/>
          <w:sz w:val="18"/>
          <w:szCs w:val="18"/>
          <w:color w:val="auto"/>
        </w:rPr>
        <w:t>Our evaluation process will leverage our co-founders’, board’s and advisors’ network of industry, private equity sponsor, credit fund sponsor and lending community relationships, as well as relationships with management teams of public and private companies, investment bankers, restructuring advisors, attorneys and accountants, which we believe will provide us with a number of business combination opportunities. We intend to deploy a pro-active,</w:t>
      </w:r>
    </w:p>
    <w:p>
      <w:pPr>
        <w:sectPr>
          <w:pgSz w:w="11900" w:h="16838" w:orient="portrait"/>
          <w:cols w:equalWidth="0" w:num="1">
            <w:col w:w="9019"/>
          </w:cols>
          <w:pgMar w:left="1440" w:top="274" w:right="1440" w:bottom="1149" w:gutter="0" w:footer="0" w:header="0"/>
          <w:type w:val="continuous"/>
        </w:sect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149" w:gutter="0" w:footer="0" w:header="0"/>
          <w:type w:val="continuous"/>
        </w:sectPr>
      </w:pPr>
    </w:p>
    <w:bookmarkStart w:id="9" w:name="page10"/>
    <w:bookmarkEnd w:id="9"/>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156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815657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color w:val="auto"/>
        </w:rPr>
        <w:t>thematic sourcing strategy and to focus on companies where we believe the combination of our operating experience, relationships, capital and capital markets expertise can be catalysts to transform a target company and can help accelerate the target’s growth and performance.</w:t>
      </w:r>
    </w:p>
    <w:p>
      <w:pPr>
        <w:spacing w:after="0" w:line="11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management team, board and advisors have experience in:</w:t>
      </w:r>
    </w:p>
    <w:p>
      <w:pPr>
        <w:spacing w:after="0" w:line="144" w:lineRule="exact"/>
        <w:rPr>
          <w:sz w:val="20"/>
          <w:szCs w:val="20"/>
          <w:color w:val="auto"/>
        </w:rPr>
      </w:pPr>
    </w:p>
    <w:p>
      <w:pPr>
        <w:ind w:left="1400" w:hanging="424"/>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key activities of SPACs including, sponsoring, underwriting and M&amp;A advisory;</w:t>
      </w:r>
    </w:p>
    <w:p>
      <w:pPr>
        <w:spacing w:after="0" w:line="157" w:lineRule="exact"/>
        <w:rPr>
          <w:rFonts w:ascii="Arial" w:cs="Arial" w:eastAsia="Arial" w:hAnsi="Arial"/>
          <w:sz w:val="18"/>
          <w:szCs w:val="18"/>
          <w:color w:val="auto"/>
        </w:rPr>
      </w:pPr>
    </w:p>
    <w:p>
      <w:pPr>
        <w:ind w:left="1400" w:right="559" w:hanging="424"/>
        <w:spacing w:after="0" w:line="277" w:lineRule="auto"/>
        <w:tabs>
          <w:tab w:leader="none" w:pos="1445"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companies, setting and changing strategies, and identifying, monitoring and recruiting world-class talent;</w:t>
      </w:r>
    </w:p>
    <w:p>
      <w:pPr>
        <w:spacing w:after="0" w:line="102" w:lineRule="exact"/>
        <w:rPr>
          <w:rFonts w:ascii="Arial" w:cs="Arial" w:eastAsia="Arial" w:hAnsi="Arial"/>
          <w:sz w:val="18"/>
          <w:szCs w:val="18"/>
          <w:color w:val="auto"/>
        </w:rPr>
      </w:pPr>
    </w:p>
    <w:p>
      <w:pPr>
        <w:jc w:val="both"/>
        <w:ind w:left="1400" w:right="559" w:hanging="424"/>
        <w:spacing w:after="0" w:line="263" w:lineRule="auto"/>
        <w:tabs>
          <w:tab w:leader="none" w:pos="1593"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102" w:lineRule="exact"/>
        <w:rPr>
          <w:rFonts w:ascii="Arial" w:cs="Arial" w:eastAsia="Arial" w:hAnsi="Arial"/>
          <w:sz w:val="18"/>
          <w:szCs w:val="18"/>
          <w:color w:val="auto"/>
        </w:rPr>
      </w:pPr>
    </w:p>
    <w:p>
      <w:pPr>
        <w:ind w:left="1400" w:hanging="424"/>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157" w:lineRule="exact"/>
        <w:rPr>
          <w:rFonts w:ascii="Arial" w:cs="Arial" w:eastAsia="Arial" w:hAnsi="Arial"/>
          <w:sz w:val="18"/>
          <w:szCs w:val="18"/>
          <w:color w:val="auto"/>
        </w:rPr>
      </w:pPr>
    </w:p>
    <w:p>
      <w:pPr>
        <w:ind w:left="1400" w:right="559" w:hanging="424"/>
        <w:spacing w:after="0" w:line="277" w:lineRule="auto"/>
        <w:tabs>
          <w:tab w:leader="none" w:pos="1404"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102" w:lineRule="exact"/>
        <w:rPr>
          <w:rFonts w:ascii="Arial" w:cs="Arial" w:eastAsia="Arial" w:hAnsi="Arial"/>
          <w:sz w:val="18"/>
          <w:szCs w:val="18"/>
          <w:color w:val="auto"/>
        </w:rPr>
      </w:pPr>
    </w:p>
    <w:p>
      <w:pPr>
        <w:ind w:left="1400" w:hanging="424"/>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 and</w:t>
      </w:r>
    </w:p>
    <w:p>
      <w:pPr>
        <w:spacing w:after="0" w:line="144" w:lineRule="exact"/>
        <w:rPr>
          <w:rFonts w:ascii="Arial" w:cs="Arial" w:eastAsia="Arial" w:hAnsi="Arial"/>
          <w:sz w:val="18"/>
          <w:szCs w:val="18"/>
          <w:color w:val="auto"/>
        </w:rPr>
      </w:pPr>
    </w:p>
    <w:p>
      <w:pPr>
        <w:ind w:left="1400" w:right="559" w:hanging="424"/>
        <w:spacing w:after="0" w:line="277" w:lineRule="auto"/>
        <w:tabs>
          <w:tab w:leader="none" w:pos="1418"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executing transactions in multiple geographies and under varying economic and financial market conditions.</w:t>
      </w:r>
    </w:p>
    <w:p>
      <w:pPr>
        <w:spacing w:after="0" w:line="103" w:lineRule="exact"/>
        <w:rPr>
          <w:sz w:val="20"/>
          <w:szCs w:val="20"/>
          <w:color w:val="auto"/>
        </w:rPr>
      </w:pPr>
    </w:p>
    <w:p>
      <w:pPr>
        <w:jc w:val="both"/>
        <w:ind w:left="540" w:right="559" w:firstLine="432"/>
        <w:spacing w:after="0" w:line="254" w:lineRule="auto"/>
        <w:rPr>
          <w:sz w:val="20"/>
          <w:szCs w:val="20"/>
          <w:color w:val="auto"/>
        </w:rPr>
      </w:pPr>
      <w:r>
        <w:rPr>
          <w:rFonts w:ascii="Arial" w:cs="Arial" w:eastAsia="Arial" w:hAnsi="Arial"/>
          <w:sz w:val="18"/>
          <w:szCs w:val="18"/>
          <w:color w:val="auto"/>
        </w:rPr>
        <w:t>Upon completion of this offering, members of our management team and board, as well as our advisers will communicate with their network of relationships to articulate our initial business combination criteria, including the parameters of our search for a target business, and will begin the disciplined process of pursuing and reviewing promising leads. 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Criteria</w:t>
      </w:r>
    </w:p>
    <w:p>
      <w:pPr>
        <w:spacing w:after="0" w:line="162" w:lineRule="exact"/>
        <w:rPr>
          <w:sz w:val="20"/>
          <w:szCs w:val="20"/>
          <w:color w:val="auto"/>
        </w:rPr>
      </w:pPr>
    </w:p>
    <w:p>
      <w:pPr>
        <w:jc w:val="both"/>
        <w:ind w:left="540" w:right="559" w:firstLine="432"/>
        <w:spacing w:after="0" w:line="275" w:lineRule="auto"/>
        <w:rPr>
          <w:sz w:val="20"/>
          <w:szCs w:val="20"/>
          <w:color w:val="auto"/>
        </w:rPr>
      </w:pPr>
      <w:r>
        <w:rPr>
          <w:rFonts w:ascii="Arial" w:cs="Arial" w:eastAsia="Arial" w:hAnsi="Arial"/>
          <w:sz w:val="17"/>
          <w:szCs w:val="17"/>
          <w:color w:val="auto"/>
        </w:rPr>
        <w:t>Consistent with our business strategy, we have identified the following general criteria and guidelines that we believe are important in evaluating candidates for our initial business combination. We will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95" w:lineRule="exact"/>
        <w:rPr>
          <w:sz w:val="20"/>
          <w:szCs w:val="20"/>
          <w:color w:val="auto"/>
        </w:rPr>
      </w:pPr>
    </w:p>
    <w:p>
      <w:pPr>
        <w:ind w:left="1400" w:right="559" w:hanging="424"/>
        <w:spacing w:after="0" w:line="277" w:lineRule="auto"/>
        <w:tabs>
          <w:tab w:leader="none" w:pos="1418"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 strong competitive industry position with demonstrated competitive advantages to maintain barriers to entry;</w:t>
      </w:r>
    </w:p>
    <w:p>
      <w:pPr>
        <w:spacing w:after="0" w:line="102" w:lineRule="exact"/>
        <w:rPr>
          <w:rFonts w:ascii="Arial" w:cs="Arial" w:eastAsia="Arial" w:hAnsi="Arial"/>
          <w:sz w:val="18"/>
          <w:szCs w:val="18"/>
          <w:color w:val="auto"/>
        </w:rPr>
      </w:pPr>
    </w:p>
    <w:p>
      <w:pPr>
        <w:ind w:left="1400" w:right="559" w:hanging="424"/>
        <w:spacing w:after="0" w:line="277" w:lineRule="auto"/>
        <w:tabs>
          <w:tab w:leader="none" w:pos="1418"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 historic record of above average growth and strong free cash flow characteristics with high returns on capital;</w:t>
      </w:r>
    </w:p>
    <w:p>
      <w:pPr>
        <w:spacing w:after="0" w:line="102" w:lineRule="exact"/>
        <w:rPr>
          <w:rFonts w:ascii="Arial" w:cs="Arial" w:eastAsia="Arial" w:hAnsi="Arial"/>
          <w:sz w:val="18"/>
          <w:szCs w:val="18"/>
          <w:color w:val="auto"/>
        </w:rPr>
      </w:pPr>
    </w:p>
    <w:p>
      <w:pPr>
        <w:jc w:val="both"/>
        <w:ind w:left="1400" w:right="559" w:hanging="424"/>
        <w:spacing w:after="0" w:line="286" w:lineRule="auto"/>
        <w:tabs>
          <w:tab w:leader="none" w:pos="1634" w:val="left"/>
        </w:tabs>
        <w:numPr>
          <w:ilvl w:val="0"/>
          <w:numId w:val="5"/>
        </w:numPr>
        <w:rPr>
          <w:rFonts w:ascii="Arial" w:cs="Arial" w:eastAsia="Arial" w:hAnsi="Arial"/>
          <w:sz w:val="17"/>
          <w:szCs w:val="17"/>
          <w:color w:val="auto"/>
        </w:rPr>
      </w:pPr>
      <w:r>
        <w:rPr>
          <w:rFonts w:ascii="Arial" w:cs="Arial" w:eastAsia="Arial" w:hAnsi="Arial"/>
          <w:sz w:val="17"/>
          <w:szCs w:val="17"/>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pacing w:after="0" w:line="84" w:lineRule="exact"/>
        <w:rPr>
          <w:rFonts w:ascii="Arial" w:cs="Arial" w:eastAsia="Arial" w:hAnsi="Arial"/>
          <w:sz w:val="17"/>
          <w:szCs w:val="17"/>
          <w:color w:val="auto"/>
        </w:rPr>
      </w:pPr>
    </w:p>
    <w:p>
      <w:pPr>
        <w:ind w:left="1400" w:right="559" w:hanging="424"/>
        <w:spacing w:after="0" w:line="277" w:lineRule="auto"/>
        <w:tabs>
          <w:tab w:leader="none" w:pos="1485"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positioned for continued organic growth and may grow through bolt-on acquisitions in these challenging times for the industry sectors;</w:t>
      </w:r>
    </w:p>
    <w:p>
      <w:pPr>
        <w:spacing w:after="0" w:line="102" w:lineRule="exact"/>
        <w:rPr>
          <w:rFonts w:ascii="Arial" w:cs="Arial" w:eastAsia="Arial" w:hAnsi="Arial"/>
          <w:sz w:val="18"/>
          <w:szCs w:val="18"/>
          <w:color w:val="auto"/>
        </w:rPr>
      </w:pPr>
    </w:p>
    <w:p>
      <w:pPr>
        <w:ind w:left="1400" w:hanging="424"/>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a fundamentally sound company with a proven track record;</w:t>
      </w:r>
    </w:p>
    <w:p>
      <w:pPr>
        <w:spacing w:after="0" w:line="144" w:lineRule="exact"/>
        <w:rPr>
          <w:rFonts w:ascii="Arial" w:cs="Arial" w:eastAsia="Arial" w:hAnsi="Arial"/>
          <w:sz w:val="18"/>
          <w:szCs w:val="18"/>
          <w:color w:val="auto"/>
        </w:rPr>
      </w:pPr>
    </w:p>
    <w:p>
      <w:pPr>
        <w:ind w:left="1400" w:right="559" w:hanging="424"/>
        <w:spacing w:after="0" w:line="308" w:lineRule="auto"/>
        <w:tabs>
          <w:tab w:leader="none" w:pos="1539" w:val="left"/>
        </w:tabs>
        <w:numPr>
          <w:ilvl w:val="0"/>
          <w:numId w:val="5"/>
        </w:numPr>
        <w:rPr>
          <w:rFonts w:ascii="Arial" w:cs="Arial" w:eastAsia="Arial" w:hAnsi="Arial"/>
          <w:sz w:val="17"/>
          <w:szCs w:val="17"/>
          <w:color w:val="auto"/>
        </w:rPr>
      </w:pPr>
      <w:r>
        <w:rPr>
          <w:rFonts w:ascii="Arial" w:cs="Arial" w:eastAsia="Arial" w:hAnsi="Arial"/>
          <w:sz w:val="17"/>
          <w:szCs w:val="17"/>
          <w:color w:val="auto"/>
        </w:rPr>
        <w:t>has an operating model that has adapted or has an executable strategy to be able to meet the changing consumer or business behaviors in a COVID-19 or post-COVID 19 environment;</w:t>
      </w:r>
    </w:p>
    <w:p>
      <w:pPr>
        <w:spacing w:after="0" w:line="78" w:lineRule="exact"/>
        <w:rPr>
          <w:rFonts w:ascii="Arial" w:cs="Arial" w:eastAsia="Arial" w:hAnsi="Arial"/>
          <w:sz w:val="17"/>
          <w:szCs w:val="17"/>
          <w:color w:val="auto"/>
        </w:rPr>
      </w:pPr>
    </w:p>
    <w:p>
      <w:pPr>
        <w:ind w:left="1400" w:hanging="424"/>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offer an attractive risk-adjusted return for our stockholders; and</w:t>
      </w:r>
    </w:p>
    <w:p>
      <w:pPr>
        <w:spacing w:after="0" w:line="157" w:lineRule="exact"/>
        <w:rPr>
          <w:rFonts w:ascii="Arial" w:cs="Arial" w:eastAsia="Arial" w:hAnsi="Arial"/>
          <w:sz w:val="18"/>
          <w:szCs w:val="18"/>
          <w:color w:val="auto"/>
        </w:rPr>
      </w:pPr>
    </w:p>
    <w:p>
      <w:pPr>
        <w:ind w:left="1400" w:right="559" w:hanging="424"/>
        <w:spacing w:after="0" w:line="277" w:lineRule="auto"/>
        <w:tabs>
          <w:tab w:leader="none" w:pos="1431" w:val="left"/>
        </w:tabs>
        <w:numPr>
          <w:ilvl w:val="0"/>
          <w:numId w:val="5"/>
        </w:numPr>
        <w:rPr>
          <w:rFonts w:ascii="Arial" w:cs="Arial" w:eastAsia="Arial" w:hAnsi="Arial"/>
          <w:sz w:val="18"/>
          <w:szCs w:val="18"/>
          <w:color w:val="auto"/>
        </w:rPr>
      </w:pPr>
      <w:r>
        <w:rPr>
          <w:rFonts w:ascii="Arial" w:cs="Arial" w:eastAsia="Arial" w:hAnsi="Arial"/>
          <w:sz w:val="18"/>
          <w:szCs w:val="18"/>
          <w:color w:val="auto"/>
        </w:rPr>
        <w:t>can benefit from being a publicly traded company, are prepared to be a publicly traded company and can utilize access to broader capital markets.</w:t>
      </w:r>
    </w:p>
    <w:p>
      <w:pPr>
        <w:sectPr>
          <w:pgSz w:w="11900" w:h="16838" w:orient="portrait"/>
          <w:cols w:equalWidth="0" w:num="1">
            <w:col w:w="9019"/>
          </w:cols>
          <w:pgMar w:left="1440" w:top="274" w:right="1440" w:bottom="1440" w:gutter="0" w:footer="0" w:header="0"/>
          <w:type w:val="continuous"/>
        </w:sect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 w:name="page11"/>
    <w:bookmarkEnd w:id="10"/>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3451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834517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559" w:firstLine="432"/>
        <w:spacing w:after="0" w:line="291"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proxy solicitation materials or tender offer documents that we would file with the SEC.</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Acquisition Process</w:t>
      </w:r>
    </w:p>
    <w:p>
      <w:pPr>
        <w:spacing w:after="0" w:line="162" w:lineRule="exact"/>
        <w:rPr>
          <w:sz w:val="20"/>
          <w:szCs w:val="20"/>
          <w:color w:val="auto"/>
        </w:rPr>
      </w:pPr>
    </w:p>
    <w:p>
      <w:pPr>
        <w:jc w:val="both"/>
        <w:ind w:left="540" w:right="559" w:firstLine="432"/>
        <w:spacing w:after="0" w:line="291" w:lineRule="auto"/>
        <w:rPr>
          <w:sz w:val="20"/>
          <w:szCs w:val="20"/>
          <w:color w:val="auto"/>
        </w:rPr>
      </w:pPr>
      <w:r>
        <w:rPr>
          <w:rFonts w:ascii="Arial" w:cs="Arial" w:eastAsia="Arial" w:hAnsi="Arial"/>
          <w:sz w:val="16"/>
          <w:szCs w:val="16"/>
          <w:color w:val="auto"/>
        </w:rPr>
        <w:t>Rigorous and comprehensive due diligence on prospective business targets is particularly important within the hospitality, travel, leisure and dining sectors in which we intend to target. In the process of identifying a potential business target, we expect to conduct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will also utilize our management team’s operational and capital planning experience.</w:t>
      </w:r>
    </w:p>
    <w:p>
      <w:pPr>
        <w:spacing w:after="0" w:line="85" w:lineRule="exact"/>
        <w:rPr>
          <w:sz w:val="20"/>
          <w:szCs w:val="20"/>
          <w:color w:val="auto"/>
        </w:rPr>
      </w:pPr>
    </w:p>
    <w:p>
      <w:pPr>
        <w:jc w:val="both"/>
        <w:ind w:left="540" w:right="559" w:firstLine="432"/>
        <w:spacing w:after="0" w:line="254" w:lineRule="auto"/>
        <w:rPr>
          <w:sz w:val="20"/>
          <w:szCs w:val="20"/>
          <w:color w:val="auto"/>
        </w:rPr>
      </w:pPr>
      <w:r>
        <w:rPr>
          <w:rFonts w:ascii="Arial" w:cs="Arial" w:eastAsia="Arial" w:hAnsi="Arial"/>
          <w:sz w:val="18"/>
          <w:szCs w:val="18"/>
          <w:color w:val="auto"/>
        </w:rPr>
        <w:t>We have not identified any business combination target and we have not, nor has anyone on our behalf, initiated any substantive discussions, directly or indirectly, with any business combination target. Our co-sponsors, all of the members of our management team and our board, our advisors, including Chardan, are continuously made aware of potential business opportunities, one or more of which we may desire to pursue, for a business combination, but we have not (nor has anyone on our behalf) contacted, or had any discussions, formal or otherwise with, any prospective target business with respect to a business combination transaction with us.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Value Creation Post Merger</w:t>
      </w:r>
    </w:p>
    <w:p>
      <w:pPr>
        <w:spacing w:after="0" w:line="162" w:lineRule="exact"/>
        <w:rPr>
          <w:sz w:val="20"/>
          <w:szCs w:val="20"/>
          <w:color w:val="auto"/>
        </w:rPr>
      </w:pPr>
    </w:p>
    <w:p>
      <w:pPr>
        <w:jc w:val="both"/>
        <w:ind w:left="540" w:right="559" w:firstLine="432"/>
        <w:spacing w:after="0" w:line="272" w:lineRule="auto"/>
        <w:rPr>
          <w:sz w:val="20"/>
          <w:szCs w:val="20"/>
          <w:color w:val="auto"/>
        </w:rPr>
      </w:pPr>
      <w:r>
        <w:rPr>
          <w:rFonts w:ascii="Arial" w:cs="Arial" w:eastAsia="Arial" w:hAnsi="Arial"/>
          <w:sz w:val="17"/>
          <w:szCs w:val="17"/>
          <w:color w:val="auto"/>
        </w:rPr>
        <w:t>After the initial business combination, our management team intends to apply a rigorous approach to enhancing shareholder value, including evaluating the experience and expertise of incumbent management and making changes when appropriate, examining opportunities for revenue enhancement, cost savings, operating efficiencies and strategic acquisitions and divestitures, and accessing the financial markets to optimize the company’s capital structure. Our management team intends to pursue post-merger initiatives through participation on the board of directors, through direct involvement with company operations and/or calling upon a stable of former managers and advisors when necessary.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Initial Business Combination</w:t>
      </w:r>
    </w:p>
    <w:p>
      <w:pPr>
        <w:spacing w:after="0" w:line="162" w:lineRule="exact"/>
        <w:rPr>
          <w:sz w:val="20"/>
          <w:szCs w:val="20"/>
          <w:color w:val="auto"/>
        </w:rPr>
      </w:pPr>
    </w:p>
    <w:p>
      <w:pPr>
        <w:jc w:val="both"/>
        <w:ind w:left="540" w:right="559" w:firstLine="432"/>
        <w:spacing w:after="0" w:line="290" w:lineRule="auto"/>
        <w:rPr>
          <w:sz w:val="20"/>
          <w:szCs w:val="20"/>
          <w:color w:val="auto"/>
        </w:rPr>
      </w:pPr>
      <w:r>
        <w:rPr>
          <w:rFonts w:ascii="Arial" w:cs="Arial" w:eastAsia="Arial" w:hAnsi="Arial"/>
          <w:sz w:val="16"/>
          <w:szCs w:val="16"/>
          <w:color w:val="auto"/>
        </w:rPr>
        <w:t>Nasdaq rules require that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may obtain an opinion from an independent investment banking or accounting firm as to the fair market value of the target business. Each business combination will be approved by a majority of our independent directors.</w:t>
      </w:r>
    </w:p>
    <w:p>
      <w:pPr>
        <w:spacing w:after="0" w:line="84" w:lineRule="exact"/>
        <w:rPr>
          <w:sz w:val="20"/>
          <w:szCs w:val="20"/>
          <w:color w:val="auto"/>
        </w:rPr>
      </w:pPr>
    </w:p>
    <w:p>
      <w:pPr>
        <w:jc w:val="both"/>
        <w:ind w:left="540" w:right="559" w:firstLine="432"/>
        <w:spacing w:after="0" w:line="268" w:lineRule="auto"/>
        <w:rPr>
          <w:sz w:val="20"/>
          <w:szCs w:val="20"/>
          <w:color w:val="auto"/>
        </w:rPr>
      </w:pPr>
      <w:r>
        <w:rPr>
          <w:rFonts w:ascii="Arial" w:cs="Arial" w:eastAsia="Arial" w:hAnsi="Arial"/>
          <w:sz w:val="17"/>
          <w:szCs w:val="17"/>
          <w:color w:val="auto"/>
        </w:rPr>
        <w:t>We anticipate structuring our initial business combination either (i) in such a way so that the post-transaction company in which our public stockholders own shares will own or acquire 100% of the equity interests or assets of the target business or businesses, or (ii) in such a way so that the post-transaction company owns or acquires less than 100% of such interests or assets of the target business in order to meet certain objectives of the target management team or stockholders, or for other reasons. However, we will only complete our initial business combination only if the post-transaction company in which our public stockholders own shares will own or acquire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50% or more of the voting securities of the target, our stockholders prior to the business combination may collectively own a minority interest in the post-business combination company, depending on valuations ascribed to the target and us in the business combination transaction.</w:t>
      </w:r>
    </w:p>
    <w:p>
      <w:pPr>
        <w:sectPr>
          <w:pgSz w:w="11900" w:h="16838" w:orient="portrait"/>
          <w:cols w:equalWidth="0" w:num="1">
            <w:col w:w="9019"/>
          </w:cols>
          <w:pgMar w:left="1440" w:top="274" w:right="1440" w:bottom="1440" w:gutter="0" w:footer="0" w:header="0"/>
          <w:type w:val="continuous"/>
        </w:sect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 w:name="page12"/>
    <w:bookmarkEnd w:id="11"/>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5763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857631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559"/>
        <w:spacing w:after="0" w:line="257" w:lineRule="auto"/>
        <w:rPr>
          <w:sz w:val="20"/>
          <w:szCs w:val="20"/>
          <w:color w:val="auto"/>
        </w:rPr>
      </w:pPr>
      <w:r>
        <w:rPr>
          <w:rFonts w:ascii="Arial" w:cs="Arial" w:eastAsia="Arial" w:hAnsi="Arial"/>
          <w:sz w:val="18"/>
          <w:szCs w:val="18"/>
          <w:color w:val="auto"/>
        </w:rPr>
        <w:t>If less than 100% of the equity interests or assets of a target business or businesses are owned or acquired by the post-transaction company, the portion of such business or businesses that is owned or acquired is what will be valued for purposes of the 80% test, provided that in the event that the business combination involves more than one target business, the 80% test will be based on the aggregate value of all of the target businesses.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Private Placements</w:t>
      </w:r>
    </w:p>
    <w:p>
      <w:pPr>
        <w:spacing w:after="0" w:line="162" w:lineRule="exact"/>
        <w:rPr>
          <w:sz w:val="20"/>
          <w:szCs w:val="20"/>
          <w:color w:val="auto"/>
        </w:rPr>
      </w:pPr>
    </w:p>
    <w:p>
      <w:pPr>
        <w:jc w:val="both"/>
        <w:ind w:left="540" w:right="559" w:firstLine="432"/>
        <w:spacing w:after="0" w:line="286" w:lineRule="auto"/>
        <w:rPr>
          <w:sz w:val="20"/>
          <w:szCs w:val="20"/>
          <w:color w:val="auto"/>
        </w:rPr>
      </w:pPr>
      <w:r>
        <w:rPr>
          <w:rFonts w:ascii="Arial" w:cs="Arial" w:eastAsia="Arial" w:hAnsi="Arial"/>
          <w:sz w:val="16"/>
          <w:szCs w:val="16"/>
          <w:color w:val="auto"/>
        </w:rPr>
        <w:t>On September 19, 2019, Chardan Investments purchased 5,000,000 shares of common stock from us for $25,000. On July 23, 2020, Chardan Investments sold 3,250,000 shares of common stock back to us for $16,250. On August 25, 2020, Chardan Investments transferred 256,375 shares of common stock back to us for nominal consideration, which shares were cancelled, resulting in Chardan Investments holding a balance of 1,493,625 shares of common stock. On July 23, 2020, Ventoux Acquisition purchased 3,250,000 shares of common stock from us for $16,250. On August 25, 2020, Ventoux Acquisition transferred 431,125 shares of common stock back to us for nominal considerations, which shares were cancelled. On December 15, 2020, Ventoux Acquisition transferred 22,500 shares of common stock to Cindat, an affiliate of one of our directors. As of the date hereof, Ventoux Acquisition holds 2,796,375 shares of common stock, of which Ventoux Acquisition intends to distribute 67,500 shares to certain of our directors prior to the consummation of the offering, resulting in Ventoux Acquisition holding a balance of 2,728,875 shares. The founder shares include an aggregate of up to 562,500 shares that are subject to forfeiture to the extent that the underwriters’ over-allotment option is not exercised in full or in part, so that our initial stockholders will collectively own 20% of our issued and outstanding shares after this offering (excluding the sale of the private warrants and assuming our initial stockholders do not purchase public units in this offering).</w:t>
      </w:r>
    </w:p>
    <w:p>
      <w:pPr>
        <w:spacing w:after="0" w:line="8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founder shares are identical to the public shares. However, our initial stockholders have agreed</w:t>
      </w:r>
    </w:p>
    <w:p>
      <w:pPr>
        <w:spacing w:after="0" w:line="46" w:lineRule="exact"/>
        <w:rPr>
          <w:sz w:val="20"/>
          <w:szCs w:val="20"/>
          <w:color w:val="auto"/>
        </w:rPr>
      </w:pPr>
    </w:p>
    <w:p>
      <w:pPr>
        <w:jc w:val="both"/>
        <w:ind w:left="540" w:right="559" w:firstLine="4"/>
        <w:spacing w:after="0" w:line="286" w:lineRule="auto"/>
        <w:tabs>
          <w:tab w:leader="none" w:pos="838"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vote their founder shares in favor of any proposed business combination, (B) 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15 months of the closing of this offering (or up to 18 months, as applicable), unless we provide public stockholders an opportunity to redeem their public shares in conjunction with any such amendment, (C) not to redeem any shares, including founder shares into the right to receive cash from the trust account in connection with a stockholder vote to approve our proposed initial business combination or sell any shares to us in any tender offer in connection with our proposed initial business combination, and (D) that the founder shares shall not participate in any liquidating distribution upon winding up if a business combination is not consummated.</w:t>
      </w:r>
    </w:p>
    <w:p>
      <w:pPr>
        <w:spacing w:after="0" w:line="102" w:lineRule="exact"/>
        <w:rPr>
          <w:sz w:val="20"/>
          <w:szCs w:val="20"/>
          <w:color w:val="auto"/>
        </w:rPr>
      </w:pPr>
    </w:p>
    <w:p>
      <w:pPr>
        <w:jc w:val="both"/>
        <w:ind w:left="540" w:right="559" w:firstLine="432"/>
        <w:spacing w:after="0" w:line="284" w:lineRule="auto"/>
        <w:rPr>
          <w:sz w:val="20"/>
          <w:szCs w:val="20"/>
          <w:color w:val="auto"/>
        </w:rPr>
      </w:pPr>
      <w:r>
        <w:rPr>
          <w:rFonts w:ascii="Arial" w:cs="Arial" w:eastAsia="Arial" w:hAnsi="Arial"/>
          <w:sz w:val="16"/>
          <w:szCs w:val="16"/>
          <w:color w:val="auto"/>
        </w:rPr>
        <w:t>On the date of this prospectus, the founder shares will be placed into an escrow account maintained by Continental Stock Transfer &amp; Trust Company acting as escrow agent. 50% of these shares will not be transferred, assigned, sold or released from escrow until the earlier of (i) 6 months after the date of the consummation of our initial business combination or (ii) the date on which the closing price of our shares of common stock equals or exceeds $12.50 per share (as adjusted for stock splits, stock dividends, reorganizations and recapitalizations) for any 20 trading days within any 30-trading day period commencing after our initial business combination, and the remaining 50% of the founder shares will not be transferred, assigned, sold or released from escrow until 6 months after the date of the consummation of our initial business combination, or earlier, in either case, if, subsequent to our initial business combination, we consummate a subsequent liquidation, merger, stock exchange or other similar transaction which results in all of our stockholders having the right to exchange their shares of common stock for cash, securities or other property. During the escrow period, the holders of these shares will not be able to sell or transfer their securities except (1) to any persons (including their affiliates and stockholders) participating in the private placement of the private warrants, officers, directors, stockholders, employees and members of our co-sponsors and their affiliates, (2) amongst initial stockholders or to our officers, directors and employees, (3) if a holder is an entity, as a distribution to its, partners, stockholders or members upon its liquidation, (4) by bona fide gift to a member of the holder’s immediate family or to a trust, the beneficiary of which is a holder or a member of a holder’s immediate family, for estate planning purposes, (5) by virtue of the laws of descent and distribution upon death, (6) pursuant to a qualified domestic relations order, (7) by certain pledges to secure obligations incurred in connection with purchases of our securities, (8) by private sales at prices no greater than the price at which the shares were originally purchased or (9) for the cancellation of up to 562,500 shares of common stock subject to forfeiture to the extent that the underwriters’ over-allotment is not exercised in full or in part or in connection with the consummation of our initial business combination, in each case (except for clause 9 or with our prior consent) where the transferee agrees to the terms of the escrow agreement and the insider letter.</w:t>
      </w:r>
    </w:p>
    <w:p>
      <w:pPr>
        <w:sectPr>
          <w:pgSz w:w="11900" w:h="16838" w:orient="portrait"/>
          <w:cols w:equalWidth="0" w:num="1">
            <w:col w:w="9019"/>
          </w:cols>
          <w:pgMar w:left="1440" w:top="274" w:right="1440" w:bottom="1440" w:gutter="0" w:footer="0" w:header="0"/>
          <w:type w:val="continuous"/>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 w:name="page13"/>
    <w:bookmarkEnd w:id="1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522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7310" cy="7522210"/>
                    </a:xfrm>
                    <a:prstGeom prst="rect">
                      <a:avLst/>
                    </a:prstGeom>
                    <a:noFill/>
                  </pic:spPr>
                </pic:pic>
              </a:graphicData>
            </a:graphic>
          </wp:anchor>
        </w:drawing>
      </w:r>
    </w:p>
    <w:p>
      <w:pPr>
        <w:spacing w:after="0" w:line="327" w:lineRule="exact"/>
        <w:rPr>
          <w:sz w:val="20"/>
          <w:szCs w:val="20"/>
          <w:color w:val="auto"/>
        </w:rPr>
      </w:pPr>
    </w:p>
    <w:p>
      <w:pPr>
        <w:jc w:val="both"/>
        <w:ind w:left="540" w:right="559" w:firstLine="432"/>
        <w:spacing w:after="0" w:line="284" w:lineRule="auto"/>
        <w:rPr>
          <w:sz w:val="20"/>
          <w:szCs w:val="20"/>
          <w:color w:val="auto"/>
        </w:rPr>
      </w:pPr>
      <w:r>
        <w:rPr>
          <w:rFonts w:ascii="Arial" w:cs="Arial" w:eastAsia="Arial" w:hAnsi="Arial"/>
          <w:sz w:val="16"/>
          <w:szCs w:val="16"/>
          <w:color w:val="auto"/>
        </w:rPr>
        <w:t>The private warrants and any shares of common stock issued upon conversion or exercise thereof are subject to transfer restrictions pursuant to lock-up provisions in a letter agreement with us to be entered into by Ventoux Acquisition, Chardan Investments, officers, directors and advisors of the Company. Those lock-up provisions provide that such securities are not transferable or salable until 30 days after the completion of our initial business combination, except (a) to our officers or directors, any affiliates or family members of any of our officers or directors, any members of Ventoux Acquisition or Chardan Investments, or any affiliates of Ventoux Acquisition or Chardan Investments; (b) in the case of an individual, by gift to a member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an initial business combination at prices no greater than the price at which the shares or warrants were originally purchased; (f) in the event of our liquidation prior to the completion of our initial business combination; or (g) by virtue of the laws of Delaware or the applicable limited liability company agreement upon dissolution of Ventoux Acquisition or Chardan Investments, provided, however, that in the case of clauses (a) through (e) or (g), these permitted transferees must enter into a written agreement agreeing to be bound by these transfer restrictions and the other restrictions contained in the letter agreements and by the same agreements entered into by Ventoux Acquisition, Chardan Investments, officers, directors and advisors of the Company, as the case may be, with respect to such securities (including provisions relating to voting, the trust account and liquidation distributions described elsewhere in this prospectus).</w:t>
      </w:r>
    </w:p>
    <w:p>
      <w:pPr>
        <w:spacing w:after="0" w:line="114" w:lineRule="exact"/>
        <w:rPr>
          <w:sz w:val="20"/>
          <w:szCs w:val="20"/>
          <w:color w:val="auto"/>
        </w:rPr>
      </w:pPr>
    </w:p>
    <w:p>
      <w:pPr>
        <w:jc w:val="both"/>
        <w:ind w:left="540" w:right="559" w:firstLine="432"/>
        <w:spacing w:after="0" w:line="287" w:lineRule="auto"/>
        <w:rPr>
          <w:sz w:val="20"/>
          <w:szCs w:val="20"/>
          <w:color w:val="auto"/>
        </w:rPr>
      </w:pPr>
      <w:r>
        <w:rPr>
          <w:rFonts w:ascii="Arial" w:cs="Arial" w:eastAsia="Arial" w:hAnsi="Arial"/>
          <w:sz w:val="16"/>
          <w:szCs w:val="16"/>
          <w:color w:val="auto"/>
        </w:rPr>
        <w:t>Ventoux Acquisition, our co-sponsor and an affiliate of certain of our directors and officers, has committed to purchase from us an aggregate of 4,000,000 warrants (or 4,450,000 warrants if the over-allotment option is exercised in full), and Chardan Investments, our co-sponsor and an affiliate of one of our directors and Chardan Capital Markets, LLC,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$6,000,000 (or $6,675,000 if the over-allotment option is exercised in full) we will receive from the sale of the private warrants, $3,500,000 (or $3,950,000 if the over-allotment option is exercised in full) will be used for offering expenses and $1,000,000 will be used for working capital.</w:t>
      </w:r>
    </w:p>
    <w:p>
      <w:pPr>
        <w:spacing w:after="0" w:line="91" w:lineRule="exact"/>
        <w:rPr>
          <w:sz w:val="20"/>
          <w:szCs w:val="20"/>
          <w:color w:val="auto"/>
        </w:rPr>
      </w:pPr>
    </w:p>
    <w:p>
      <w:pPr>
        <w:jc w:val="both"/>
        <w:ind w:left="540" w:right="559" w:firstLine="432"/>
        <w:spacing w:after="0" w:line="275" w:lineRule="auto"/>
        <w:rPr>
          <w:sz w:val="20"/>
          <w:szCs w:val="20"/>
          <w:color w:val="auto"/>
        </w:rPr>
      </w:pPr>
      <w:r>
        <w:rPr>
          <w:rFonts w:ascii="Arial" w:cs="Arial" w:eastAsia="Arial" w:hAnsi="Arial"/>
          <w:sz w:val="17"/>
          <w:szCs w:val="17"/>
          <w:color w:val="auto"/>
        </w:rPr>
        <w:t>The proceeds from the private placement of the private warrants will be added to the proceeds of this offering and placed in a trust account in the United States maintained by Continental Stock Transfer &amp; Trust Company, as trustee. If we do not complete our initial business combination within 15 months (or up to 18 months, as applicable), the proceeds from the sale of the private warrants will be included in the liquidating distribution to the holders of our public shares.</w:t>
      </w:r>
    </w:p>
    <w:p>
      <w:pPr>
        <w:spacing w:after="0" w:line="109" w:lineRule="exact"/>
        <w:rPr>
          <w:sz w:val="20"/>
          <w:szCs w:val="20"/>
          <w:color w:val="auto"/>
        </w:rPr>
      </w:pPr>
    </w:p>
    <w:p>
      <w:pPr>
        <w:jc w:val="both"/>
        <w:ind w:left="540" w:right="559" w:firstLine="432"/>
        <w:spacing w:after="0" w:line="254" w:lineRule="auto"/>
        <w:rPr>
          <w:sz w:val="20"/>
          <w:szCs w:val="20"/>
          <w:color w:val="auto"/>
        </w:rPr>
      </w:pPr>
      <w:r>
        <w:rPr>
          <w:rFonts w:ascii="Arial" w:cs="Arial" w:eastAsia="Arial" w:hAnsi="Arial"/>
          <w:sz w:val="18"/>
          <w:szCs w:val="18"/>
          <w:color w:val="auto"/>
        </w:rPr>
        <w:t>The private warrants are identical to the warrants sold as part of the public units in this offering except that (i) each private warrant is exercisable for one share of common stock at an exercise price of $11.50 per share, and (ii) the private warrants will be non-redeemable and may be exercised on a cashless basis, in each case so long as they continue to be held by the initial purchasers or their permitted transferees. The private warrants purchased by Chardan Investments will not be exercisable more than five years from the effective date of the registration statement, of which this prospectus forms a part, in accordance with FINRA Rule 5110(g)(8), as long as Chardan Capital Markets, LLC or any of its related persons beneficially own these private warrants.</w:t>
      </w:r>
    </w:p>
    <w:p>
      <w:pPr>
        <w:spacing w:after="0" w:line="124" w:lineRule="exact"/>
        <w:rPr>
          <w:sz w:val="20"/>
          <w:szCs w:val="20"/>
          <w:color w:val="auto"/>
        </w:rPr>
      </w:pPr>
    </w:p>
    <w:p>
      <w:pPr>
        <w:jc w:val="both"/>
        <w:ind w:left="540" w:right="559" w:firstLine="432"/>
        <w:spacing w:after="0" w:line="263" w:lineRule="auto"/>
        <w:rPr>
          <w:sz w:val="20"/>
          <w:szCs w:val="20"/>
          <w:color w:val="auto"/>
        </w:rPr>
      </w:pPr>
      <w:r>
        <w:rPr>
          <w:rFonts w:ascii="Arial" w:cs="Arial" w:eastAsia="Arial" w:hAnsi="Arial"/>
          <w:sz w:val="18"/>
          <w:szCs w:val="18"/>
          <w:color w:val="auto"/>
        </w:rPr>
        <w:t>If public units or shares of common stock are purchased by any of our directors, officers or initial stockholders, they will be entitled to funds from the trust account to the same extent as any public stockholder upon our liquidation but will not have redemption rights related thereto.</w:t>
      </w:r>
    </w:p>
    <w:p>
      <w:pPr>
        <w:spacing w:after="0" w:line="103" w:lineRule="exact"/>
        <w:rPr>
          <w:sz w:val="20"/>
          <w:szCs w:val="20"/>
          <w:color w:val="auto"/>
        </w:rPr>
      </w:pPr>
    </w:p>
    <w:p>
      <w:pPr>
        <w:jc w:val="both"/>
        <w:ind w:left="540" w:right="559" w:firstLine="432"/>
        <w:spacing w:after="0" w:line="277" w:lineRule="auto"/>
        <w:rPr>
          <w:sz w:val="20"/>
          <w:szCs w:val="20"/>
          <w:color w:val="auto"/>
        </w:rPr>
      </w:pPr>
      <w:r>
        <w:rPr>
          <w:rFonts w:ascii="Arial" w:cs="Arial" w:eastAsia="Arial" w:hAnsi="Arial"/>
          <w:sz w:val="18"/>
          <w:szCs w:val="18"/>
          <w:color w:val="auto"/>
        </w:rPr>
        <w:t>Our executive offices are located at 1 East Putnam Avenue, Floor 4, Greenwich, CT, 06830, and our telephone number is 646-465-9000.</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 w:name="page14"/>
    <w:bookmarkEnd w:id="13"/>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511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7310" cy="9511030"/>
                    </a:xfrm>
                    <a:prstGeom prst="rect">
                      <a:avLst/>
                    </a:prstGeom>
                    <a:noFill/>
                  </pic:spPr>
                </pic:pic>
              </a:graphicData>
            </a:graphic>
          </wp:anchor>
        </w:drawing>
      </w:r>
    </w:p>
    <w:p>
      <w:pPr>
        <w:sectPr>
          <w:pgSz w:w="11900" w:h="16838" w:orient="portrait"/>
          <w:cols w:equalWidth="0" w:num="1">
            <w:col w:w="9019"/>
          </w:cols>
          <w:pgMar w:left="1440" w:top="274" w:right="1440" w:bottom="474"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162" w:lineRule="exact"/>
        <w:rPr>
          <w:sz w:val="20"/>
          <w:szCs w:val="20"/>
          <w:color w:val="auto"/>
        </w:rPr>
      </w:pPr>
    </w:p>
    <w:p>
      <w:pPr>
        <w:jc w:val="both"/>
        <w:ind w:left="540" w:right="559" w:firstLine="432"/>
        <w:spacing w:after="0" w:line="273" w:lineRule="auto"/>
        <w:rPr>
          <w:sz w:val="20"/>
          <w:szCs w:val="20"/>
          <w:color w:val="auto"/>
        </w:rPr>
      </w:pPr>
      <w:r>
        <w:rPr>
          <w:rFonts w:ascii="Arial" w:cs="Arial" w:eastAsia="Arial" w:hAnsi="Arial"/>
          <w:sz w:val="17"/>
          <w:szCs w:val="17"/>
          <w:color w:val="auto"/>
        </w:rPr>
        <w:t>In making your decision 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beginning on page 22 of this prospectus.</w:t>
      </w:r>
    </w:p>
    <w:p>
      <w:pPr>
        <w:spacing w:after="0" w:line="133" w:lineRule="exact"/>
        <w:rPr>
          <w:sz w:val="20"/>
          <w:szCs w:val="20"/>
          <w:color w:val="auto"/>
        </w:rPr>
      </w:pPr>
    </w:p>
    <w:p>
      <w:pPr>
        <w:ind w:left="540"/>
        <w:spacing w:after="0"/>
        <w:tabs>
          <w:tab w:leader="none" w:pos="3240" w:val="left"/>
        </w:tabs>
        <w:rPr>
          <w:sz w:val="20"/>
          <w:szCs w:val="20"/>
          <w:color w:val="auto"/>
        </w:rPr>
      </w:pPr>
      <w:r>
        <w:rPr>
          <w:rFonts w:ascii="Arial" w:cs="Arial" w:eastAsia="Arial" w:hAnsi="Arial"/>
          <w:sz w:val="18"/>
          <w:szCs w:val="18"/>
          <w:b w:val="1"/>
          <w:bCs w:val="1"/>
          <w:color w:val="auto"/>
        </w:rPr>
        <w:t>Securities offered</w:t>
      </w:r>
      <w:r>
        <w:rPr>
          <w:sz w:val="20"/>
          <w:szCs w:val="20"/>
          <w:color w:val="auto"/>
        </w:rPr>
        <w:tab/>
      </w:r>
      <w:r>
        <w:rPr>
          <w:rFonts w:ascii="Arial" w:cs="Arial" w:eastAsia="Arial" w:hAnsi="Arial"/>
          <w:sz w:val="16"/>
          <w:szCs w:val="16"/>
          <w:color w:val="auto"/>
        </w:rPr>
        <w:t>15,000,000 units, at $10.00 per unit, each unit consisting of one share</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of common stock, one right and one warrant. Each right entitles the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holder thereof to receive one-twentieth (1/20) of one share of common</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stock upon the consummation of an initial business combination. Each</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warrant entitles the holder thereof to purchase one-half of one share of</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common stock at a price of $11.50 per whole share, subject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adjustment as described in this prospectus.</w:t>
      </w:r>
    </w:p>
    <w:p>
      <w:pPr>
        <w:sectPr>
          <w:pgSz w:w="11900" w:h="16838" w:orient="portrait"/>
          <w:cols w:equalWidth="0" w:num="1">
            <w:col w:w="9019"/>
          </w:cols>
          <w:pgMar w:left="1440" w:top="274" w:right="1440" w:bottom="474" w:gutter="0" w:footer="0" w:header="0"/>
          <w:type w:val="continuous"/>
        </w:sectPr>
      </w:pPr>
    </w:p>
    <w:p>
      <w:pPr>
        <w:spacing w:after="0" w:line="180" w:lineRule="exact"/>
        <w:rPr>
          <w:sz w:val="20"/>
          <w:szCs w:val="20"/>
          <w:color w:val="auto"/>
        </w:rPr>
      </w:pPr>
    </w:p>
    <w:p>
      <w:pPr>
        <w:ind w:left="720" w:hanging="179"/>
        <w:spacing w:after="0" w:line="282" w:lineRule="auto"/>
        <w:rPr>
          <w:sz w:val="20"/>
          <w:szCs w:val="20"/>
          <w:color w:val="auto"/>
        </w:rPr>
      </w:pPr>
      <w:r>
        <w:rPr>
          <w:rFonts w:ascii="Arial" w:cs="Arial" w:eastAsia="Arial" w:hAnsi="Arial"/>
          <w:sz w:val="18"/>
          <w:szCs w:val="18"/>
          <w:b w:val="1"/>
          <w:bCs w:val="1"/>
          <w:color w:val="auto"/>
        </w:rPr>
        <w:t>Listing of our securities and proposed symbols</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jc w:val="both"/>
        <w:ind w:right="579"/>
        <w:spacing w:after="0" w:line="259" w:lineRule="auto"/>
        <w:rPr>
          <w:sz w:val="20"/>
          <w:szCs w:val="20"/>
          <w:color w:val="auto"/>
        </w:rPr>
      </w:pPr>
      <w:r>
        <w:rPr>
          <w:rFonts w:ascii="Arial" w:cs="Arial" w:eastAsia="Arial" w:hAnsi="Arial"/>
          <w:sz w:val="18"/>
          <w:szCs w:val="18"/>
          <w:color w:val="auto"/>
        </w:rPr>
        <w:t>We anticipate the units and the shares of common stock, the rights and the warrants, once they begin separate trading, will be listed on Nasdaq under the symbols “VTAQU,” “VTAQ,” “VTAQR” and “VTAQW,” respectively.</w:t>
      </w:r>
    </w:p>
    <w:p>
      <w:pPr>
        <w:spacing w:after="0" w:line="160" w:lineRule="exact"/>
        <w:rPr>
          <w:sz w:val="20"/>
          <w:szCs w:val="20"/>
          <w:color w:val="auto"/>
        </w:rPr>
      </w:pPr>
    </w:p>
    <w:p>
      <w:pPr>
        <w:jc w:val="both"/>
        <w:ind w:right="559"/>
        <w:spacing w:after="0" w:line="284" w:lineRule="auto"/>
        <w:rPr>
          <w:sz w:val="20"/>
          <w:szCs w:val="20"/>
          <w:color w:val="auto"/>
        </w:rPr>
      </w:pPr>
      <w:r>
        <w:rPr>
          <w:rFonts w:ascii="Arial" w:cs="Arial" w:eastAsia="Arial" w:hAnsi="Arial"/>
          <w:sz w:val="16"/>
          <w:szCs w:val="16"/>
          <w:color w:val="auto"/>
        </w:rPr>
        <w:t>Each of the shares of common stock, rights and warrants may trade separately on the 90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after the date of this prospectus unless Chardan determines that an earlier date is acceptable (based upon, among other things, its assessment of the relative strengths of the securities markets and small capitalization companies in general, and the trading pattern of, and demand for, our securities in particular). In no event will Chardan allow separate trading of the shares of common stock, rights and warrants until we file an audited balance sheet reflecting our receipt of the gross proceeds of this offering.</w:t>
      </w:r>
    </w:p>
    <w:p>
      <w:pPr>
        <w:spacing w:after="0" w:line="146" w:lineRule="exact"/>
        <w:rPr>
          <w:sz w:val="20"/>
          <w:szCs w:val="20"/>
          <w:color w:val="auto"/>
        </w:rPr>
      </w:pPr>
    </w:p>
    <w:p>
      <w:pPr>
        <w:jc w:val="both"/>
        <w:ind w:right="559"/>
        <w:spacing w:after="0" w:line="254" w:lineRule="auto"/>
        <w:rPr>
          <w:sz w:val="20"/>
          <w:szCs w:val="20"/>
          <w:color w:val="auto"/>
        </w:rPr>
      </w:pPr>
      <w:r>
        <w:rPr>
          <w:rFonts w:ascii="Arial" w:cs="Arial" w:eastAsia="Arial" w:hAnsi="Arial"/>
          <w:sz w:val="18"/>
          <w:szCs w:val="18"/>
          <w:color w:val="auto"/>
        </w:rPr>
        <w:t>Once the shares of common stock, rights and warrants commence separate trading, holders will have the option to continue to hold units or separate their units into shares of common stock, rights and warrants. Holders will need to have their brokers contact our transfer agent, Continental Stock Transfer &amp; Trust Company, in order to separate the units into separately trading shares of common stock, rights and warrants.</w:t>
      </w:r>
    </w:p>
    <w:p>
      <w:pPr>
        <w:spacing w:after="0" w:line="168" w:lineRule="exact"/>
        <w:rPr>
          <w:sz w:val="20"/>
          <w:szCs w:val="20"/>
          <w:color w:val="auto"/>
        </w:rPr>
      </w:pPr>
    </w:p>
    <w:p>
      <w:pPr>
        <w:jc w:val="both"/>
        <w:ind w:right="559"/>
        <w:spacing w:after="0" w:line="266" w:lineRule="auto"/>
        <w:rPr>
          <w:sz w:val="20"/>
          <w:szCs w:val="20"/>
          <w:color w:val="auto"/>
        </w:rPr>
      </w:pPr>
      <w:r>
        <w:rPr>
          <w:rFonts w:ascii="Arial" w:cs="Arial" w:eastAsia="Arial" w:hAnsi="Arial"/>
          <w:sz w:val="17"/>
          <w:szCs w:val="17"/>
          <w:color w:val="auto"/>
        </w:rPr>
        <w:t>We will file a Current Report on Form 8-K with the SEC, including an audited balance sheet, promptly upon the consummation of this offering, which is anticipated to take place two business days from the date the units commence trading. The audited balance sheet will reflect our receipt of the proceeds from the exercise of the over-allotment option if the over-allotment option is exercised on the date of this prospectus. If the over-allotment option is exercised after the date of this prospectus, we will file an amendment to the Form 8-K or a new Form 8-K to provide updated financial information to reflect the exercise of the over-allotment option. We will also include in the Form 8-K, or amendment thereto, or in a subsequent Form 8-K, information indicating if Chardan has allowed separate trading of the shares of common stock, rights and warrants prior to the 90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day after the date of this prospectus.</w:t>
      </w:r>
    </w:p>
    <w:p>
      <w:pPr>
        <w:spacing w:after="0" w:line="154" w:lineRule="exact"/>
        <w:rPr>
          <w:sz w:val="20"/>
          <w:szCs w:val="20"/>
          <w:color w:val="auto"/>
        </w:rPr>
      </w:pPr>
    </w:p>
    <w:p>
      <w:pPr>
        <w:jc w:val="both"/>
        <w:ind w:right="579"/>
        <w:spacing w:after="0" w:line="286" w:lineRule="auto"/>
        <w:rPr>
          <w:sz w:val="20"/>
          <w:szCs w:val="20"/>
          <w:color w:val="auto"/>
        </w:rPr>
      </w:pPr>
      <w:r>
        <w:rPr>
          <w:rFonts w:ascii="Arial" w:cs="Arial" w:eastAsia="Arial" w:hAnsi="Arial"/>
          <w:sz w:val="17"/>
          <w:szCs w:val="17"/>
          <w:color w:val="auto"/>
        </w:rPr>
        <w:t>In connection with the completion of our initial business combination, we may, at our discretion, mandatorily separate all issued and outstanding units into shares of common stock, rights and warrants.</w:t>
      </w:r>
    </w:p>
    <w:p>
      <w:pPr>
        <w:spacing w:after="0" w:line="134" w:lineRule="exact"/>
        <w:rPr>
          <w:sz w:val="20"/>
          <w:szCs w:val="20"/>
          <w:color w:val="auto"/>
        </w:rPr>
      </w:pPr>
    </w:p>
    <w:p>
      <w:pPr>
        <w:sectPr>
          <w:pgSz w:w="11900" w:h="16838" w:orient="portrait"/>
          <w:cols w:equalWidth="0" w:num="2">
            <w:col w:w="2700" w:space="560"/>
            <w:col w:w="5759"/>
          </w:cols>
          <w:pgMar w:left="1440" w:top="274" w:right="1440" w:bottom="474" w:gutter="0" w:footer="0" w:header="0"/>
          <w:type w:val="continuous"/>
        </w:sectPr>
      </w:pPr>
    </w:p>
    <w:tbl>
      <w:tblPr>
        <w:tblLayout w:type="fixed"/>
        <w:tblInd w:w="54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Shares of common stock:</w:t>
            </w:r>
          </w:p>
        </w:tc>
        <w:tc>
          <w:tcPr>
            <w:tcW w:w="1540" w:type="dxa"/>
            <w:vAlign w:val="bottom"/>
          </w:tcPr>
          <w:p>
            <w:pPr>
              <w:spacing w:after="0"/>
              <w:rPr>
                <w:sz w:val="20"/>
                <w:szCs w:val="20"/>
                <w:color w:val="auto"/>
              </w:rPr>
            </w:pPr>
          </w:p>
        </w:tc>
      </w:tr>
      <w:tr>
        <w:trPr>
          <w:trHeight w:val="387"/>
        </w:trPr>
        <w:tc>
          <w:tcPr>
            <w:tcW w:w="2600" w:type="dxa"/>
            <w:vAlign w:val="bottom"/>
          </w:tcPr>
          <w:p>
            <w:pPr>
              <w:spacing w:after="0"/>
              <w:rPr>
                <w:sz w:val="20"/>
                <w:szCs w:val="20"/>
                <w:color w:val="auto"/>
              </w:rPr>
            </w:pPr>
            <w:r>
              <w:rPr>
                <w:rFonts w:ascii="Arial" w:cs="Arial" w:eastAsia="Arial" w:hAnsi="Arial"/>
                <w:sz w:val="18"/>
                <w:szCs w:val="18"/>
                <w:b w:val="1"/>
                <w:bCs w:val="1"/>
                <w:color w:val="auto"/>
                <w:w w:val="93"/>
              </w:rPr>
              <w:t>Number issued and outstanding</w:t>
            </w:r>
          </w:p>
        </w:tc>
        <w:tc>
          <w:tcPr>
            <w:tcW w:w="1540" w:type="dxa"/>
            <w:vAlign w:val="bottom"/>
          </w:tcPr>
          <w:p>
            <w:pPr>
              <w:spacing w:after="0"/>
              <w:rPr>
                <w:sz w:val="24"/>
                <w:szCs w:val="24"/>
                <w:color w:val="auto"/>
              </w:rPr>
            </w:pPr>
          </w:p>
        </w:tc>
      </w:tr>
      <w:tr>
        <w:trPr>
          <w:trHeight w:val="282"/>
        </w:trPr>
        <w:tc>
          <w:tcPr>
            <w:tcW w:w="2600" w:type="dxa"/>
            <w:vAlign w:val="bottom"/>
          </w:tcPr>
          <w:p>
            <w:pPr>
              <w:ind w:left="180"/>
              <w:spacing w:after="0"/>
              <w:rPr>
                <w:sz w:val="20"/>
                <w:szCs w:val="20"/>
                <w:color w:val="auto"/>
              </w:rPr>
            </w:pPr>
            <w:r>
              <w:rPr>
                <w:rFonts w:ascii="Arial" w:cs="Arial" w:eastAsia="Arial" w:hAnsi="Arial"/>
                <w:sz w:val="18"/>
                <w:szCs w:val="18"/>
                <w:b w:val="1"/>
                <w:bCs w:val="1"/>
                <w:color w:val="auto"/>
              </w:rPr>
              <w:t>before this offering</w:t>
            </w:r>
          </w:p>
        </w:tc>
        <w:tc>
          <w:tcPr>
            <w:tcW w:w="1540" w:type="dxa"/>
            <w:vAlign w:val="bottom"/>
          </w:tcPr>
          <w:p>
            <w:pPr>
              <w:ind w:left="120"/>
              <w:spacing w:after="0"/>
              <w:rPr>
                <w:sz w:val="20"/>
                <w:szCs w:val="20"/>
                <w:color w:val="auto"/>
              </w:rPr>
            </w:pPr>
            <w:r>
              <w:rPr>
                <w:rFonts w:ascii="Arial" w:cs="Arial" w:eastAsia="Arial" w:hAnsi="Arial"/>
                <w:sz w:val="18"/>
                <w:szCs w:val="18"/>
                <w:color w:val="auto"/>
                <w:w w:val="90"/>
              </w:rPr>
              <w:t>4,312,500 shares</w:t>
            </w:r>
            <w:r>
              <w:rPr>
                <w:rFonts w:ascii="Arial" w:cs="Arial" w:eastAsia="Arial" w:hAnsi="Arial"/>
                <w:sz w:val="20"/>
                <w:szCs w:val="20"/>
                <w:color w:val="auto"/>
                <w:w w:val="90"/>
                <w:vertAlign w:val="superscript"/>
              </w:rPr>
              <w:t>(1)</w:t>
            </w:r>
          </w:p>
        </w:tc>
      </w:tr>
      <w:tr>
        <w:trPr>
          <w:trHeight w:val="339"/>
        </w:trPr>
        <w:tc>
          <w:tcPr>
            <w:tcW w:w="2600" w:type="dxa"/>
            <w:vAlign w:val="bottom"/>
          </w:tcPr>
          <w:p>
            <w:pPr>
              <w:spacing w:after="0"/>
              <w:rPr>
                <w:sz w:val="20"/>
                <w:szCs w:val="20"/>
                <w:color w:val="auto"/>
              </w:rPr>
            </w:pPr>
            <w:r>
              <w:rPr>
                <w:rFonts w:ascii="Arial" w:cs="Arial" w:eastAsia="Arial" w:hAnsi="Arial"/>
                <w:sz w:val="18"/>
                <w:szCs w:val="18"/>
                <w:b w:val="1"/>
                <w:bCs w:val="1"/>
                <w:color w:val="auto"/>
              </w:rPr>
              <w:t>Number to be issued and</w:t>
            </w:r>
          </w:p>
        </w:tc>
        <w:tc>
          <w:tcPr>
            <w:tcW w:w="1540" w:type="dxa"/>
            <w:vAlign w:val="bottom"/>
          </w:tcPr>
          <w:p>
            <w:pPr>
              <w:spacing w:after="0"/>
              <w:rPr>
                <w:sz w:val="24"/>
                <w:szCs w:val="24"/>
                <w:color w:val="auto"/>
              </w:rPr>
            </w:pPr>
          </w:p>
        </w:tc>
      </w:tr>
      <w:tr>
        <w:trPr>
          <w:trHeight w:val="282"/>
        </w:trPr>
        <w:tc>
          <w:tcPr>
            <w:tcW w:w="2600" w:type="dxa"/>
            <w:vAlign w:val="bottom"/>
          </w:tcPr>
          <w:p>
            <w:pPr>
              <w:ind w:left="180"/>
              <w:spacing w:after="0"/>
              <w:rPr>
                <w:sz w:val="20"/>
                <w:szCs w:val="20"/>
                <w:color w:val="auto"/>
              </w:rPr>
            </w:pPr>
            <w:r>
              <w:rPr>
                <w:rFonts w:ascii="Arial" w:cs="Arial" w:eastAsia="Arial" w:hAnsi="Arial"/>
                <w:sz w:val="18"/>
                <w:szCs w:val="18"/>
                <w:b w:val="1"/>
                <w:bCs w:val="1"/>
                <w:color w:val="auto"/>
                <w:w w:val="93"/>
              </w:rPr>
              <w:t>outstanding after this offering</w:t>
            </w:r>
          </w:p>
        </w:tc>
        <w:tc>
          <w:tcPr>
            <w:tcW w:w="1540" w:type="dxa"/>
            <w:vAlign w:val="bottom"/>
          </w:tcPr>
          <w:p>
            <w:pPr>
              <w:ind w:left="120"/>
              <w:spacing w:after="0"/>
              <w:rPr>
                <w:sz w:val="20"/>
                <w:szCs w:val="20"/>
                <w:color w:val="auto"/>
              </w:rPr>
            </w:pPr>
            <w:r>
              <w:rPr>
                <w:rFonts w:ascii="Arial" w:cs="Arial" w:eastAsia="Arial" w:hAnsi="Arial"/>
                <w:sz w:val="18"/>
                <w:szCs w:val="18"/>
                <w:color w:val="auto"/>
                <w:w w:val="84"/>
              </w:rPr>
              <w:t>18,750,000 shares</w:t>
            </w:r>
            <w:r>
              <w:rPr>
                <w:rFonts w:ascii="Arial" w:cs="Arial" w:eastAsia="Arial" w:hAnsi="Arial"/>
                <w:sz w:val="20"/>
                <w:szCs w:val="20"/>
                <w:color w:val="auto"/>
                <w:w w:val="84"/>
                <w:vertAlign w:val="superscript"/>
              </w:rPr>
              <w:t>(2)</w:t>
            </w:r>
          </w:p>
        </w:tc>
      </w:tr>
    </w:tbl>
    <w:p>
      <w:pPr>
        <w:spacing w:after="0" w:line="200" w:lineRule="exact"/>
        <w:rPr>
          <w:sz w:val="20"/>
          <w:szCs w:val="20"/>
          <w:color w:val="auto"/>
        </w:rPr>
      </w:pPr>
    </w:p>
    <w:p>
      <w:pPr>
        <w:sectPr>
          <w:pgSz w:w="11900" w:h="16838" w:orient="portrait"/>
          <w:cols w:equalWidth="0" w:num="1">
            <w:col w:w="9019"/>
          </w:cols>
          <w:pgMar w:left="1440" w:top="274" w:right="1440" w:bottom="474" w:gutter="0" w:footer="0" w:header="0"/>
          <w:type w:val="continuous"/>
        </w:sect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474" w:gutter="0" w:footer="0" w:header="0"/>
          <w:type w:val="continuous"/>
        </w:sectPr>
      </w:pPr>
    </w:p>
    <w:bookmarkStart w:id="14" w:name="page15"/>
    <w:bookmarkEnd w:id="14"/>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0906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7310" cy="9090660"/>
                    </a:xfrm>
                    <a:prstGeom prst="rect">
                      <a:avLst/>
                    </a:prstGeom>
                    <a:noFill/>
                  </pic:spPr>
                </pic:pic>
              </a:graphicData>
            </a:graphic>
          </wp:anchor>
        </w:drawing>
      </w:r>
    </w:p>
    <w:p>
      <w:pPr>
        <w:sectPr>
          <w:pgSz w:w="11900" w:h="16838" w:orient="portrait"/>
          <w:cols w:equalWidth="0" w:num="1">
            <w:col w:w="9019"/>
          </w:cols>
          <w:pgMar w:left="1440" w:top="274" w:right="1440" w:bottom="1114" w:gutter="0" w:footer="0" w:header="0"/>
        </w:sectPr>
      </w:pPr>
    </w:p>
    <w:p>
      <w:pPr>
        <w:spacing w:after="0" w:line="200" w:lineRule="exact"/>
        <w:rPr>
          <w:sz w:val="20"/>
          <w:szCs w:val="20"/>
          <w:color w:val="auto"/>
        </w:rPr>
      </w:pPr>
    </w:p>
    <w:p>
      <w:pPr>
        <w:spacing w:after="0" w:line="341"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Rights:</w:t>
            </w:r>
          </w:p>
        </w:tc>
        <w:tc>
          <w:tcPr>
            <w:tcW w:w="1040" w:type="dxa"/>
            <w:vAlign w:val="bottom"/>
          </w:tcPr>
          <w:p>
            <w:pPr>
              <w:spacing w:after="0"/>
              <w:rPr>
                <w:sz w:val="20"/>
                <w:szCs w:val="20"/>
                <w:color w:val="auto"/>
              </w:rPr>
            </w:pPr>
          </w:p>
        </w:tc>
      </w:tr>
      <w:tr>
        <w:trPr>
          <w:trHeight w:val="387"/>
        </w:trPr>
        <w:tc>
          <w:tcPr>
            <w:tcW w:w="2600" w:type="dxa"/>
            <w:vAlign w:val="bottom"/>
          </w:tcPr>
          <w:p>
            <w:pPr>
              <w:spacing w:after="0"/>
              <w:rPr>
                <w:sz w:val="20"/>
                <w:szCs w:val="20"/>
                <w:color w:val="auto"/>
              </w:rPr>
            </w:pPr>
            <w:r>
              <w:rPr>
                <w:rFonts w:ascii="Arial" w:cs="Arial" w:eastAsia="Arial" w:hAnsi="Arial"/>
                <w:sz w:val="18"/>
                <w:szCs w:val="18"/>
                <w:b w:val="1"/>
                <w:bCs w:val="1"/>
                <w:color w:val="auto"/>
                <w:w w:val="93"/>
              </w:rPr>
              <w:t>Number issued and outstanding</w:t>
            </w:r>
          </w:p>
        </w:tc>
        <w:tc>
          <w:tcPr>
            <w:tcW w:w="1040" w:type="dxa"/>
            <w:vAlign w:val="bottom"/>
          </w:tcPr>
          <w:p>
            <w:pPr>
              <w:spacing w:after="0"/>
              <w:rPr>
                <w:sz w:val="24"/>
                <w:szCs w:val="24"/>
                <w:color w:val="auto"/>
              </w:rPr>
            </w:pPr>
          </w:p>
        </w:tc>
      </w:tr>
      <w:tr>
        <w:trPr>
          <w:trHeight w:val="248"/>
        </w:trPr>
        <w:tc>
          <w:tcPr>
            <w:tcW w:w="2600" w:type="dxa"/>
            <w:vAlign w:val="bottom"/>
          </w:tcPr>
          <w:p>
            <w:pPr>
              <w:ind w:left="180"/>
              <w:spacing w:after="0"/>
              <w:rPr>
                <w:sz w:val="20"/>
                <w:szCs w:val="20"/>
                <w:color w:val="auto"/>
              </w:rPr>
            </w:pPr>
            <w:r>
              <w:rPr>
                <w:rFonts w:ascii="Arial" w:cs="Arial" w:eastAsia="Arial" w:hAnsi="Arial"/>
                <w:sz w:val="18"/>
                <w:szCs w:val="18"/>
                <w:b w:val="1"/>
                <w:bCs w:val="1"/>
                <w:color w:val="auto"/>
              </w:rPr>
              <w:t>before this offering</w:t>
            </w:r>
          </w:p>
        </w:tc>
        <w:tc>
          <w:tcPr>
            <w:tcW w:w="1040" w:type="dxa"/>
            <w:vAlign w:val="bottom"/>
          </w:tcPr>
          <w:p>
            <w:pPr>
              <w:ind w:left="120"/>
              <w:spacing w:after="0"/>
              <w:rPr>
                <w:sz w:val="20"/>
                <w:szCs w:val="20"/>
                <w:color w:val="auto"/>
              </w:rPr>
            </w:pPr>
            <w:r>
              <w:rPr>
                <w:rFonts w:ascii="Arial" w:cs="Arial" w:eastAsia="Arial" w:hAnsi="Arial"/>
                <w:sz w:val="18"/>
                <w:szCs w:val="18"/>
                <w:color w:val="auto"/>
              </w:rPr>
              <w:t>0 rights</w:t>
            </w:r>
          </w:p>
        </w:tc>
      </w:tr>
      <w:tr>
        <w:trPr>
          <w:trHeight w:val="400"/>
        </w:trPr>
        <w:tc>
          <w:tcPr>
            <w:tcW w:w="2600" w:type="dxa"/>
            <w:vAlign w:val="bottom"/>
          </w:tcPr>
          <w:p>
            <w:pPr>
              <w:spacing w:after="0"/>
              <w:rPr>
                <w:sz w:val="20"/>
                <w:szCs w:val="20"/>
                <w:color w:val="auto"/>
              </w:rPr>
            </w:pPr>
            <w:r>
              <w:rPr>
                <w:rFonts w:ascii="Arial" w:cs="Arial" w:eastAsia="Arial" w:hAnsi="Arial"/>
                <w:sz w:val="18"/>
                <w:szCs w:val="18"/>
                <w:b w:val="1"/>
                <w:bCs w:val="1"/>
                <w:color w:val="auto"/>
              </w:rPr>
              <w:t>Number to be issued and</w:t>
            </w:r>
          </w:p>
        </w:tc>
        <w:tc>
          <w:tcPr>
            <w:tcW w:w="1040" w:type="dxa"/>
            <w:vAlign w:val="bottom"/>
          </w:tcPr>
          <w:p>
            <w:pPr>
              <w:spacing w:after="0"/>
              <w:rPr>
                <w:sz w:val="24"/>
                <w:szCs w:val="24"/>
                <w:color w:val="auto"/>
              </w:rPr>
            </w:pPr>
          </w:p>
        </w:tc>
      </w:tr>
      <w:tr>
        <w:trPr>
          <w:trHeight w:val="282"/>
        </w:trPr>
        <w:tc>
          <w:tcPr>
            <w:tcW w:w="2600" w:type="dxa"/>
            <w:vAlign w:val="bottom"/>
          </w:tcPr>
          <w:p>
            <w:pPr>
              <w:ind w:left="180"/>
              <w:spacing w:after="0"/>
              <w:rPr>
                <w:sz w:val="20"/>
                <w:szCs w:val="20"/>
                <w:color w:val="auto"/>
              </w:rPr>
            </w:pPr>
            <w:r>
              <w:rPr>
                <w:rFonts w:ascii="Arial" w:cs="Arial" w:eastAsia="Arial" w:hAnsi="Arial"/>
                <w:sz w:val="18"/>
                <w:szCs w:val="18"/>
                <w:b w:val="1"/>
                <w:bCs w:val="1"/>
                <w:color w:val="auto"/>
                <w:w w:val="93"/>
              </w:rPr>
              <w:t>outstanding after this offering</w:t>
            </w:r>
          </w:p>
        </w:tc>
        <w:tc>
          <w:tcPr>
            <w:tcW w:w="1040" w:type="dxa"/>
            <w:vAlign w:val="bottom"/>
          </w:tcPr>
          <w:p>
            <w:pPr>
              <w:ind w:left="120"/>
              <w:spacing w:after="0"/>
              <w:rPr>
                <w:sz w:val="20"/>
                <w:szCs w:val="20"/>
                <w:color w:val="auto"/>
              </w:rPr>
            </w:pPr>
            <w:r>
              <w:rPr>
                <w:rFonts w:ascii="Arial" w:cs="Arial" w:eastAsia="Arial" w:hAnsi="Arial"/>
                <w:sz w:val="18"/>
                <w:szCs w:val="18"/>
                <w:color w:val="auto"/>
                <w:w w:val="84"/>
              </w:rPr>
              <w:t>15,000,000</w:t>
            </w:r>
            <w:r>
              <w:rPr>
                <w:rFonts w:ascii="Arial" w:cs="Arial" w:eastAsia="Arial" w:hAnsi="Arial"/>
                <w:sz w:val="20"/>
                <w:szCs w:val="20"/>
                <w:color w:val="auto"/>
                <w:w w:val="84"/>
                <w:vertAlign w:val="superscript"/>
              </w:rPr>
              <w:t>(3)</w:t>
            </w:r>
          </w:p>
        </w:tc>
      </w:tr>
      <w:tr>
        <w:trPr>
          <w:trHeight w:val="357"/>
        </w:trPr>
        <w:tc>
          <w:tcPr>
            <w:tcW w:w="2600" w:type="dxa"/>
            <w:vAlign w:val="bottom"/>
          </w:tcPr>
          <w:p>
            <w:pPr>
              <w:spacing w:after="0"/>
              <w:rPr>
                <w:sz w:val="20"/>
                <w:szCs w:val="20"/>
                <w:color w:val="auto"/>
              </w:rPr>
            </w:pPr>
            <w:r>
              <w:rPr>
                <w:rFonts w:ascii="Arial" w:cs="Arial" w:eastAsia="Arial" w:hAnsi="Arial"/>
                <w:sz w:val="18"/>
                <w:szCs w:val="18"/>
                <w:b w:val="1"/>
                <w:bCs w:val="1"/>
                <w:color w:val="auto"/>
              </w:rPr>
              <w:t>Redeemable Warrants:</w:t>
            </w:r>
          </w:p>
        </w:tc>
        <w:tc>
          <w:tcPr>
            <w:tcW w:w="1040" w:type="dxa"/>
            <w:vAlign w:val="bottom"/>
          </w:tcPr>
          <w:p>
            <w:pPr>
              <w:spacing w:after="0"/>
              <w:rPr>
                <w:sz w:val="24"/>
                <w:szCs w:val="24"/>
                <w:color w:val="auto"/>
              </w:rPr>
            </w:pPr>
          </w:p>
        </w:tc>
      </w:tr>
    </w:tbl>
    <w:p>
      <w:pPr>
        <w:spacing w:after="0" w:line="171" w:lineRule="exact"/>
        <w:rPr>
          <w:sz w:val="20"/>
          <w:szCs w:val="20"/>
          <w:color w:val="auto"/>
        </w:rPr>
      </w:pPr>
    </w:p>
    <w:p>
      <w:pPr>
        <w:sectPr>
          <w:pgSz w:w="11900" w:h="16838" w:orient="portrait"/>
          <w:cols w:equalWidth="0" w:num="1">
            <w:col w:w="9019"/>
          </w:cols>
          <w:pgMar w:left="1440" w:top="274" w:right="1440" w:bottom="1114" w:gutter="0" w:footer="0" w:header="0"/>
          <w:type w:val="continuous"/>
        </w:sectPr>
      </w:pPr>
    </w:p>
    <w:p>
      <w:pPr>
        <w:ind w:left="720" w:right="40" w:hanging="179"/>
        <w:spacing w:after="0" w:line="386" w:lineRule="auto"/>
        <w:rPr>
          <w:sz w:val="20"/>
          <w:szCs w:val="20"/>
          <w:color w:val="auto"/>
        </w:rPr>
      </w:pPr>
      <w:r>
        <w:rPr>
          <w:rFonts w:ascii="Arial" w:cs="Arial" w:eastAsia="Arial" w:hAnsi="Arial"/>
          <w:sz w:val="15"/>
          <w:szCs w:val="15"/>
          <w:b w:val="1"/>
          <w:bCs w:val="1"/>
          <w:color w:val="auto"/>
        </w:rPr>
        <w:t>Number issued and outstanding before this offering</w:t>
      </w:r>
    </w:p>
    <w:p>
      <w:pPr>
        <w:spacing w:after="0" w:line="66" w:lineRule="exact"/>
        <w:rPr>
          <w:sz w:val="20"/>
          <w:szCs w:val="20"/>
          <w:color w:val="auto"/>
        </w:rPr>
      </w:pPr>
    </w:p>
    <w:p>
      <w:pPr>
        <w:ind w:left="720" w:hanging="179"/>
        <w:spacing w:after="0" w:line="314" w:lineRule="auto"/>
        <w:rPr>
          <w:sz w:val="20"/>
          <w:szCs w:val="20"/>
          <w:color w:val="auto"/>
        </w:rPr>
      </w:pPr>
      <w:r>
        <w:rPr>
          <w:rFonts w:ascii="Arial" w:cs="Arial" w:eastAsia="Arial" w:hAnsi="Arial"/>
          <w:sz w:val="16"/>
          <w:szCs w:val="16"/>
          <w:b w:val="1"/>
          <w:bCs w:val="1"/>
          <w:color w:val="auto"/>
        </w:rPr>
        <w:t>Number to be issued and outstanding after this offering and sale of private warrants</w:t>
      </w:r>
    </w:p>
    <w:p>
      <w:pPr>
        <w:spacing w:after="0" w:line="11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Exercisability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0 warrants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15,000,000 public warrants and 6,000,000 private warrants</w:t>
      </w:r>
      <w:r>
        <w:rPr>
          <w:rFonts w:ascii="Arial" w:cs="Arial" w:eastAsia="Arial" w:hAnsi="Arial"/>
          <w:sz w:val="20"/>
          <w:szCs w:val="20"/>
          <w:color w:val="auto"/>
          <w:vertAlign w:val="superscript"/>
        </w:rPr>
        <w:t>(4)</w:t>
      </w:r>
    </w:p>
    <w:p>
      <w:pPr>
        <w:spacing w:after="0" w:line="175" w:lineRule="exact"/>
        <w:rPr>
          <w:sz w:val="20"/>
          <w:szCs w:val="20"/>
          <w:color w:val="auto"/>
        </w:rPr>
      </w:pPr>
    </w:p>
    <w:p>
      <w:pPr>
        <w:jc w:val="both"/>
        <w:ind w:right="579"/>
        <w:spacing w:after="0" w:line="296" w:lineRule="auto"/>
        <w:rPr>
          <w:sz w:val="20"/>
          <w:szCs w:val="20"/>
          <w:color w:val="auto"/>
        </w:rPr>
      </w:pPr>
      <w:r>
        <w:rPr>
          <w:rFonts w:ascii="Arial" w:cs="Arial" w:eastAsia="Arial" w:hAnsi="Arial"/>
          <w:sz w:val="16"/>
          <w:szCs w:val="16"/>
          <w:color w:val="auto"/>
        </w:rPr>
        <w:t>Each redeemable public warrant entitles the holder thereof to purchase one-half of one share of common stock. We will not issue fractional shares. As a result, you must have two warrants to receive a share of common stock when exercising your warrants. Each private warrant entitles the holder thereof to purchase one share of common stock.</w:t>
      </w:r>
    </w:p>
    <w:p>
      <w:pPr>
        <w:spacing w:after="0" w:line="130" w:lineRule="exact"/>
        <w:rPr>
          <w:sz w:val="20"/>
          <w:szCs w:val="20"/>
          <w:color w:val="auto"/>
        </w:rPr>
      </w:pPr>
    </w:p>
    <w:p>
      <w:pPr>
        <w:sectPr>
          <w:pgSz w:w="11900" w:h="16838" w:orient="portrait"/>
          <w:cols w:equalWidth="0" w:num="2">
            <w:col w:w="3020" w:space="240"/>
            <w:col w:w="5759"/>
          </w:cols>
          <w:pgMar w:left="1440" w:top="274" w:right="1440" w:bottom="1114" w:gutter="0" w:footer="0" w:header="0"/>
          <w:type w:val="continuous"/>
        </w:sectPr>
      </w:pPr>
    </w:p>
    <w:p>
      <w:pPr>
        <w:ind w:left="540"/>
        <w:spacing w:after="0"/>
        <w:tabs>
          <w:tab w:leader="none" w:pos="3240" w:val="left"/>
        </w:tabs>
        <w:rPr>
          <w:sz w:val="20"/>
          <w:szCs w:val="20"/>
          <w:color w:val="auto"/>
        </w:rPr>
      </w:pPr>
      <w:r>
        <w:rPr>
          <w:rFonts w:ascii="Arial" w:cs="Arial" w:eastAsia="Arial" w:hAnsi="Arial"/>
          <w:sz w:val="18"/>
          <w:szCs w:val="18"/>
          <w:b w:val="1"/>
          <w:bCs w:val="1"/>
          <w:color w:val="auto"/>
        </w:rPr>
        <w:t>Exercise price</w:t>
      </w:r>
      <w:r>
        <w:rPr>
          <w:sz w:val="20"/>
          <w:szCs w:val="20"/>
          <w:color w:val="auto"/>
        </w:rPr>
        <w:tab/>
      </w:r>
      <w:r>
        <w:rPr>
          <w:rFonts w:ascii="Arial" w:cs="Arial" w:eastAsia="Arial" w:hAnsi="Arial"/>
          <w:sz w:val="16"/>
          <w:szCs w:val="16"/>
          <w:color w:val="auto"/>
        </w:rPr>
        <w:t>$11.50 per whole share, subject to adjustment as described herein. If we</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issue additional shares of common stock or equity-linked securities for</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capital raising purposes in connection with the closing of our initial</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business combination at an issue price or effective issue price of less</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than $9.20 per share of common stock (with such issue price or</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effective issue price to be determined in good faith by our board of</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directors  and,  in  the  case  of  any  such  issuance  to  our  initial</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stockholders or their affiliates, without taking into account any founder</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shares or private warrants held by them, as applicable, prior to such</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issuance) (the “newly issued price”), the exercise price of the warrants</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will be adjusted (to the nearest cent) to be equal to 115% of the newly</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issued price and the $16.50 per share redemption trigger price described</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below under “— Redemption (Warrants)” will be adjusted (to the</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nearest cent) to be equal to 165% of the market value (the volume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weighted average trading price of the common stock during the 20</w:t>
      </w:r>
    </w:p>
    <w:p>
      <w:pPr>
        <w:spacing w:after="0" w:line="21" w:lineRule="exact"/>
        <w:rPr>
          <w:sz w:val="20"/>
          <w:szCs w:val="20"/>
          <w:color w:val="auto"/>
        </w:rPr>
      </w:pPr>
    </w:p>
    <w:p>
      <w:pPr>
        <w:ind w:left="3260"/>
        <w:spacing w:after="0"/>
        <w:tabs>
          <w:tab w:leader="none" w:pos="3900" w:val="left"/>
          <w:tab w:leader="none" w:pos="4320" w:val="left"/>
          <w:tab w:leader="none" w:pos="4920" w:val="left"/>
          <w:tab w:leader="none" w:pos="5620" w:val="left"/>
          <w:tab w:leader="none" w:pos="5960" w:val="left"/>
          <w:tab w:leader="none" w:pos="6340" w:val="left"/>
          <w:tab w:leader="none" w:pos="7000" w:val="left"/>
          <w:tab w:leader="none" w:pos="7420" w:val="left"/>
          <w:tab w:leader="none" w:pos="7920" w:val="left"/>
          <w:tab w:leader="none" w:pos="8200" w:val="left"/>
        </w:tabs>
        <w:rPr>
          <w:sz w:val="20"/>
          <w:szCs w:val="20"/>
          <w:color w:val="auto"/>
        </w:rPr>
      </w:pPr>
      <w:r>
        <w:rPr>
          <w:rFonts w:ascii="Arial" w:cs="Arial" w:eastAsia="Arial" w:hAnsi="Arial"/>
          <w:sz w:val="18"/>
          <w:szCs w:val="18"/>
          <w:color w:val="auto"/>
        </w:rPr>
        <w:t>trading</w:t>
        <w:tab/>
        <w:t>day</w:t>
        <w:tab/>
        <w:t>period</w:t>
        <w:tab/>
        <w:t>starting</w:t>
        <w:tab/>
        <w:t>on</w:t>
        <w:tab/>
        <w:t>the</w:t>
        <w:tab/>
        <w:t>trading</w:t>
        <w:tab/>
        <w:t>day</w:t>
        <w:tab/>
        <w:t>prior</w:t>
        <w:tab/>
        <w:t>to</w:t>
      </w:r>
      <w:r>
        <w:rPr>
          <w:sz w:val="20"/>
          <w:szCs w:val="20"/>
          <w:color w:val="auto"/>
        </w:rPr>
        <w:tab/>
      </w:r>
      <w:r>
        <w:rPr>
          <w:rFonts w:ascii="Arial" w:cs="Arial" w:eastAsia="Arial" w:hAnsi="Arial"/>
          <w:sz w:val="15"/>
          <w:szCs w:val="15"/>
          <w:color w:val="auto"/>
        </w:rPr>
        <w:t>the</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consummation of an initial business combination).</w:t>
      </w:r>
    </w:p>
    <w:p>
      <w:pPr>
        <w:spacing w:after="0" w:line="103"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No public warrants will be exercisable for cash unless we have an</w:t>
      </w:r>
    </w:p>
    <w:p>
      <w:pPr>
        <w:spacing w:after="0" w:line="35"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effective and current registration statement covering the shares of</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common stock issuable upon exercise of the warrants and a current</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prospectus relating to such shares of common stock. It is our current</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intention  to  have  an  effective  and  current  registration  statement</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covering the shares of common stock issuable upon exercise of the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public warrants and a current prospectus relating to such shares of</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common stock in effect promptly following consummation of an initial</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business combination. Notwithstanding the foregoing, if a registration</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statement covering the shares of common stock issuable upon exercise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of the public warrants is not effective within 120 days following the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consummation of our initial business combination, public warrant</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holders may, until such</w:t>
      </w:r>
    </w:p>
    <w:p>
      <w:pPr>
        <w:spacing w:after="0" w:line="9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980" w:right="559" w:hanging="436"/>
        <w:spacing w:after="0" w:line="284" w:lineRule="auto"/>
        <w:tabs>
          <w:tab w:leader="none" w:pos="1018" w:val="left"/>
        </w:tabs>
        <w:numPr>
          <w:ilvl w:val="0"/>
          <w:numId w:val="7"/>
        </w:numPr>
        <w:rPr>
          <w:rFonts w:ascii="Arial" w:cs="Arial" w:eastAsia="Arial" w:hAnsi="Arial"/>
          <w:sz w:val="15"/>
          <w:szCs w:val="15"/>
          <w:color w:val="auto"/>
        </w:rPr>
      </w:pPr>
      <w:r>
        <w:rPr>
          <w:rFonts w:ascii="Arial" w:cs="Arial" w:eastAsia="Arial" w:hAnsi="Arial"/>
          <w:sz w:val="15"/>
          <w:szCs w:val="15"/>
          <w:color w:val="auto"/>
        </w:rPr>
        <w:t>This number includes an aggregate of up to 562,500 shares of common stock held by our initial stockholders that are subject to forfeiture if the over-allotment option is not fully exercised by the underwriters.</w:t>
      </w:r>
    </w:p>
    <w:p>
      <w:pPr>
        <w:jc w:val="both"/>
        <w:ind w:left="980" w:right="559" w:hanging="436"/>
        <w:spacing w:after="0" w:line="264" w:lineRule="auto"/>
        <w:tabs>
          <w:tab w:leader="none" w:pos="1032" w:val="left"/>
        </w:tabs>
        <w:numPr>
          <w:ilvl w:val="0"/>
          <w:numId w:val="7"/>
        </w:numPr>
        <w:rPr>
          <w:rFonts w:ascii="Arial" w:cs="Arial" w:eastAsia="Arial" w:hAnsi="Arial"/>
          <w:sz w:val="16"/>
          <w:szCs w:val="16"/>
          <w:color w:val="auto"/>
        </w:rPr>
      </w:pPr>
      <w:r>
        <w:rPr>
          <w:rFonts w:ascii="Arial" w:cs="Arial" w:eastAsia="Arial" w:hAnsi="Arial"/>
          <w:sz w:val="16"/>
          <w:szCs w:val="16"/>
          <w:color w:val="auto"/>
        </w:rPr>
        <w:t>Assumes the over-allotment option has not been exercised and an aggregate of 562,500 shares of common stock held by our initial stockholders have been forfeited. If the over-allotment option is exercised in full, there will be a total of 21,562,500 shares of common stock issued and outstanding.</w:t>
      </w:r>
    </w:p>
    <w:p>
      <w:pPr>
        <w:ind w:left="980" w:right="559" w:hanging="436"/>
        <w:spacing w:after="0" w:line="264" w:lineRule="auto"/>
        <w:tabs>
          <w:tab w:leader="none" w:pos="971" w:val="left"/>
        </w:tabs>
        <w:numPr>
          <w:ilvl w:val="0"/>
          <w:numId w:val="7"/>
        </w:numPr>
        <w:rPr>
          <w:rFonts w:ascii="Arial" w:cs="Arial" w:eastAsia="Arial" w:hAnsi="Arial"/>
          <w:sz w:val="16"/>
          <w:szCs w:val="16"/>
          <w:color w:val="auto"/>
        </w:rPr>
      </w:pPr>
      <w:r>
        <w:rPr>
          <w:rFonts w:ascii="Arial" w:cs="Arial" w:eastAsia="Arial" w:hAnsi="Arial"/>
          <w:sz w:val="16"/>
          <w:szCs w:val="16"/>
          <w:color w:val="auto"/>
        </w:rPr>
        <w:t>Assumes the over-allotment option has not been exercised. If the over-allotment option is exercised, there would be 17,250,000 rights outstanding.</w:t>
      </w:r>
    </w:p>
    <w:p>
      <w:pPr>
        <w:ind w:left="980" w:right="559" w:hanging="436"/>
        <w:spacing w:after="0" w:line="288" w:lineRule="auto"/>
        <w:tabs>
          <w:tab w:leader="none" w:pos="971" w:val="left"/>
        </w:tabs>
        <w:numPr>
          <w:ilvl w:val="0"/>
          <w:numId w:val="7"/>
        </w:numPr>
        <w:rPr>
          <w:rFonts w:ascii="Arial" w:cs="Arial" w:eastAsia="Arial" w:hAnsi="Arial"/>
          <w:sz w:val="16"/>
          <w:szCs w:val="16"/>
          <w:color w:val="auto"/>
        </w:rPr>
      </w:pPr>
      <w:r>
        <w:rPr>
          <w:rFonts w:ascii="Arial" w:cs="Arial" w:eastAsia="Arial" w:hAnsi="Arial"/>
          <w:sz w:val="16"/>
          <w:szCs w:val="16"/>
          <w:color w:val="auto"/>
        </w:rPr>
        <w:t>Assumes the over-allotment option has not been exercised. If the over-allotment option is exercised, there would be 17,250,000 public warrants outstanding and 6,675,000 private warrants outstanding.</w:t>
      </w:r>
    </w:p>
    <w:p>
      <w:pPr>
        <w:sectPr>
          <w:pgSz w:w="11900" w:h="16838" w:orient="portrait"/>
          <w:cols w:equalWidth="0" w:num="1">
            <w:col w:w="9019"/>
          </w:cols>
          <w:pgMar w:left="1440" w:top="274" w:right="1440" w:bottom="1114" w:gutter="0" w:footer="0" w:header="0"/>
          <w:type w:val="continuous"/>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114" w:gutter="0" w:footer="0" w:header="0"/>
          <w:type w:val="continuous"/>
        </w:sectPr>
      </w:pPr>
    </w:p>
    <w:bookmarkStart w:id="15" w:name="page16"/>
    <w:bookmarkEnd w:id="15"/>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9053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7310" cy="9905365"/>
                    </a:xfrm>
                    <a:prstGeom prst="rect">
                      <a:avLst/>
                    </a:prstGeom>
                    <a:noFill/>
                  </pic:spPr>
                </pic:pic>
              </a:graphicData>
            </a:graphic>
          </wp:anchor>
        </w:drawing>
      </w:r>
    </w:p>
    <w:p>
      <w:pPr>
        <w:sectPr>
          <w:pgSz w:w="11900" w:h="16838" w:orient="portrait"/>
          <w:cols w:equalWidth="0" w:num="1">
            <w:col w:w="9019"/>
          </w:cols>
          <w:pgMar w:left="1440" w:top="274" w:right="1440" w:bottom="0" w:gutter="0" w:footer="0" w:header="0"/>
        </w:sectPr>
      </w:pPr>
    </w:p>
    <w:p>
      <w:pPr>
        <w:spacing w:after="0" w:line="200" w:lineRule="exact"/>
        <w:rPr>
          <w:sz w:val="20"/>
          <w:szCs w:val="20"/>
          <w:color w:val="auto"/>
        </w:rPr>
      </w:pPr>
    </w:p>
    <w:p>
      <w:pPr>
        <w:spacing w:after="0" w:line="264"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time as there is an effective registration statement and during any period</w:t>
      </w:r>
    </w:p>
    <w:p>
      <w:pPr>
        <w:spacing w:after="0" w:line="23"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when  we  shall  have  failed  to  maintain  an  effective  registration</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5"/>
          <w:szCs w:val="15"/>
          <w:color w:val="auto"/>
        </w:rPr>
        <w:t>statement, exercise warrants on a cashless basis pursuant to an available</w:t>
      </w:r>
    </w:p>
    <w:p>
      <w:pPr>
        <w:spacing w:after="0" w:line="44"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exemption from registration under the Securities Act. In such event,</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each holder would pay the exercise price by surrendering the whole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warrants for that number of shares of common stock equal to the</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quotient obtained by dividing (x) the product of the number of shares of</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common stock underlying the warrants, multiplied by the difference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between the exercise price of the warrants and the “fair market value”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by (y) the fair market value. The “fair market value” shall mean the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average reported last sale price of the shares of common stock for the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10 trading days ending on the day prior to the date of exercise. For</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example, if a holder held 300 warrants to purchase 150 shares and the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fair market value on the date prior to exercise was $15.00, that holder</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would receive 35 shares without the payment of any additional cash</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consideration.</w:t>
      </w:r>
    </w:p>
    <w:p>
      <w:pPr>
        <w:spacing w:after="0" w:line="166" w:lineRule="exact"/>
        <w:rPr>
          <w:sz w:val="20"/>
          <w:szCs w:val="20"/>
          <w:color w:val="auto"/>
        </w:rPr>
      </w:pPr>
    </w:p>
    <w:p>
      <w:pPr>
        <w:ind w:left="540"/>
        <w:spacing w:after="0"/>
        <w:tabs>
          <w:tab w:leader="none" w:pos="3240" w:val="left"/>
        </w:tabs>
        <w:rPr>
          <w:sz w:val="20"/>
          <w:szCs w:val="20"/>
          <w:color w:val="auto"/>
        </w:rPr>
      </w:pPr>
      <w:r>
        <w:rPr>
          <w:rFonts w:ascii="Arial" w:cs="Arial" w:eastAsia="Arial" w:hAnsi="Arial"/>
          <w:sz w:val="18"/>
          <w:szCs w:val="18"/>
          <w:b w:val="1"/>
          <w:bCs w:val="1"/>
          <w:color w:val="auto"/>
        </w:rPr>
        <w:t>Exercise period</w:t>
      </w:r>
      <w:r>
        <w:rPr>
          <w:sz w:val="20"/>
          <w:szCs w:val="20"/>
          <w:color w:val="auto"/>
        </w:rPr>
        <w:tab/>
      </w:r>
      <w:r>
        <w:rPr>
          <w:rFonts w:ascii="Arial" w:cs="Arial" w:eastAsia="Arial" w:hAnsi="Arial"/>
          <w:sz w:val="16"/>
          <w:szCs w:val="16"/>
          <w:color w:val="auto"/>
        </w:rPr>
        <w:t>The warrants will become exercisable on the later of one year after the</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closing of this offering or the consummation of an initial business</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combination. The warrants will expire at 5:00 p.m., New York City</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time, on the fifth anniversary of our completion of an initial business</w:t>
      </w:r>
    </w:p>
    <w:p>
      <w:pPr>
        <w:spacing w:after="0" w:line="21" w:lineRule="exact"/>
        <w:rPr>
          <w:sz w:val="20"/>
          <w:szCs w:val="20"/>
          <w:color w:val="auto"/>
        </w:rPr>
      </w:pPr>
    </w:p>
    <w:p>
      <w:pPr>
        <w:ind w:left="3260"/>
        <w:spacing w:after="0"/>
        <w:tabs>
          <w:tab w:leader="none" w:pos="4320" w:val="left"/>
          <w:tab w:leader="none" w:pos="4620" w:val="left"/>
          <w:tab w:leader="none" w:pos="5220" w:val="left"/>
          <w:tab w:leader="none" w:pos="5740" w:val="left"/>
          <w:tab w:leader="none" w:pos="6740" w:val="left"/>
          <w:tab w:leader="none" w:pos="7160" w:val="left"/>
          <w:tab w:leader="none" w:pos="7820" w:val="left"/>
        </w:tabs>
        <w:rPr>
          <w:sz w:val="20"/>
          <w:szCs w:val="20"/>
          <w:color w:val="auto"/>
        </w:rPr>
      </w:pPr>
      <w:r>
        <w:rPr>
          <w:rFonts w:ascii="Arial" w:cs="Arial" w:eastAsia="Arial" w:hAnsi="Arial"/>
          <w:sz w:val="18"/>
          <w:szCs w:val="18"/>
          <w:color w:val="auto"/>
        </w:rPr>
        <w:t>combination,</w:t>
        <w:tab/>
        <w:t>or</w:t>
        <w:tab/>
        <w:t>earlier</w:t>
        <w:tab/>
        <w:t>upon</w:t>
        <w:tab/>
        <w:t>redemption.</w:t>
        <w:tab/>
        <w:t>The</w:t>
        <w:tab/>
        <w:t>private</w:t>
      </w:r>
      <w:r>
        <w:rPr>
          <w:sz w:val="20"/>
          <w:szCs w:val="20"/>
          <w:color w:val="auto"/>
        </w:rPr>
        <w:tab/>
      </w:r>
      <w:r>
        <w:rPr>
          <w:rFonts w:ascii="Arial" w:cs="Arial" w:eastAsia="Arial" w:hAnsi="Arial"/>
          <w:sz w:val="16"/>
          <w:szCs w:val="16"/>
          <w:color w:val="auto"/>
        </w:rPr>
        <w:t>warrants</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purchased by Chardan Investments will not be exercisable more than</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five years from the effective date of the registration statement, of which</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this prospectus forms a part, in accordance with FINRA Rule 5110(g)</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(8), as long as Chardan Capital Markets, LLC or any of its related</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persons beneficially own these private warrants.</w:t>
      </w:r>
    </w:p>
    <w:p>
      <w:pPr>
        <w:spacing w:after="0" w:line="180" w:lineRule="exact"/>
        <w:rPr>
          <w:sz w:val="20"/>
          <w:szCs w:val="20"/>
          <w:color w:val="auto"/>
        </w:rPr>
      </w:pPr>
    </w:p>
    <w:p>
      <w:pPr>
        <w:ind w:left="540"/>
        <w:spacing w:after="0"/>
        <w:tabs>
          <w:tab w:leader="none" w:pos="3240" w:val="left"/>
        </w:tabs>
        <w:rPr>
          <w:sz w:val="20"/>
          <w:szCs w:val="20"/>
          <w:color w:val="auto"/>
        </w:rPr>
      </w:pPr>
      <w:r>
        <w:rPr>
          <w:rFonts w:ascii="Arial" w:cs="Arial" w:eastAsia="Arial" w:hAnsi="Arial"/>
          <w:sz w:val="18"/>
          <w:szCs w:val="18"/>
          <w:b w:val="1"/>
          <w:bCs w:val="1"/>
          <w:color w:val="auto"/>
        </w:rPr>
        <w:t>Redemption (Warrants)</w:t>
      </w:r>
      <w:r>
        <w:rPr>
          <w:sz w:val="20"/>
          <w:szCs w:val="20"/>
          <w:color w:val="auto"/>
        </w:rPr>
        <w:tab/>
      </w:r>
      <w:r>
        <w:rPr>
          <w:rFonts w:ascii="Arial" w:cs="Arial" w:eastAsia="Arial" w:hAnsi="Arial"/>
          <w:sz w:val="17"/>
          <w:szCs w:val="17"/>
          <w:color w:val="auto"/>
        </w:rPr>
        <w:t>We  may  redeem  the  outstanding  warrants  (excluding  the  private</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warrants), in whole and not in part, at a price of $0.01 per warrant:</w:t>
      </w:r>
    </w:p>
    <w:p>
      <w:pPr>
        <w:spacing w:after="0" w:line="114"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  at any time while the warrants are exercisable,</w:t>
      </w:r>
    </w:p>
    <w:p>
      <w:pPr>
        <w:spacing w:after="0" w:line="117" w:lineRule="exact"/>
        <w:rPr>
          <w:sz w:val="20"/>
          <w:szCs w:val="20"/>
          <w:color w:val="auto"/>
        </w:rPr>
      </w:pPr>
    </w:p>
    <w:p>
      <w:pPr>
        <w:ind w:left="3480"/>
        <w:spacing w:after="0"/>
        <w:rPr>
          <w:sz w:val="20"/>
          <w:szCs w:val="20"/>
          <w:color w:val="auto"/>
        </w:rPr>
      </w:pPr>
      <w:r>
        <w:rPr>
          <w:rFonts w:ascii="Arial" w:cs="Arial" w:eastAsia="Arial" w:hAnsi="Arial"/>
          <w:sz w:val="17"/>
          <w:szCs w:val="17"/>
          <w:color w:val="auto"/>
        </w:rPr>
        <w:t>•  upon a minimum of 30 days’ prior written notice of redemption,</w:t>
      </w:r>
    </w:p>
    <w:p>
      <w:pPr>
        <w:spacing w:after="0" w:line="129" w:lineRule="exact"/>
        <w:rPr>
          <w:sz w:val="20"/>
          <w:szCs w:val="20"/>
          <w:color w:val="auto"/>
        </w:rPr>
      </w:pPr>
    </w:p>
    <w:p>
      <w:pPr>
        <w:ind w:left="3480"/>
        <w:spacing w:after="0"/>
        <w:tabs>
          <w:tab w:leader="none" w:pos="3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if, and only if, the last sales price of our common stock equals or</w:t>
      </w:r>
    </w:p>
    <w:p>
      <w:pPr>
        <w:spacing w:after="0" w:line="23"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exceeds $16.50 per share for any 20 trading days within a 30</w:t>
      </w:r>
    </w:p>
    <w:p>
      <w:pPr>
        <w:spacing w:after="0" w:line="21" w:lineRule="exact"/>
        <w:rPr>
          <w:sz w:val="20"/>
          <w:szCs w:val="20"/>
          <w:color w:val="auto"/>
        </w:rPr>
      </w:pPr>
    </w:p>
    <w:p>
      <w:pPr>
        <w:ind w:left="3680"/>
        <w:spacing w:after="0"/>
        <w:rPr>
          <w:sz w:val="20"/>
          <w:szCs w:val="20"/>
          <w:color w:val="auto"/>
        </w:rPr>
      </w:pPr>
      <w:r>
        <w:rPr>
          <w:rFonts w:ascii="Arial" w:cs="Arial" w:eastAsia="Arial" w:hAnsi="Arial"/>
          <w:sz w:val="16"/>
          <w:szCs w:val="16"/>
          <w:color w:val="auto"/>
        </w:rPr>
        <w:t>trading day period ending three business days before we send the</w:t>
      </w:r>
    </w:p>
    <w:p>
      <w:pPr>
        <w:spacing w:after="0" w:line="32"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notice of redemption, and</w:t>
      </w:r>
    </w:p>
    <w:p>
      <w:pPr>
        <w:spacing w:after="0" w:line="103" w:lineRule="exact"/>
        <w:rPr>
          <w:sz w:val="20"/>
          <w:szCs w:val="20"/>
          <w:color w:val="auto"/>
        </w:rPr>
      </w:pPr>
    </w:p>
    <w:p>
      <w:pPr>
        <w:ind w:left="3480"/>
        <w:spacing w:after="0"/>
        <w:tabs>
          <w:tab w:leader="none" w:pos="3700" w:val="left"/>
        </w:tabs>
        <w:rPr>
          <w:sz w:val="20"/>
          <w:szCs w:val="20"/>
          <w:color w:val="auto"/>
        </w:rPr>
      </w:pPr>
      <w:r>
        <w:rPr>
          <w:rFonts w:ascii="Arial" w:cs="Arial" w:eastAsia="Arial" w:hAnsi="Arial"/>
          <w:sz w:val="17"/>
          <w:szCs w:val="17"/>
          <w:color w:val="auto"/>
        </w:rPr>
        <w:t>•</w:t>
        <w:tab/>
        <w:t>if, and only if, there is a current registration statement in effect</w:t>
      </w:r>
    </w:p>
    <w:p>
      <w:pPr>
        <w:spacing w:after="0" w:line="35"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with respect to the shares of common stock underlying such</w:t>
      </w:r>
    </w:p>
    <w:p>
      <w:pPr>
        <w:spacing w:after="0" w:line="9"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warrants at the time of redemption and for the entire 30-day</w:t>
      </w:r>
    </w:p>
    <w:p>
      <w:pPr>
        <w:spacing w:after="0" w:line="9"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trading  period  referred  to  above  and  continuing  each  day</w:t>
      </w:r>
    </w:p>
    <w:p>
      <w:pPr>
        <w:spacing w:after="0" w:line="21"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thereafter until the date of redemption.</w:t>
      </w:r>
    </w:p>
    <w:p>
      <w:pPr>
        <w:spacing w:after="0" w:line="103"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If the foregoing conditions are satisfied and we issue a notice of</w:t>
      </w:r>
    </w:p>
    <w:p>
      <w:pPr>
        <w:spacing w:after="0" w:line="23"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redemption, each warrant holder can exercise his, her or its warrant</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prior to the scheduled redemption date. However, the price of our</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common stock may fall below the $16.50 trigger price, as well as the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$11.50 warrant exercise price, after the redemption notice is issued.</w:t>
      </w:r>
    </w:p>
    <w:p>
      <w:pPr>
        <w:spacing w:after="0" w:line="114"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The redemption criteria for our warrants have been established at a</w:t>
      </w:r>
    </w:p>
    <w:p>
      <w:pPr>
        <w:spacing w:after="0" w:line="35"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price which is intended to provide warrant holders a reasonable</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premium to the initial exercise price and provide a sufficient differential</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between the then-prevailing share price and the warrant exercise price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so that if the share price declines as a result of our redemption call, the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redemption will not cause the share price to drop below the exercise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price of the warrants.</w:t>
      </w:r>
    </w:p>
    <w:p>
      <w:pPr>
        <w:spacing w:after="0" w:line="103"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If  we  call  the  warrants  for  redemption  as  described  above,  our</w:t>
      </w:r>
    </w:p>
    <w:p>
      <w:pPr>
        <w:spacing w:after="0" w:line="35"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management will have the option to require all holders that wish to</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exercise warrants to do so on a “cashless basis.” In such event, each</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holder would pay the exercise price by surrendering the whole warrants</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for that number of shares of common stock equal to the quotient</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obtained by dividing (x) the product of the number of shares of</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common stock underlying the warrants, multiplied by the difference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between the exercise price of the warrants and the “fair market value”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by (y) the fair market value. The “fair market value” shall mean the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average reported last sale price of the shares of common stock for the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10 trading days ending on the third trading day prior to the date on</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which</w:t>
      </w:r>
    </w:p>
    <w:p>
      <w:pPr>
        <w:sectPr>
          <w:pgSz w:w="11900" w:h="16838" w:orient="portrait"/>
          <w:cols w:equalWidth="0" w:num="1">
            <w:col w:w="9019"/>
          </w:cols>
          <w:pgMar w:left="1440" w:top="274"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0" w:gutter="0" w:footer="0" w:header="0"/>
          <w:type w:val="continuous"/>
        </w:sectPr>
      </w:pPr>
    </w:p>
    <w:bookmarkStart w:id="16" w:name="page17"/>
    <w:bookmarkEnd w:id="16"/>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8367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7310" cy="9836785"/>
                    </a:xfrm>
                    <a:prstGeom prst="rect">
                      <a:avLst/>
                    </a:prstGeom>
                    <a:noFill/>
                  </pic:spPr>
                </pic:pic>
              </a:graphicData>
            </a:graphic>
          </wp:anchor>
        </w:drawing>
      </w:r>
    </w:p>
    <w:p>
      <w:pPr>
        <w:sectPr>
          <w:pgSz w:w="11900" w:h="16838" w:orient="portrait"/>
          <w:cols w:equalWidth="0" w:num="1">
            <w:col w:w="9019"/>
          </w:cols>
          <w:pgMar w:left="1440" w:top="27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Terms of the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20" w:hanging="179"/>
        <w:spacing w:after="0" w:line="282" w:lineRule="auto"/>
        <w:rPr>
          <w:sz w:val="20"/>
          <w:szCs w:val="20"/>
          <w:color w:val="auto"/>
        </w:rPr>
      </w:pPr>
      <w:r>
        <w:rPr>
          <w:rFonts w:ascii="Arial" w:cs="Arial" w:eastAsia="Arial" w:hAnsi="Arial"/>
          <w:sz w:val="18"/>
          <w:szCs w:val="18"/>
          <w:b w:val="1"/>
          <w:bCs w:val="1"/>
          <w:color w:val="auto"/>
        </w:rPr>
        <w:t>Offering proceeds to be held in trust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both"/>
        <w:ind w:right="559"/>
        <w:spacing w:after="0" w:line="273" w:lineRule="auto"/>
        <w:rPr>
          <w:sz w:val="20"/>
          <w:szCs w:val="20"/>
          <w:color w:val="auto"/>
        </w:rPr>
      </w:pPr>
      <w:r>
        <w:rPr>
          <w:rFonts w:ascii="Arial" w:cs="Arial" w:eastAsia="Arial" w:hAnsi="Arial"/>
          <w:sz w:val="17"/>
          <w:szCs w:val="17"/>
          <w:color w:val="auto"/>
        </w:rPr>
        <w:t>the notice of redemption is sent to the holders of warrants. Whether we will exercise our option to require all holders to exercise their warrants on a “cashless basis” will depend on a variety of factors including the price of our shares of common stock at the time the warrants are called for redemption, our cash needs at such time and concerns regarding dilutive share issuances.</w:t>
      </w:r>
    </w:p>
    <w:p>
      <w:pPr>
        <w:spacing w:after="0" w:line="137" w:lineRule="exact"/>
        <w:rPr>
          <w:sz w:val="20"/>
          <w:szCs w:val="20"/>
          <w:color w:val="auto"/>
        </w:rPr>
      </w:pPr>
    </w:p>
    <w:p>
      <w:pPr>
        <w:jc w:val="both"/>
        <w:ind w:right="559"/>
        <w:spacing w:after="0" w:line="268" w:lineRule="auto"/>
        <w:rPr>
          <w:sz w:val="20"/>
          <w:szCs w:val="20"/>
          <w:color w:val="auto"/>
        </w:rPr>
      </w:pPr>
      <w:r>
        <w:rPr>
          <w:rFonts w:ascii="Arial" w:cs="Arial" w:eastAsia="Arial" w:hAnsi="Arial"/>
          <w:sz w:val="17"/>
          <w:szCs w:val="17"/>
          <w:color w:val="auto"/>
        </w:rPr>
        <w:t>Each holder of a right will receive one-twentieth (1/20) of a share of common stock upon consummation of our initial business combination. In the event we will not be the survivor upon completion of our initial business combination, each holder of a right will be required to affirmatively convert his, her or its rights in order to receive the one-twentieth (1/20) share underlying each right (without paying any additional consideration) upon consummation of the business combination. If we are unable to complete an initial business combination within the required time period and we liquidate the funds held in the trust account, holders of rights will not receive any of such funds for their rights, and the rights will expire worthless. No fractional shares will be issued upon conversion of any rights. As a result, you must have 20 rights to receive a share of common stock at the closing of the initial business combination.</w:t>
      </w:r>
    </w:p>
    <w:p>
      <w:pPr>
        <w:spacing w:after="0" w:line="373" w:lineRule="exact"/>
        <w:rPr>
          <w:sz w:val="20"/>
          <w:szCs w:val="20"/>
          <w:color w:val="auto"/>
        </w:rPr>
      </w:pPr>
    </w:p>
    <w:p>
      <w:pPr>
        <w:jc w:val="both"/>
        <w:ind w:right="559"/>
        <w:spacing w:after="0" w:line="286" w:lineRule="auto"/>
        <w:rPr>
          <w:sz w:val="20"/>
          <w:szCs w:val="20"/>
          <w:color w:val="auto"/>
        </w:rPr>
      </w:pPr>
      <w:r>
        <w:rPr>
          <w:rFonts w:ascii="Arial" w:cs="Arial" w:eastAsia="Arial" w:hAnsi="Arial"/>
          <w:sz w:val="16"/>
          <w:szCs w:val="16"/>
          <w:color w:val="auto"/>
        </w:rPr>
        <w:t>$151,500,000 of the net proceeds of this offering (or $174,225,000 if the over-allotment option is exercised in full), including $6,000,000 we will receive from the sale of the private warrants (or $6,675,000 if the over-allotment option is exercised in full), or $10.10 per unit sold to the public in this offering (regardless of whether or not the over-allotment option is exercised in full or part) will be placed in a trust account at Morgan Stanley, maintained by Continental Stock Transfer &amp; Trust Company, acting as trustee pursuant to an agreement to be signed on the date of this prospectus. Of the $6,000,000 (or $6,675,000 if the over-allotment option is exercised in full) we will receive from the sale of the private warrants, $3,500,000 (or $3,950,000 if the over-allotment option is exercised in full) will be used for offering expenses and $1,000,000 will be used for working capital.</w:t>
      </w:r>
    </w:p>
    <w:p>
      <w:pPr>
        <w:spacing w:after="0" w:line="147" w:lineRule="exact"/>
        <w:rPr>
          <w:sz w:val="20"/>
          <w:szCs w:val="20"/>
          <w:color w:val="auto"/>
        </w:rPr>
      </w:pPr>
    </w:p>
    <w:p>
      <w:pPr>
        <w:jc w:val="both"/>
        <w:ind w:right="559"/>
        <w:spacing w:after="0" w:line="288" w:lineRule="auto"/>
        <w:rPr>
          <w:sz w:val="20"/>
          <w:szCs w:val="20"/>
          <w:color w:val="auto"/>
        </w:rPr>
      </w:pPr>
      <w:r>
        <w:rPr>
          <w:rFonts w:ascii="Arial" w:cs="Arial" w:eastAsia="Arial" w:hAnsi="Arial"/>
          <w:sz w:val="16"/>
          <w:szCs w:val="16"/>
          <w:color w:val="auto"/>
        </w:rPr>
        <w:t>Except as set forth below, the proceeds in the trust account will not be released until the earlier of: (1) the completion of an initial business combination within the required time period and (2) our redemption of 100% of the outstanding public shares if we have not completed a business combination in the required time period. Therefore, unless and until our initial business combination is consummated, the proceeds held in the trust account will not be available for our use for any expenses related to this offering or expenses which we may incur related to the investigation and selection of a target business and the negotiation of an agreement to acquire a target business.</w:t>
      </w:r>
    </w:p>
    <w:p>
      <w:pPr>
        <w:spacing w:after="0" w:line="141" w:lineRule="exact"/>
        <w:rPr>
          <w:sz w:val="20"/>
          <w:szCs w:val="20"/>
          <w:color w:val="auto"/>
        </w:rPr>
      </w:pPr>
    </w:p>
    <w:p>
      <w:pPr>
        <w:jc w:val="both"/>
        <w:ind w:right="559"/>
        <w:spacing w:after="0" w:line="284" w:lineRule="auto"/>
        <w:rPr>
          <w:sz w:val="20"/>
          <w:szCs w:val="20"/>
          <w:color w:val="auto"/>
        </w:rPr>
      </w:pPr>
      <w:r>
        <w:rPr>
          <w:rFonts w:ascii="Arial" w:cs="Arial" w:eastAsia="Arial" w:hAnsi="Arial"/>
          <w:sz w:val="16"/>
          <w:szCs w:val="16"/>
          <w:color w:val="auto"/>
        </w:rPr>
        <w:t>Notwithstanding the foregoing, there can be released to us, from time to time, any interest earned on the funds in the trust account that we may need to pay our tax obligations. With this exception, expenses incurred by us may be paid prior to a business combination only from the net proceeds of this offering not held in the trust account of approximately $1,000,000 provided, however, that in order to meet our working capital needs following the consummation of this offering if the funds not held in the trust account are insufficient, our initial stockholders, officers and directors or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$1.00 per private warrant (which, for example, would result in the holders being issued private warrants to purchase 500,000 shares of common stock if $500,000 of notes were so converted). Such private warrants will be identical to the private warrants to be issued</w:t>
      </w:r>
    </w:p>
    <w:p>
      <w:pPr>
        <w:spacing w:after="0" w:line="200" w:lineRule="exact"/>
        <w:rPr>
          <w:sz w:val="20"/>
          <w:szCs w:val="20"/>
          <w:color w:val="auto"/>
        </w:rPr>
      </w:pPr>
    </w:p>
    <w:p>
      <w:pPr>
        <w:sectPr>
          <w:pgSz w:w="11900" w:h="16838" w:orient="portrait"/>
          <w:cols w:equalWidth="0" w:num="2">
            <w:col w:w="2720" w:space="540"/>
            <w:col w:w="5759"/>
          </w:cols>
          <w:pgMar w:left="1440" w:top="274" w:right="1440" w:bottom="0" w:gutter="0" w:footer="0" w:header="0"/>
          <w:type w:val="continuous"/>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0" w:gutter="0" w:footer="0" w:header="0"/>
          <w:type w:val="continuous"/>
        </w:sectPr>
      </w:pPr>
    </w:p>
    <w:bookmarkStart w:id="17" w:name="page18"/>
    <w:bookmarkEnd w:id="17"/>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2278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7310" cy="9227820"/>
                    </a:xfrm>
                    <a:prstGeom prst="rect">
                      <a:avLst/>
                    </a:prstGeom>
                    <a:noFill/>
                  </pic:spPr>
                </pic:pic>
              </a:graphicData>
            </a:graphic>
          </wp:anchor>
        </w:drawing>
      </w:r>
    </w:p>
    <w:p>
      <w:pPr>
        <w:sectPr>
          <w:pgSz w:w="11900" w:h="16838" w:orient="portrait"/>
          <w:cols w:equalWidth="0" w:num="1">
            <w:col w:w="9019"/>
          </w:cols>
          <w:pgMar w:left="1440" w:top="274" w:right="1440" w:bottom="898" w:gutter="0" w:footer="0" w:header="0"/>
        </w:sectPr>
      </w:pPr>
    </w:p>
    <w:p>
      <w:pPr>
        <w:spacing w:after="0" w:line="200" w:lineRule="exact"/>
        <w:rPr>
          <w:sz w:val="20"/>
          <w:szCs w:val="20"/>
          <w:color w:val="auto"/>
        </w:rPr>
      </w:pPr>
    </w:p>
    <w:p>
      <w:pPr>
        <w:spacing w:after="0" w:line="345" w:lineRule="exact"/>
        <w:rPr>
          <w:sz w:val="20"/>
          <w:szCs w:val="20"/>
          <w:color w:val="auto"/>
        </w:rPr>
      </w:pPr>
    </w:p>
    <w:p>
      <w:pPr>
        <w:jc w:val="both"/>
        <w:ind w:left="3260" w:right="559"/>
        <w:spacing w:after="0" w:line="253" w:lineRule="auto"/>
        <w:rPr>
          <w:sz w:val="20"/>
          <w:szCs w:val="20"/>
          <w:color w:val="auto"/>
        </w:rPr>
      </w:pPr>
      <w:r>
        <w:rPr>
          <w:rFonts w:ascii="Arial" w:cs="Arial" w:eastAsia="Arial" w:hAnsi="Arial"/>
          <w:sz w:val="18"/>
          <w:szCs w:val="18"/>
          <w:color w:val="auto"/>
        </w:rPr>
        <w:t>at the closing of this offering. Our stockholders have approved the issuance of the private warrants (and underlying securities) upon conversion of such notes, to the extent the holder wishes to so convert them at the time of the consummation of our initial business combination. If we do not complete a business combination, the loans will only be repaid with funds not held in the trust account, to the extent available. Loans made by Chardan Capital Markets, LLC or any of its related persons will not be convertible into private warrants, and Chardan Capital Markets, LLC and its related persons will have no recourse with respect to their ability to convert their loans into private warrants.</w:t>
      </w:r>
    </w:p>
    <w:p>
      <w:pPr>
        <w:spacing w:after="0" w:line="26" w:lineRule="exact"/>
        <w:rPr>
          <w:sz w:val="20"/>
          <w:szCs w:val="20"/>
          <w:color w:val="auto"/>
        </w:rPr>
      </w:pPr>
    </w:p>
    <w:p>
      <w:pPr>
        <w:jc w:val="both"/>
        <w:ind w:left="3260" w:right="559" w:hanging="2713"/>
        <w:spacing w:after="0" w:line="255" w:lineRule="auto"/>
        <w:tabs>
          <w:tab w:leader="none" w:pos="3240" w:val="left"/>
        </w:tabs>
        <w:rPr>
          <w:sz w:val="20"/>
          <w:szCs w:val="20"/>
          <w:color w:val="auto"/>
        </w:rPr>
      </w:pPr>
      <w:r>
        <w:rPr>
          <w:rFonts w:ascii="Arial" w:cs="Arial" w:eastAsia="Arial" w:hAnsi="Arial"/>
          <w:sz w:val="18"/>
          <w:szCs w:val="18"/>
          <w:b w:val="1"/>
          <w:bCs w:val="1"/>
          <w:color w:val="auto"/>
        </w:rPr>
        <w:t>Limited payments to insiders</w:t>
      </w:r>
      <w:r>
        <w:rPr>
          <w:sz w:val="20"/>
          <w:szCs w:val="20"/>
          <w:color w:val="auto"/>
        </w:rPr>
        <w:tab/>
      </w:r>
      <w:r>
        <w:rPr>
          <w:rFonts w:ascii="Arial" w:cs="Arial" w:eastAsia="Arial" w:hAnsi="Arial"/>
          <w:sz w:val="18"/>
          <w:szCs w:val="18"/>
          <w:color w:val="auto"/>
        </w:rPr>
        <w:t>Prior to the consummation of a business combination, there will be no fees, reimbursements or other cash payments paid to our initial stockholders, officers, directors or their affiliates prior to, or for any services they render in order to effectuate, the consummation of a business combination (regardless of the type of transaction that it is) other than:</w:t>
      </w:r>
    </w:p>
    <w:p>
      <w:pPr>
        <w:spacing w:after="0" w:line="115" w:lineRule="exact"/>
        <w:rPr>
          <w:sz w:val="20"/>
          <w:szCs w:val="20"/>
          <w:color w:val="auto"/>
        </w:rPr>
      </w:pPr>
    </w:p>
    <w:p>
      <w:pPr>
        <w:ind w:left="3680" w:right="579" w:hanging="207"/>
        <w:spacing w:after="0" w:line="277" w:lineRule="auto"/>
        <w:tabs>
          <w:tab w:leader="none" w:pos="3716"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repayment of loans of up to $1,000,000 made to us by our co-sponsors;</w:t>
      </w:r>
    </w:p>
    <w:p>
      <w:pPr>
        <w:spacing w:after="0" w:line="102" w:lineRule="exact"/>
        <w:rPr>
          <w:rFonts w:ascii="Arial" w:cs="Arial" w:eastAsia="Arial" w:hAnsi="Arial"/>
          <w:sz w:val="18"/>
          <w:szCs w:val="18"/>
          <w:color w:val="auto"/>
        </w:rPr>
      </w:pPr>
    </w:p>
    <w:p>
      <w:pPr>
        <w:jc w:val="both"/>
        <w:ind w:left="3680" w:right="579" w:hanging="207"/>
        <w:spacing w:after="0" w:line="263" w:lineRule="auto"/>
        <w:tabs>
          <w:tab w:leader="none" w:pos="3675"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payment of $10,000 per month to Chardan Capital Markets, LLC for office space and related services, subject to deferral as described herein;</w:t>
      </w:r>
    </w:p>
    <w:p>
      <w:pPr>
        <w:spacing w:after="0" w:line="116" w:lineRule="exact"/>
        <w:rPr>
          <w:rFonts w:ascii="Arial" w:cs="Arial" w:eastAsia="Arial" w:hAnsi="Arial"/>
          <w:sz w:val="18"/>
          <w:szCs w:val="18"/>
          <w:color w:val="auto"/>
        </w:rPr>
      </w:pPr>
    </w:p>
    <w:p>
      <w:pPr>
        <w:jc w:val="both"/>
        <w:ind w:left="3680" w:right="559" w:hanging="207"/>
        <w:spacing w:after="0" w:line="259" w:lineRule="auto"/>
        <w:tabs>
          <w:tab w:leader="none" w:pos="3689"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repayment of loans which may be made by our insiders, officers, directors or any of its or their affiliates to finance transaction costs in connection with an initial business combination, the terms of which have not been determined;</w:t>
      </w:r>
    </w:p>
    <w:p>
      <w:pPr>
        <w:spacing w:after="0" w:line="105" w:lineRule="exact"/>
        <w:rPr>
          <w:rFonts w:ascii="Arial" w:cs="Arial" w:eastAsia="Arial" w:hAnsi="Arial"/>
          <w:sz w:val="18"/>
          <w:szCs w:val="18"/>
          <w:color w:val="auto"/>
        </w:rPr>
      </w:pPr>
    </w:p>
    <w:p>
      <w:pPr>
        <w:jc w:val="both"/>
        <w:ind w:left="3680" w:right="559" w:hanging="207"/>
        <w:spacing w:after="0" w:line="259" w:lineRule="auto"/>
        <w:tabs>
          <w:tab w:leader="none" w:pos="3756" w:val="left"/>
        </w:tabs>
        <w:numPr>
          <w:ilvl w:val="0"/>
          <w:numId w:val="8"/>
        </w:numPr>
        <w:rPr>
          <w:rFonts w:ascii="Arial" w:cs="Arial" w:eastAsia="Arial" w:hAnsi="Arial"/>
          <w:sz w:val="18"/>
          <w:szCs w:val="18"/>
          <w:color w:val="auto"/>
        </w:rPr>
      </w:pPr>
      <w:r>
        <w:rPr>
          <w:rFonts w:ascii="Arial" w:cs="Arial" w:eastAsia="Arial" w:hAnsi="Arial"/>
          <w:sz w:val="18"/>
          <w:szCs w:val="18"/>
          <w:color w:val="auto"/>
        </w:rPr>
        <w:t>reimbursement of out-of-pocket expenses incurred by them in connection with certain activities on our behalf, such as identifying and investigating possible business targets and business combinations; and</w:t>
      </w:r>
    </w:p>
    <w:p>
      <w:pPr>
        <w:spacing w:after="0" w:line="119" w:lineRule="exact"/>
        <w:rPr>
          <w:rFonts w:ascii="Arial" w:cs="Arial" w:eastAsia="Arial" w:hAnsi="Arial"/>
          <w:sz w:val="18"/>
          <w:szCs w:val="18"/>
          <w:color w:val="auto"/>
        </w:rPr>
      </w:pPr>
    </w:p>
    <w:p>
      <w:pPr>
        <w:jc w:val="both"/>
        <w:ind w:left="3680" w:right="559" w:hanging="207"/>
        <w:spacing w:after="0" w:line="257" w:lineRule="auto"/>
        <w:tabs>
          <w:tab w:leader="none" w:pos="3959"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repayment upon consummation of our initial business combination of any loans which may be made by our initial stockholders or their affiliates or our officers and directors to finance transaction costs in connection with an intended initial business combination.</w:t>
      </w:r>
    </w:p>
    <w:p>
      <w:pPr>
        <w:spacing w:after="0" w:line="120" w:lineRule="exact"/>
        <w:rPr>
          <w:sz w:val="20"/>
          <w:szCs w:val="20"/>
          <w:color w:val="auto"/>
        </w:rPr>
      </w:pPr>
    </w:p>
    <w:p>
      <w:pPr>
        <w:jc w:val="both"/>
        <w:ind w:left="3260" w:right="559"/>
        <w:spacing w:after="0" w:line="269" w:lineRule="auto"/>
        <w:rPr>
          <w:sz w:val="20"/>
          <w:szCs w:val="20"/>
          <w:color w:val="auto"/>
        </w:rPr>
      </w:pPr>
      <w:r>
        <w:rPr>
          <w:rFonts w:ascii="Arial" w:cs="Arial" w:eastAsia="Arial" w:hAnsi="Arial"/>
          <w:sz w:val="17"/>
          <w:szCs w:val="17"/>
          <w:color w:val="auto"/>
        </w:rPr>
        <w:t>We have also engaged Chardan Capital Markets, LLC as an advisor in connection with our initial business combination pursuant to the business combination marketing agreement described under “Underwriting (Conflicts of Interest) — Business Combination Marketing Agreement.” We will pay Chardan Capital Markets, LLC a marketing fee for such services upon the consummation of our initial business combination in an amount equal to, in the aggregate, 3.5% of the gross proceeds of this offering, including any proceeds from the full or partial exercise of the over-allotment option. As a result, Chardan Capital Markets, LLC will not be entitled to such fee unless we consummate our initial business combination.</w:t>
      </w:r>
    </w:p>
    <w:p>
      <w:pPr>
        <w:spacing w:after="0" w:line="101" w:lineRule="exact"/>
        <w:rPr>
          <w:sz w:val="20"/>
          <w:szCs w:val="20"/>
          <w:color w:val="auto"/>
        </w:rPr>
      </w:pPr>
    </w:p>
    <w:p>
      <w:pPr>
        <w:jc w:val="both"/>
        <w:ind w:left="3260" w:right="559"/>
        <w:spacing w:after="0" w:line="287" w:lineRule="auto"/>
        <w:rPr>
          <w:sz w:val="20"/>
          <w:szCs w:val="20"/>
          <w:color w:val="auto"/>
        </w:rPr>
      </w:pPr>
      <w:r>
        <w:rPr>
          <w:rFonts w:ascii="Arial" w:cs="Arial" w:eastAsia="Arial" w:hAnsi="Arial"/>
          <w:sz w:val="16"/>
          <w:szCs w:val="16"/>
          <w:color w:val="auto"/>
        </w:rPr>
        <w:t>There is no limit on the amount of out-of-pocket expenses reimbursable by us; provided, however, that to the extent such expenses exceed the available proceeds not deposited in the trust account and the interest income earned on the amounts held in the trust account available to us, such expenses would not be reimbursed by us unless we consummate an initial business combination. Our audit committee will review and approve all reimbursements and payments made to any initial stockholder or member of our management team, or their respective affiliates, and any reimbursements and payments made to members of our audit committee will be reviewed and approved by our board of directors, with any interested director abstaining from such review and approval.</w:t>
      </w:r>
    </w:p>
    <w:p>
      <w:pPr>
        <w:sectPr>
          <w:pgSz w:w="11900" w:h="16838" w:orient="portrait"/>
          <w:cols w:equalWidth="0" w:num="1">
            <w:col w:w="9019"/>
          </w:cols>
          <w:pgMar w:left="1440" w:top="274" w:right="1440" w:bottom="898" w:gutter="0" w:footer="0" w:header="0"/>
          <w:type w:val="continuous"/>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898" w:gutter="0" w:footer="0" w:header="0"/>
          <w:type w:val="continuous"/>
        </w:sectPr>
      </w:pPr>
    </w:p>
    <w:bookmarkStart w:id="18" w:name="page19"/>
    <w:bookmarkEnd w:id="18"/>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408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7310" cy="9408160"/>
                    </a:xfrm>
                    <a:prstGeom prst="rect">
                      <a:avLst/>
                    </a:prstGeom>
                    <a:noFill/>
                  </pic:spPr>
                </pic:pic>
              </a:graphicData>
            </a:graphic>
          </wp:anchor>
        </w:drawing>
      </w:r>
    </w:p>
    <w:p>
      <w:pPr>
        <w:sectPr>
          <w:pgSz w:w="11900" w:h="16838" w:orient="portrait"/>
          <w:cols w:equalWidth="0" w:num="1">
            <w:col w:w="9019"/>
          </w:cols>
          <w:pgMar w:left="1440" w:top="274" w:right="1440" w:bottom="615" w:gutter="0" w:footer="0" w:header="0"/>
        </w:sectPr>
      </w:pPr>
    </w:p>
    <w:p>
      <w:pPr>
        <w:spacing w:after="0" w:line="200" w:lineRule="exact"/>
        <w:rPr>
          <w:sz w:val="20"/>
          <w:szCs w:val="20"/>
          <w:color w:val="auto"/>
        </w:rPr>
      </w:pPr>
    </w:p>
    <w:p>
      <w:pPr>
        <w:spacing w:after="0" w:line="341" w:lineRule="exact"/>
        <w:rPr>
          <w:sz w:val="20"/>
          <w:szCs w:val="20"/>
          <w:color w:val="auto"/>
        </w:rPr>
      </w:pPr>
    </w:p>
    <w:p>
      <w:pPr>
        <w:ind w:left="720" w:hanging="179"/>
        <w:spacing w:after="0" w:line="282" w:lineRule="auto"/>
        <w:rPr>
          <w:sz w:val="20"/>
          <w:szCs w:val="20"/>
          <w:color w:val="auto"/>
        </w:rPr>
      </w:pPr>
      <w:r>
        <w:rPr>
          <w:rFonts w:ascii="Arial" w:cs="Arial" w:eastAsia="Arial" w:hAnsi="Arial"/>
          <w:sz w:val="18"/>
          <w:szCs w:val="18"/>
          <w:b w:val="1"/>
          <w:bCs w:val="1"/>
          <w:color w:val="auto"/>
        </w:rPr>
        <w:t>Potential revisions to agreements with insiders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720" w:right="60" w:hanging="179"/>
        <w:spacing w:after="0" w:line="314" w:lineRule="auto"/>
        <w:rPr>
          <w:sz w:val="20"/>
          <w:szCs w:val="20"/>
          <w:color w:val="auto"/>
        </w:rPr>
      </w:pPr>
      <w:r>
        <w:rPr>
          <w:rFonts w:ascii="Arial" w:cs="Arial" w:eastAsia="Arial" w:hAnsi="Arial"/>
          <w:sz w:val="16"/>
          <w:szCs w:val="16"/>
          <w:b w:val="1"/>
          <w:bCs w:val="1"/>
          <w:color w:val="auto"/>
        </w:rPr>
        <w:t>Stockholder approval of, tender offer or redemption in connection with,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559"/>
        <w:spacing w:after="0" w:line="284" w:lineRule="auto"/>
        <w:rPr>
          <w:sz w:val="20"/>
          <w:szCs w:val="20"/>
          <w:color w:val="auto"/>
        </w:rPr>
      </w:pPr>
      <w:r>
        <w:rPr>
          <w:rFonts w:ascii="Arial" w:cs="Arial" w:eastAsia="Arial" w:hAnsi="Arial"/>
          <w:sz w:val="16"/>
          <w:szCs w:val="16"/>
          <w:color w:val="auto"/>
        </w:rPr>
        <w:t>We could seek to amend certain agreements made by our management team disclosed in this prospectus without the approval of stockholders, although we have no intention to do so. For example, restrictions on our executives relating to the voting of securities owned by them, the agreement of our management team to remain with us until the closing of a business combination, the obligation of our management team to not propose certain changes to our organizational documents or the obligation of the management team and its affiliates to not receive any compensation in connection with a business combination could be modified without obtaining stockholder approval. Although stockholders would not be given the opportunity to redeem their shares in connection with such changes, in no event would we be able to modify the redemption or liquidation rights of our stockholders without permitting our stockholders the right to redeem their shares in connection with any such change. We will not agree to any such changes unless we believed that such changes were in the best interests of our stockholders (for example, if such a modification were necessary to complete a business combination).</w:t>
      </w:r>
    </w:p>
    <w:p>
      <w:pPr>
        <w:spacing w:after="0" w:line="200" w:lineRule="exact"/>
        <w:rPr>
          <w:sz w:val="20"/>
          <w:szCs w:val="20"/>
          <w:color w:val="auto"/>
        </w:rPr>
      </w:pPr>
    </w:p>
    <w:p>
      <w:pPr>
        <w:spacing w:after="0" w:line="252" w:lineRule="exact"/>
        <w:rPr>
          <w:sz w:val="20"/>
          <w:szCs w:val="20"/>
          <w:color w:val="auto"/>
        </w:rPr>
      </w:pPr>
    </w:p>
    <w:p>
      <w:pPr>
        <w:jc w:val="both"/>
        <w:ind w:right="559"/>
        <w:spacing w:after="0" w:line="284" w:lineRule="auto"/>
        <w:rPr>
          <w:sz w:val="20"/>
          <w:szCs w:val="20"/>
          <w:color w:val="auto"/>
        </w:rPr>
      </w:pPr>
      <w:r>
        <w:rPr>
          <w:rFonts w:ascii="Arial" w:cs="Arial" w:eastAsia="Arial" w:hAnsi="Arial"/>
          <w:sz w:val="16"/>
          <w:szCs w:val="16"/>
          <w:color w:val="auto"/>
        </w:rPr>
        <w:t>In connection with any proposed initial business combination, we will either (1) seek stockholder approval of such initial business combination at a meeting called for such purpose at which public stockholders may seek to convert their public shares, regardless of whether they vote for or against the proposed business combination, into their pro rata share of the aggregate amount then on deposit in the trust account (net of taxes payable) or</w:t>
      </w:r>
    </w:p>
    <w:p>
      <w:pPr>
        <w:spacing w:after="0" w:line="2" w:lineRule="exact"/>
        <w:rPr>
          <w:sz w:val="20"/>
          <w:szCs w:val="20"/>
          <w:color w:val="auto"/>
        </w:rPr>
      </w:pPr>
    </w:p>
    <w:p>
      <w:pPr>
        <w:jc w:val="both"/>
        <w:ind w:right="559" w:firstLine="2"/>
        <w:spacing w:after="0" w:line="265" w:lineRule="auto"/>
        <w:tabs>
          <w:tab w:leader="none" w:pos="283"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provide our public stockholders with the opportunity to sell their public shares to us by means of a tender offer (and thereby avoid the need for a stockholder vote) for an amount equal to their pro rata share of the aggregate amount then on deposit in the trust account (net of taxes payable), in each case subject to the limitations described herein. Notwithstanding the foregoing, our initial stockholders have agreed, pursuant to written letter agreements with us, not to convert any public shares held by them into their pro rata share of the aggregate amount then on deposit in the trust account. If we determine to engage in a tender offer, such tender offer will be structured so that each public stockholder may tender any or all of his, her or its public shares rather than some pro rata portion of his, her or its shares. If enough stockholders tender their shares so that we are unable to satisfy any applicable closing condition set forth in the definitive agreement related to our initial business combination, or we are unable to maintain net tangible assets of at least $5,000,001 (so that we are not subject to the SEC’s “penny stock” rules), we will not consummate such initial business combination. The decision as to whether we will seek stockholder approval of a proposed business combination or will allow stockholders to sell their shares to us in a tender offer will be made by us based on a variety of factors such as the timing of the transaction or whether the terms of the transaction would otherwise require us to seek stockholder approval. If we provide stockholders with the opportunity to sell their shares to us by means of a tender offer, we will file tender offer documents with the SEC which will contain substantially the same financial and other information about the initial business combination as is required under the SEC’s proxy rules. If we seek stockholder approval of our initial business combination, we will consummate the business combination only if a majority of the outstanding shares of common stock voted are voted in favor of the business combination.</w:t>
      </w:r>
    </w:p>
    <w:p>
      <w:pPr>
        <w:spacing w:after="0" w:line="200" w:lineRule="exact"/>
        <w:rPr>
          <w:sz w:val="20"/>
          <w:szCs w:val="20"/>
          <w:color w:val="auto"/>
        </w:rPr>
      </w:pPr>
    </w:p>
    <w:p>
      <w:pPr>
        <w:sectPr>
          <w:pgSz w:w="11900" w:h="16838" w:orient="portrait"/>
          <w:cols w:equalWidth="0" w:num="2">
            <w:col w:w="3460" w:space="200"/>
            <w:col w:w="5359"/>
          </w:cols>
          <w:pgMar w:left="1440" w:top="274" w:right="1440" w:bottom="615" w:gutter="0" w:footer="0" w:header="0"/>
          <w:type w:val="continuous"/>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615" w:gutter="0" w:footer="0" w:header="0"/>
          <w:type w:val="continuous"/>
        </w:sectPr>
      </w:pPr>
    </w:p>
    <w:bookmarkStart w:id="19" w:name="page20"/>
    <w:bookmarkEnd w:id="19"/>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6366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7310" cy="863663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both"/>
        <w:ind w:left="3260" w:right="559"/>
        <w:spacing w:after="0" w:line="287" w:lineRule="auto"/>
        <w:rPr>
          <w:sz w:val="20"/>
          <w:szCs w:val="20"/>
          <w:color w:val="auto"/>
        </w:rPr>
      </w:pPr>
      <w:r>
        <w:rPr>
          <w:rFonts w:ascii="Arial" w:cs="Arial" w:eastAsia="Arial" w:hAnsi="Arial"/>
          <w:sz w:val="16"/>
          <w:szCs w:val="16"/>
          <w:color w:val="auto"/>
        </w:rPr>
        <w:t>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 There will be no redemption rights upon the completion of our initial business combination with respect to our rights or warrants.</w:t>
      </w:r>
    </w:p>
    <w:p>
      <w:pPr>
        <w:spacing w:after="0" w:line="127" w:lineRule="exact"/>
        <w:rPr>
          <w:sz w:val="20"/>
          <w:szCs w:val="20"/>
          <w:color w:val="auto"/>
        </w:rPr>
      </w:pPr>
    </w:p>
    <w:p>
      <w:pPr>
        <w:jc w:val="both"/>
        <w:ind w:left="3260" w:right="559"/>
        <w:spacing w:after="0" w:line="268" w:lineRule="auto"/>
        <w:rPr>
          <w:sz w:val="20"/>
          <w:szCs w:val="20"/>
          <w:color w:val="auto"/>
        </w:rPr>
      </w:pPr>
      <w:r>
        <w:rPr>
          <w:rFonts w:ascii="Arial" w:cs="Arial" w:eastAsia="Arial" w:hAnsi="Arial"/>
          <w:sz w:val="17"/>
          <w:szCs w:val="17"/>
          <w:color w:val="auto"/>
        </w:rPr>
        <w:t>We have determined not to consummate any business combination unless we have net tangible assets of at least $5,000,001 upon such consummation in order to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redeemed) and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w:t>
      </w:r>
    </w:p>
    <w:p>
      <w:pPr>
        <w:spacing w:after="0" w:line="155" w:lineRule="exact"/>
        <w:rPr>
          <w:sz w:val="20"/>
          <w:szCs w:val="20"/>
          <w:color w:val="auto"/>
        </w:rPr>
      </w:pPr>
    </w:p>
    <w:p>
      <w:pPr>
        <w:jc w:val="both"/>
        <w:ind w:left="3260" w:right="579"/>
        <w:spacing w:after="0" w:line="291" w:lineRule="auto"/>
        <w:rPr>
          <w:sz w:val="20"/>
          <w:szCs w:val="20"/>
          <w:color w:val="auto"/>
        </w:rPr>
      </w:pPr>
      <w:r>
        <w:rPr>
          <w:rFonts w:ascii="Arial" w:cs="Arial" w:eastAsia="Arial" w:hAnsi="Arial"/>
          <w:sz w:val="16"/>
          <w:szCs w:val="16"/>
          <w:color w:val="auto"/>
        </w:rPr>
        <w:t>Our initial stockholders have agreed (A) to vote their founder shares and any public shares in favor of any proposed business combination,</w:t>
      </w:r>
    </w:p>
    <w:p>
      <w:pPr>
        <w:jc w:val="both"/>
        <w:ind w:left="3260" w:right="559" w:hanging="3"/>
        <w:spacing w:after="0" w:line="283" w:lineRule="auto"/>
        <w:tabs>
          <w:tab w:leader="none" w:pos="3576"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15 months (or up to 18 months, as applicable) unless we provide public stockholders an opportunity to redeem their public shares in conjunction with any such amendment, (C) not to convert any shares (including the founder shares) into the right to receive cash from the trust account in connection with a stockholder vote to approve our proposed initial business combination or sell any shares to us in a tender offer in connection with our proposed initial business combination, and (D) that the founder shares shall not participate in any liquidating distribution upon winding up if a business combination is not consummated. If a significant number of stockholders vote, or indicate an intention to vote, against a proposed business combination, our initial stockholders, officers, directors or their affiliates could make such purchases in the open market or in private transactions in order to influence the vote. Our initial stockholders, officers, directors and their affiliates could purchase sufficient shares so that the initial business combination may be approved without the majority vote of public shares held by non-affiliates. Notwithstanding the foregoing, our officers, directors, initial stockholders and their affiliates will not make purchases of shares of common stock if the purchases would violate Section 9(a)(2) or Rule 10b-5 of the Exchange Act, which are rules designed to stop potential manipulation of a company’s stock or purchasing shares when the buyer is in possession of material non-public information about the Company.</w:t>
      </w:r>
    </w:p>
    <w:p>
      <w:pPr>
        <w:sectPr>
          <w:pgSz w:w="11900" w:h="16838" w:orient="portrait"/>
          <w:cols w:equalWidth="0" w:num="1">
            <w:col w:w="9019"/>
          </w:cols>
          <w:pgMar w:left="1440" w:top="27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0" w:name="page21"/>
    <w:bookmarkEnd w:id="20"/>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9877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7310" cy="89877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Conditions to completing our</w:t>
      </w:r>
    </w:p>
    <w:p>
      <w:pPr>
        <w:spacing w:after="0" w:line="27" w:lineRule="exact"/>
        <w:rPr>
          <w:sz w:val="20"/>
          <w:szCs w:val="20"/>
          <w:color w:val="auto"/>
        </w:rPr>
      </w:pPr>
    </w:p>
    <w:p>
      <w:pPr>
        <w:ind w:left="720"/>
        <w:spacing w:after="0"/>
        <w:tabs>
          <w:tab w:leader="none" w:pos="3240" w:val="left"/>
        </w:tabs>
        <w:rPr>
          <w:sz w:val="20"/>
          <w:szCs w:val="20"/>
          <w:color w:val="auto"/>
        </w:rPr>
      </w:pPr>
      <w:r>
        <w:rPr>
          <w:rFonts w:ascii="Arial" w:cs="Arial" w:eastAsia="Arial" w:hAnsi="Arial"/>
          <w:sz w:val="18"/>
          <w:szCs w:val="18"/>
          <w:b w:val="1"/>
          <w:bCs w:val="1"/>
          <w:color w:val="auto"/>
        </w:rPr>
        <w:t>initial business combination</w:t>
      </w:r>
      <w:r>
        <w:rPr>
          <w:sz w:val="20"/>
          <w:szCs w:val="20"/>
          <w:color w:val="auto"/>
        </w:rPr>
        <w:tab/>
      </w:r>
      <w:r>
        <w:rPr>
          <w:rFonts w:ascii="Arial" w:cs="Arial" w:eastAsia="Arial" w:hAnsi="Arial"/>
          <w:sz w:val="17"/>
          <w:szCs w:val="17"/>
          <w:color w:val="auto"/>
        </w:rPr>
        <w:t>There is no limitation on our ability to raise funds privately or through</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loans  in  connection  with  our  initial  business  combination.  Each</w:t>
      </w:r>
    </w:p>
    <w:p>
      <w:pPr>
        <w:spacing w:after="0" w:line="21" w:lineRule="exact"/>
        <w:rPr>
          <w:sz w:val="20"/>
          <w:szCs w:val="20"/>
          <w:color w:val="auto"/>
        </w:rPr>
      </w:pPr>
    </w:p>
    <w:p>
      <w:pPr>
        <w:ind w:left="3260"/>
        <w:spacing w:after="0"/>
        <w:tabs>
          <w:tab w:leader="none" w:pos="4000" w:val="left"/>
          <w:tab w:leader="none" w:pos="5040" w:val="left"/>
          <w:tab w:leader="none" w:pos="5460" w:val="left"/>
          <w:tab w:leader="none" w:pos="5780" w:val="left"/>
          <w:tab w:leader="none" w:pos="6600" w:val="left"/>
          <w:tab w:leader="none" w:pos="6920" w:val="left"/>
          <w:tab w:leader="none" w:pos="7140" w:val="left"/>
          <w:tab w:leader="none" w:pos="7900" w:val="left"/>
          <w:tab w:leader="none" w:pos="8200" w:val="left"/>
        </w:tabs>
        <w:rPr>
          <w:sz w:val="20"/>
          <w:szCs w:val="20"/>
          <w:color w:val="auto"/>
        </w:rPr>
      </w:pPr>
      <w:r>
        <w:rPr>
          <w:rFonts w:ascii="Arial" w:cs="Arial" w:eastAsia="Arial" w:hAnsi="Arial"/>
          <w:sz w:val="18"/>
          <w:szCs w:val="18"/>
          <w:color w:val="auto"/>
        </w:rPr>
        <w:t>business</w:t>
        <w:tab/>
        <w:t>combination</w:t>
        <w:tab/>
        <w:t>will</w:t>
        <w:tab/>
        <w:t>be</w:t>
        <w:tab/>
        <w:t>approved</w:t>
        <w:tab/>
        <w:t>by</w:t>
        <w:tab/>
        <w:t>a</w:t>
        <w:tab/>
        <w:t>majority</w:t>
        <w:tab/>
        <w:t>of</w:t>
      </w:r>
      <w:r>
        <w:rPr>
          <w:sz w:val="20"/>
          <w:szCs w:val="20"/>
          <w:color w:val="auto"/>
        </w:rPr>
        <w:tab/>
      </w:r>
      <w:r>
        <w:rPr>
          <w:rFonts w:ascii="Arial" w:cs="Arial" w:eastAsia="Arial" w:hAnsi="Arial"/>
          <w:sz w:val="16"/>
          <w:szCs w:val="16"/>
          <w:color w:val="auto"/>
        </w:rPr>
        <w:t>our</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independent directors. Our initial business combination must occur with</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one or more target businesses that together have an aggregate fair</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market value of at least 80% of the value of the trust account (excluding</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any taxes payable on the income earned on the trust account) at the time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of the agreement to enter into the initial business combination. If we are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no longer listed on Nasdaq, we will not be required to satisfy the 80%</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test.</w:t>
      </w:r>
    </w:p>
    <w:p>
      <w:pPr>
        <w:spacing w:after="0" w:line="143"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If our board is not able to independently determine the fair market value</w:t>
      </w:r>
    </w:p>
    <w:p>
      <w:pPr>
        <w:spacing w:after="0" w:line="46"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of the target business or businesses, we may obtain an opinion from an</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independent investment banking or accounting firm as to the fair</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market value of the target business. We will complete our initial</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business combination only if the post-transaction company in which our</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public stockholders own shares will own or acquire 50% or more of the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outstanding voting securities of the target or otherwise acquires a</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controlling interest in the target sufficient for it not to be required to</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register as an investment company under the Investment Company Act.</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Even if the post-transaction company owns 50% or more of the voting</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securities  of  the  target,  our  stockholders  prior  to  the  business</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combination may collectively own a minority interest in the post-</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business combination company, depending on valuations ascribed to the</w:t>
      </w:r>
    </w:p>
    <w:p>
      <w:pPr>
        <w:spacing w:after="0" w:line="32"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target and us in the business combination transaction. If less than 100%</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of the equity interests or assets of a target business or businesses are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owned or acquired by the post-transaction company, the portion of such</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business or businesses that is owned or acquired is what will be valued</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for purposes of the 80% test, provided that in the event that the business</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combination involves more than one target business, the 80% test will</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be based on the aggregate value of all of the target businesses.</w:t>
      </w:r>
    </w:p>
    <w:p>
      <w:pPr>
        <w:spacing w:after="0" w:line="166" w:lineRule="exact"/>
        <w:rPr>
          <w:sz w:val="20"/>
          <w:szCs w:val="20"/>
          <w:color w:val="auto"/>
        </w:rPr>
      </w:pPr>
    </w:p>
    <w:p>
      <w:pPr>
        <w:ind w:left="540"/>
        <w:spacing w:after="0"/>
        <w:tabs>
          <w:tab w:leader="none" w:pos="3240" w:val="left"/>
        </w:tabs>
        <w:rPr>
          <w:sz w:val="20"/>
          <w:szCs w:val="20"/>
          <w:color w:val="auto"/>
        </w:rPr>
      </w:pPr>
      <w:r>
        <w:rPr>
          <w:rFonts w:ascii="Arial" w:cs="Arial" w:eastAsia="Arial" w:hAnsi="Arial"/>
          <w:sz w:val="18"/>
          <w:szCs w:val="18"/>
          <w:b w:val="1"/>
          <w:bCs w:val="1"/>
          <w:color w:val="auto"/>
        </w:rPr>
        <w:t>Conversion rights</w:t>
      </w:r>
      <w:r>
        <w:rPr>
          <w:sz w:val="20"/>
          <w:szCs w:val="20"/>
          <w:color w:val="auto"/>
        </w:rPr>
        <w:tab/>
      </w:r>
      <w:r>
        <w:rPr>
          <w:rFonts w:ascii="Arial" w:cs="Arial" w:eastAsia="Arial" w:hAnsi="Arial"/>
          <w:sz w:val="18"/>
          <w:szCs w:val="18"/>
          <w:color w:val="auto"/>
        </w:rPr>
        <w:t>In connection with any stockholder meeting called to approve a</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proposed initial business combination, each public stockholder will</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have the right, regardless of whether he, she or it is voting for or against</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such proposed business combination, to demand that we convert his,</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 xml:space="preserve">her or its public shares into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trust account upon</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consummation of the business combination.</w:t>
      </w:r>
    </w:p>
    <w:p>
      <w:pPr>
        <w:spacing w:after="0" w:line="143"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We may require public stockholders wishing to exercise conversion</w:t>
      </w:r>
    </w:p>
    <w:p>
      <w:pPr>
        <w:spacing w:after="0" w:line="35"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rights, whether they are a record holder or hold their shares in “street</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name,” to either tender the certificates they are seeking to convert to</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our transfer agent or to deliver the shares they are seeking to convert to</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the transfer agent electronically using Depository Trust Company’s</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DWAC (Deposit/Withdrawal At Custodian) System, at the holder’s</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option, at any time at or prior to the vote on the business combination.</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There is a nominal cost associated with this tendering process and the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act of certificating the shares or delivering them through the DWAC</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System. The transfer agent will typically charge the tendering broker</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$45, and it would be up to the broker whether or not to pass this cost on</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to  the  converting  holder.  However,  this  fee  would  be  incurred</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regardless of whether or not we require holders to deliver their shares</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prior to the vote on the business combination in order to exercise</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conversion rights. This is because a holder would need to deliver shares</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to exercise conversion rights regardless of the timing of when such</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delivery  must  be  effectuated.  However,  in  the  event  we  require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stockholders to deliver their shares prior to the vote on the proposed</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business combination and the proposed business combination is not</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consummated, this may result in an increased cost to stockholders. The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conversion rights will include the requirement that a beneficial holder</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must identify itself in order to validly redeem its shares.</w:t>
      </w:r>
    </w:p>
    <w:p>
      <w:pPr>
        <w:sectPr>
          <w:pgSz w:w="11900" w:h="16838" w:orient="portrait"/>
          <w:cols w:equalWidth="0" w:num="1">
            <w:col w:w="9019"/>
          </w:cols>
          <w:pgMar w:left="1440" w:top="274" w:right="1440"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1" w:name="page22"/>
    <w:bookmarkEnd w:id="21"/>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68275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7310" cy="682752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hanging="179"/>
        <w:spacing w:after="0" w:line="289" w:lineRule="auto"/>
        <w:rPr>
          <w:sz w:val="20"/>
          <w:szCs w:val="20"/>
          <w:color w:val="auto"/>
        </w:rPr>
      </w:pPr>
      <w:r>
        <w:rPr>
          <w:rFonts w:ascii="Arial" w:cs="Arial" w:eastAsia="Arial" w:hAnsi="Arial"/>
          <w:sz w:val="17"/>
          <w:szCs w:val="17"/>
          <w:b w:val="1"/>
          <w:bCs w:val="1"/>
          <w:color w:val="auto"/>
        </w:rPr>
        <w:t>Release of funds in trust account upon closing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jc w:val="both"/>
        <w:ind w:right="559"/>
        <w:spacing w:after="0" w:line="270" w:lineRule="auto"/>
        <w:rPr>
          <w:sz w:val="20"/>
          <w:szCs w:val="20"/>
          <w:color w:val="auto"/>
        </w:rPr>
      </w:pPr>
      <w:r>
        <w:rPr>
          <w:rFonts w:ascii="Arial" w:cs="Arial" w:eastAsia="Arial" w:hAnsi="Arial"/>
          <w:sz w:val="17"/>
          <w:szCs w:val="17"/>
          <w:color w:val="auto"/>
        </w:rPr>
        <w:t xml:space="preserve">Under Delaware law, we may be required to give a minimum of only ten days’ notice for each general meeting. As a result, if we require public stockholders who wish to convert their shares of common stock into the right to receive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funds in the trust account to comply with the foregoing delivery requirements, holders may not have sufficient time to receive the notice and deliver their shares for conversion. Accordingly, investors may not be able to exercise their conversion rights and may be forced to retain our securities when they otherwise would not want to.</w:t>
      </w:r>
    </w:p>
    <w:p>
      <w:pPr>
        <w:spacing w:after="0" w:line="113" w:lineRule="exact"/>
        <w:rPr>
          <w:sz w:val="20"/>
          <w:szCs w:val="20"/>
          <w:color w:val="auto"/>
        </w:rPr>
      </w:pPr>
    </w:p>
    <w:p>
      <w:pPr>
        <w:jc w:val="both"/>
        <w:ind w:right="559"/>
        <w:spacing w:after="0" w:line="257" w:lineRule="auto"/>
        <w:rPr>
          <w:sz w:val="20"/>
          <w:szCs w:val="20"/>
          <w:color w:val="auto"/>
        </w:rPr>
      </w:pPr>
      <w:r>
        <w:rPr>
          <w:rFonts w:ascii="Arial" w:cs="Arial" w:eastAsia="Arial" w:hAnsi="Arial"/>
          <w:sz w:val="18"/>
          <w:szCs w:val="18"/>
          <w:color w:val="auto"/>
        </w:rPr>
        <w:t>If we require public stockholders who wish to convert their shares of common stock to comply with specific delivery requirements for conversion described above and such proposed business combination is not consummated, we will promptly return such certificates to the tendering public stockholders.</w:t>
      </w:r>
    </w:p>
    <w:p>
      <w:pPr>
        <w:spacing w:after="0" w:line="200" w:lineRule="exact"/>
        <w:rPr>
          <w:sz w:val="20"/>
          <w:szCs w:val="20"/>
          <w:color w:val="auto"/>
        </w:rPr>
      </w:pPr>
    </w:p>
    <w:p>
      <w:pPr>
        <w:spacing w:after="0" w:line="379" w:lineRule="exact"/>
        <w:rPr>
          <w:sz w:val="20"/>
          <w:szCs w:val="20"/>
          <w:color w:val="auto"/>
        </w:rPr>
      </w:pPr>
    </w:p>
    <w:p>
      <w:pPr>
        <w:jc w:val="both"/>
        <w:ind w:right="559"/>
        <w:spacing w:after="0" w:line="285" w:lineRule="auto"/>
        <w:rPr>
          <w:sz w:val="20"/>
          <w:szCs w:val="20"/>
          <w:color w:val="auto"/>
        </w:rPr>
      </w:pPr>
      <w:r>
        <w:rPr>
          <w:rFonts w:ascii="Arial" w:cs="Arial" w:eastAsia="Arial" w:hAnsi="Arial"/>
          <w:sz w:val="16"/>
          <w:szCs w:val="16"/>
          <w:color w:val="auto"/>
        </w:rPr>
        <w:t>On the completion of our initial business combination, all amounts held in the trust account will be released to us. We will use these funds to pay amounts due to any public stockholders who exercise their conversion rights as described above under “— Conversion rights” to pay all or a portion of the consideration payable to the target or targets or owners of the target or targets of our initial business combination and to pay other expenses associated with our initial business combination. If our initial business combination is paid for using stock or debt securities, or not all of the funds released from the trust account are used for payment of the consideration in connection with our initial business combination,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145" w:lineRule="exact"/>
        <w:rPr>
          <w:sz w:val="20"/>
          <w:szCs w:val="20"/>
          <w:color w:val="auto"/>
        </w:rPr>
      </w:pPr>
    </w:p>
    <w:p>
      <w:pPr>
        <w:sectPr>
          <w:pgSz w:w="11900" w:h="16838" w:orient="portrait"/>
          <w:cols w:equalWidth="0" w:num="2">
            <w:col w:w="3040" w:space="220"/>
            <w:col w:w="5759"/>
          </w:cols>
          <w:pgMar w:left="1440" w:top="274" w:right="1440" w:bottom="1440" w:gutter="0" w:footer="0" w:header="0"/>
          <w:type w:val="continuous"/>
        </w:sectPr>
      </w:pPr>
    </w:p>
    <w:p>
      <w:pPr>
        <w:ind w:left="540"/>
        <w:spacing w:after="0"/>
        <w:rPr>
          <w:sz w:val="20"/>
          <w:szCs w:val="20"/>
          <w:color w:val="auto"/>
        </w:rPr>
      </w:pPr>
      <w:r>
        <w:rPr>
          <w:rFonts w:ascii="Arial" w:cs="Arial" w:eastAsia="Arial" w:hAnsi="Arial"/>
          <w:sz w:val="18"/>
          <w:szCs w:val="18"/>
          <w:b w:val="1"/>
          <w:bCs w:val="1"/>
          <w:color w:val="auto"/>
        </w:rPr>
        <w:t>Insider purchases of public</w:t>
      </w:r>
    </w:p>
    <w:p>
      <w:pPr>
        <w:spacing w:after="0" w:line="27" w:lineRule="exact"/>
        <w:rPr>
          <w:sz w:val="20"/>
          <w:szCs w:val="20"/>
          <w:color w:val="auto"/>
        </w:rPr>
      </w:pPr>
    </w:p>
    <w:p>
      <w:pPr>
        <w:jc w:val="both"/>
        <w:ind w:left="3260" w:right="559" w:hanging="2539"/>
        <w:spacing w:after="0" w:line="268" w:lineRule="auto"/>
        <w:tabs>
          <w:tab w:leader="none" w:pos="3240" w:val="left"/>
        </w:tabs>
        <w:rPr>
          <w:sz w:val="20"/>
          <w:szCs w:val="20"/>
          <w:color w:val="auto"/>
        </w:rPr>
      </w:pPr>
      <w:r>
        <w:rPr>
          <w:rFonts w:ascii="Arial" w:cs="Arial" w:eastAsia="Arial" w:hAnsi="Arial"/>
          <w:sz w:val="17"/>
          <w:szCs w:val="17"/>
          <w:b w:val="1"/>
          <w:bCs w:val="1"/>
          <w:color w:val="auto"/>
        </w:rPr>
        <w:t>securities</w:t>
      </w:r>
      <w:r>
        <w:rPr>
          <w:sz w:val="20"/>
          <w:szCs w:val="20"/>
          <w:color w:val="auto"/>
        </w:rPr>
        <w:tab/>
      </w:r>
      <w:r>
        <w:rPr>
          <w:rFonts w:ascii="Arial" w:cs="Arial" w:eastAsia="Arial" w:hAnsi="Arial"/>
          <w:sz w:val="17"/>
          <w:szCs w:val="17"/>
          <w:color w:val="auto"/>
        </w:rPr>
        <w:t>If we hold a meeting to approve a proposed business combination and a significant number of stockholders vote, or indicate an intention to vote, against such proposed business combination, our officers, directors, initial stockholders or their affiliates could make such purchases in the open market or in private transactions in order to influence the vote. Notwithstanding the foregoing, our officers, directors, initial stockholders and their affiliates will not make purchases of common stock if the purchases would violate Section 9(a)(2) or Rule 10b-5 of the Exchange Act, which are rules designed to stop potential manipulation of a company’s stock.</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2" w:name="page23"/>
    <w:bookmarkEnd w:id="2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3507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7310" cy="7350760"/>
                    </a:xfrm>
                    <a:prstGeom prst="rect">
                      <a:avLst/>
                    </a:prstGeom>
                    <a:noFill/>
                  </pic:spPr>
                </pic:pic>
              </a:graphicData>
            </a:graphic>
          </wp:anchor>
        </w:drawing>
      </w:r>
    </w:p>
    <w:p>
      <w:pPr>
        <w:spacing w:after="0" w:line="36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Liquidation if no business</w:t>
      </w:r>
    </w:p>
    <w:p>
      <w:pPr>
        <w:spacing w:after="0" w:line="27" w:lineRule="exact"/>
        <w:rPr>
          <w:sz w:val="20"/>
          <w:szCs w:val="20"/>
          <w:color w:val="auto"/>
        </w:rPr>
      </w:pPr>
    </w:p>
    <w:p>
      <w:pPr>
        <w:jc w:val="both"/>
        <w:ind w:left="3260" w:right="559" w:hanging="2539"/>
        <w:spacing w:after="0" w:line="281" w:lineRule="auto"/>
        <w:tabs>
          <w:tab w:leader="none" w:pos="3240" w:val="left"/>
        </w:tabs>
        <w:rPr>
          <w:sz w:val="20"/>
          <w:szCs w:val="20"/>
          <w:color w:val="auto"/>
        </w:rPr>
      </w:pPr>
      <w:r>
        <w:rPr>
          <w:rFonts w:ascii="Arial" w:cs="Arial" w:eastAsia="Arial" w:hAnsi="Arial"/>
          <w:sz w:val="16"/>
          <w:szCs w:val="16"/>
          <w:b w:val="1"/>
          <w:bCs w:val="1"/>
          <w:color w:val="auto"/>
        </w:rPr>
        <w:t>combination</w:t>
      </w:r>
      <w:r>
        <w:rPr>
          <w:sz w:val="20"/>
          <w:szCs w:val="20"/>
          <w:color w:val="auto"/>
        </w:rPr>
        <w:tab/>
      </w:r>
      <w:r>
        <w:rPr>
          <w:rFonts w:ascii="Arial" w:cs="Arial" w:eastAsia="Arial" w:hAnsi="Arial"/>
          <w:sz w:val="16"/>
          <w:szCs w:val="16"/>
          <w:color w:val="auto"/>
        </w:rPr>
        <w:t>If we are unable to complete our initial business combination within 15 months (or up to 18 months, as applicable) from the closing of this offering, we will (i) cease all operations except for the purpose of winding up, (ii) as promptly as reasonably possible but not more than five business days thereafter, redeem 100% of the outstanding public shares (including any public units in this offering or any public units or shares that our initial stockholders or their affiliates purchased in this offering or later acquired in the open market or in private transactions),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our remaining holders of common stock and our board of directors, proceed to commence a voluntary liquidation and thereby a formal dissolution of the Company, subject (in the case of (ii) and</w:t>
      </w:r>
    </w:p>
    <w:p>
      <w:pPr>
        <w:spacing w:after="0" w:line="9" w:lineRule="exact"/>
        <w:rPr>
          <w:sz w:val="20"/>
          <w:szCs w:val="20"/>
          <w:color w:val="auto"/>
        </w:rPr>
      </w:pPr>
    </w:p>
    <w:p>
      <w:pPr>
        <w:jc w:val="both"/>
        <w:ind w:left="3260" w:right="559" w:hanging="3"/>
        <w:spacing w:after="0" w:line="283" w:lineRule="auto"/>
        <w:tabs>
          <w:tab w:leader="none" w:pos="3581" w:val="left"/>
        </w:tabs>
        <w:numPr>
          <w:ilvl w:val="0"/>
          <w:numId w:val="11"/>
        </w:numPr>
        <w:rPr>
          <w:rFonts w:ascii="Arial" w:cs="Arial" w:eastAsia="Arial" w:hAnsi="Arial"/>
          <w:sz w:val="16"/>
          <w:szCs w:val="16"/>
          <w:color w:val="auto"/>
        </w:rPr>
      </w:pPr>
      <w:r>
        <w:rPr>
          <w:rFonts w:ascii="Arial" w:cs="Arial" w:eastAsia="Arial" w:hAnsi="Arial"/>
          <w:sz w:val="16"/>
          <w:szCs w:val="16"/>
          <w:color w:val="auto"/>
        </w:rPr>
        <w:t>above) to our obligations to provide for claims of creditors and the requirements of applicable law. However, if we anticipate that we may not be able to consummate our initial business combination within 15 months, our initial stockholders or their affiliates may, but are not obligated to, extend the period of time to consummate a business combination one time by up to an additional three months (for a total of up to 18 months to complete our initial business combination) without the need for a separate stockholder vote.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without the need for a separate stockholder vote is for our initial stockholders or their affiliates or designees, upon five days’ advance notice prior to the applicable deadline, to deposit into the trust account $1,500,000, or $1,725,000 if the underwriters’ over-allotment option is exercised in full ($0.10 per share), if extended for the full 3 months, on or prior to the date of the applicable deadline. Pursuant to our amended and restated certificate of incorporation and the trust agreement, if such funds are not deposited, the time to complete an initial business combination cannot be extended unless our stockholders otherwise approve an extension on different terms.</w:t>
      </w:r>
    </w:p>
    <w:p>
      <w:pPr>
        <w:spacing w:after="0" w:line="140" w:lineRule="exact"/>
        <w:rPr>
          <w:sz w:val="20"/>
          <w:szCs w:val="20"/>
          <w:color w:val="auto"/>
        </w:rPr>
      </w:pPr>
    </w:p>
    <w:p>
      <w:pPr>
        <w:jc w:val="both"/>
        <w:ind w:left="3260" w:right="559"/>
        <w:spacing w:after="0" w:line="287" w:lineRule="auto"/>
        <w:rPr>
          <w:sz w:val="20"/>
          <w:szCs w:val="20"/>
          <w:color w:val="auto"/>
        </w:rPr>
      </w:pPr>
      <w:r>
        <w:rPr>
          <w:rFonts w:ascii="Arial" w:cs="Arial" w:eastAsia="Arial" w:hAnsi="Arial"/>
          <w:sz w:val="16"/>
          <w:szCs w:val="16"/>
          <w:color w:val="auto"/>
        </w:rPr>
        <w:t>In the event that they elected to extend the time to complete a business combination and deposited the applicable amount of money into trust, the initial stockholders would receive a non-interest bearing, unsecured promissory note equal to the amount of any such deposit that will not be repaid in the event that we are unable to close a business combination unless there are funds available outside the trust account to do so. Such notes would be paid upon consummation of our initial business combination. In the event that we receive notice from our insiders five days prior to the applicable deadline of their intent to effect an extension, we intend to issue a press release announcing such intention at least three days prior to the applicable deadline.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 w:name="page24"/>
    <w:bookmarkEnd w:id="23"/>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6139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7310" cy="9613900"/>
                    </a:xfrm>
                    <a:prstGeom prst="rect">
                      <a:avLst/>
                    </a:prstGeom>
                    <a:noFill/>
                  </pic:spPr>
                </pic:pic>
              </a:graphicData>
            </a:graphic>
          </wp:anchor>
        </w:drawing>
      </w:r>
    </w:p>
    <w:p>
      <w:pPr>
        <w:sectPr>
          <w:pgSz w:w="11900" w:h="16838" w:orient="portrait"/>
          <w:cols w:equalWidth="0" w:num="1">
            <w:col w:w="9019"/>
          </w:cols>
          <w:pgMar w:left="1440" w:top="274" w:right="1440" w:bottom="291" w:gutter="0" w:footer="0" w:header="0"/>
        </w:sectPr>
      </w:pPr>
    </w:p>
    <w:p>
      <w:pPr>
        <w:spacing w:after="0" w:line="200" w:lineRule="exact"/>
        <w:rPr>
          <w:sz w:val="20"/>
          <w:szCs w:val="20"/>
          <w:color w:val="auto"/>
        </w:rPr>
      </w:pPr>
    </w:p>
    <w:p>
      <w:pPr>
        <w:spacing w:after="0" w:line="345"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In connection with our redemption of 100% of our outstanding public</w:t>
      </w:r>
    </w:p>
    <w:p>
      <w:pPr>
        <w:spacing w:after="0" w:line="35"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shares for a portion of the funds held in the trust account, each holder</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will receive a pro rata portion of the amount then in the trust account,</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plus any pro rata interest earned on the funds held in the trust account</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and not necessary to pay our taxes payable on such funds. Holders of</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rights or warrants will receive no proceeds in connection with the</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liquidation with respect to such rights or warrants, which will expire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worthless.</w:t>
      </w:r>
    </w:p>
    <w:p>
      <w:pPr>
        <w:spacing w:after="0" w:line="143"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We may not have funds sufficient to pay or provide for all creditors’</w:t>
      </w:r>
    </w:p>
    <w:p>
      <w:pPr>
        <w:spacing w:after="0" w:line="35"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claims. Although we will seek to have all third parties (including any</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vendors or other entities we engage after this offering) and any</w:t>
      </w:r>
    </w:p>
    <w:p>
      <w:pPr>
        <w:spacing w:after="0" w:line="9" w:lineRule="exact"/>
        <w:rPr>
          <w:sz w:val="20"/>
          <w:szCs w:val="20"/>
          <w:color w:val="auto"/>
        </w:rPr>
      </w:pPr>
    </w:p>
    <w:p>
      <w:pPr>
        <w:ind w:left="3260"/>
        <w:spacing w:after="0"/>
        <w:tabs>
          <w:tab w:leader="none" w:pos="4220" w:val="left"/>
          <w:tab w:leader="none" w:pos="4780" w:val="left"/>
          <w:tab w:leader="none" w:pos="5700" w:val="left"/>
          <w:tab w:leader="none" w:pos="6220" w:val="left"/>
          <w:tab w:leader="none" w:pos="6660" w:val="left"/>
          <w:tab w:leader="none" w:pos="7180" w:val="left"/>
          <w:tab w:leader="none" w:pos="7580" w:val="left"/>
        </w:tabs>
        <w:rPr>
          <w:sz w:val="20"/>
          <w:szCs w:val="20"/>
          <w:color w:val="auto"/>
        </w:rPr>
      </w:pPr>
      <w:r>
        <w:rPr>
          <w:rFonts w:ascii="Arial" w:cs="Arial" w:eastAsia="Arial" w:hAnsi="Arial"/>
          <w:sz w:val="18"/>
          <w:szCs w:val="18"/>
          <w:color w:val="auto"/>
        </w:rPr>
        <w:t>prospective</w:t>
        <w:tab/>
        <w:t>target</w:t>
        <w:tab/>
        <w:t>businesses</w:t>
        <w:tab/>
        <w:t>enter</w:t>
        <w:tab/>
        <w:t>into</w:t>
        <w:tab/>
        <w:t>valid</w:t>
        <w:tab/>
        <w:t>and</w:t>
      </w:r>
      <w:r>
        <w:rPr>
          <w:sz w:val="20"/>
          <w:szCs w:val="20"/>
          <w:color w:val="auto"/>
        </w:rPr>
        <w:tab/>
      </w:r>
      <w:r>
        <w:rPr>
          <w:rFonts w:ascii="Arial" w:cs="Arial" w:eastAsia="Arial" w:hAnsi="Arial"/>
          <w:sz w:val="16"/>
          <w:szCs w:val="16"/>
          <w:color w:val="auto"/>
        </w:rPr>
        <w:t>enforceable</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agreements with us waiving any right, title, interest or claim of any kind</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in or to any monies held in the trust account, there is no guarantee that</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they will execute such agreements. There is also no guarantee that the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third parties would not challenge the enforceability of these waivers and</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bring claims against the trust account for monies owed them.</w:t>
      </w:r>
    </w:p>
    <w:p>
      <w:pPr>
        <w:spacing w:after="0" w:line="143"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The holders of the founder shares and private warrants will not</w:t>
      </w:r>
    </w:p>
    <w:p>
      <w:pPr>
        <w:spacing w:after="0" w:line="23"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participate in any redemption distribution with respect to their founder</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shares and private warrants, but may have any public shares redeemed</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upon liquidation.</w:t>
      </w:r>
    </w:p>
    <w:p>
      <w:pPr>
        <w:spacing w:after="0" w:line="170"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If we are unable to conclude our initial business combination and we</w:t>
      </w:r>
    </w:p>
    <w:p>
      <w:pPr>
        <w:spacing w:after="0" w:line="35"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expend all of the net proceeds of this offering not deposited in the trust</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account, without taking into account any interest earned on the trust</w:t>
      </w:r>
    </w:p>
    <w:p>
      <w:pPr>
        <w:spacing w:after="0" w:line="21"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account, we expect that the initial per-share redemption price will be</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approximately $10.10. The proceeds deposited in the trust account</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could, however, become subject to claims of our creditors that are in</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preference  to  the  claims  of  our  stockholders.  Furthermore,  our</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underwriters may seek recourse against the proceeds in the trust</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account relating to any future claims they may have against us. In</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addition, if we are forced to file a bankruptcy case or an involuntary</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bankruptcy case is filed against us that is not dismissed, the proceeds</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held in the trust account could be subject to applicable bankruptcy law,</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and may be included in our bankruptcy estate and subject to the claims</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of third parties with priority over the claims of our stockholders.</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Therefore, the actual per-share redemption price may be less than the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estimated $10.10. We will pay the costs of any subsequent liquidation</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from our remaining assets outside of the trust account. If such funds are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insufficient, our co-sponsors have agreed to pay the funds necessary to</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complete such liquidation and has agreed not to seek repayment for</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such expenses. We currently do not anticipate that such funds will be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insufficient.</w:t>
      </w:r>
    </w:p>
    <w:p>
      <w:pPr>
        <w:spacing w:after="0" w:line="180" w:lineRule="exact"/>
        <w:rPr>
          <w:sz w:val="20"/>
          <w:szCs w:val="20"/>
          <w:color w:val="auto"/>
        </w:rPr>
      </w:pPr>
    </w:p>
    <w:p>
      <w:pPr>
        <w:ind w:left="540"/>
        <w:spacing w:after="0"/>
        <w:tabs>
          <w:tab w:leader="none" w:pos="3240" w:val="left"/>
        </w:tabs>
        <w:rPr>
          <w:sz w:val="20"/>
          <w:szCs w:val="20"/>
          <w:color w:val="auto"/>
        </w:rPr>
      </w:pPr>
      <w:r>
        <w:rPr>
          <w:rFonts w:ascii="Arial" w:cs="Arial" w:eastAsia="Arial" w:hAnsi="Arial"/>
          <w:sz w:val="18"/>
          <w:szCs w:val="18"/>
          <w:b w:val="1"/>
          <w:bCs w:val="1"/>
          <w:color w:val="auto"/>
        </w:rPr>
        <w:t>Conflict of Interest</w:t>
      </w:r>
      <w:r>
        <w:rPr>
          <w:sz w:val="20"/>
          <w:szCs w:val="20"/>
          <w:color w:val="auto"/>
        </w:rPr>
        <w:tab/>
      </w:r>
      <w:r>
        <w:rPr>
          <w:rFonts w:ascii="Arial" w:cs="Arial" w:eastAsia="Arial" w:hAnsi="Arial"/>
          <w:sz w:val="16"/>
          <w:szCs w:val="16"/>
          <w:color w:val="auto"/>
        </w:rPr>
        <w:t>Chardan Capital Markets, LLC, the representative of the underwriters</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in this offering and an affiliate of one of our co-sponsors and one of our</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directors, is a beneficial owner of our co-sponsor, Chardan Investments.</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As a result, Chardan Capital Markets, LLC is deemed to have a</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“conflict  of  interest”  within  the  meaning  of  FINRA  Rule  5121</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(“Rule 5121”). Accordingly, this offering is being made in compliance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with the applicable requirements of Rule 5121.</w:t>
      </w:r>
    </w:p>
    <w:p>
      <w:pPr>
        <w:spacing w:after="0" w:line="143"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Rule 5121 requires that a “qualified independent underwriter,” as</w:t>
      </w:r>
    </w:p>
    <w:p>
      <w:pPr>
        <w:spacing w:after="0" w:line="23"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defined in Rule 5121, participate in the preparation of the registration</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statement and prospectus and exercise the usual standards of due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diligence with respect thereto. B. Riley Securities, Inc. has agreed to act</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as a “qualified independent underwriter” for this offering. B. Riley</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Securities,  Inc.  will  receive  $100,000  for  acting  as  a  qualified</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independent  underwriter.  We  have  agreed  to  indemnify  B.  Riley</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Securities, Inc. against certain liabilities incurred in connection with</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acting as a “qualified independent underwriter,” including liabilities</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under the Securities Act. In addition, no underwriter with a conflict of</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interest will confirm sales to any account over which it exercises</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discretionary authority without the specific prior written approval of the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account holder.</w:t>
      </w:r>
    </w:p>
    <w:p>
      <w:pPr>
        <w:sectPr>
          <w:pgSz w:w="11900" w:h="16838" w:orient="portrait"/>
          <w:cols w:equalWidth="0" w:num="1">
            <w:col w:w="9019"/>
          </w:cols>
          <w:pgMar w:left="1440" w:top="274" w:right="1440" w:bottom="291"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291" w:gutter="0" w:footer="0" w:header="0"/>
          <w:type w:val="continuous"/>
        </w:sectPr>
      </w:pPr>
    </w:p>
    <w:bookmarkStart w:id="24" w:name="page25"/>
    <w:bookmarkEnd w:id="2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54648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7310" cy="5464810"/>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w:t>
      </w:r>
    </w:p>
    <w:p>
      <w:pPr>
        <w:spacing w:after="0" w:line="162" w:lineRule="exact"/>
        <w:rPr>
          <w:sz w:val="20"/>
          <w:szCs w:val="20"/>
          <w:color w:val="auto"/>
        </w:rPr>
      </w:pPr>
    </w:p>
    <w:p>
      <w:pPr>
        <w:jc w:val="both"/>
        <w:ind w:left="540" w:right="559" w:firstLine="432"/>
        <w:spacing w:after="0" w:line="288" w:lineRule="auto"/>
        <w:rPr>
          <w:sz w:val="20"/>
          <w:szCs w:val="20"/>
          <w:color w:val="auto"/>
        </w:rPr>
      </w:pPr>
      <w:r>
        <w:rPr>
          <w:rFonts w:ascii="Arial" w:cs="Arial" w:eastAsia="Arial" w:hAnsi="Arial"/>
          <w:sz w:val="16"/>
          <w:szCs w:val="16"/>
          <w:color w:val="auto"/>
        </w:rPr>
        <w:t>We are a newly formed company that has conducted no operations and has generated no revenues. Until we complete our initial business combination, we will have no operations and will generate no operating revenues. In making your decision on whether to invest in our securities, you should take into account not only the background of our management team, but also the special risks we face as a blank check company, as well as the fact that this offering is not being conducted in compliance with Rule 419 promulgated under the Securities Act, and, therefore, you will not be entitled to protections normally afforded to investors in Rule 419 blank check offerings. For additional information concerning how Rule 419 blank check offerings differ from this offering, please see “</w:t>
      </w:r>
      <w:r>
        <w:rPr>
          <w:rFonts w:ascii="Arial" w:cs="Arial" w:eastAsia="Arial" w:hAnsi="Arial"/>
          <w:sz w:val="16"/>
          <w:szCs w:val="16"/>
          <w:i w:val="1"/>
          <w:iCs w:val="1"/>
          <w:color w:val="auto"/>
        </w:rPr>
        <w:t>Proposed Business — Comparison to Offerings of Blank Check</w:t>
      </w:r>
      <w:r>
        <w:rPr>
          <w:rFonts w:ascii="Arial" w:cs="Arial" w:eastAsia="Arial" w:hAnsi="Arial"/>
          <w:sz w:val="16"/>
          <w:szCs w:val="16"/>
          <w:color w:val="auto"/>
        </w:rPr>
        <w:t xml:space="preserve"> </w:t>
      </w:r>
      <w:r>
        <w:rPr>
          <w:rFonts w:ascii="Arial" w:cs="Arial" w:eastAsia="Arial" w:hAnsi="Arial"/>
          <w:sz w:val="16"/>
          <w:szCs w:val="16"/>
          <w:i w:val="1"/>
          <w:iCs w:val="1"/>
          <w:color w:val="auto"/>
        </w:rPr>
        <w:t>Companies Subject to Rule 419</w:t>
      </w:r>
      <w:r>
        <w:rPr>
          <w:rFonts w:ascii="Arial" w:cs="Arial" w:eastAsia="Arial" w:hAnsi="Arial"/>
          <w:sz w:val="16"/>
          <w:szCs w:val="16"/>
          <w:color w:val="auto"/>
        </w:rPr>
        <w:t>.” You should carefully consider these and the other risks set forth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entitled “Risk Factors” beginning on page 22 of this prospectus.</w:t>
      </w:r>
    </w:p>
    <w:p>
      <w:pPr>
        <w:spacing w:after="0" w:line="101"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A brief summary of some of the risk factors that make an investment in us speculative or risky include:</w:t>
      </w:r>
    </w:p>
    <w:p>
      <w:pPr>
        <w:spacing w:after="0" w:line="167" w:lineRule="exact"/>
        <w:rPr>
          <w:sz w:val="20"/>
          <w:szCs w:val="20"/>
          <w:color w:val="auto"/>
        </w:rPr>
      </w:pPr>
    </w:p>
    <w:p>
      <w:pPr>
        <w:ind w:left="1400" w:right="559" w:hanging="424"/>
        <w:spacing w:after="0" w:line="277" w:lineRule="auto"/>
        <w:tabs>
          <w:tab w:leader="none" w:pos="15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we will be able to complete our initial business combination, particularly in light of disruption that may result from limitations imposed by the COVID-19 pandemic;</w:t>
      </w:r>
    </w:p>
    <w:p>
      <w:pPr>
        <w:spacing w:after="0" w:line="102" w:lineRule="exact"/>
        <w:rPr>
          <w:rFonts w:ascii="Arial" w:cs="Arial" w:eastAsia="Arial" w:hAnsi="Arial"/>
          <w:sz w:val="18"/>
          <w:szCs w:val="18"/>
          <w:color w:val="auto"/>
        </w:rPr>
      </w:pPr>
    </w:p>
    <w:p>
      <w:pPr>
        <w:ind w:left="1400" w:right="559" w:hanging="424"/>
        <w:spacing w:after="0" w:line="277" w:lineRule="auto"/>
        <w:tabs>
          <w:tab w:leader="none" w:pos="15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we will be successful in retaining or recruiting, or making changes required in, our officers, key employees or directors following our initial business combination;</w:t>
      </w:r>
    </w:p>
    <w:p>
      <w:pPr>
        <w:spacing w:after="0" w:line="102" w:lineRule="exact"/>
        <w:rPr>
          <w:rFonts w:ascii="Arial" w:cs="Arial" w:eastAsia="Arial" w:hAnsi="Arial"/>
          <w:sz w:val="18"/>
          <w:szCs w:val="18"/>
          <w:color w:val="auto"/>
        </w:rPr>
      </w:pPr>
    </w:p>
    <w:p>
      <w:pPr>
        <w:jc w:val="both"/>
        <w:ind w:left="1400" w:right="559" w:hanging="424"/>
        <w:spacing w:after="0" w:line="263" w:lineRule="auto"/>
        <w:tabs>
          <w:tab w:leader="none" w:pos="1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How much time our officers and directors allocate to us and potentially having conflicts of interest with our business or in approving our initial business combination, as a result of which they would then receive expense reimbursements and other benefits;</w:t>
      </w:r>
    </w:p>
    <w:p>
      <w:pPr>
        <w:spacing w:after="0" w:line="102" w:lineRule="exact"/>
        <w:rPr>
          <w:rFonts w:ascii="Arial" w:cs="Arial" w:eastAsia="Arial" w:hAnsi="Arial"/>
          <w:sz w:val="18"/>
          <w:szCs w:val="18"/>
          <w:color w:val="auto"/>
        </w:rPr>
      </w:pPr>
    </w:p>
    <w:p>
      <w:pPr>
        <w:ind w:left="1400" w:hanging="424"/>
        <w:spacing w:after="0"/>
        <w:tabs>
          <w:tab w:leader="none" w:pos="14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Whether we will need to obtain additional financing to complete our initial business combination;</w:t>
      </w:r>
    </w:p>
    <w:p>
      <w:pPr>
        <w:spacing w:after="0" w:line="180" w:lineRule="exact"/>
        <w:rPr>
          <w:rFonts w:ascii="Arial" w:cs="Arial" w:eastAsia="Arial" w:hAnsi="Arial"/>
          <w:sz w:val="16"/>
          <w:szCs w:val="16"/>
          <w:color w:val="auto"/>
        </w:rPr>
      </w:pPr>
    </w:p>
    <w:p>
      <w:pPr>
        <w:ind w:left="1400" w:right="559" w:hanging="424"/>
        <w:spacing w:after="0" w:line="277"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there is a sufficient pool of prospective target businesses for us to acquire, given competition;</w:t>
      </w:r>
    </w:p>
    <w:p>
      <w:pPr>
        <w:spacing w:after="0" w:line="102" w:lineRule="exact"/>
        <w:rPr>
          <w:rFonts w:ascii="Arial" w:cs="Arial" w:eastAsia="Arial" w:hAnsi="Arial"/>
          <w:sz w:val="18"/>
          <w:szCs w:val="18"/>
          <w:color w:val="auto"/>
        </w:rPr>
      </w:pPr>
    </w:p>
    <w:p>
      <w:pPr>
        <w:ind w:left="1400" w:right="559" w:hanging="424"/>
        <w:spacing w:after="0" w:line="277" w:lineRule="auto"/>
        <w:tabs>
          <w:tab w:leader="none" w:pos="1661"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our officers and directors are able to generate a number of potential investment opportunities;</w:t>
      </w:r>
    </w:p>
    <w:p>
      <w:pPr>
        <w:spacing w:after="0" w:line="89" w:lineRule="exact"/>
        <w:rPr>
          <w:rFonts w:ascii="Arial" w:cs="Arial" w:eastAsia="Arial" w:hAnsi="Arial"/>
          <w:sz w:val="18"/>
          <w:szCs w:val="18"/>
          <w:color w:val="auto"/>
        </w:rPr>
      </w:pPr>
    </w:p>
    <w:p>
      <w:pPr>
        <w:ind w:left="1400" w:right="559" w:hanging="424"/>
        <w:spacing w:after="0" w:line="277" w:lineRule="auto"/>
        <w:tabs>
          <w:tab w:leader="none" w:pos="14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our securities are delisted from Nasdaq prior to our business combination or an inability to have our securities listed on Nasdaq following a business combination;</w:t>
      </w:r>
    </w:p>
    <w:p>
      <w:pPr>
        <w:spacing w:after="0" w:line="102" w:lineRule="exact"/>
        <w:rPr>
          <w:rFonts w:ascii="Arial" w:cs="Arial" w:eastAsia="Arial" w:hAnsi="Arial"/>
          <w:sz w:val="18"/>
          <w:szCs w:val="18"/>
          <w:color w:val="auto"/>
        </w:rPr>
      </w:pPr>
    </w:p>
    <w:p>
      <w:pPr>
        <w:ind w:left="1400" w:hanging="424"/>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fact that we may have limited liquidity in our securities;</w:t>
      </w:r>
    </w:p>
    <w:p>
      <w:pPr>
        <w:spacing w:after="0" w:line="157" w:lineRule="exact"/>
        <w:rPr>
          <w:rFonts w:ascii="Arial" w:cs="Arial" w:eastAsia="Arial" w:hAnsi="Arial"/>
          <w:sz w:val="18"/>
          <w:szCs w:val="18"/>
          <w:color w:val="auto"/>
        </w:rPr>
      </w:pPr>
    </w:p>
    <w:p>
      <w:pPr>
        <w:ind w:left="1400" w:hanging="424"/>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fact there has not previously been a market for our securities; and</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financial performance following our business combination.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 w:name="page26"/>
    <w:bookmarkEnd w:id="2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54044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7310" cy="5404485"/>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FINANCIAL DATA</w:t>
      </w:r>
    </w:p>
    <w:p>
      <w:pPr>
        <w:spacing w:after="0" w:line="162" w:lineRule="exact"/>
        <w:rPr>
          <w:sz w:val="20"/>
          <w:szCs w:val="20"/>
          <w:color w:val="auto"/>
        </w:rPr>
      </w:pPr>
    </w:p>
    <w:p>
      <w:pPr>
        <w:jc w:val="both"/>
        <w:ind w:left="540" w:right="559" w:firstLine="432"/>
        <w:spacing w:after="0" w:line="263"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are presented.</w:t>
      </w:r>
    </w:p>
    <w:p>
      <w:pPr>
        <w:spacing w:after="0" w:line="144"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4"/>
          </w:tcPr>
          <w:p>
            <w:pPr>
              <w:jc w:val="right"/>
              <w:ind w:right="675"/>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gridSpan w:val="3"/>
          </w:tcPr>
          <w:p>
            <w:pPr>
              <w:jc w:val="right"/>
              <w:ind w:right="975"/>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93"/>
              </w:rPr>
              <w:t>Actual</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rPr>
              <w:t>Actual</w:t>
            </w:r>
          </w:p>
        </w:tc>
        <w:tc>
          <w:tcPr>
            <w:tcW w:w="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w w:val="99"/>
              </w:rPr>
              <w:t>As Adjusted</w:t>
            </w:r>
            <w:r>
              <w:rPr>
                <w:rFonts w:ascii="Arial" w:cs="Arial" w:eastAsia="Arial" w:hAnsi="Arial"/>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center"/>
              <w:ind w:right="93"/>
              <w:spacing w:after="0"/>
              <w:rPr>
                <w:sz w:val="20"/>
                <w:szCs w:val="20"/>
                <w:color w:val="auto"/>
              </w:rPr>
            </w:pPr>
            <w:r>
              <w:rPr>
                <w:rFonts w:ascii="Arial" w:cs="Arial" w:eastAsia="Arial" w:hAnsi="Arial"/>
                <w:sz w:val="16"/>
                <w:szCs w:val="16"/>
                <w:color w:val="auto"/>
                <w:w w:val="98"/>
              </w:rPr>
              <w:t>(Audited)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6"/>
                <w:szCs w:val="16"/>
                <w:color w:val="auto"/>
                <w:w w:val="95"/>
              </w:rPr>
              <w:t>(Unaudited)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02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spacing w:after="0"/>
              <w:rPr>
                <w:sz w:val="20"/>
                <w:szCs w:val="20"/>
                <w:color w:val="auto"/>
              </w:rPr>
            </w:pPr>
            <w:r>
              <w:rPr>
                <w:rFonts w:ascii="Arial" w:cs="Arial" w:eastAsia="Arial" w:hAnsi="Arial"/>
                <w:sz w:val="18"/>
                <w:szCs w:val="18"/>
                <w:color w:val="auto"/>
              </w:rPr>
              <w:t>Working capital (deficit)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23,550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(88,378)</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   152,523,465</w:t>
            </w:r>
          </w:p>
        </w:tc>
        <w:tc>
          <w:tcPr>
            <w:tcW w:w="0" w:type="dxa"/>
            <w:vAlign w:val="bottom"/>
          </w:tcPr>
          <w:p>
            <w:pPr>
              <w:spacing w:after="0"/>
              <w:rPr>
                <w:sz w:val="1"/>
                <w:szCs w:val="1"/>
                <w:color w:val="auto"/>
              </w:rPr>
            </w:pPr>
          </w:p>
        </w:tc>
      </w:tr>
      <w:tr>
        <w:trPr>
          <w:trHeight w:val="40"/>
        </w:trPr>
        <w:tc>
          <w:tcPr>
            <w:tcW w:w="402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177,483</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152,523,465</w:t>
            </w:r>
          </w:p>
        </w:tc>
        <w:tc>
          <w:tcPr>
            <w:tcW w:w="0" w:type="dxa"/>
            <w:vAlign w:val="bottom"/>
          </w:tcPr>
          <w:p>
            <w:pPr>
              <w:spacing w:after="0"/>
              <w:rPr>
                <w:sz w:val="1"/>
                <w:szCs w:val="1"/>
                <w:color w:val="auto"/>
              </w:rPr>
            </w:pPr>
          </w:p>
        </w:tc>
      </w:tr>
      <w:tr>
        <w:trPr>
          <w:trHeight w:val="243"/>
        </w:trPr>
        <w:tc>
          <w:tcPr>
            <w:tcW w:w="40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154,018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4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Value of shares of common stock subject to possible</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conversion/tender</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147,523,458</w:t>
            </w:r>
          </w:p>
        </w:tc>
        <w:tc>
          <w:tcPr>
            <w:tcW w:w="0" w:type="dxa"/>
            <w:vAlign w:val="bottom"/>
          </w:tcPr>
          <w:p>
            <w:pPr>
              <w:spacing w:after="0"/>
              <w:rPr>
                <w:sz w:val="1"/>
                <w:szCs w:val="1"/>
                <w:color w:val="auto"/>
              </w:rPr>
            </w:pPr>
          </w:p>
        </w:tc>
      </w:tr>
      <w:tr>
        <w:trPr>
          <w:trHeight w:val="243"/>
        </w:trPr>
        <w:tc>
          <w:tcPr>
            <w:tcW w:w="40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23,465</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5,000,007</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980" w:right="559" w:hanging="436"/>
        <w:spacing w:after="0" w:line="293" w:lineRule="auto"/>
        <w:tabs>
          <w:tab w:leader="none" w:pos="10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the $6,000,000 we will receive from the sale of the private warrants (without exercise of over-allotment option).</w:t>
      </w:r>
    </w:p>
    <w:p>
      <w:pPr>
        <w:spacing w:after="0" w:line="100" w:lineRule="exact"/>
        <w:rPr>
          <w:sz w:val="20"/>
          <w:szCs w:val="20"/>
          <w:color w:val="auto"/>
        </w:rPr>
      </w:pPr>
    </w:p>
    <w:p>
      <w:pPr>
        <w:jc w:val="both"/>
        <w:ind w:left="540" w:right="559" w:firstLine="432"/>
        <w:spacing w:after="0" w:line="257" w:lineRule="auto"/>
        <w:rPr>
          <w:sz w:val="20"/>
          <w:szCs w:val="20"/>
          <w:color w:val="auto"/>
        </w:rPr>
      </w:pPr>
      <w:r>
        <w:rPr>
          <w:rFonts w:ascii="Arial" w:cs="Arial" w:eastAsia="Arial" w:hAnsi="Arial"/>
          <w:sz w:val="18"/>
          <w:szCs w:val="18"/>
          <w:color w:val="auto"/>
        </w:rPr>
        <w:t>The “as adjusted” information gives effect to the sale of the units we are offering, including the application of the related gross proceeds and the payment of the estimated remaining costs from such sale and the repayment of the accrued and other liabilities required to be repaid such that we have at least $5,000,001 of net tangible assets upon consummation of this offering and upon consummation of our initial business combination.</w:t>
      </w:r>
    </w:p>
    <w:p>
      <w:pPr>
        <w:spacing w:after="0" w:line="107" w:lineRule="exact"/>
        <w:rPr>
          <w:sz w:val="20"/>
          <w:szCs w:val="20"/>
          <w:color w:val="auto"/>
        </w:rPr>
      </w:pPr>
    </w:p>
    <w:p>
      <w:pPr>
        <w:jc w:val="both"/>
        <w:ind w:left="540" w:right="559" w:firstLine="432"/>
        <w:spacing w:after="0" w:line="259" w:lineRule="auto"/>
        <w:rPr>
          <w:sz w:val="20"/>
          <w:szCs w:val="20"/>
          <w:color w:val="auto"/>
        </w:rPr>
      </w:pPr>
      <w:r>
        <w:rPr>
          <w:rFonts w:ascii="Arial" w:cs="Arial" w:eastAsia="Arial" w:hAnsi="Arial"/>
          <w:sz w:val="18"/>
          <w:szCs w:val="18"/>
          <w:color w:val="auto"/>
        </w:rPr>
        <w:t>The “as adjusted” working capital and total assets amounts include the $151,500,000 (without exercise of over-allotment option) to be held in the trust account, which, except for limited situations described in this prospectus, will be available to us only upon the consummation of our initial business combination within the time period described in this prospectus.</w:t>
      </w:r>
    </w:p>
    <w:p>
      <w:pPr>
        <w:spacing w:after="0" w:line="119" w:lineRule="exact"/>
        <w:rPr>
          <w:sz w:val="20"/>
          <w:szCs w:val="20"/>
          <w:color w:val="auto"/>
        </w:rPr>
      </w:pPr>
    </w:p>
    <w:p>
      <w:pPr>
        <w:jc w:val="both"/>
        <w:ind w:left="540" w:right="559" w:firstLine="432"/>
        <w:spacing w:after="0" w:line="263" w:lineRule="auto"/>
        <w:rPr>
          <w:sz w:val="20"/>
          <w:szCs w:val="20"/>
          <w:color w:val="auto"/>
        </w:rPr>
      </w:pPr>
      <w:r>
        <w:rPr>
          <w:rFonts w:ascii="Arial" w:cs="Arial" w:eastAsia="Arial" w:hAnsi="Arial"/>
          <w:sz w:val="18"/>
          <w:szCs w:val="18"/>
          <w:color w:val="auto"/>
        </w:rPr>
        <w:t>We will consummate our initial business combination only if we have net tangible assets of at least $5,000,001 upon such consummation and a majority of the outstanding shares of common stock voted are voted in favor of the business combination (if a vote is required or being obtained).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 w:name="page27"/>
    <w:bookmarkEnd w:id="2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225" w:lineRule="exact"/>
        <w:rPr>
          <w:sz w:val="20"/>
          <w:szCs w:val="20"/>
          <w:color w:val="auto"/>
        </w:rPr>
      </w:pPr>
    </w:p>
    <w:p>
      <w:pPr>
        <w:jc w:val="both"/>
        <w:ind w:left="460" w:right="479"/>
        <w:spacing w:after="0" w:line="312" w:lineRule="auto"/>
        <w:rPr>
          <w:sz w:val="20"/>
          <w:szCs w:val="20"/>
          <w:color w:val="auto"/>
        </w:rPr>
      </w:pPr>
      <w:r>
        <w:rPr>
          <w:rFonts w:ascii="Arial" w:cs="Arial" w:eastAsia="Arial" w:hAnsi="Arial"/>
          <w:sz w:val="17"/>
          <w:szCs w:val="17"/>
          <w:b w:val="1"/>
          <w:bCs w:val="1"/>
          <w:color w:val="auto"/>
        </w:rPr>
        <w:t>We are a newly formed blank check company in the early stage with no operating history and no revenues, and you have no basis on which to evaluate our ability to achieve our business objective.</w:t>
      </w:r>
    </w:p>
    <w:p>
      <w:pPr>
        <w:spacing w:after="0" w:line="76"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are a newly formed blank check company with no operating results, and we will not commence operations until obtaining funding through this offering and consummating our initial business combination.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our initial business combination, and may be unable to complete our initial business combination. If we fail to complete our initial business combination, we will never generate any operating revenues.</w:t>
      </w:r>
    </w:p>
    <w:p>
      <w:pPr>
        <w:spacing w:after="0" w:line="173" w:lineRule="exact"/>
        <w:rPr>
          <w:sz w:val="20"/>
          <w:szCs w:val="20"/>
          <w:color w:val="auto"/>
        </w:rPr>
      </w:pPr>
    </w:p>
    <w:p>
      <w:pPr>
        <w:jc w:val="both"/>
        <w:ind w:left="460" w:right="459"/>
        <w:spacing w:after="0" w:line="266" w:lineRule="auto"/>
        <w:rPr>
          <w:sz w:val="20"/>
          <w:szCs w:val="20"/>
          <w:color w:val="auto"/>
        </w:rPr>
      </w:pPr>
      <w:r>
        <w:rPr>
          <w:rFonts w:ascii="Arial" w:cs="Arial" w:eastAsia="Arial" w:hAnsi="Arial"/>
          <w:sz w:val="18"/>
          <w:szCs w:val="18"/>
          <w:b w:val="1"/>
          <w:b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112"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The COVID-19 outbreak has resulted, and a significant outbreak of other infectious diseases could result, in a widespread health crisis that has affected, or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concerns relating to COVID-19 continue to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 In addition, our ability to consummate a transaction may be dependent on the ability to raise equity and debt financing which may be impacted by COVID-19 and other events, including as a result of increased market volatility, decreased market liquidity and third-party financing being unavailable on terms acceptable to us or at all.</w:t>
      </w:r>
    </w:p>
    <w:p>
      <w:pPr>
        <w:spacing w:after="0" w:line="176" w:lineRule="exact"/>
        <w:rPr>
          <w:sz w:val="20"/>
          <w:szCs w:val="20"/>
          <w:color w:val="auto"/>
        </w:rPr>
      </w:pPr>
    </w:p>
    <w:p>
      <w:pPr>
        <w:jc w:val="both"/>
        <w:ind w:left="460" w:right="459"/>
        <w:spacing w:after="0" w:line="258" w:lineRule="auto"/>
        <w:rPr>
          <w:sz w:val="20"/>
          <w:szCs w:val="20"/>
          <w:color w:val="auto"/>
        </w:rPr>
      </w:pPr>
      <w:r>
        <w:rPr>
          <w:rFonts w:ascii="Arial" w:cs="Arial" w:eastAsia="Arial" w:hAnsi="Arial"/>
          <w:sz w:val="18"/>
          <w:szCs w:val="18"/>
          <w:b w:val="1"/>
          <w:bCs w:val="1"/>
          <w:color w:val="auto"/>
        </w:rPr>
        <w:t>The requirement that the target business or businesses that we acquire must collectively have a fair market value equal to at least 80% of the balance of the funds in the trust account (excluding any taxes payable on the income earned on the trust account) at the time of the execution of a definitive agreement for our initial business combination may limit the type and number of companies with which we may complete such a business combination.</w:t>
      </w:r>
    </w:p>
    <w:p>
      <w:pPr>
        <w:spacing w:after="0" w:line="106"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Pursuant to Nasdaq listing rules, the target business or businesses that we acquire must collectively have a fair market value equal to at least 80% of the balance of the funds in the trust account (excluding any taxes payable on the income earned on the trust account) at the time of the execution of a definitive agreement for our initial business combination. This restriction may limit the type and number of companies that we may complete a business combination with. If we are unable to locate a target business or businesses that satisfy this fair market value test, we may be forced to liquidate and you will only be entitled to receive your pro rata portion of the funds in the trust account, which may be less than $10.10 per share.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 w:name="page28"/>
    <w:bookmarkEnd w:id="2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6" w:lineRule="auto"/>
        <w:rPr>
          <w:sz w:val="20"/>
          <w:szCs w:val="20"/>
          <w:color w:val="auto"/>
        </w:rPr>
      </w:pPr>
      <w:r>
        <w:rPr>
          <w:rFonts w:ascii="Arial" w:cs="Arial" w:eastAsia="Arial" w:hAnsi="Arial"/>
          <w:sz w:val="18"/>
          <w:szCs w:val="18"/>
          <w:b w:val="1"/>
          <w:bCs w:val="1"/>
          <w:color w:val="auto"/>
        </w:rPr>
        <w:t>Our public stockholders may not be afforded an opportunity to vote on our proposed business combination, which means we may consummate our initial business combination even though a majority of our public stockholders do not support such a combination.</w:t>
      </w:r>
    </w:p>
    <w:p>
      <w:pPr>
        <w:spacing w:after="0" w:line="99"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If a stockholder vote is not required, we may conduct redemptions via a tender offer. Accordingly, we may consummate our initial business combination even if holders of a majority of our public shares do not approve the business combination.</w:t>
      </w:r>
    </w:p>
    <w:p>
      <w:pPr>
        <w:spacing w:after="0" w:line="180"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7"/>
          <w:szCs w:val="17"/>
          <w:b w:val="1"/>
          <w:bCs w:val="1"/>
          <w:color w:val="auto"/>
        </w:rPr>
        <w:t>Your only opportunity to affect the investment decision regarding a potential business combination may be limited to the exercise of your right to redeem your shares from us for cash.</w:t>
      </w:r>
    </w:p>
    <w:p>
      <w:pPr>
        <w:spacing w:after="0" w:line="76"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At the time of your investment in us, you will not be provided with an opportunity to evaluate the specific merits or risks of one or more target businesses. Because our board of directors may consummate our initial business combination without seeking stockholder approval, public stockholders may not have the right or opportunity to vote on the business combination. Accordingly,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business combination.</w:t>
      </w:r>
    </w:p>
    <w:p>
      <w:pPr>
        <w:spacing w:after="0" w:line="173"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The ability of our public stockholders to redeem their shares for cash may make our financial condition unattractive to potential business combination targets, which may make it difficult for us to enter into our initial business combination with a target.</w:t>
      </w:r>
    </w:p>
    <w:p>
      <w:pPr>
        <w:spacing w:after="0" w:line="11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may enter into a transaction agreement with a prospective target that requires as a closing condition that we have a minimum net worth or a certain amount of cash. If too many public stockholders exercise their redemption rights, we may not be able to meet such closing condition, and, as a result, would not be able to proceed with the business combination. Furthermore, in no event will we redeem our public shares in an amount that would cause our net tangible assets to be less than $5,000,001.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would be aware of these risks and, thus, may be reluctant to enter into our initial business combination transaction with us.</w:t>
      </w:r>
    </w:p>
    <w:p>
      <w:pPr>
        <w:spacing w:after="0" w:line="181"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The ability of a large number of our stockholders to exercise redemption rights may not allow us to consummate the most desirable business combination or optimize our capital structure.</w:t>
      </w:r>
    </w:p>
    <w:p>
      <w:pPr>
        <w:spacing w:after="0" w:line="85"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In connection with the consummation of our business combination, we may redeem up to that number of shares of common stock that would permit us to maintain net tangible assets of $5,000,001. If our business combination requires us to use substantially all of our cash to pay the purchase price, the redemption threshold may be further limited. Alternatively, we may need to arrange third party financing to help fund our business combination in case a larger percentage of stockholders exercises its redemption rights than we expect. If the acquisition involves the issuance of our shares as consideration, we may be required to issue a higher percentage of our shares to the target or its stockholders to make up for the failure to satisfy a minimum cash requirement.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181" w:lineRule="exact"/>
        <w:rPr>
          <w:sz w:val="20"/>
          <w:szCs w:val="20"/>
          <w:color w:val="auto"/>
        </w:rPr>
      </w:pPr>
    </w:p>
    <w:p>
      <w:pPr>
        <w:jc w:val="both"/>
        <w:ind w:left="460" w:right="459"/>
        <w:spacing w:after="0" w:line="266" w:lineRule="auto"/>
        <w:rPr>
          <w:sz w:val="20"/>
          <w:szCs w:val="20"/>
          <w:color w:val="auto"/>
        </w:rPr>
      </w:pPr>
      <w:r>
        <w:rPr>
          <w:rFonts w:ascii="Arial" w:cs="Arial" w:eastAsia="Arial" w:hAnsi="Arial"/>
          <w:sz w:val="18"/>
          <w:szCs w:val="18"/>
          <w:b w:val="1"/>
          <w:bCs w:val="1"/>
          <w:color w:val="auto"/>
        </w:rPr>
        <w:t>The requirement that we maintain a minimum net worth or retain a certain amount of cash could increase the probability that we cannot consummate our business combination and that you would have to wait for liquidation in order to redeem your shares.</w:t>
      </w:r>
    </w:p>
    <w:p>
      <w:pPr>
        <w:spacing w:after="0" w:line="112"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If, pursuant to the terms of our proposed business combination, we are required to maintain a minimum net worth or retain a certain amount of cash in trust in order to consummate the business combination, regardless of whether we proceed with redemptions under the tender offer or proxy rules, the probability that we cannot consummate our business combination is increased. If we do not consummate our business combination, you would not receive your pro rata portion of the trust account until we liquidate. If you are in need of immediate liquidity, you could attempt to sell your shares in the open market; however, at such time our shares may trade at a discount to the pro rata amount in our trust account. In either situation, you may suffer a material loss on your investment or lose the benefit of funds expected in connection with a redemption until we liquidate or you are able to sell your shares in the open market.</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8" w:name="page29"/>
    <w:bookmarkEnd w:id="2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6" w:lineRule="auto"/>
        <w:rPr>
          <w:sz w:val="20"/>
          <w:szCs w:val="20"/>
          <w:color w:val="auto"/>
        </w:rPr>
      </w:pPr>
      <w:r>
        <w:rPr>
          <w:rFonts w:ascii="Arial" w:cs="Arial" w:eastAsia="Arial" w:hAnsi="Arial"/>
          <w:sz w:val="18"/>
          <w:szCs w:val="18"/>
          <w:b w:val="1"/>
          <w:bCs w:val="1"/>
          <w:color w:val="auto"/>
        </w:rPr>
        <w:t>The requirement that we complete our initial business combination within 15 months (or up to 18 months, as applicable) from the closing of this offering may give potential target businesses leverage over us in negotiating our initial business combination.</w:t>
      </w:r>
    </w:p>
    <w:p>
      <w:pPr>
        <w:spacing w:after="0" w:line="99"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Any potential target business with which we enter into negotiations concerning our initial business combination will be aware that we must consummate our initial business combination within 15 months (or up to 18 months, as applicable) from the closing of this offering. Consequently, such target business may obtain leverage over us in negotiating our initial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61"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We may not be able to consummate our initial business combination within the required time period, in which case we would cease all operations except for the purpose of winding up and we would redeem our public shares and liquidate.</w:t>
      </w:r>
    </w:p>
    <w:p>
      <w:pPr>
        <w:spacing w:after="0" w:line="11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Our co-sponsors, officers and directors have agreed that we must complete our initial business combination within 15 months (or up to 18 months, as applicable) from the closing of this offering. We may not be able to find a suitable target business and consummate our initial business combination within such time period. If we are unable to consummate our initial business combination within the required time period, we will, as promptly as reasonably possible but not more than five business days thereafter (subject to our certificate of incorporation and Delaware law), distribute the aggregate amount then on deposit in the trust account (net of taxes payable), pro rata to our public stockholders by way of redemption and cease all operations except for the purposes of winding up of our affairs, as further described herein. This redemption of public stockholders from the trust account shall be effected as required by our certificate of incorporation and Delaware law, prior to any voluntary winding up.</w:t>
      </w:r>
    </w:p>
    <w:p>
      <w:pPr>
        <w:spacing w:after="0" w:line="181"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7"/>
          <w:szCs w:val="17"/>
          <w:b w:val="1"/>
          <w:bCs w:val="1"/>
          <w:color w:val="auto"/>
        </w:rPr>
        <w:t>If we seek stockholder approval of our business combination, our co-sponsors, directors, officers, advisors and their affiliates may elect to purchase shares from stockholders, in which case they may influence a vote in favor of a proposed business combination that you do not support.</w:t>
      </w:r>
    </w:p>
    <w:p>
      <w:pPr>
        <w:spacing w:after="0" w:line="9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If we seek stockholder approval of our business combination and we do not conduct redemptions in connection with our business combination pursuant to the tender offer rules, our co-sponsors, directors, officers, advisors or their affiliates may purchase shares in privately negotiated transactions either prior to or following the consummation of our initial business combination. Such purchases will not be made if our co-sponsors, directors, officers, advisors or their affiliates are in possession of any material non-public information that has not been disclosed to the selling stockholder. Such a purchase would include a contractual acknowledgement that such stockholder, although still the record holder of our shares, is no longer the beneficial owner thereof and therefore agrees not to exercise its redemption rights. In the event that our co-sponsors, directors, officers, advisors or their affiliates purchase shares in privately negotiated transactions from public stockholders who have already elected to exercise their redemption rights, such selling stockholders would be required to revoke their prior elections to redeem their shares. It is intended that, if Rule 10b-18 under the Exchange Act would apply to purchases by our initial stockholders, directors, officers, advisors or their affiliates, then such purchases will comply with Rule 10b-18, to the extent it applies, which provides a safe harbor for purchased made under certain conditions, including with respect to timing, pricing and volume of purchases.</w:t>
      </w:r>
    </w:p>
    <w:p>
      <w:pPr>
        <w:spacing w:after="0" w:line="90"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The purpose of such purchases would be to (1) increase the likelihood of obtaining stockholder approval of the business combination or (2) satisfy a closing condition in an agreement with a target that requires us to have a minimum net worth or a certain amount of cash at the closing of the initial business combination, where it appears that such requirement would otherwise not be met. This may result in the consummation of an initial business combination that may not otherwise have been possible.</w:t>
      </w:r>
    </w:p>
    <w:p>
      <w:pPr>
        <w:spacing w:after="0" w:line="172" w:lineRule="exact"/>
        <w:rPr>
          <w:sz w:val="20"/>
          <w:szCs w:val="20"/>
          <w:color w:val="auto"/>
        </w:rPr>
      </w:pPr>
    </w:p>
    <w:p>
      <w:pPr>
        <w:jc w:val="both"/>
        <w:ind w:left="460" w:right="459"/>
        <w:spacing w:after="0" w:line="261" w:lineRule="auto"/>
        <w:rPr>
          <w:sz w:val="20"/>
          <w:szCs w:val="20"/>
          <w:color w:val="auto"/>
        </w:rPr>
      </w:pPr>
      <w:r>
        <w:rPr>
          <w:rFonts w:ascii="Arial" w:cs="Arial" w:eastAsia="Arial" w:hAnsi="Arial"/>
          <w:sz w:val="18"/>
          <w:szCs w:val="18"/>
          <w:b w:val="1"/>
          <w:bCs w:val="1"/>
          <w:color w:val="auto"/>
        </w:rPr>
        <w:t>Purchases of shares of common stock in the open market or in privately negotiated transactions by our co-sponsors, directors, officers, advisors or their affiliates may make it difficult for us to maintain the listing of our shares on a national securities exchange following the consummation of an initial business combination.</w:t>
      </w:r>
    </w:p>
    <w:p>
      <w:pPr>
        <w:spacing w:after="0" w:line="116"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If our co-sponsors, directors, officers, advisors or their affiliates purchase shares of common stock in the open market or in privately negotiated transactions, the public “float” of our shares of common stock and the number of beneficial holders of our securities would both be reduced, possibly making it difficult to maintain the listing or trading of our securities on a national securities exchange following consummation of the business combination.</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9" w:name="page30"/>
    <w:bookmarkEnd w:id="2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You will not have any rights or interests in funds from the trust account, except under certain limited circumstances. To liquidate your investment, therefore, you may be forced to sell your public shares, rights or warrants, potentially at a loss.</w:t>
      </w:r>
    </w:p>
    <w:p>
      <w:pPr>
        <w:spacing w:after="0" w:line="99"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Our public stockholders are entitled to receive funds from the trust account only in the event of a redemption to public stockholders prior to any winding up in the event we do not consummate our initial business combination or our liquidation, if they redeem their shares in connection with an initial business combination that we consummate, or if we seek to amend our certificate of incorporation to affect the substance or timing of our redemption obligation to redeem all public shares if we cannot complete an initial business combination within 15 months (or up to 18 months, as applicable) of the closing of this offering. 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 In no other circumstances will a stockholder have any right or interest of any kind to the funds in the trust account. Accordingly, to liquidate your investment, you may be forced to sell your public shares, rights or warrants, potentially at a loss.</w:t>
      </w:r>
    </w:p>
    <w:p>
      <w:pPr>
        <w:spacing w:after="0" w:line="178"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You will not be entitled to protections normally afforded to investors of many other blank check companies.</w:t>
      </w:r>
    </w:p>
    <w:p>
      <w:pPr>
        <w:spacing w:after="0" w:line="9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Because the net proceeds of this offering are intended to be used to complete our initial business combination with a target business that has not been identified, we may be deemed to be a “blank check” company under the United States securities laws. However, because we will have net tangible assets in excess of $5,000,000 upon the consummation of this offering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companies have that are subject to Rule 419. Moreover, offerings subject to Rule 419 would prohibit the release of any interest earned on funds held in the trust account to us. For a more detailed comparison of our offering to offerings that comply with Rule 419, please see “Proposed Business — Comparison to Offerings of Blank Check Companies Subject to Rule 419.”</w:t>
      </w:r>
    </w:p>
    <w:p>
      <w:pPr>
        <w:spacing w:after="0" w:line="175" w:lineRule="exact"/>
        <w:rPr>
          <w:sz w:val="20"/>
          <w:szCs w:val="20"/>
          <w:color w:val="auto"/>
        </w:rPr>
      </w:pPr>
    </w:p>
    <w:p>
      <w:pPr>
        <w:jc w:val="both"/>
        <w:ind w:left="460" w:right="459"/>
        <w:spacing w:after="0" w:line="261" w:lineRule="auto"/>
        <w:rPr>
          <w:sz w:val="20"/>
          <w:szCs w:val="20"/>
          <w:color w:val="auto"/>
        </w:rPr>
      </w:pPr>
      <w:r>
        <w:rPr>
          <w:rFonts w:ascii="Arial" w:cs="Arial" w:eastAsia="Arial" w:hAnsi="Arial"/>
          <w:sz w:val="18"/>
          <w:szCs w:val="18"/>
          <w:b w:val="1"/>
          <w:bCs w:val="1"/>
          <w:color w:val="auto"/>
        </w:rPr>
        <w:t>If we seek stockholder approval of our business combination and we do not conduct redemptions pursuant to the tender offer rules, and if you or a “group” of stockholders are deemed to hold in excess of 20% of our shares of common stock, you will lose the ability to redeem all such shares in excess of 20% of our shares of common stock.</w:t>
      </w:r>
    </w:p>
    <w:p>
      <w:pPr>
        <w:spacing w:after="0" w:line="116"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business combination pursuant to the tender offer rules, our certificate of incorporation provides that a public stockholder, individually or together with any affiliate of such stockholder or any other person with whom such stockholder is acting in concert or as a “group” (as defined under Section 13 of the Exchange Act), will be restricted from seeking redemption rights with respect to more than an aggregate of 20% of the shares sold in this offering. Your inability to redeem more than an aggregate of 20% of the shares sold in this offering will reduce your influence over our ability to consummate our initial business combination and you could suffer a material loss on your investment in us if you sell such excess shares in open market transactions. As a result, you will continue to hold that number of shares exceeding 20% and, in order to dispose of such shares, you would be required to sell your shares in open market transaction, potentially at a loss. Furthermore, 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 w:name="page31"/>
    <w:bookmarkEnd w:id="3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If the net proceeds of this offering not being held in the trust account are insufficient to allow us to operate for at least the next 15 months (or up to 18 months, as applicable), we may be unable to complete our initial business combination.</w:t>
      </w:r>
    </w:p>
    <w:p>
      <w:pPr>
        <w:spacing w:after="0" w:line="9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The funds available to us outside of the trust account may not be sufficient to allow us to operate for at least the next 15 months (or up to 18 months, as applicable), assuming that our initial business combination is not consummated during that time.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on terms more favorable to such target businesses) with respect to a particular proposed business combination, although we do not have any current intention to do so. If we are unable to fund such down payments or “no shop” provisions, our ability to close a contemplated transaction could be impaired. Furthermore,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stockholders may only receive a pro rata portion of the amount then in the trust account (which may be less than $10.10 per share) (whether or not the underwriters’ over-allotment option is exercised in full) on our redemption, and our rights and warrants will expire worthless.</w:t>
      </w:r>
    </w:p>
    <w:p>
      <w:pPr>
        <w:spacing w:after="0" w:line="163"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Subsequent to our consummation of our initial business combination, we may be required to take write-downs or write-offs, restructuring and impairment or other charges.</w:t>
      </w:r>
    </w:p>
    <w:p>
      <w:pPr>
        <w:spacing w:after="0" w:line="9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Even if we conduct thorough due diligence on a target business with which we combine, this diligence may not surface all material issues that may be present inside a particular target business. Even with thorough due diligence, we may not be able to uncover all material issues, and there may be factors outside of the target business and outside of our control that may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w:t>
      </w:r>
    </w:p>
    <w:p>
      <w:pPr>
        <w:spacing w:after="0" w:line="175" w:lineRule="exact"/>
        <w:rPr>
          <w:sz w:val="20"/>
          <w:szCs w:val="20"/>
          <w:color w:val="auto"/>
        </w:rPr>
      </w:pPr>
    </w:p>
    <w:p>
      <w:pPr>
        <w:jc w:val="both"/>
        <w:ind w:left="460" w:right="459"/>
        <w:spacing w:after="0" w:line="266" w:lineRule="auto"/>
        <w:rPr>
          <w:sz w:val="20"/>
          <w:szCs w:val="20"/>
          <w:color w:val="auto"/>
        </w:rPr>
      </w:pPr>
      <w:r>
        <w:rPr>
          <w:rFonts w:ascii="Arial" w:cs="Arial" w:eastAsia="Arial" w:hAnsi="Arial"/>
          <w:sz w:val="18"/>
          <w:szCs w:val="18"/>
          <w:b w:val="1"/>
          <w:bCs w:val="1"/>
          <w:color w:val="auto"/>
        </w:rPr>
        <w:t>Our directors may decide not to enforce indemnification obligations against our co-sponsors, resulting in a reduction in the amount of funds in the trust account available for distribution to our public stockholders.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In the event that the proceeds in the trust account are reduced below $10.10 per share (whether or not the underwriters’ overallotment option is exercised in full) and either of our co-sponsors asserts that it is unable to satisfy its obligations or that it has no indemnification obligations related to a particular claim, our independent directors would determine on our behalf whether to take legal action against such co-sponsor to enforce its indemnification obligations. While we currently expect that our independent directors would take legal action on our behalf against either co-sponsor to enforce its indemnification obligations to us, it is possible that our independent directors in exercising their business judgment may choose not to do so in any particular instance. If our independent directors choose not to enforce these indemnification obligations on our behalf, the amount of funds in the trust account available for distribution to our public stockholders may be reduced below $10.10 per share.</w:t>
      </w:r>
    </w:p>
    <w:p>
      <w:pPr>
        <w:spacing w:after="0" w:line="190"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9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 restrictions on the nature of our investments and restrictions on the issuance of securities, each of which may make it difficult for us to complete our initial business combination. In addition, we may have imposed upon us burdensome requirements, including registration as an investment company, adoption of a specific form of corporate structure and reporting, record keeping, voting, proxy and disclosure requirements and other rules and regulations.</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1" w:name="page32"/>
    <w:bookmarkEnd w:id="3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If we were deemed to be subject to the Investment Company Act, compliance with these additional regulatory burdens would require additional expenses for which we have not allotted funds and may hinder our ability to consummate our initial business combination.</w:t>
      </w:r>
    </w:p>
    <w:p>
      <w:pPr>
        <w:spacing w:after="0" w:line="180" w:lineRule="exact"/>
        <w:rPr>
          <w:sz w:val="20"/>
          <w:szCs w:val="20"/>
          <w:color w:val="auto"/>
        </w:rPr>
      </w:pPr>
    </w:p>
    <w:p>
      <w:pPr>
        <w:jc w:val="both"/>
        <w:ind w:left="460" w:right="459"/>
        <w:spacing w:after="0" w:line="266" w:lineRule="auto"/>
        <w:rPr>
          <w:sz w:val="20"/>
          <w:szCs w:val="20"/>
          <w:color w:val="auto"/>
        </w:rPr>
      </w:pPr>
      <w:r>
        <w:rPr>
          <w:rFonts w:ascii="Arial" w:cs="Arial" w:eastAsia="Arial" w:hAnsi="Arial"/>
          <w:sz w:val="18"/>
          <w:szCs w:val="18"/>
          <w:b w:val="1"/>
          <w:bCs w:val="1"/>
          <w:color w:val="auto"/>
        </w:rPr>
        <w:t>If we are unable to consummate our initial business combination, our public stockholders may be forced to wait up to 15 months (or up to 18 months, as applicable) or longer before redemption from our trust account.</w:t>
      </w:r>
    </w:p>
    <w:p>
      <w:pPr>
        <w:spacing w:after="0" w:line="11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If we are unable to consummate our initial business combination within 15 months (or up to 18 months, as applicable) from the closing of this offering, we will, as promptly as reasonably possible but not more than five business days thereafter (subject to our certificate of incorporation and applicable law), distribute the aggregate amount then on deposit in the trust account (net of taxes payable), pro rata to our public stockholders by way of redemption and cease all operations except for the purposes of winding up of our affairs by way of a voluntary liquidation, as further described herein. Any redemption of public stockholders from the trust account shall be effected as required by our certificate of incorporation prior to our commencing any voluntary liquidation. Except as otherwise described herein, we have no obligation to return funds to investors prior to the date of any redemption required as a result of our failure to consummate our initial business combination within the period described above or our liquidation, unless we consummate our initial business combination prior thereto and only then in cases where investors have sought to redeem their shares of common stock. Only upon any such redemption of public shares as we are required to effect or any liquidation will public stockholders be entitled to distributions if we are unable to complete our initial business combination.</w:t>
      </w:r>
    </w:p>
    <w:p>
      <w:pPr>
        <w:spacing w:after="0" w:line="170"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The grant of registration rights to our initial stockholders may make it more difficult to complete our initial business combination, and the future exercise of such rights may adversely affect the market price of our shares of common stock.</w:t>
      </w:r>
    </w:p>
    <w:p>
      <w:pPr>
        <w:spacing w:after="0" w:line="112"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Pursuant to an agreement to be entered into on the date of this prospectus, our initial stockholders, our co-sponsors (and/or our co-sponsors’ designees) and their permitted transferees can demand that we register the founder shares and the private warrants and the underlying securities. We will bear the cost of registering these securities. The registration and availability of such a significant number of securities for trading in the public market may have an adverse effect on the market price of our shares of common stock. In addition, the existence of the registration rights may make our initial business combination more costly or difficult to conclude. This is because the stockholder of the target business may increase the equity stake they seek in the combined entity or ask for more cash consideration to offset the negative impact on the market price of our shares of common stock that is expected when the securities owned by our co-sponsors, holders of our private warrants or their respective permitted transferees are registered. Chardan Capital Markets, LLC and its related persons may not, with respect to the private warrants (and the shares that are issuable upon exercise of the private warrants) purchased by Chardan Investments, (i) have more than one demand registration right at our expense, (ii) exercise their demand registration rights more than five (5) years from the effective date of the registration statement of which this prospectus forms a part, and (iii) exercise their “piggy-back” registration rights more than seven (7) years from the effective date of the registration statement of which this prospectus forms a part, as long as Chardan Capital Markets, LLC or any of its related persons are beneficial owners of private warrants.</w:t>
      </w:r>
    </w:p>
    <w:p>
      <w:pPr>
        <w:spacing w:after="0" w:line="187"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Because we have not selected a particular business or specific geographic location or any specific target businesses with which to pursue our initial business combination, you will be unable to ascertain the merits or risks of any particular target business’ operations.</w:t>
      </w:r>
    </w:p>
    <w:p>
      <w:pPr>
        <w:spacing w:after="0" w:line="9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Although we have a stated focus on certain target businesses in a specific geographic location as indicated elsewhere in this prospectus, we may pursue acquisition opportunities in any geographic region. While we may pursue an acquisition opportunity in any business industry or sector, we intend to initially focus on those industries or sectors that complement our management team’s background. Except for the limitations that a target business have a fair market value of at least 80% of the value of the trust account (excluding any taxes payable on the income earned on the trust account) and that we are not permitted to effectuate our initial business combination with another blank check company or similar company with nominal operations, we will have virtually unrestricted flexibility in identifying and selecting a prospective acquisition candidate. Because we have not yet identified or approached any specific target business with respect to our initial business combination, there is no basis to evaluate the possible merits or risks of any particular target business’s operations, results of operations, cash flows, liquidity, financial condition or prospects. To the extent we consummate our initial business combination, we may be affected by numerous risks inherent in the business operations with which we combine. For example, if we combine with a financially unstable business or an</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2" w:name="page33"/>
    <w:bookmarkEnd w:id="3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may not properly ascertain or assess all of the significant risk factors, or we may not have adequate time to complete due diligence with respect to the target business and its industry. Furthermore, some of these risks may be outside of our control and leave us with no ability to control or reduce the chances that those risks will adversely impact a target business. In addition, investors will be relying on the business judgment of our board of directors, which will have significant discretion in choosing the standard used to establish the fair market value of a particular target business. An investment in our units may not ultimately prove to be more favorable to investors than a direct investment, if such opportunity were available, in an acquisition target.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Relating to Completing a Business Combination</w:t>
      </w:r>
    </w:p>
    <w:p>
      <w:pPr>
        <w:spacing w:after="0" w:line="225"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The ability of our public stockholders to exercise their redemption rights may not allow us to effectuate the most desirable business combination or optimize our capital structure.</w:t>
      </w:r>
    </w:p>
    <w:p>
      <w:pPr>
        <w:spacing w:after="0" w:line="9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If our initial business combination requires us to use substantially all of our cash to pay the purchase price, because we will not know how many public stockholders may exercise redemption rights, we may either need to reserve part of the trust account for possible payment upon such redemption, or we may need to arrange third party financing to help fund our initial business combination. In the event that the acquisition involves the issuance of our stock as consideration, we may be required to issue a higher percentage of our stock to make up for a shortfall in funds.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174"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A public stockholder who fails to vote either in favor of or against a proposed business combination may not be able to have his, her or its shares redeemed for cash.</w:t>
      </w:r>
    </w:p>
    <w:p>
      <w:pPr>
        <w:spacing w:after="0" w:line="9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173"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7"/>
          <w:szCs w:val="17"/>
          <w:b w:val="1"/>
          <w:bCs w:val="1"/>
          <w:color w:val="auto"/>
        </w:rPr>
        <w:t>We will require public stockholders who wish to redeem their shares of common stock in connection with a proposed business combination or amendment to our certificate of incorporation to effect the substance or timing of their redemption obligation if we fail to timely complete a business combination to comply with specific requirements for redemption that may make it more difficult for them to exercise their redemption rights prior to the deadline for exercising their rights.</w:t>
      </w:r>
    </w:p>
    <w:p>
      <w:pPr>
        <w:spacing w:after="0" w:line="91"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We will require our public stockholders seeking to exercise their redemption rights, whether they are record holders or hold their shares in “street name,” to either tender their certificates to our transfer agent prior to the expiration date set forth in the tender offer documents mailed to such holders, or in the event we distribute proxy materials, up to two business days prior to the vote on the proposal to approve the business combination or amendment to our certificate of incorporation to affect the substance or timing of our redemption obligation to redeem all public shares if we cannot complete an initial business combination, or to deliver their shares to the transfer agent electronically using Depository Trust Company’s DWAC (Deposit/Withdrawal At Custodian) System, at the holder’s option. In order to obtain a physical stock certificate, a stockholder’s broker and/or clearing broker, DTC and our transfer agent will need to act to facilitate this request. It is our understanding that stockholders should generally allot at least two weeks to obtain physical certificates from the transfer agent. However, because we do not have any control over this process or over the brokers or DTC, it may take significantly longer than two weeks to obtain a physical stock certificate. While we have been advised that it takes a short time to deliver shares through the DWAC System, this may not be the case. Under Delaware law, we are required to provide at least 10 days’ advance notice of any stockholder meeting, which would be the minimum amount of time a stockholder would have to determine whether to exercise redemption rights. Accordingly, if it takes longer than we anticipate for stockholders to deliver their shares, stockholders who wish to redeem may be unable to meet the deadline for exercising their redemption rights and thus may be unable to redeem their shares.</w:t>
      </w:r>
    </w:p>
    <w:p>
      <w:pPr>
        <w:sectPr>
          <w:pgSz w:w="11900" w:h="16838" w:orient="portrait"/>
          <w:cols w:equalWidth="0" w:num="1">
            <w:col w:w="9019"/>
          </w:cols>
          <w:pgMar w:left="1440" w:top="274"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3" w:name="page34"/>
    <w:bookmarkEnd w:id="3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Redeeming stockholders may be unable to sell their securities when they wish to in the event that the proposed business combination is not approved.</w:t>
      </w:r>
    </w:p>
    <w:p>
      <w:pPr>
        <w:spacing w:after="0" w:line="85"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We will require public stockholders who wish to redeem their shares of common stock in connection with any proposed business combination to comply with the delivery requirements discussed above for redemption. If such proposed business combination is not consummated, we will promptly return such certificates to the tendering public stockholders. Accordingly, investors who attempted to redeem their shares in such a circumstance will be unable to sell their securities after the failed acquisition until we have returned their securities to them. The market price for our shares of common stock may decline during this time, and you may not be able to sell your securities when you wish, even while other stockholders that did not seek redemption may be able to sell their securities.</w:t>
      </w:r>
    </w:p>
    <w:p>
      <w:pPr>
        <w:spacing w:after="0" w:line="174"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Because of our structure, other companies may have a competitive advantage and we may not be able to consummate an attractive business combination.</w:t>
      </w:r>
    </w:p>
    <w:p>
      <w:pPr>
        <w:spacing w:after="0" w:line="9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expect to encounter intense competition from entities other than blank check companies having a business objective similar to ours, including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Therefore, our ability to compete in acquiring certain sizable target businesses may be limited by our available financial resources. This inherent competitive limitation gives others an advantage in pursuing the acquisition of certain target businesses. Furthermore, seeking stockholder approval of our initial business combination may delay the consummation of a transaction. Any of the foregoing may place us at a competitive disadvantage in successfully negotiating our initial business combination.</w:t>
      </w:r>
    </w:p>
    <w:p>
      <w:pPr>
        <w:spacing w:after="0" w:line="178"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Our Certificate of Incorporation contains provisions that prohibit our engaging in business combinations with interested stockholders in certain circumstances.</w:t>
      </w:r>
    </w:p>
    <w:p>
      <w:pPr>
        <w:spacing w:after="0" w:line="98"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We have opted out of Section 203 of the Delaware General Corporate Law, or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06" w:lineRule="exact"/>
        <w:rPr>
          <w:sz w:val="20"/>
          <w:szCs w:val="20"/>
          <w:color w:val="auto"/>
        </w:rPr>
      </w:pPr>
    </w:p>
    <w:p>
      <w:pPr>
        <w:ind w:left="1320" w:right="459" w:hanging="434"/>
        <w:spacing w:after="0" w:line="277" w:lineRule="auto"/>
        <w:tabs>
          <w:tab w:leader="none" w:pos="1608"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02" w:lineRule="exact"/>
        <w:rPr>
          <w:rFonts w:ascii="Arial" w:cs="Arial" w:eastAsia="Arial" w:hAnsi="Arial"/>
          <w:sz w:val="18"/>
          <w:szCs w:val="18"/>
          <w:color w:val="auto"/>
        </w:rPr>
      </w:pPr>
    </w:p>
    <w:p>
      <w:pPr>
        <w:jc w:val="both"/>
        <w:ind w:left="1320" w:right="479" w:hanging="434"/>
        <w:spacing w:after="0" w:line="263" w:lineRule="auto"/>
        <w:tabs>
          <w:tab w:leader="none" w:pos="1513" w:val="left"/>
        </w:tabs>
        <w:numPr>
          <w:ilvl w:val="0"/>
          <w:numId w:val="14"/>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16" w:lineRule="exact"/>
        <w:rPr>
          <w:rFonts w:ascii="Arial" w:cs="Arial" w:eastAsia="Arial" w:hAnsi="Arial"/>
          <w:sz w:val="18"/>
          <w:szCs w:val="18"/>
          <w:color w:val="auto"/>
        </w:rPr>
      </w:pPr>
    </w:p>
    <w:p>
      <w:pPr>
        <w:jc w:val="both"/>
        <w:ind w:left="1320" w:right="459" w:hanging="434"/>
        <w:spacing w:after="0" w:line="263" w:lineRule="auto"/>
        <w:tabs>
          <w:tab w:leader="none" w:pos="13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66⅔% of the outstanding voting stock that is not owned by the interested stockholder.</w:t>
      </w:r>
    </w:p>
    <w:p>
      <w:pPr>
        <w:spacing w:after="0" w:line="103"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Generally, a “business combination” includes a merger, asset or stock sale or certain other transactions with the interested stockholder. Subject to certain exceptions, an “interested stockholder” is a person who, together with that person’s affiliates and associates, owns, or within the previous three years owned, 20% or more of our voting stock</w:t>
      </w:r>
    </w:p>
    <w:p>
      <w:pPr>
        <w:spacing w:after="0" w:line="11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 w:name="page35"/>
    <w:bookmarkEnd w:id="3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amended and restated certificate of incorporation provides that our co-sponsors and their respective affiliates, any of their respective direct or indirect transferees of at least 20% of our outstanding common stock and any group as to which such persons are party to, do not constitute “interested stockholders” for purposes of this provision.</w:t>
      </w:r>
    </w:p>
    <w:p>
      <w:pPr>
        <w:spacing w:after="0" w:line="183" w:lineRule="exact"/>
        <w:rPr>
          <w:sz w:val="20"/>
          <w:szCs w:val="20"/>
          <w:color w:val="auto"/>
        </w:rPr>
      </w:pPr>
    </w:p>
    <w:p>
      <w:pPr>
        <w:jc w:val="both"/>
        <w:ind w:left="460" w:right="459"/>
        <w:spacing w:after="0" w:line="256" w:lineRule="auto"/>
        <w:rPr>
          <w:sz w:val="20"/>
          <w:szCs w:val="20"/>
          <w:color w:val="auto"/>
        </w:rPr>
      </w:pPr>
      <w:r>
        <w:rPr>
          <w:rFonts w:ascii="Arial" w:cs="Arial" w:eastAsia="Arial" w:hAnsi="Arial"/>
          <w:sz w:val="18"/>
          <w:szCs w:val="18"/>
          <w:b w:val="1"/>
          <w:bCs w:val="1"/>
          <w:color w:val="auto"/>
        </w:rPr>
        <w:t>We may be unable to obtain additional financing to complete our initial business combination or to fund the operations and growth of a target business, which could compel us to restructure or abandon a particular business combination. If we are unable to complete our initial business combination, our public stockholders may only receive $10.10 per share or even less (whether or not the underwriters’ over-allotment option is exercised in full) on our redemption, and the rights and warrants will expire worthless.</w:t>
      </w:r>
    </w:p>
    <w:p>
      <w:pPr>
        <w:spacing w:after="0" w:line="124"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Although we believe that the net proceeds of this offering will be sufficient to allow us to consummate our initial business combination, because we have not yet identified any prospective target business we cannot ascertain the capital requirements for any particular transaction or our costs to operate or locate a transaction. If the net proceeds of this offering prove to be insufficient, either because of the size of our initial business combination, the depletion of the available net proceeds in search of a target business, the obligation to repurchase for cash a significant number of shares from stockholders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Financing may not be available on acceptable terms, if at all. The current economic environment, including due to the effects of the COVID-19 pandemic, has made it especially difficult for companies to obtain acquisition financing. To the extent that additional financing proves to be unavailable when needed to consummate our initial business combination, we would be compelled to either restructure the transaction or abandon that particular initial business combination and seek an alternative target business candidate. If we are unable to complete our initial business combination, our public stockholders may only receive $10.10 per share or even less (whether or not the underwriters’ over-allotment option is exercised in full) on our redemption, and the rights and warrants will expire worthless. In addition, even if we do not need additional financing to consummate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w:t>
      </w:r>
    </w:p>
    <w:p>
      <w:pPr>
        <w:spacing w:after="0" w:line="181" w:lineRule="exact"/>
        <w:rPr>
          <w:sz w:val="20"/>
          <w:szCs w:val="20"/>
          <w:color w:val="auto"/>
        </w:rPr>
      </w:pPr>
    </w:p>
    <w:p>
      <w:pPr>
        <w:jc w:val="both"/>
        <w:ind w:left="460" w:right="479"/>
        <w:spacing w:after="0" w:line="312" w:lineRule="auto"/>
        <w:rPr>
          <w:sz w:val="20"/>
          <w:szCs w:val="20"/>
          <w:color w:val="auto"/>
        </w:rPr>
      </w:pPr>
      <w:r>
        <w:rPr>
          <w:rFonts w:ascii="Arial" w:cs="Arial" w:eastAsia="Arial" w:hAnsi="Arial"/>
          <w:sz w:val="17"/>
          <w:szCs w:val="17"/>
          <w:b w:val="1"/>
          <w:bCs w:val="1"/>
          <w:color w:val="auto"/>
        </w:rPr>
        <w:t>Our co-sponsors control a substantial interest in us and thus may exert a substantial influence on actions requiring a stockholder vote, potentially in a manner that you do not support.</w:t>
      </w:r>
    </w:p>
    <w:p>
      <w:pPr>
        <w:spacing w:after="0" w:line="76"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Upon closing of this offering, our initial stockholders and co-sponsors (and/or their designees) collectively will own 20% of our issued and outstanding shares of common stock (assuming they do not purchase any units in this offering). Accordingly, they may exert a substantial influence on actions requiring a stockholder vote, potentially in a manner that you do not support, including amendments to our certificate of incorporation. If our co-sponsors purchase any units in this offering or if our co-sponsors purchase any additional shares of common stock in the aftermarket or in privately negotiated transactions, this would increase their control. Factors that would be considered in making such additional purchases would include consideration of the current trading price of our shares of common stock.</w:t>
      </w:r>
    </w:p>
    <w:p>
      <w:pPr>
        <w:spacing w:after="0" w:line="174"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7"/>
          <w:szCs w:val="17"/>
          <w:b w:val="1"/>
          <w:bCs w:val="1"/>
          <w:color w:val="auto"/>
        </w:rPr>
        <w:t>Our initial stockholders paid an aggregate of $25,000 for their shares, and, accordingly, you will experience immediate and substantial dilution from the purchase of our shares of common stock.</w:t>
      </w:r>
    </w:p>
    <w:p>
      <w:pPr>
        <w:spacing w:after="0" w:line="6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difference between the public offering price per share (allocating all of the unit purchase price to the shares of common stock included in a unit and none to the rights and warrants included in a unit) and the pro forma net tangible book value per share after this offering constitutes the dilution to you and the other investors in this offering. Our initial stockholders acquired the founder shares at a nominal price, significantly contributing to this dilution. Upon closing of this offering, you and the other public stockholders will incur an immediate and substantial dilution of approximately 89.3% or $8.50 per share (the difference between the pro forma net tangible book value per share of $1.02 and the initial offering price of $9.52 per share immediately upon the closing of this offering (including the shares of common stock issuable upon conversion of rights)), or approximately 90.6% dilution or $8.62 per share (the difference between the pro forma net tangible book value per share of $0.90 and the initial offering price of $9.52 per share (including the shares of common stock issuable upon conversion of rights)) if the over-allotment is fully exercised.</w:t>
      </w:r>
    </w:p>
    <w:p>
      <w:pPr>
        <w:sectPr>
          <w:pgSz w:w="11900" w:h="16838" w:orient="portrait"/>
          <w:cols w:equalWidth="0" w:num="1">
            <w:col w:w="9019"/>
          </w:cols>
          <w:pgMar w:left="1440" w:top="274" w:right="1440"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5" w:name="page36"/>
    <w:bookmarkEnd w:id="3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A provision of our warrant agreement may make it more difficult for use to consummate an initial business combination.</w:t>
      </w:r>
    </w:p>
    <w:p>
      <w:pPr>
        <w:spacing w:after="0" w:line="85"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Unlike most blank check companies, if we issue additional shares of common stock or equity-linked securities for capital raising purposes in connection with the closing of our initial business combination at a newly issued price of less than $9.20 per share of common stock, then the exercise price of the warrants will be adjusted to be equal to 115% of the newly issued price and the $16.50 per share redemption trigger price will be adjusted (to the nearest cent) to be equal to 165% of the market value (the volume weighted average trading price of the common stock during the 20 trading day period starting on the trading day prior to the consummation of an initial business combination). This may make it more difficult for us to consummate an initial business combination with a target business.</w:t>
      </w:r>
    </w:p>
    <w:p>
      <w:pPr>
        <w:spacing w:after="0" w:line="174" w:lineRule="exact"/>
        <w:rPr>
          <w:sz w:val="20"/>
          <w:szCs w:val="20"/>
          <w:color w:val="auto"/>
        </w:rPr>
      </w:pPr>
    </w:p>
    <w:p>
      <w:pPr>
        <w:jc w:val="both"/>
        <w:ind w:left="460" w:right="459"/>
        <w:spacing w:after="0" w:line="258" w:lineRule="auto"/>
        <w:rPr>
          <w:sz w:val="20"/>
          <w:szCs w:val="20"/>
          <w:color w:val="auto"/>
        </w:rPr>
      </w:pPr>
      <w:r>
        <w:rPr>
          <w:rFonts w:ascii="Arial" w:cs="Arial" w:eastAsia="Arial" w:hAnsi="Arial"/>
          <w:sz w:val="18"/>
          <w:szCs w:val="18"/>
          <w:b w:val="1"/>
          <w:bCs w:val="1"/>
          <w:color w:val="auto"/>
        </w:rPr>
        <w:t>Although we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20"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Although we have identified specific criteria and guidelines for evaluating prospective target businesses, it is possible that a target business with which we enter into our initial business combination will not have all of these attributes. If we consummate our initial business combination with a target that does not meet some or all of these guidelines, such combination may not be as successful as a combination with a business that does meet all of our general criteria and guidelines. In addition, if we announce our initial business combination with a target that does not meet our general criteria and guidelines, a greater number of stockholders may exercise its redemption rights, which may make it difficult for us to meet any closing condition with a target business that requires us to have a minimum net worth or a certain amount of cash. In addition, if stockholder approval of the transaction is required by law or Nasdaq, or we decide to obtain stockholder approval for business or other legal reasons, it may be more difficult for us to attain stockholder approval of our initial business combination if the target business does not meet our general criteria and guidelines. If we are unable to complete our initial business combination, our public stockholders may only receive $10.10 per share or even less (whether or not the underwriters’ over-allotment option is exercised in full) on our redemption, and our rights and warrants will expire worthless.</w:t>
      </w:r>
    </w:p>
    <w:p>
      <w:pPr>
        <w:spacing w:after="0" w:line="180" w:lineRule="exact"/>
        <w:rPr>
          <w:sz w:val="20"/>
          <w:szCs w:val="20"/>
          <w:color w:val="auto"/>
        </w:rPr>
      </w:pPr>
    </w:p>
    <w:p>
      <w:pPr>
        <w:jc w:val="both"/>
        <w:ind w:left="460" w:right="459"/>
        <w:spacing w:after="0" w:line="314" w:lineRule="auto"/>
        <w:rPr>
          <w:sz w:val="20"/>
          <w:szCs w:val="20"/>
          <w:color w:val="auto"/>
        </w:rPr>
      </w:pPr>
      <w:r>
        <w:rPr>
          <w:rFonts w:ascii="Arial" w:cs="Arial" w:eastAsia="Arial" w:hAnsi="Arial"/>
          <w:sz w:val="16"/>
          <w:szCs w:val="16"/>
          <w:b w:val="1"/>
          <w:bCs w:val="1"/>
          <w:color w:val="auto"/>
        </w:rPr>
        <w:t>Management’s flexibility in identifying and selecting a prospective acquisition candidate, along with our management’s financial interest in consummating our initial business combination, may lead management to enter into an acquisition agreement that is not in the best interest of our stockholders.</w:t>
      </w:r>
    </w:p>
    <w:p>
      <w:pPr>
        <w:spacing w:after="0" w:line="7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Subject to the requirement that our initial business combination must be with one or more target businesses or assets having an aggregate fair market value of at least 80% of the value of the trust account (excluding any taxes payable on the income earned on the trust account) at the time of the agreement to enter into such initial business combination, we will have virtually unrestricted flexibility in identifying and selecting a prospective acquisition candidate. Investors will be relying on management’s ability to identify business combinations, evaluate their merits, conduct or monitor diligence and conduct negotiations. Management’s flexibility in identifying and selecting a prospective acquisition candidate, along with management’s financial interest in consummating our initial business combination, may lead management to enter into an acquisition agreement that is not in the best interest of our stockholders, which would be the case if the trading price of our shares of common stock after giving effect to such business combination was less than the per-share trust liquidation value that our stockholders would have received if we had dissolved without consummating our initial business combination.</w:t>
      </w:r>
    </w:p>
    <w:p>
      <w:pPr>
        <w:spacing w:after="0" w:line="175" w:lineRule="exact"/>
        <w:rPr>
          <w:sz w:val="20"/>
          <w:szCs w:val="20"/>
          <w:color w:val="auto"/>
        </w:rPr>
      </w:pPr>
    </w:p>
    <w:p>
      <w:pPr>
        <w:jc w:val="both"/>
        <w:ind w:left="460" w:right="459"/>
        <w:spacing w:after="0" w:line="314" w:lineRule="auto"/>
        <w:rPr>
          <w:sz w:val="20"/>
          <w:szCs w:val="20"/>
          <w:color w:val="auto"/>
        </w:rPr>
      </w:pPr>
      <w:r>
        <w:rPr>
          <w:rFonts w:ascii="Arial" w:cs="Arial" w:eastAsia="Arial" w:hAnsi="Arial"/>
          <w:sz w:val="16"/>
          <w:szCs w:val="16"/>
          <w:b w:val="1"/>
          <w:bCs w:val="1"/>
          <w:color w:val="auto"/>
        </w:rPr>
        <w:t>We are not required to obtain an opinion from an independent investment banking firm in connection with a business combination, and consequently, an independent source may not confirm that the price we are paying for the business is fair to our stockholders from a financial point of view.</w:t>
      </w:r>
    </w:p>
    <w:p>
      <w:pPr>
        <w:spacing w:after="0" w:line="65" w:lineRule="exact"/>
        <w:rPr>
          <w:sz w:val="20"/>
          <w:szCs w:val="20"/>
          <w:color w:val="auto"/>
        </w:rPr>
      </w:pPr>
    </w:p>
    <w:p>
      <w:pPr>
        <w:jc w:val="both"/>
        <w:ind w:left="460" w:right="479" w:firstLine="432"/>
        <w:spacing w:after="0" w:line="273" w:lineRule="auto"/>
        <w:rPr>
          <w:sz w:val="20"/>
          <w:szCs w:val="20"/>
          <w:color w:val="auto"/>
        </w:rPr>
      </w:pPr>
      <w:r>
        <w:rPr>
          <w:rFonts w:ascii="Arial" w:cs="Arial" w:eastAsia="Arial" w:hAnsi="Arial"/>
          <w:sz w:val="17"/>
          <w:szCs w:val="17"/>
          <w:color w:val="auto"/>
        </w:rPr>
        <w:t>Unless we consummate our initial business combination with an affiliated entity, we are not required to obtain an opinion from an independent investment banking firm that the price we are paying is fair to our stockholders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tender offer documents or proxy solicitation materials, as applicable, related to our initial business combination.</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6" w:name="page37"/>
    <w:bookmarkEnd w:id="3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386" w:lineRule="auto"/>
        <w:rPr>
          <w:sz w:val="20"/>
          <w:szCs w:val="20"/>
          <w:color w:val="auto"/>
        </w:rPr>
      </w:pPr>
      <w:r>
        <w:rPr>
          <w:rFonts w:ascii="Arial" w:cs="Arial" w:eastAsia="Arial" w:hAnsi="Arial"/>
          <w:sz w:val="15"/>
          <w:szCs w:val="15"/>
          <w:b w:val="1"/>
          <w:bCs w:val="1"/>
          <w:color w:val="auto"/>
        </w:rPr>
        <w:t>We may seek investment opportunities outside our management’s area of expertise and our management may not be able to adequately ascertain or assess all significant risks associated with the target company.</w:t>
      </w:r>
    </w:p>
    <w:p>
      <w:pPr>
        <w:spacing w:after="0" w:line="1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There is no limitation on the industry or business sector we may consider when contemplating our initial business combination. We may therefore be presented with a business combination candidate in an industry unfamiliar to our management team, but determine that such candidate offers an attractive investment opportunity for our company. In the event we elect to pursue an investment outside of our management’s expertise, our management’s experience may not be directly applicable to the target business or the evaluation of its operations.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Resources could be wasted in researching acquisitions that are not consummated.</w:t>
      </w:r>
    </w:p>
    <w:p>
      <w:pPr>
        <w:spacing w:after="0" w:line="16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consummate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only receive $10.10 per share or even less (whether or not the underwriters’ over-allotment option is exercised in full) on our redemption, and our rights and warrants will expire worthless.</w:t>
      </w:r>
    </w:p>
    <w:p>
      <w:pPr>
        <w:spacing w:after="0" w:line="178"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Our ability to successfully effect our initial business combination and to be successful thereafter will be largely dependent upon the efforts of our officers, directors and key personnel, some of whom may join us following our initial business combination.</w:t>
      </w:r>
    </w:p>
    <w:p>
      <w:pPr>
        <w:spacing w:after="0" w:line="112"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Our operations are dependent upon a relatively small group of individuals and, in particular, our officers and directors. We believe that our success depends on the continued service of our officers and directors, at least until we have consummated our initial business combination. In addition, our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 We do not have an employment agreement with, or key-man insurance on the life of, any of our directors or officers. The unexpected loss of the services of one or more of our directors or officers could have a detrimental effect on us.</w:t>
      </w:r>
    </w:p>
    <w:p>
      <w:pPr>
        <w:spacing w:after="0" w:line="97"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The role of such persons in the target business, however, cannot presently be ascertained. Although some of such persons may remain with the target business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our assessment of these individuals may not prove to be correct. These individuals may be unfamiliar with the requirements of operating a company regulated by the SEC, which could cause us to have to expend time and resources helping them become familiar with such requirements.</w:t>
      </w:r>
    </w:p>
    <w:p>
      <w:pPr>
        <w:spacing w:after="0" w:line="162" w:lineRule="exact"/>
        <w:rPr>
          <w:sz w:val="20"/>
          <w:szCs w:val="20"/>
          <w:color w:val="auto"/>
        </w:rPr>
      </w:pPr>
    </w:p>
    <w:p>
      <w:pPr>
        <w:jc w:val="both"/>
        <w:ind w:left="460" w:right="459"/>
        <w:spacing w:after="0" w:line="303" w:lineRule="auto"/>
        <w:rPr>
          <w:sz w:val="20"/>
          <w:szCs w:val="20"/>
          <w:color w:val="auto"/>
        </w:rPr>
      </w:pPr>
      <w:r>
        <w:rPr>
          <w:rFonts w:ascii="Arial" w:cs="Arial" w:eastAsia="Arial" w:hAnsi="Arial"/>
          <w:sz w:val="16"/>
          <w:szCs w:val="16"/>
          <w:b w:val="1"/>
          <w:b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87"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Our key personnel may be able to remain with us after the consummation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consummation of the business combination. The personal and financial interests of such individuals may influence their motivation in identifying and selecting a target business. However, we believe the ability of such individuals to remain with us after the consummation of our initial business combination will not be the determining factor in our decision as to whether or not we will proceed with any potential business combination. There is no certainty, however, that any of our key personnel will remain with us after the consummation of our initial business combination. Our key personnel may not remain in senior management or advisory positions with us. The determination as to whether any of our key personnel will remain with us will be made at the time of our initial business combination.</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7" w:name="page38"/>
    <w:bookmarkEnd w:id="3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We may have a limited ability to assess the management of a prospective target business and, as a result, may effectuate our initial business combination with a target business whose management may not have the skills, qualifications or abilities to manage a public company.</w:t>
      </w:r>
    </w:p>
    <w:p>
      <w:pPr>
        <w:spacing w:after="0" w:line="99"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When evaluating the desirability of effecting our initial business combination with a prospective target business, our ability to assess the target business’ management may be limited due to a lack of time, resources or information. Our assessment of the capabilities of the target’s management, therefore, may prove to be incorrect, and such management may lack the expected skills, qualifications or abilities. Should the target’s management not possess the skills, qualifications or abilities necessary to manage a public company, the operations and profitability of the post-combination business may be negatively impacted.</w:t>
      </w:r>
    </w:p>
    <w:p>
      <w:pPr>
        <w:spacing w:after="0" w:line="174"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The officers and directors of an acquisition candidate may resign upon consummation of our initial business combination. The loss of an acquisition target’s key personnel could negatively impact the operations and profitability of our post-combination business.</w:t>
      </w:r>
    </w:p>
    <w:p>
      <w:pPr>
        <w:spacing w:after="0" w:line="11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role of an acquisition candidate’s key personnel upon the consummation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some members of the management team of an acquisition candidate will not wish to remain in place.</w:t>
      </w:r>
    </w:p>
    <w:p>
      <w:pPr>
        <w:spacing w:after="0" w:line="184" w:lineRule="exact"/>
        <w:rPr>
          <w:sz w:val="20"/>
          <w:szCs w:val="20"/>
          <w:color w:val="auto"/>
        </w:rPr>
      </w:pPr>
    </w:p>
    <w:p>
      <w:pPr>
        <w:jc w:val="both"/>
        <w:ind w:left="460" w:right="479"/>
        <w:spacing w:after="0" w:line="314" w:lineRule="auto"/>
        <w:rPr>
          <w:sz w:val="20"/>
          <w:szCs w:val="20"/>
          <w:color w:val="auto"/>
        </w:rPr>
      </w:pPr>
      <w:r>
        <w:rPr>
          <w:rFonts w:ascii="Arial" w:cs="Arial" w:eastAsia="Arial" w:hAnsi="Arial"/>
          <w:sz w:val="16"/>
          <w:szCs w:val="16"/>
          <w:b w:val="1"/>
          <w:bCs w:val="1"/>
          <w:color w:val="auto"/>
        </w:rPr>
        <w:t>Certain of our officers and directors are affiliated with entities engaged in business activities similar to those intended to be conducted by us and, accordingly, may have conflicts of interest in allocating their time and determining to which entity a particular business opportunity should be presented.</w:t>
      </w:r>
    </w:p>
    <w:p>
      <w:pPr>
        <w:spacing w:after="0" w:line="78"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Following the completion of this offering and until we consummate our business combination, we intend to engage in the business of identifying and combining with one or more businesses. Certain of our executive officers and directors are affiliated with entities that are engaged in a similar business.</w:t>
      </w:r>
    </w:p>
    <w:p>
      <w:pPr>
        <w:spacing w:after="0" w:line="84"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Our officers and directors may become aware of business opportunities which may be appropriate for presentation to us and the other entities to which they owe certain fiduciary duties. Accordingly, they may have conflicts of interest in determining to which entity a particular business opportunity should be presented.</w:t>
      </w:r>
    </w:p>
    <w:p>
      <w:pPr>
        <w:spacing w:after="0" w:line="81"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For example, Messrs. Grossman and Weil are affiliated with Chardan Capital Markets, LLC, which is also the underwriter in this offering. Each of Mr. Grossman and Mr. Weil owes a pre-existing fiduciary duty to Chardan Capital Markets, LLC, meaning that each may present opportunities to Chardan Capital Markets, LLC prior to presenting them to us, if, for example, a potential target company is open to either raising funds in an offering or engaging in a transaction with a blank check company. This may limit the number of potential targets these individuals present to us for purposes of completing a business combination. Furthermore, Mr. Grossman is a director of each of LifeSci Acquisition Corp. and Chardan Healthcare Acquisition 2 Corp., and an officer of Chardan Healthcare Acquisition 2 Corp. Mr. Levin is a director of 10X Capital Venture Acquisition Corp. Each of LifeSci Acquisition Corp., Chardan Healthcare Acquisition 2 Corp. and 10X Capital Venture Acquisition Corp. is a special purpose acquisition company that is seeking a target for a business combination. These entities may have priority over us in connection with potential target business identified by each of them. These affiliations may limit the number of potential targets these individuals present to us for purposes of completing a business combination.</w:t>
      </w:r>
    </w:p>
    <w:p>
      <w:pPr>
        <w:spacing w:after="0" w:line="119"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Any conflict of interest may not be resolved in our favor, and potential target businesses may be presented to another entity prior to their presentation to us.</w:t>
      </w:r>
    </w:p>
    <w:p>
      <w:pPr>
        <w:spacing w:after="0" w:line="166" w:lineRule="exact"/>
        <w:rPr>
          <w:sz w:val="20"/>
          <w:szCs w:val="20"/>
          <w:color w:val="auto"/>
        </w:rPr>
      </w:pPr>
    </w:p>
    <w:p>
      <w:pPr>
        <w:jc w:val="both"/>
        <w:ind w:left="460" w:right="479"/>
        <w:spacing w:after="0" w:line="289" w:lineRule="auto"/>
        <w:rPr>
          <w:sz w:val="20"/>
          <w:szCs w:val="20"/>
          <w:color w:val="auto"/>
        </w:rPr>
      </w:pPr>
      <w:r>
        <w:rPr>
          <w:rFonts w:ascii="Arial" w:cs="Arial" w:eastAsia="Arial" w:hAnsi="Arial"/>
          <w:sz w:val="17"/>
          <w:szCs w:val="17"/>
          <w:b w:val="1"/>
          <w:bCs w:val="1"/>
          <w:color w:val="auto"/>
        </w:rPr>
        <w:t>Certain shares beneficially owned by our officers and directors will not participate in liquidation distributions and, therefore, our officers and directors may have a conflict of interest in determining whether a particular target business is appropriate for our initial business combination.</w:t>
      </w:r>
    </w:p>
    <w:p>
      <w:pPr>
        <w:spacing w:after="0" w:line="81"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officers and directors have waived their right to redeem any shares in connection with our initial business combination, or to receive distributions with respect to their founder shares upon our liquidation if we are unable to consummate our initial business combination. Accordingly, these securities will be worthless if we do not consummate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 w:name="page39"/>
    <w:bookmarkEnd w:id="3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our initial business combination. Any warrants they hold, like those held by the public, will also be worthless if we do not consummate an initial business combination. 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w:t>
      </w:r>
    </w:p>
    <w:p>
      <w:pPr>
        <w:spacing w:after="0" w:line="160"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We may engage in our initial business combination with one or more target businesses that have relationships with entities that may be affiliated with our executive officers, directors or existing holders, which may raise potential conflicts of interest.</w:t>
      </w:r>
    </w:p>
    <w:p>
      <w:pPr>
        <w:spacing w:after="0" w:line="112"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light of the involvement of our co-sponsors, officers and directors with other entities, we may decide to acquire one or more businesses affiliated with our co-sponsors, officers and directors. Our directors also serve as officers and board members for other entities. Our co-sponsors, officers and directors are not currently aware of any specific opportunities for us to consummate our initial business combination with any entities with which they are affiliated, and there have been no preliminary discussions concerning a business combination with any entity or entities. Although we will not be specifically focusing on, or targeting, any transaction with any affiliated entities, we would pursue such a transaction if we determined that such affiliated entity met our criteria for our initial business combination as set forth in “Proposed Business — Investment Criteria” and such transaction was approved by a majority of our disinterested directors. Despite our agreement to obtain an opinion in connection with such transaction from an independent investment banking firm, or another independent entity that commonly renders valuation opinions on the type of target business we seek to acquire, regarding the fairness to our stockholders from a financial point of view of a business combination with one or more domestic or international businesses affiliated with our executive officers, directors or existing holders, potential conflicts of interest still may exist and, as a result, the terms of the business combination may not be as advantageous to our public stockholders as they would be absent any conflicts of interest. Our directors have a fiduciary duty to act in the best interests of our stockholders, whether or not a conflict of interest may exist.</w:t>
      </w:r>
    </w:p>
    <w:p>
      <w:pPr>
        <w:spacing w:after="0" w:line="165" w:lineRule="exact"/>
        <w:rPr>
          <w:sz w:val="20"/>
          <w:szCs w:val="20"/>
          <w:color w:val="auto"/>
        </w:rPr>
      </w:pPr>
    </w:p>
    <w:p>
      <w:pPr>
        <w:jc w:val="both"/>
        <w:ind w:left="460" w:right="479"/>
        <w:spacing w:after="0" w:line="261" w:lineRule="auto"/>
        <w:rPr>
          <w:sz w:val="20"/>
          <w:szCs w:val="20"/>
          <w:color w:val="auto"/>
        </w:rPr>
      </w:pPr>
      <w:r>
        <w:rPr>
          <w:rFonts w:ascii="Arial" w:cs="Arial" w:eastAsia="Arial" w:hAnsi="Arial"/>
          <w:sz w:val="18"/>
          <w:szCs w:val="18"/>
          <w:b w:val="1"/>
          <w:bCs w:val="1"/>
          <w:color w:val="auto"/>
        </w:rPr>
        <w:t>Because our co-sponsors will lose their entire initial investment in us if our initial business combination is not consummated and our officers and directors have significant financial interests in us, a conflict of interest may arise in determining whether a particular acquisition target is appropriate for our initial business combination.</w:t>
      </w:r>
    </w:p>
    <w:p>
      <w:pPr>
        <w:spacing w:after="0" w:line="116"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On September 19, 2019, Chardan Investments purchased 5,000,000 shares of common stock from us for $25,000. On July 23, 2020, Chardan Investments sold 3,250,000 shares of common stock back to us for</w:t>
      </w:r>
    </w:p>
    <w:p>
      <w:pPr>
        <w:jc w:val="both"/>
        <w:ind w:left="460" w:right="459"/>
        <w:spacing w:after="0" w:line="284" w:lineRule="auto"/>
        <w:rPr>
          <w:sz w:val="20"/>
          <w:szCs w:val="20"/>
          <w:color w:val="auto"/>
        </w:rPr>
      </w:pPr>
      <w:r>
        <w:rPr>
          <w:rFonts w:ascii="Arial" w:cs="Arial" w:eastAsia="Arial" w:hAnsi="Arial"/>
          <w:sz w:val="16"/>
          <w:szCs w:val="16"/>
          <w:color w:val="auto"/>
        </w:rPr>
        <w:t>$16,250. On August 25, 2020, Chardan Investments transferred 256,375 shares of common stock back to us for nominal consideration, which shares were cancelled, resulting in Chardan Investments holding a balance of 1,493,625 shares of common stock. On July 23, 2020, Ventoux Acquisition purchased 3,250,000 shares of common stock from us for $16,250. On August 25, 2020, Ventoux Acquisition transferred 431,125 shares of common stock back to us for nominal considerations, which shares were cancelled. On December 15, 2020, Ventoux Acquisition transferred 22,500 shares of common stock to Cindat. As of the date hereof, Ventoux Acquisition holds 2,796,375 shares of common stock, of which Ventoux Acquisition intends to distribute 67,500 shares to certain of our directors prior to the consummation of the offering, resulting in Ventoux Acquisition holding a balance of 2,728,875 shares. The founder shares include an aggregate of up to 562,500 shares that are subject to forfeiture to the extent that the underwriters’ over-allotment option is not exercised in full or in part. The founder shares will be worthless if we do not consummate an initial business combination. In addition, Ventoux Acquisition has committed to purchase from us an aggregate of 4,000,000 warrants (or 4,450,000 warrants if the over-allotment option is exercised in full), and Chardan Investments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The founder shares, private warrants and warrants will be worthless if we do not consummate an initial business combination.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 w:name="page40"/>
    <w:bookmarkEnd w:id="3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6" w:lineRule="auto"/>
        <w:rPr>
          <w:sz w:val="20"/>
          <w:szCs w:val="20"/>
          <w:color w:val="auto"/>
        </w:rPr>
      </w:pPr>
      <w:r>
        <w:rPr>
          <w:rFonts w:ascii="Arial" w:cs="Arial" w:eastAsia="Arial" w:hAnsi="Arial"/>
          <w:sz w:val="18"/>
          <w:szCs w:val="18"/>
          <w:b w:val="1"/>
          <w:bCs w:val="1"/>
          <w:color w:val="auto"/>
        </w:rPr>
        <w:t>We may issue notes or other debt securities, or otherwise incur substantial debt, to complete our initial business combination, which may adversely affect our financial condition and thus negatively impact the value of our stockholders’ investment in us.</w:t>
      </w:r>
    </w:p>
    <w:p>
      <w:pPr>
        <w:spacing w:after="0" w:line="9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we may choose to incur substantial debt to complete our initial business combination. If we incur any indebtedness without a waiver from any lender of any right, title, interest or claim of any kind in or to any monies held in the trust account, the incurrence of debt could have a variety of negative effects, including:</w:t>
      </w:r>
    </w:p>
    <w:p>
      <w:pPr>
        <w:spacing w:after="0" w:line="120" w:lineRule="exact"/>
        <w:rPr>
          <w:sz w:val="20"/>
          <w:szCs w:val="20"/>
          <w:color w:val="auto"/>
        </w:rPr>
      </w:pPr>
    </w:p>
    <w:p>
      <w:pPr>
        <w:ind w:left="1320" w:right="479" w:hanging="434"/>
        <w:spacing w:after="0" w:line="277" w:lineRule="auto"/>
        <w:tabs>
          <w:tab w:leader="none" w:pos="13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our initial business combination are insufficient to repay our debt obligations;</w:t>
      </w:r>
    </w:p>
    <w:p>
      <w:pPr>
        <w:spacing w:after="0" w:line="102" w:lineRule="exact"/>
        <w:rPr>
          <w:rFonts w:ascii="Arial" w:cs="Arial" w:eastAsia="Arial" w:hAnsi="Arial"/>
          <w:sz w:val="18"/>
          <w:szCs w:val="18"/>
          <w:color w:val="auto"/>
        </w:rPr>
      </w:pPr>
    </w:p>
    <w:p>
      <w:pPr>
        <w:jc w:val="both"/>
        <w:ind w:left="1320" w:right="459" w:hanging="434"/>
        <w:spacing w:after="0" w:line="263" w:lineRule="auto"/>
        <w:tabs>
          <w:tab w:leader="none" w:pos="13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102" w:lineRule="exact"/>
        <w:rPr>
          <w:rFonts w:ascii="Arial" w:cs="Arial" w:eastAsia="Arial" w:hAnsi="Arial"/>
          <w:sz w:val="18"/>
          <w:szCs w:val="18"/>
          <w:color w:val="auto"/>
        </w:rPr>
      </w:pPr>
    </w:p>
    <w:p>
      <w:pPr>
        <w:ind w:left="1320" w:right="459" w:hanging="434"/>
        <w:spacing w:after="0" w:line="308" w:lineRule="auto"/>
        <w:tabs>
          <w:tab w:leader="none" w:pos="1567"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inability to obtain necessary additional financing if the debt security contains covenants restricting our ability to obtain such financing while the debt security is outstanding;</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pay dividends on our shares of common stock;</w:t>
      </w:r>
    </w:p>
    <w:p>
      <w:pPr>
        <w:spacing w:after="0" w:line="144" w:lineRule="exact"/>
        <w:rPr>
          <w:rFonts w:ascii="Arial" w:cs="Arial" w:eastAsia="Arial" w:hAnsi="Arial"/>
          <w:sz w:val="18"/>
          <w:szCs w:val="18"/>
          <w:color w:val="auto"/>
        </w:rPr>
      </w:pPr>
    </w:p>
    <w:p>
      <w:pPr>
        <w:jc w:val="both"/>
        <w:ind w:left="1320" w:right="459" w:hanging="434"/>
        <w:spacing w:after="0" w:line="286" w:lineRule="auto"/>
        <w:tabs>
          <w:tab w:leader="none" w:pos="1419" w:val="left"/>
        </w:tabs>
        <w:numPr>
          <w:ilvl w:val="0"/>
          <w:numId w:val="15"/>
        </w:numPr>
        <w:rPr>
          <w:rFonts w:ascii="Arial" w:cs="Arial" w:eastAsia="Arial" w:hAnsi="Arial"/>
          <w:sz w:val="17"/>
          <w:szCs w:val="17"/>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shares of common stock if declared, expenses, capital expenditures, acquisitions and other general corporate purposes;</w:t>
      </w:r>
    </w:p>
    <w:p>
      <w:pPr>
        <w:spacing w:after="0" w:line="97" w:lineRule="exact"/>
        <w:rPr>
          <w:rFonts w:ascii="Arial" w:cs="Arial" w:eastAsia="Arial" w:hAnsi="Arial"/>
          <w:sz w:val="17"/>
          <w:szCs w:val="17"/>
          <w:color w:val="auto"/>
        </w:rPr>
      </w:pPr>
    </w:p>
    <w:p>
      <w:pPr>
        <w:ind w:left="1320" w:right="479" w:hanging="434"/>
        <w:spacing w:after="0" w:line="277" w:lineRule="auto"/>
        <w:tabs>
          <w:tab w:leader="none" w:pos="1459"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89" w:lineRule="exact"/>
        <w:rPr>
          <w:rFonts w:ascii="Arial" w:cs="Arial" w:eastAsia="Arial" w:hAnsi="Arial"/>
          <w:sz w:val="18"/>
          <w:szCs w:val="18"/>
          <w:color w:val="auto"/>
        </w:rPr>
      </w:pPr>
    </w:p>
    <w:p>
      <w:pPr>
        <w:jc w:val="both"/>
        <w:ind w:left="1320" w:right="479" w:hanging="434"/>
        <w:spacing w:after="0" w:line="263" w:lineRule="auto"/>
        <w:tabs>
          <w:tab w:leader="none" w:pos="1621"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80" w:lineRule="exact"/>
        <w:rPr>
          <w:sz w:val="20"/>
          <w:szCs w:val="20"/>
          <w:color w:val="auto"/>
        </w:rPr>
      </w:pPr>
    </w:p>
    <w:p>
      <w:pPr>
        <w:jc w:val="both"/>
        <w:ind w:left="460" w:right="459"/>
        <w:spacing w:after="0" w:line="314" w:lineRule="auto"/>
        <w:rPr>
          <w:sz w:val="20"/>
          <w:szCs w:val="20"/>
          <w:color w:val="auto"/>
        </w:rPr>
      </w:pPr>
      <w:r>
        <w:rPr>
          <w:rFonts w:ascii="Arial" w:cs="Arial" w:eastAsia="Arial" w:hAnsi="Arial"/>
          <w:sz w:val="16"/>
          <w:szCs w:val="16"/>
          <w:b w:val="1"/>
          <w:bCs w:val="1"/>
          <w:color w:val="auto"/>
        </w:rPr>
        <w:t>We may only be able to complete one business combination with the proceeds of this offering, which will cause us to be solely dependent on a single business, which may have a limited number of products or services. This lack of diversification may negatively impact our operations and profitability.</w:t>
      </w:r>
    </w:p>
    <w:p>
      <w:pPr>
        <w:spacing w:after="0" w:line="78"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The net proceeds from this offering together with the funds we will receive from the sale of the private warrants (excluding $1,000,000 of net proceeds that will not be held in the trust account) will provide us with approximately $151,500,000 (or approximately $174,225,000 if the underwriters’ over-allotment option is exercised in full) that we may use to complete our initial business combination.</w:t>
      </w:r>
    </w:p>
    <w:p>
      <w:pPr>
        <w:spacing w:after="0" w:line="104"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We may effectuate our initial business combination with a single target business or multiple target businesses simultaneously.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consummating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 solely dependent upon the performance of a single business, property or asset, or dependent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 w:name="page41"/>
    <w:bookmarkEnd w:id="4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upon the development or market acceptance of a single or limited number of products or services. This lack of diversification may subject us to numerous economic, competitive and regulatory developments, any or all of which may have a substantial adverse impact upon the particular industry in which we may operate subsequent to our initial business combination.</w:t>
      </w:r>
    </w:p>
    <w:p>
      <w:pPr>
        <w:spacing w:after="0" w:line="183"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7"/>
          <w:szCs w:val="17"/>
          <w:b w:val="1"/>
          <w:bCs w:val="1"/>
          <w:color w:val="auto"/>
        </w:rPr>
        <w:t>We may attempt to simultaneously consummate business combinations with multiple prospective targets, which may hinder our ability to consummate our initial business combination and give rise to increased costs and risks that could negatively impact our operations and profitability.</w:t>
      </w:r>
    </w:p>
    <w:p>
      <w:pPr>
        <w:spacing w:after="0" w:line="94"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the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61"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We may attempt to consummate our initial business combination with a private company about which little information is available.</w:t>
      </w:r>
    </w:p>
    <w:p>
      <w:pPr>
        <w:spacing w:after="0" w:line="9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In pursuing our acquisition strategy, we may seek to effectuate our initial business combination with a privately held company. By definition, very little public information exists about private companies, and we could be required to make our decision on whether to pursue a potential initial business combination on the basis of limited information, which may result in our initial business combination with a company that is not as profitable as we suspected, if at all.</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We may not be able to maintain control of a target business after our initial business combination.</w:t>
      </w:r>
    </w:p>
    <w:p>
      <w:pPr>
        <w:spacing w:after="0" w:line="160"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We may structure our initial business combination to acquire less than 100% of the equity interests or assets of a target business, but we will only consummate such business combination if we will become the majority stockholder of the target (or control the target through contractual arrangements in limited circumstances for regulatory compliance purposes) or are otherwise not required to register as an investment company under the Investment Company Act, or to the extent permitted by law we may acquire interests in a variable interest entity, in which we may have less than a majority of the voting rights in such entity, but in which we are the primary beneficiary. Even though we may own a majority interest in the target, our stockholders prior to the business combination may collectively own a minority interest in the post-business combination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acquire a 100% controlling interest in the target. However, as a result of the issuance of a substantial number of new shares, our stockholders immediately prior to such transaction could own less than a majority of our outstanding shares subsequent to such transaction. In addition, other minority stockholders may subsequently combine their holdings resulting in a single person or group obtaining a larger share of the company’s stock than we initially acquired. Accordingly, this may make it more likely that we will not be able to maintain our control of the target business.</w:t>
      </w:r>
    </w:p>
    <w:p>
      <w:pPr>
        <w:spacing w:after="0" w:line="172" w:lineRule="exact"/>
        <w:rPr>
          <w:sz w:val="20"/>
          <w:szCs w:val="20"/>
          <w:color w:val="auto"/>
        </w:rPr>
      </w:pPr>
    </w:p>
    <w:p>
      <w:pPr>
        <w:jc w:val="both"/>
        <w:ind w:left="460" w:right="459"/>
        <w:spacing w:after="0" w:line="261" w:lineRule="auto"/>
        <w:rPr>
          <w:sz w:val="20"/>
          <w:szCs w:val="20"/>
          <w:color w:val="auto"/>
        </w:rPr>
      </w:pPr>
      <w:r>
        <w:rPr>
          <w:rFonts w:ascii="Arial" w:cs="Arial" w:eastAsia="Arial" w:hAnsi="Arial"/>
          <w:sz w:val="18"/>
          <w:szCs w:val="18"/>
          <w:b w:val="1"/>
          <w:bCs w:val="1"/>
          <w:color w:val="auto"/>
        </w:rPr>
        <w:t>Because we must furnish our stockholders with target business financial statements prepared in accordance with United States generally accepted accounting principles or international financial reporting standards, we may lose the ability to complete an otherwise advantageous initial business combination with some prospective target businesses.</w:t>
      </w:r>
    </w:p>
    <w:p>
      <w:pPr>
        <w:spacing w:after="0" w:line="116" w:lineRule="exact"/>
        <w:rPr>
          <w:sz w:val="20"/>
          <w:szCs w:val="20"/>
          <w:color w:val="auto"/>
        </w:rPr>
      </w:pPr>
    </w:p>
    <w:p>
      <w:pPr>
        <w:jc w:val="both"/>
        <w:ind w:left="460" w:right="479" w:firstLine="432"/>
        <w:spacing w:after="0" w:line="270" w:lineRule="auto"/>
        <w:rPr>
          <w:sz w:val="20"/>
          <w:szCs w:val="20"/>
          <w:color w:val="auto"/>
        </w:rPr>
      </w:pPr>
      <w:r>
        <w:rPr>
          <w:rFonts w:ascii="Arial" w:cs="Arial" w:eastAsia="Arial" w:hAnsi="Arial"/>
          <w:sz w:val="17"/>
          <w:szCs w:val="17"/>
          <w:color w:val="auto"/>
        </w:rPr>
        <w:t>The federal proxy rules, which require that a proxy statement with respect to a vote on a business combination meeting certain financial significance tests include historical and/or pro forma financial statement disclosure in periodic reports. These financial statements may be required to be prepared in accordance with, or be reconciled to, accounting principles generally accepted in the United States of America, or GAAP, or international financial reporting standards, or IFRS as issued by the International Accounting Standards Board or the IASB, depending on the circumstances, and the historical financial statements may be required to be audited in accordance with the standards of the Public Company Accounting Oversight Board (United States), or PCAOB. We will include substantially the same financial statement disclosure in connection with any tender offer documents we use, whether or not they are</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1" w:name="page42"/>
    <w:bookmarkEnd w:id="4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required under the tender offer rules. These financial statement requirements may limit the pool of potential target businesses we may consummate our initial business combination with because some targets may be unable to provide such statements in time for us to disclose such statements in accordance with federal proxy rules and complete our initial business combination within the prescribed time frame.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Relating to Our Securities</w:t>
      </w:r>
    </w:p>
    <w:p>
      <w:pPr>
        <w:spacing w:after="0" w:line="225" w:lineRule="exact"/>
        <w:rPr>
          <w:sz w:val="20"/>
          <w:szCs w:val="20"/>
          <w:color w:val="auto"/>
        </w:rPr>
      </w:pPr>
    </w:p>
    <w:p>
      <w:pPr>
        <w:jc w:val="both"/>
        <w:ind w:left="460" w:right="479"/>
        <w:spacing w:after="0" w:line="347" w:lineRule="auto"/>
        <w:rPr>
          <w:sz w:val="20"/>
          <w:szCs w:val="20"/>
          <w:color w:val="auto"/>
        </w:rPr>
      </w:pPr>
      <w:r>
        <w:rPr>
          <w:rFonts w:ascii="Arial" w:cs="Arial" w:eastAsia="Arial" w:hAnsi="Arial"/>
          <w:sz w:val="16"/>
          <w:szCs w:val="16"/>
          <w:b w:val="1"/>
          <w:bCs w:val="1"/>
          <w:color w:val="auto"/>
        </w:rPr>
        <w:t>The determination of the offering price of our units and the size of this offering is more arbitrary than the pricing of securities and size of an offering of an operating company in a particular industry.</w:t>
      </w:r>
    </w:p>
    <w:p>
      <w:pPr>
        <w:spacing w:after="0" w:line="52"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Prior to this offering there has been no public market for any of our securities. The public offering price of the units and the terms of the rights and warrants were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shares of common stock, rights and warrants underlying the units, include:</w:t>
      </w:r>
    </w:p>
    <w:p>
      <w:pPr>
        <w:spacing w:after="0" w:line="110" w:lineRule="exact"/>
        <w:rPr>
          <w:sz w:val="20"/>
          <w:szCs w:val="20"/>
          <w:color w:val="auto"/>
        </w:rPr>
      </w:pPr>
    </w:p>
    <w:p>
      <w:pPr>
        <w:ind w:left="1320" w:right="479" w:hanging="434"/>
        <w:spacing w:after="0" w:line="277" w:lineRule="auto"/>
        <w:tabs>
          <w:tab w:leader="none" w:pos="158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assessment of our management and their experience in identifying operating companies;</w:t>
      </w:r>
    </w:p>
    <w:p>
      <w:pPr>
        <w:spacing w:after="0" w:line="169" w:lineRule="exact"/>
        <w:rPr>
          <w:rFonts w:ascii="Arial" w:cs="Arial" w:eastAsia="Arial" w:hAnsi="Arial"/>
          <w:sz w:val="17"/>
          <w:szCs w:val="17"/>
          <w:color w:val="auto"/>
        </w:rPr>
      </w:pPr>
    </w:p>
    <w:p>
      <w:pPr>
        <w:ind w:left="1320" w:right="479" w:hanging="434"/>
        <w:spacing w:after="0" w:line="277" w:lineRule="auto"/>
        <w:tabs>
          <w:tab w:leader="none" w:pos="1338"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including with respect to the impact from the COVID-19 pandemic; and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5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180"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Holders of rights or warrants will not participate in liquidating distributions if we are unable to complete an initial business combination within the required time period.</w:t>
      </w:r>
    </w:p>
    <w:p>
      <w:pPr>
        <w:spacing w:after="0" w:line="9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If we are unable to complete an initial business combination within the required time period and we liquidate the funds held in the trust account, the rights and warrants will expire, and holders will not receive any of such proceeds with respect to the rights or warrants. The foregoing may provide a financial incentive to public stockholders to vote in favor of any proposed initial business combination as each of their rights and warrants would entitle the holder to receive or purchase additional shares of common stock, resulting in an increase in their overall economic stake in us. If a business combination is not approved, the rights and warrants will expire and be worthless.</w:t>
      </w:r>
    </w:p>
    <w:p>
      <w:pPr>
        <w:spacing w:after="0" w:line="191" w:lineRule="exact"/>
        <w:rPr>
          <w:sz w:val="20"/>
          <w:szCs w:val="20"/>
          <w:color w:val="auto"/>
        </w:rPr>
      </w:pPr>
    </w:p>
    <w:p>
      <w:pPr>
        <w:jc w:val="both"/>
        <w:ind w:left="460" w:right="459"/>
        <w:spacing w:after="0" w:line="261" w:lineRule="auto"/>
        <w:rPr>
          <w:sz w:val="20"/>
          <w:szCs w:val="20"/>
          <w:color w:val="auto"/>
        </w:rPr>
      </w:pPr>
      <w:r>
        <w:rPr>
          <w:rFonts w:ascii="Arial" w:cs="Arial" w:eastAsia="Arial" w:hAnsi="Arial"/>
          <w:sz w:val="18"/>
          <w:szCs w:val="18"/>
          <w:b w:val="1"/>
          <w:bCs w:val="1"/>
          <w:color w:val="auto"/>
        </w:rPr>
        <w:t>If we do not maintain a current and effective prospectus relating to the shares of common stock issuable upon exercise of the warrants, public holders will only be able to exercise such warrants on a “cashless basis” which would result in a fewer number of shares being issued to the holder had such holder exercised the warrants for cash.</w:t>
      </w:r>
    </w:p>
    <w:p>
      <w:pPr>
        <w:spacing w:after="0" w:line="103"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If we do not maintain a current and effective prospectus relating to the shares of common stock issuable upon exercise of the public warrants at the time that holders wish to exercise such warrants, they will only be able to exercise them on a “cashless basis” provided that an exemption from registration is available. As a result, the number of shares of common stock that a holder will receive upon exercise of its public warrants will be fewer than it would have been had such holder exercised its warrant for cash. Further, if an exemption from registration is not available, holders would not be able to exercise their warrants on a cashless basis and would only be able to exercise their warrants for cash if a current and effective prospectus relating to the shares of common stock issuable upon exercise of the warrants</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2" w:name="page43"/>
    <w:bookmarkEnd w:id="4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is available. Under the terms of the warrant agreement, we have agreed to use our best efforts to meet these conditions and to maintain a current and effective prospectus relating to the shares of common stock issuable upon exercise of the warrants until the expiration of the warrants. However, we cannot assure you that we will be able to do so. If we are unable to do so, the potential benefit of the holder’s investment in us may be reduced, and the warrants may expire worthless. Notwithstanding the foregoing, the private warrants may be exercisable for unregistered shares of common stock for cash even if the prospectus relating to the shares of common stock issuable upon exercise of the warrants is not current and effective.</w:t>
      </w:r>
    </w:p>
    <w:p>
      <w:pPr>
        <w:spacing w:after="0" w:line="173"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An investor will only be able to exercise a warrant for cash if the issuance of common stock upon such exercise has been registered or qualified or is deemed exempt under the securities laws of the state of residence of the holder of the warrants.</w:t>
      </w:r>
    </w:p>
    <w:p>
      <w:pPr>
        <w:spacing w:after="0" w:line="112"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No public warrants will be exercisable for cash, and we will not be obligated to issue shares of common stock unless the shares of common stock issuable upon such exercise has been registered or qualified or deemed to be exempt under the securities laws of the state of residence of the holder of the warrants. At the time that the warrants become exercisable, we expect to continue to be listed on a national securities exchange, which would provide an exemption from registration in every state. However, we cannot assure you of this fact. If the common shares issuable upon exercise of the warrants are not qualified or exempt from qualification in the jurisdictions in which the holders of the warrants reside, the warrants may be deprived of any value, the market for the warrants may be limited and they may expire worthless if they cannot be sold.</w:t>
      </w:r>
    </w:p>
    <w:p>
      <w:pPr>
        <w:spacing w:after="0" w:line="161"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7"/>
          <w:szCs w:val="17"/>
          <w:b w:val="1"/>
          <w:bCs w:val="1"/>
          <w:color w:val="auto"/>
        </w:rPr>
        <w:t>Our management’s ability to require holders of our warrants to exercise such warrants on a cashless basis will cause holders to receive fewer shares of common stock upon their exercise of the warrants than they would have received had they been able to exercise their warrants for cash.</w:t>
      </w:r>
    </w:p>
    <w:p>
      <w:pPr>
        <w:spacing w:after="0" w:line="9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If we call our public warrants for redemption after the redemption criteria described elsewhere in this prospectus have been satisfied, our management will have the option to require any holder that wishes to exercise his warrant (including any warrants held by Ventoux Acquisition, Chardan Investments and/or their respective permitted transferees) to do so on a “cashless basis.” If our management chooses to require holders to exercise their warrants on a cashless basis, the number of shares of common stock received by a holder upon exercise will be fewer than it would have been had such holder exercised his warrant for cash. This will have the effect of reducing the potential benefit of the holder’s investment in our company.</w:t>
      </w:r>
    </w:p>
    <w:p>
      <w:pPr>
        <w:spacing w:after="0" w:line="173" w:lineRule="exact"/>
        <w:rPr>
          <w:sz w:val="20"/>
          <w:szCs w:val="20"/>
          <w:color w:val="auto"/>
        </w:rPr>
      </w:pPr>
    </w:p>
    <w:p>
      <w:pPr>
        <w:jc w:val="both"/>
        <w:ind w:left="460" w:right="479"/>
        <w:spacing w:after="0" w:line="347" w:lineRule="auto"/>
        <w:rPr>
          <w:sz w:val="20"/>
          <w:szCs w:val="20"/>
          <w:color w:val="auto"/>
        </w:rPr>
      </w:pPr>
      <w:r>
        <w:rPr>
          <w:rFonts w:ascii="Arial" w:cs="Arial" w:eastAsia="Arial" w:hAnsi="Arial"/>
          <w:sz w:val="16"/>
          <w:szCs w:val="16"/>
          <w:b w:val="1"/>
          <w:bCs w:val="1"/>
          <w:color w:val="auto"/>
        </w:rPr>
        <w:t>We may amend the terms of the rights or warrants, respectively in a way that may be adverse to holders with the approval by the holders of a majority of the then outstanding rights or warrants, respectively.</w:t>
      </w:r>
    </w:p>
    <w:p>
      <w:pPr>
        <w:spacing w:after="0" w:line="39"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Our rights will be issued in registered form under a rights agreement, and our warrants will be issued in registered form under a warrant agreement, each between Continental Stock Transfer &amp; Trust Company, as rights or warrant agent, as applicable, and us. Each of the rights agreement and the warrant agreement provides that the terms of the rights or warrants, as applicable, may be amended without the consent of any holder to cure any ambiguity or correct any defective provision. Each of the rights and the warrant agreement requires the approval by the holders of a majority of the then outstanding rights or warrants (including the private warrants), as applicable, in order to make any change that adversely affects the interests of the registered holders of the rights or warrants, as applicable.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We have no obligation to net cash settle the warrants.</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In no event will we have any obligation to net cash settle the warrants. Accordingly, the warrants may expire worthless.</w:t>
      </w:r>
    </w:p>
    <w:p>
      <w:pPr>
        <w:spacing w:after="0" w:line="166"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There is currently no market for our securities and a market for our securities may not develop, which would adversely affect the liquidity and price of our securities.</w:t>
      </w:r>
    </w:p>
    <w:p>
      <w:pPr>
        <w:spacing w:after="0" w:line="98" w:lineRule="exact"/>
        <w:rPr>
          <w:sz w:val="20"/>
          <w:szCs w:val="20"/>
          <w:color w:val="auto"/>
        </w:rPr>
      </w:pPr>
    </w:p>
    <w:p>
      <w:pPr>
        <w:jc w:val="both"/>
        <w:ind w:left="460" w:right="479" w:firstLine="432"/>
        <w:spacing w:after="0" w:line="273" w:lineRule="auto"/>
        <w:rPr>
          <w:sz w:val="20"/>
          <w:szCs w:val="20"/>
          <w:color w:val="auto"/>
        </w:rPr>
      </w:pPr>
      <w:r>
        <w:rPr>
          <w:rFonts w:ascii="Arial" w:cs="Arial" w:eastAsia="Arial" w:hAnsi="Arial"/>
          <w:sz w:val="17"/>
          <w:szCs w:val="17"/>
          <w:color w:val="auto"/>
        </w:rPr>
        <w:t>As of the date of this prospectus there is currently no market for our securities. Prospective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Once listed on Nasdaq, an active trading market for our securities may never develop or, if developed, it may not be sustained. Additionally, if our securities become delisted from Nasdaq for any reason, and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 w:name="page44"/>
    <w:bookmarkEnd w:id="4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are quoted on the OTC Bulletin Board, an inter-dealer automated quotation system for equity securities not listed on a national exchange, the liquidity and price of our securities may be more limited than if we were listed on Nasdaq or another national exchange. You may be unable to sell your securities unless a market can be established and sustained.</w:t>
      </w:r>
    </w:p>
    <w:p>
      <w:pPr>
        <w:spacing w:after="0" w:line="183" w:lineRule="exact"/>
        <w:rPr>
          <w:sz w:val="20"/>
          <w:szCs w:val="20"/>
          <w:color w:val="auto"/>
        </w:rPr>
      </w:pPr>
    </w:p>
    <w:p>
      <w:pPr>
        <w:jc w:val="both"/>
        <w:ind w:left="460" w:right="459"/>
        <w:spacing w:after="0" w:line="303" w:lineRule="auto"/>
        <w:rPr>
          <w:sz w:val="20"/>
          <w:szCs w:val="20"/>
          <w:color w:val="auto"/>
        </w:rPr>
      </w:pPr>
      <w:r>
        <w:rPr>
          <w:rFonts w:ascii="Arial" w:cs="Arial" w:eastAsia="Arial" w:hAnsi="Arial"/>
          <w:sz w:val="16"/>
          <w:szCs w:val="16"/>
          <w:b w:val="1"/>
          <w:b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our company or our company’s directors, officers or other employees.</w:t>
      </w:r>
    </w:p>
    <w:p>
      <w:pPr>
        <w:spacing w:after="0" w:line="87"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shall, to the fullest extent permitted by law, be the sole and exclusive forum for any (1) derivative action or proceeding brought on behalf of our company, (2) action asserting a claim of breach of a fiduciary duty owed by any director, officer, employee or agent of our company to our company or our stockholders, or any claim for aiding and abetting any such alleged breach, (3) action asserting a claim against our company or any director or officer of our company arising pursuant to any provision of the DGCL or our amended and restated certificate of incorporation or our bylaws, or (4) action asserting a claim against us or any director or officer of our company governed by the internal affairs doctrine except for, as to each of (1) through (4)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arising under the federal securities laws, including the Securities Act, as to which the Court of Chancery and the federal district court for the District of Delaware shall concurrently be the sole and exclusive forums. Notwithstanding the foregoing, the inclusion of such provision in our amended and restated certificate of incorporation is not be deemed to be a waiver by our stockholders of our obligation to comply with federal securities laws, rules and regulations, and the provisions of this paragraph in our amended and restated certificate of incorporation will not apply to suits brought to enforce any liability or duty created by the Exchange Act or any other claim for which the federal district courts of the United States of America shall be the sole and exclusive forum. Any person or entity purchasing or otherwise acquiring any interest in any shares of our capital stock shall be deemed to have notice of and to have consented to the forum provisions in our amended and restated certificate of incorporation. If any action the subject matter of which is within the scope the forum provisions is filed in a court other than a court located within the State of Delaware (a “foreign action”) in the name of any stockholder, such stockholder shall be deemed to have consented to: (x) the personal jurisdiction of the state and federal courts located within the State of Delaware in connection with any action brought in any such court to enforce the forum provisions (an “enforcement action”), and (y) having service of process made upon such stockholder in any such enforcement action by service upon such stockholder’s counsel in the foreign action as agent for such stockholder.</w:t>
      </w:r>
    </w:p>
    <w:p>
      <w:pPr>
        <w:spacing w:after="0" w:line="100"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This choice-of-forum provision may limit a stockholder’s ability to bring a claim in a judicial forum that it finds favorable for disputes with our company or its directors, officers or other employees, which may discourage such lawsuits.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Relating to Acquiring and Operating a Business outside of the United States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We may effect our initial business combination with a company located outside of the United States.</w:t>
      </w:r>
    </w:p>
    <w:p>
      <w:pPr>
        <w:spacing w:after="0" w:line="171"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If we effect our initial business combination with a company located outside of the United States, we would be subject to any special considerations or risks associated with companies operating in the target business’ home jurisdiction, including any of the following:</w:t>
      </w:r>
    </w:p>
    <w:p>
      <w:pPr>
        <w:spacing w:after="0" w:line="116" w:lineRule="exact"/>
        <w:rPr>
          <w:sz w:val="20"/>
          <w:szCs w:val="20"/>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rules and regulations or currency redemption or corporate withholding taxes on individuals;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ectPr>
          <w:pgSz w:w="11900" w:h="16838" w:orient="portrait"/>
          <w:cols w:equalWidth="0" w:num="1">
            <w:col w:w="9019"/>
          </w:cols>
          <w:pgMar w:left="1440" w:top="274" w:right="1440"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4" w:name="page45"/>
    <w:bookmarkEnd w:id="4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tax issues, such as tax law changes and variations in tax laws as compared to the United States;</w:t>
      </w:r>
    </w:p>
    <w:p>
      <w:pPr>
        <w:spacing w:after="0" w:line="180" w:lineRule="exact"/>
        <w:rPr>
          <w:rFonts w:ascii="Arial" w:cs="Arial" w:eastAsia="Arial" w:hAnsi="Arial"/>
          <w:sz w:val="16"/>
          <w:szCs w:val="16"/>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and wars; and</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38"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 We may not be able to adequately address these additional risks. If we were unable to do so, our operations might suffer.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There are costs and difficulties inherent in managing cross-border business operations.</w:t>
      </w:r>
    </w:p>
    <w:p>
      <w:pPr>
        <w:spacing w:after="0" w:line="162" w:lineRule="exact"/>
        <w:rPr>
          <w:sz w:val="20"/>
          <w:szCs w:val="20"/>
          <w:color w:val="auto"/>
        </w:rPr>
      </w:pPr>
    </w:p>
    <w:p>
      <w:pPr>
        <w:jc w:val="both"/>
        <w:ind w:left="460" w:right="479" w:firstLine="432"/>
        <w:spacing w:after="0" w:line="293" w:lineRule="auto"/>
        <w:rPr>
          <w:sz w:val="20"/>
          <w:szCs w:val="20"/>
          <w:color w:val="auto"/>
        </w:rPr>
      </w:pPr>
      <w:r>
        <w:rPr>
          <w:rFonts w:ascii="Arial" w:cs="Arial" w:eastAsia="Arial" w:hAnsi="Arial"/>
          <w:sz w:val="16"/>
          <w:szCs w:val="16"/>
          <w:color w:val="auto"/>
        </w:rPr>
        <w:t>Managing a business, operations, personnel or assets in another country is challenging and costly. Any management that we may have (whether based abroad or in the United States) may be inexperienced in cross-border business practices and unaware of significant differences in accounting rules, legal regimes and labor practices. Even with a seasoned and experienced management team, the costs and difficulties inherent in managing cross-border business operations, personnel and assets can be significant (and much higher than in a purely domestic business) and may negatively impact our financial and operational performance.</w:t>
      </w:r>
    </w:p>
    <w:p>
      <w:pPr>
        <w:spacing w:after="0" w:line="160"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Social unrest, acts of terrorism, regime changes, changes in laws and regulations, political upheaval, or policy changes or enactments may occur in a country in which we may operate after we effect our initial business combination.</w:t>
      </w:r>
    </w:p>
    <w:p>
      <w:pPr>
        <w:spacing w:after="0" w:line="99"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Political events in another country may significantly affect our business, assets or operations. Social unrest, acts of terrorism, regime changes, changes in laws and regulations, political upheaval, and policy changes or enactments could negatively impact our business in a particular country.</w:t>
      </w:r>
    </w:p>
    <w:p>
      <w:pPr>
        <w:spacing w:after="0" w:line="180"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Many countries have difficult and unpredictable legal systems and underdeveloped laws and regulations that are unclear and subject to corruption and inexperience.</w:t>
      </w:r>
    </w:p>
    <w:p>
      <w:pPr>
        <w:spacing w:after="0" w:line="98"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Our ability to seek and enforce legal protections, including with respect to intellectual property and other property rights, or to defend ourselves with regard to legal actions taken against us in a given country, may be difficult or impossible, which could adversely impact our operations, assets or financial condition.</w:t>
      </w:r>
    </w:p>
    <w:p>
      <w:pPr>
        <w:spacing w:after="0" w:line="9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Rules and regulations in many countries are often ambiguous or open to differing interpretation by responsible individuals and agencies at the municipal, state, regional and federal levels. The attitudes and actions of such individuals and agencies are often difficult to predict and inconsistent.</w:t>
      </w:r>
    </w:p>
    <w:p>
      <w:pPr>
        <w:spacing w:after="0" w:line="103"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Delay with respect to the enforcement of particular rules and regulations, including those relating to customs, tax, environmental and labor, could cause serious disruption to operations abroad and negatively impact our results.</w:t>
      </w:r>
    </w:p>
    <w:p>
      <w:pPr>
        <w:spacing w:after="0" w:line="180"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If relations between the United States and foreign governments deteriorate, it could cause potential target businesses or their goods and services to become less attractive.</w:t>
      </w:r>
    </w:p>
    <w:p>
      <w:pPr>
        <w:spacing w:after="0" w:line="5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relationship between the United States and foreign governments could be subject to sudden fluctuation and periodic tension. For instance, the United States may announce its intention to impose quotas on certain imports or become involved in trade wars with other nations. Such import quotas or trade wars may adversely affect political relations between the two countries and result in retaliatory countermeasures by the foreign government in industries that may affect our ultimate target business. Changes in political conditions in foreign countries and changes in the</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5" w:name="page46"/>
    <w:bookmarkEnd w:id="4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jc w:val="both"/>
        <w:ind w:left="460" w:right="479"/>
        <w:spacing w:after="0" w:line="296" w:lineRule="auto"/>
        <w:rPr>
          <w:sz w:val="20"/>
          <w:szCs w:val="20"/>
          <w:color w:val="auto"/>
        </w:rPr>
      </w:pPr>
      <w:r>
        <w:rPr>
          <w:rFonts w:ascii="Arial" w:cs="Arial" w:eastAsia="Arial" w:hAnsi="Arial"/>
          <w:sz w:val="16"/>
          <w:szCs w:val="16"/>
          <w:color w:val="auto"/>
        </w:rPr>
        <w:t>state of U.S. relations with such countries are difficult to predict and could adversely affect our operations or cause potential target businesses or their goods and services to become less attractive. Because we are not limited to any specific industry, there is no basis for investors in this offering to evaluate the possible extent of any impact on our ultimate operations if relations are strained between the United States and a foreign country in which we acquire a target business or move our principal manufacturing or service operations.</w:t>
      </w:r>
    </w:p>
    <w:p>
      <w:pPr>
        <w:spacing w:after="0" w:line="157" w:lineRule="exact"/>
        <w:rPr>
          <w:sz w:val="20"/>
          <w:szCs w:val="20"/>
          <w:color w:val="auto"/>
        </w:rPr>
      </w:pPr>
    </w:p>
    <w:p>
      <w:pPr>
        <w:jc w:val="both"/>
        <w:ind w:left="460" w:right="479"/>
        <w:spacing w:after="0" w:line="312" w:lineRule="auto"/>
        <w:rPr>
          <w:sz w:val="20"/>
          <w:szCs w:val="20"/>
          <w:color w:val="auto"/>
        </w:rPr>
      </w:pPr>
      <w:r>
        <w:rPr>
          <w:rFonts w:ascii="Arial" w:cs="Arial" w:eastAsia="Arial" w:hAnsi="Arial"/>
          <w:sz w:val="17"/>
          <w:szCs w:val="17"/>
          <w:b w:val="1"/>
          <w:bCs w:val="1"/>
          <w:color w:val="auto"/>
        </w:rPr>
        <w:t>If our management following our initial business combination is unfamiliar with United States securities laws, they may have to expend time and resources becoming familiar with such laws.</w:t>
      </w:r>
    </w:p>
    <w:p>
      <w:pPr>
        <w:spacing w:after="0" w:line="3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our laws, they may have to expend time and resources becoming familiar with such laws. This could be expensive and time-consuming, and could lead to various regulatory issues, which may adversely affect our operations.</w:t>
      </w:r>
    </w:p>
    <w:p>
      <w:pPr>
        <w:spacing w:after="0" w:line="188"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Currency policies may cause a target business’ ability to succeed in the international markets to be diminished.</w:t>
      </w:r>
    </w:p>
    <w:p>
      <w:pPr>
        <w:spacing w:after="0" w:line="5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In the event we acquire a non-U.S. target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177"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Because foreign law could govern our material agreements, we may not be able to enforce our rights within such jurisdiction or elsewhere.</w:t>
      </w:r>
    </w:p>
    <w:p>
      <w:pPr>
        <w:spacing w:after="0" w:line="5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Foreign law could govern our material agreements. The target business may not be able to enforce any of its material agreements or remedies may not be available outside of such foreign jurisdiction’s legal system. The system of laws and the enforcement of existing laws and contracts in such jurisdiction may not be as certain in implementation and interpretation as in the United States. The judiciaries in certain foreign countries may be relatively inexperienced in enforcing corporate and commercial law, leading to a higher than usual degree of uncertainty as to the outcome of any litigation, any such jurisdictions may not favor outsiders or could be corrupt. As a result, the inability to enforce or obtain a remedy under any of our future agreements could result in a significant loss of business and business opportunities.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 Risk Factors</w:t>
      </w:r>
    </w:p>
    <w:p>
      <w:pPr>
        <w:spacing w:after="0" w:line="225"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Once initially listed on Nasdaq, our securities may not continue to be listed on Nasdaq in the future, which could limit investors’ ability to make transactions in our securities and subject us to additional trading restrictions.</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anticipate that our securities will be initially listed on Nasdaq upon consummation of this offering. However, we cannot assure you of this or that our securities will continue to be listed on Nasdaq in the future. Additionally, in connection with our business combination, Nasdaq may require us to file a new initial listing application and meet its initial listing requirements as opposed to its more lenient continued listing requirements. We cannot assure you that we will be able to meet those initial listing requirements at that time. If Nasdaq delists our securities from trading on its exchange, we could face significant material adverse consequences, including:</w:t>
      </w:r>
    </w:p>
    <w:p>
      <w:pPr>
        <w:spacing w:after="0" w:line="127" w:lineRule="exact"/>
        <w:rPr>
          <w:sz w:val="20"/>
          <w:szCs w:val="20"/>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reduced liquidity with respect to our securities;</w:t>
      </w:r>
    </w:p>
    <w:p>
      <w:pPr>
        <w:spacing w:after="0" w:line="144" w:lineRule="exact"/>
        <w:rPr>
          <w:rFonts w:ascii="Arial" w:cs="Arial" w:eastAsia="Arial" w:hAnsi="Arial"/>
          <w:sz w:val="18"/>
          <w:szCs w:val="18"/>
          <w:color w:val="auto"/>
        </w:rPr>
      </w:pPr>
    </w:p>
    <w:p>
      <w:pPr>
        <w:jc w:val="both"/>
        <w:ind w:left="1320" w:right="479" w:hanging="434"/>
        <w:spacing w:after="0" w:line="311" w:lineRule="auto"/>
        <w:tabs>
          <w:tab w:leader="none" w:pos="1405"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determination that our shares of common stock are a “penny stock,” which will require brokers trading in our shares of common stock to adhere to more stringent rules, possibly resulting in a reduced level of trading activity in the secondary trading market for our shares of common stock;</w:t>
      </w:r>
    </w:p>
    <w:p>
      <w:pPr>
        <w:sectPr>
          <w:pgSz w:w="11900" w:h="16838" w:orient="portrait"/>
          <w:cols w:equalWidth="0" w:num="1">
            <w:col w:w="9019"/>
          </w:cols>
          <w:pgMar w:left="1440" w:top="274" w:right="1440"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6" w:name="page47"/>
    <w:bookmarkEnd w:id="4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1"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Changes in laws or regulations, or a failure to comply with any laws and regulations, may adversely affect our business, investments and results of operations.</w:t>
      </w:r>
    </w:p>
    <w:p>
      <w:pPr>
        <w:spacing w:after="0" w:line="9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are subject to laws and regulations enacted by national, regional and local governments and agencies, in particular, the Securities Exchange and Commission. Compliance with, and monitoring of, applicable laws and regulations may be difficult, time consuming and costly. Those laws and regulations and their interpretation and application also may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191" w:lineRule="exact"/>
        <w:rPr>
          <w:sz w:val="20"/>
          <w:szCs w:val="20"/>
          <w:color w:val="auto"/>
        </w:rPr>
      </w:pPr>
    </w:p>
    <w:p>
      <w:pPr>
        <w:jc w:val="both"/>
        <w:ind w:left="460" w:right="459"/>
        <w:spacing w:after="0" w:line="266" w:lineRule="auto"/>
        <w:rPr>
          <w:sz w:val="20"/>
          <w:szCs w:val="20"/>
          <w:color w:val="auto"/>
        </w:rPr>
      </w:pPr>
      <w:r>
        <w:rPr>
          <w:rFonts w:ascii="Arial" w:cs="Arial" w:eastAsia="Arial" w:hAnsi="Arial"/>
          <w:sz w:val="18"/>
          <w:szCs w:val="18"/>
          <w:b w:val="1"/>
          <w:bCs w:val="1"/>
          <w:color w:val="auto"/>
        </w:rPr>
        <w:t>Compliance obligations under the Sarbanes-Oxley Act of 2002 may make it more difficult for us to effectuate our initial business combination, require substantial financial and management resources, and increase the time and costs of completing an acquisition.</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Section 404 of the Sarbanes-Oxley Act of 2002, or the Sarbanes-Oxley Act, requires that we evaluate and report on our system of internal controls beginning with our Annual Report on Form 10-K for the year ending December 31, 2021. The fact that we are a blank check company makes compliance with the requirements of the Sarbanes-Oxley Act particularly burdensome on us because a target company with which we seek to complete our initial business combination may not be in compliance with the provisions of the Sarbanes-Oxley Act regarding adequacy of its internal controls. The development of the internal controls of any such entity to achieve compliance with the Sarbanes-Oxley Act may increase the time and costs necessary to complete any such acquisition.</w:t>
      </w:r>
    </w:p>
    <w:p>
      <w:pPr>
        <w:spacing w:after="0" w:line="188" w:lineRule="exact"/>
        <w:rPr>
          <w:sz w:val="20"/>
          <w:szCs w:val="20"/>
          <w:color w:val="auto"/>
        </w:rPr>
      </w:pPr>
    </w:p>
    <w:p>
      <w:pPr>
        <w:jc w:val="both"/>
        <w:ind w:left="460" w:right="479"/>
        <w:spacing w:after="0" w:line="347" w:lineRule="auto"/>
        <w:rPr>
          <w:sz w:val="20"/>
          <w:szCs w:val="20"/>
          <w:color w:val="auto"/>
        </w:rPr>
      </w:pPr>
      <w:r>
        <w:rPr>
          <w:rFonts w:ascii="Arial" w:cs="Arial" w:eastAsia="Arial" w:hAnsi="Arial"/>
          <w:sz w:val="16"/>
          <w:szCs w:val="16"/>
          <w:b w:val="1"/>
          <w:bCs w:val="1"/>
          <w:color w:val="auto"/>
        </w:rPr>
        <w:t>We are an “emerging growth company” and we cannot be certain if the reduced disclosure requirements applicable to emerging growth companies will make our securities less attractive to investors.</w:t>
      </w:r>
    </w:p>
    <w:p>
      <w:pPr>
        <w:spacing w:after="0" w:line="52"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We are an “emerging growth company,” as defined in the JOBS Act. We will remain an “emerging growth company” for up to five years. However, if our non-convertible debt issued within a three-year period or revenues exceeds $1.07 billion, or the market value of our shares of common stock that are held by non-affiliates exceeds $700 million on the last day of the second fiscal quarter of any given fiscal year, we would cease to be an emerging growth company as of the following fiscal year. As an emerging growth company, we are not being required to comply with the auditor attestation requirements of Section 404 of the Sarbanes-Oxley Act, we have reduced disclosure obligations regarding executive compensation in our periodic reports and proxy statements, and we are exempt from the requirements of holding a nonbinding advisory vote on executive compensation and stockholder approval of any golden parachute payments not previously approved.</w:t>
      </w:r>
    </w:p>
    <w:p>
      <w:pPr>
        <w:spacing w:after="0" w:line="99"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new accounting standard is issued or revised and it has different application dates for public or private companies, we, as an emerging growth company, will not adopt the new or revised standard until the time private companies are required to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 As such, our financial statements may not be comparable to companies that comply with public company effective dates. We cannot predict if investors will find our shares less attractive because we may rely on the provisions of the JOBS Act. If some investors find our shares less attractive as a result of, there may be a less active trading market for our shares and our share price may be more volatile.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 w:name="page48"/>
    <w:bookmarkEnd w:id="4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Certain statements contained in this prospectus, which reflect our current views with respect to future events and financial performance, and any other statements of a future or forward-looking nature, constitute “forward-looking statements” for the purpose of the federal securities laws.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may include, for example, statements about:</w:t>
      </w:r>
    </w:p>
    <w:p>
      <w:pPr>
        <w:spacing w:after="0" w:line="114" w:lineRule="exact"/>
        <w:rPr>
          <w:sz w:val="20"/>
          <w:szCs w:val="20"/>
          <w:color w:val="auto"/>
        </w:rPr>
      </w:pPr>
    </w:p>
    <w:p>
      <w:pPr>
        <w:ind w:left="1320" w:right="479" w:hanging="434"/>
        <w:spacing w:after="0" w:line="277" w:lineRule="auto"/>
        <w:tabs>
          <w:tab w:leader="none" w:pos="1351"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 particularly in light of disruption that may result from limitations imposed by the COVID-19 pandemic;</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89" w:lineRule="exact"/>
        <w:rPr>
          <w:rFonts w:ascii="Arial" w:cs="Arial" w:eastAsia="Arial" w:hAnsi="Arial"/>
          <w:sz w:val="18"/>
          <w:szCs w:val="18"/>
          <w:color w:val="auto"/>
        </w:rPr>
      </w:pPr>
    </w:p>
    <w:p>
      <w:pPr>
        <w:jc w:val="both"/>
        <w:ind w:left="1320" w:right="459" w:hanging="434"/>
        <w:spacing w:after="0" w:line="263" w:lineRule="auto"/>
        <w:tabs>
          <w:tab w:leader="none" w:pos="13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potential ability to obtain additional financing to complete our initial business combination;</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ability of our officers and directors to generate a number of potential investment opportunities;</w:t>
      </w:r>
    </w:p>
    <w:p>
      <w:pPr>
        <w:spacing w:after="0" w:line="180" w:lineRule="exact"/>
        <w:rPr>
          <w:rFonts w:ascii="Arial" w:cs="Arial" w:eastAsia="Arial" w:hAnsi="Arial"/>
          <w:sz w:val="16"/>
          <w:szCs w:val="16"/>
          <w:color w:val="auto"/>
        </w:rPr>
      </w:pPr>
    </w:p>
    <w:p>
      <w:pPr>
        <w:ind w:left="1320" w:right="459" w:hanging="434"/>
        <w:spacing w:after="0" w:line="277" w:lineRule="auto"/>
        <w:tabs>
          <w:tab w:leader="none" w:pos="14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delisting of our securities from Nasdaq or an inability to have our securities listed on Nasdaq following a business combination;</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lack of a market for our securities; or</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158"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The forward-looking statements contained in this prospectus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beginning on page 22.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8" w:name="page49"/>
    <w:bookmarkEnd w:id="4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We are offering 15,000,000 units at a price of $10.00 per unit. We estimate that the net proceeds of this offering, together with the funds we receive from the sale of the private warrants (all of which will be deposited into the trust account), will be used as set forth in the following table:</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7"/>
              </w:rPr>
              <w:t>Without</w:t>
            </w:r>
          </w:p>
        </w:tc>
        <w:tc>
          <w:tcPr>
            <w:tcW w:w="160" w:type="dxa"/>
            <w:vAlign w:val="bottom"/>
          </w:tcPr>
          <w:p>
            <w:pPr>
              <w:spacing w:after="0"/>
              <w:rPr>
                <w:sz w:val="17"/>
                <w:szCs w:val="17"/>
                <w:color w:val="auto"/>
              </w:rPr>
            </w:pPr>
          </w:p>
        </w:tc>
        <w:tc>
          <w:tcPr>
            <w:tcW w:w="116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5"/>
              </w:rPr>
              <w:t>Over-</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0"/>
              </w:rPr>
              <w:t>Over-</w:t>
            </w:r>
          </w:p>
        </w:tc>
        <w:tc>
          <w:tcPr>
            <w:tcW w:w="160" w:type="dxa"/>
            <w:vAlign w:val="bottom"/>
          </w:tcPr>
          <w:p>
            <w:pPr>
              <w:spacing w:after="0"/>
              <w:rPr>
                <w:sz w:val="17"/>
                <w:szCs w:val="17"/>
                <w:color w:val="auto"/>
              </w:rPr>
            </w:pPr>
          </w:p>
        </w:tc>
        <w:tc>
          <w:tcPr>
            <w:tcW w:w="1160" w:type="dxa"/>
            <w:vAlign w:val="bottom"/>
            <w:gridSpan w:val="2"/>
          </w:tcPr>
          <w:p>
            <w:pPr>
              <w:jc w:val="center"/>
              <w:ind w:right="130"/>
              <w:spacing w:after="0"/>
              <w:rPr>
                <w:sz w:val="20"/>
                <w:szCs w:val="20"/>
                <w:color w:val="auto"/>
              </w:rPr>
            </w:pPr>
            <w:r>
              <w:rPr>
                <w:rFonts w:ascii="Arial" w:cs="Arial" w:eastAsia="Arial" w:hAnsi="Arial"/>
                <w:sz w:val="16"/>
                <w:szCs w:val="16"/>
                <w:b w:val="1"/>
                <w:bCs w:val="1"/>
                <w:color w:val="auto"/>
                <w:w w:val="94"/>
              </w:rPr>
              <w:t>Allotment</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4"/>
              </w:rPr>
              <w:t>Allotment</w:t>
            </w:r>
          </w:p>
        </w:tc>
        <w:tc>
          <w:tcPr>
            <w:tcW w:w="160" w:type="dxa"/>
            <w:vAlign w:val="bottom"/>
          </w:tcPr>
          <w:p>
            <w:pPr>
              <w:spacing w:after="0"/>
              <w:rPr>
                <w:sz w:val="17"/>
                <w:szCs w:val="17"/>
                <w:color w:val="auto"/>
              </w:rPr>
            </w:pPr>
          </w:p>
        </w:tc>
        <w:tc>
          <w:tcPr>
            <w:tcW w:w="1160" w:type="dxa"/>
            <w:vAlign w:val="bottom"/>
            <w:gridSpan w:val="2"/>
          </w:tcPr>
          <w:p>
            <w:pPr>
              <w:jc w:val="center"/>
              <w:ind w:right="130"/>
              <w:spacing w:after="0"/>
              <w:rPr>
                <w:sz w:val="20"/>
                <w:szCs w:val="20"/>
                <w:color w:val="auto"/>
              </w:rPr>
            </w:pPr>
            <w:r>
              <w:rPr>
                <w:rFonts w:ascii="Arial" w:cs="Arial" w:eastAsia="Arial" w:hAnsi="Arial"/>
                <w:sz w:val="16"/>
                <w:szCs w:val="16"/>
                <w:b w:val="1"/>
                <w:bCs w:val="1"/>
                <w:color w:val="auto"/>
                <w:w w:val="96"/>
              </w:rPr>
              <w:t>Option</w:t>
            </w:r>
          </w:p>
        </w:tc>
        <w:tc>
          <w:tcPr>
            <w:tcW w:w="0" w:type="dxa"/>
            <w:vAlign w:val="bottom"/>
          </w:tcPr>
          <w:p>
            <w:pPr>
              <w:spacing w:after="0"/>
              <w:rPr>
                <w:sz w:val="1"/>
                <w:szCs w:val="1"/>
                <w:color w:val="auto"/>
              </w:rPr>
            </w:pPr>
          </w:p>
        </w:tc>
      </w:tr>
      <w:tr>
        <w:trPr>
          <w:trHeight w:val="210"/>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6"/>
              </w:rPr>
              <w:t>Option</w:t>
            </w:r>
          </w:p>
        </w:tc>
        <w:tc>
          <w:tcPr>
            <w:tcW w:w="160" w:type="dxa"/>
            <w:vAlign w:val="bottom"/>
          </w:tcPr>
          <w:p>
            <w:pPr>
              <w:spacing w:after="0"/>
              <w:rPr>
                <w:sz w:val="18"/>
                <w:szCs w:val="18"/>
                <w:color w:val="auto"/>
              </w:rPr>
            </w:pPr>
          </w:p>
        </w:tc>
        <w:tc>
          <w:tcPr>
            <w:tcW w:w="1160" w:type="dxa"/>
            <w:vAlign w:val="bottom"/>
            <w:gridSpan w:val="2"/>
          </w:tcPr>
          <w:p>
            <w:pPr>
              <w:jc w:val="center"/>
              <w:ind w:right="90"/>
              <w:spacing w:after="0"/>
              <w:rPr>
                <w:sz w:val="20"/>
                <w:szCs w:val="20"/>
                <w:color w:val="auto"/>
              </w:rPr>
            </w:pPr>
            <w:r>
              <w:rPr>
                <w:rFonts w:ascii="Arial" w:cs="Arial" w:eastAsia="Arial" w:hAnsi="Arial"/>
                <w:sz w:val="16"/>
                <w:szCs w:val="16"/>
                <w:b w:val="1"/>
                <w:bCs w:val="1"/>
                <w:color w:val="auto"/>
                <w:w w:val="87"/>
              </w:rPr>
              <w:t>Exercised</w:t>
            </w:r>
          </w:p>
        </w:tc>
        <w:tc>
          <w:tcPr>
            <w:tcW w:w="0" w:type="dxa"/>
            <w:vAlign w:val="bottom"/>
          </w:tcPr>
          <w:p>
            <w:pPr>
              <w:spacing w:after="0"/>
              <w:rPr>
                <w:sz w:val="1"/>
                <w:szCs w:val="1"/>
                <w:color w:val="auto"/>
              </w:rPr>
            </w:pPr>
          </w:p>
        </w:tc>
      </w:tr>
      <w:tr>
        <w:trPr>
          <w:trHeight w:val="46"/>
        </w:trPr>
        <w:tc>
          <w:tcPr>
            <w:tcW w:w="55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Gross proceeds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From offering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150,000,000</w:t>
            </w:r>
          </w:p>
        </w:tc>
        <w:tc>
          <w:tcPr>
            <w:tcW w:w="100" w:type="dxa"/>
            <w:vAlign w:val="bottom"/>
          </w:tcPr>
          <w:p>
            <w:pPr>
              <w:spacing w:after="0"/>
              <w:rPr>
                <w:sz w:val="21"/>
                <w:szCs w:val="21"/>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w w:val="97"/>
              </w:rPr>
              <w:t>172,500,000</w:t>
            </w:r>
          </w:p>
        </w:tc>
        <w:tc>
          <w:tcPr>
            <w:tcW w:w="0" w:type="dxa"/>
            <w:vAlign w:val="bottom"/>
          </w:tcPr>
          <w:p>
            <w:pPr>
              <w:spacing w:after="0"/>
              <w:rPr>
                <w:sz w:val="1"/>
                <w:szCs w:val="1"/>
                <w:color w:val="auto"/>
              </w:rPr>
            </w:pPr>
          </w:p>
        </w:tc>
      </w:tr>
      <w:tr>
        <w:trPr>
          <w:trHeight w:val="41"/>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From sale of private warrants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6,675,000</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180"/>
              <w:spacing w:after="0"/>
              <w:rPr>
                <w:sz w:val="20"/>
                <w:szCs w:val="20"/>
                <w:color w:val="auto"/>
              </w:rPr>
            </w:pPr>
            <w:r>
              <w:rPr>
                <w:rFonts w:ascii="Arial" w:cs="Arial" w:eastAsia="Arial" w:hAnsi="Arial"/>
                <w:sz w:val="18"/>
                <w:szCs w:val="18"/>
                <w:color w:val="auto"/>
              </w:rPr>
              <w:t>Total gross proceeds</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50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156,000,000</w:t>
            </w:r>
          </w:p>
        </w:tc>
        <w:tc>
          <w:tcPr>
            <w:tcW w:w="100" w:type="dxa"/>
            <w:vAlign w:val="bottom"/>
          </w:tcPr>
          <w:p>
            <w:pPr>
              <w:spacing w:after="0"/>
              <w:rPr>
                <w:sz w:val="24"/>
                <w:szCs w:val="24"/>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w w:val="97"/>
              </w:rPr>
              <w:t>179,175,000</w:t>
            </w:r>
          </w:p>
        </w:tc>
        <w:tc>
          <w:tcPr>
            <w:tcW w:w="0" w:type="dxa"/>
            <w:vAlign w:val="bottom"/>
          </w:tcPr>
          <w:p>
            <w:pPr>
              <w:spacing w:after="0"/>
              <w:rPr>
                <w:sz w:val="1"/>
                <w:szCs w:val="1"/>
                <w:color w:val="auto"/>
              </w:rPr>
            </w:pPr>
          </w:p>
        </w:tc>
      </w:tr>
      <w:tr>
        <w:trPr>
          <w:trHeight w:val="271"/>
        </w:trPr>
        <w:tc>
          <w:tcPr>
            <w:tcW w:w="55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500" w:type="dxa"/>
            <w:vAlign w:val="bottom"/>
          </w:tcPr>
          <w:p>
            <w:pPr>
              <w:spacing w:after="0"/>
              <w:rPr>
                <w:sz w:val="20"/>
                <w:szCs w:val="20"/>
                <w:color w:val="auto"/>
              </w:rPr>
            </w:pPr>
            <w:r>
              <w:rPr>
                <w:rFonts w:ascii="Arial" w:cs="Arial" w:eastAsia="Arial" w:hAnsi="Arial"/>
                <w:sz w:val="18"/>
                <w:szCs w:val="18"/>
                <w:i w:val="1"/>
                <w:iCs w:val="1"/>
                <w:color w:val="auto"/>
              </w:rPr>
              <w:t>Offering expenses</w:t>
            </w:r>
            <w:r>
              <w:rPr>
                <w:rFonts w:ascii="Arial" w:cs="Arial" w:eastAsia="Arial" w:hAnsi="Arial"/>
                <w:sz w:val="20"/>
                <w:szCs w:val="20"/>
                <w:i w:val="1"/>
                <w:iCs w:val="1"/>
                <w:color w:val="auto"/>
                <w:vertAlign w:val="superscript"/>
              </w:rPr>
              <w:t>(1)</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Underwriting discount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3,450,000</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Initial Trustee fee</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Nasdaq listing fee</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41"/>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Printing and filing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41"/>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26,375</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SEC registration fee</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18,820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18,820</w:t>
            </w: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78,305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78,305</w:t>
            </w:r>
          </w:p>
        </w:tc>
        <w:tc>
          <w:tcPr>
            <w:tcW w:w="0" w:type="dxa"/>
            <w:vAlign w:val="bottom"/>
          </w:tcPr>
          <w:p>
            <w:pPr>
              <w:spacing w:after="0"/>
              <w:rPr>
                <w:sz w:val="1"/>
                <w:szCs w:val="1"/>
                <w:color w:val="auto"/>
              </w:rPr>
            </w:pPr>
          </w:p>
        </w:tc>
      </w:tr>
      <w:tr>
        <w:trPr>
          <w:trHeight w:val="224"/>
        </w:trPr>
        <w:tc>
          <w:tcPr>
            <w:tcW w:w="5500" w:type="dxa"/>
            <w:vAlign w:val="bottom"/>
          </w:tcPr>
          <w:p>
            <w:pPr>
              <w:ind w:left="180"/>
              <w:spacing w:after="0"/>
              <w:rPr>
                <w:sz w:val="20"/>
                <w:szCs w:val="20"/>
                <w:color w:val="auto"/>
              </w:rPr>
            </w:pPr>
            <w:r>
              <w:rPr>
                <w:rFonts w:ascii="Arial" w:cs="Arial" w:eastAsia="Arial" w:hAnsi="Arial"/>
                <w:sz w:val="18"/>
                <w:szCs w:val="18"/>
                <w:color w:val="auto"/>
              </w:rPr>
              <w:t>Total offering expenses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3,500,000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3,950,000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4"/>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i w:val="1"/>
                <w:iCs w:val="1"/>
                <w:color w:val="auto"/>
              </w:rPr>
              <w:t>Net proceeds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Held in trust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151,500,000</w:t>
            </w:r>
            <w:r>
              <w:rPr>
                <w:rFonts w:ascii="Arial" w:cs="Arial" w:eastAsia="Arial" w:hAnsi="Arial"/>
                <w:sz w:val="20"/>
                <w:szCs w:val="20"/>
                <w:color w:val="auto"/>
                <w:w w:val="87"/>
                <w:vertAlign w:val="superscript"/>
              </w:rPr>
              <w:t>(2)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174,225,000</w:t>
            </w:r>
            <w:r>
              <w:rPr>
                <w:rFonts w:ascii="Arial" w:cs="Arial" w:eastAsia="Arial" w:hAnsi="Arial"/>
                <w:sz w:val="20"/>
                <w:szCs w:val="20"/>
                <w:color w:val="auto"/>
                <w:w w:val="94"/>
                <w:vertAlign w:val="superscript"/>
              </w:rPr>
              <w:t>(2)</w:t>
            </w:r>
          </w:p>
        </w:tc>
        <w:tc>
          <w:tcPr>
            <w:tcW w:w="0" w:type="dxa"/>
            <w:vAlign w:val="bottom"/>
          </w:tcPr>
          <w:p>
            <w:pPr>
              <w:spacing w:after="0"/>
              <w:rPr>
                <w:sz w:val="1"/>
                <w:szCs w:val="1"/>
                <w:color w:val="auto"/>
              </w:rPr>
            </w:pPr>
          </w:p>
        </w:tc>
      </w:tr>
      <w:tr>
        <w:trPr>
          <w:trHeight w:val="284"/>
        </w:trPr>
        <w:tc>
          <w:tcPr>
            <w:tcW w:w="5500" w:type="dxa"/>
            <w:vAlign w:val="bottom"/>
          </w:tcPr>
          <w:p>
            <w:pPr>
              <w:spacing w:after="0"/>
              <w:rPr>
                <w:sz w:val="20"/>
                <w:szCs w:val="20"/>
                <w:color w:val="auto"/>
              </w:rPr>
            </w:pPr>
            <w:r>
              <w:rPr>
                <w:rFonts w:ascii="Arial" w:cs="Arial" w:eastAsia="Arial" w:hAnsi="Arial"/>
                <w:sz w:val="18"/>
                <w:szCs w:val="18"/>
                <w:color w:val="auto"/>
              </w:rPr>
              <w:t>Not held in trust</w:t>
            </w:r>
          </w:p>
        </w:tc>
        <w:tc>
          <w:tcPr>
            <w:tcW w:w="1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1,000,000</w:t>
            </w:r>
            <w:r>
              <w:rPr>
                <w:rFonts w:ascii="Arial" w:cs="Arial" w:eastAsia="Arial" w:hAnsi="Arial"/>
                <w:sz w:val="20"/>
                <w:szCs w:val="20"/>
                <w:color w:val="auto"/>
                <w:vertAlign w:val="superscript"/>
              </w:rPr>
              <w:t>(3)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1,000,000</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20"/>
        </w:trPr>
        <w:tc>
          <w:tcPr>
            <w:tcW w:w="550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net proceeds</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5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152,500,000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7"/>
              </w:rPr>
              <w:t>175,225,000</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Use of net proceeds not held in the trust account</w:t>
            </w:r>
            <w:r>
              <w:rPr>
                <w:rFonts w:ascii="Arial" w:cs="Arial" w:eastAsia="Arial" w:hAnsi="Arial"/>
                <w:sz w:val="20"/>
                <w:szCs w:val="20"/>
                <w:color w:val="auto"/>
                <w:vertAlign w:val="superscript"/>
              </w:rPr>
              <w:t>(3) (4)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500" w:type="dxa"/>
            <w:vAlign w:val="bottom"/>
          </w:tcPr>
          <w:p>
            <w:pPr>
              <w:spacing w:after="0" w:line="201" w:lineRule="exact"/>
              <w:rPr>
                <w:sz w:val="20"/>
                <w:szCs w:val="20"/>
                <w:color w:val="auto"/>
              </w:rPr>
            </w:pPr>
            <w:r>
              <w:rPr>
                <w:rFonts w:ascii="Arial" w:cs="Arial" w:eastAsia="Arial" w:hAnsi="Arial"/>
                <w:sz w:val="18"/>
                <w:szCs w:val="18"/>
                <w:color w:val="auto"/>
                <w:w w:val="94"/>
              </w:rPr>
              <w:t>Legal, accounting and other third party expenses attendant to the search</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w w:val="94"/>
              </w:rPr>
              <w:t>for target businesses and to the due diligence investigation, structuring</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and negotiation of a business combination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Due diligence of prospective target businesses by officers, directors and</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initial stockholders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Legal and accounting fees relating to SEC reporting obligations</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Payment of administrative fee to Chardan Capital Markets, LLC ($10,000</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per month for up to 15 months), subject to deferral as described herein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2"/>
        </w:trPr>
        <w:tc>
          <w:tcPr>
            <w:tcW w:w="5500" w:type="dxa"/>
            <w:vAlign w:val="bottom"/>
          </w:tcPr>
          <w:p>
            <w:pPr>
              <w:spacing w:after="0" w:line="201" w:lineRule="exact"/>
              <w:rPr>
                <w:sz w:val="20"/>
                <w:szCs w:val="20"/>
                <w:color w:val="auto"/>
              </w:rPr>
            </w:pPr>
            <w:r>
              <w:rPr>
                <w:rFonts w:ascii="Arial" w:cs="Arial" w:eastAsia="Arial" w:hAnsi="Arial"/>
                <w:sz w:val="18"/>
                <w:szCs w:val="18"/>
                <w:color w:val="auto"/>
                <w:w w:val="92"/>
              </w:rPr>
              <w:t>Working capital to cover miscellaneous expenses, D&amp;O insurance, general</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500" w:type="dxa"/>
            <w:vAlign w:val="bottom"/>
          </w:tcPr>
          <w:p>
            <w:pPr>
              <w:ind w:left="180"/>
              <w:spacing w:after="0"/>
              <w:rPr>
                <w:sz w:val="20"/>
                <w:szCs w:val="20"/>
                <w:color w:val="auto"/>
              </w:rPr>
            </w:pPr>
            <w:r>
              <w:rPr>
                <w:rFonts w:ascii="Arial" w:cs="Arial" w:eastAsia="Arial" w:hAnsi="Arial"/>
                <w:sz w:val="18"/>
                <w:szCs w:val="18"/>
                <w:color w:val="auto"/>
              </w:rPr>
              <w:t>corporate purposes, liquidation obligations and reserves</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710,000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jc w:val="both"/>
        <w:ind w:left="880" w:right="459" w:hanging="426"/>
        <w:spacing w:after="0" w:line="282" w:lineRule="auto"/>
        <w:tabs>
          <w:tab w:leader="none" w:pos="985" w:val="left"/>
        </w:tabs>
        <w:numPr>
          <w:ilvl w:val="0"/>
          <w:numId w:val="22"/>
        </w:numPr>
        <w:rPr>
          <w:rFonts w:ascii="Arial" w:cs="Arial" w:eastAsia="Arial" w:hAnsi="Arial"/>
          <w:sz w:val="15"/>
          <w:szCs w:val="15"/>
          <w:color w:val="auto"/>
        </w:rPr>
      </w:pPr>
      <w:r>
        <w:rPr>
          <w:rFonts w:ascii="Arial" w:cs="Arial" w:eastAsia="Arial" w:hAnsi="Arial"/>
          <w:sz w:val="15"/>
          <w:szCs w:val="15"/>
          <w:color w:val="auto"/>
        </w:rPr>
        <w:t>A portion of the offering expenses, including the SEC registration fee, the FINRA filing fee, the non-refundable portion of the Nasdaq listing fee and a portion of the legal and audit fees, have been paid from the funds we borrowed from Ventoux Acquisition, as further described below. These funds will be repaid out of the proceeds of this offering available to us. In the event that offering expenses are less than as set forth in this table, any such amounts will be used for post-closing working capital expenses. In the event that the offering expenses are more than as set forth in this table, we may fund such excess with funds not held in the trust account.</w:t>
      </w:r>
    </w:p>
    <w:p>
      <w:pPr>
        <w:spacing w:after="0" w:line="2" w:lineRule="exact"/>
        <w:rPr>
          <w:rFonts w:ascii="Arial" w:cs="Arial" w:eastAsia="Arial" w:hAnsi="Arial"/>
          <w:sz w:val="15"/>
          <w:szCs w:val="15"/>
          <w:color w:val="auto"/>
        </w:rPr>
      </w:pPr>
    </w:p>
    <w:p>
      <w:pPr>
        <w:jc w:val="both"/>
        <w:ind w:left="880" w:right="459" w:hanging="426"/>
        <w:spacing w:after="0" w:line="267" w:lineRule="auto"/>
        <w:tabs>
          <w:tab w:leader="none" w:pos="973"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funds held in the trust account will be used to acquire a target business, to pay the marketing fee payable to Chardan Capital Markets, LLC upon consummation of our initial business combination of $5,250,000 (or $6,037,500 if the underwriters’ over-allotment is exercised in full), to pay holders who wish to convert or sell their shares for a portion of the funds held in the trust account and potentially to pay our expenses relating thereto. Our expenses relating to the acquisition of a target business would either come from the funds held in the trust account or additional funds otherwise available to us outside of the trust account, including cash held by the target business. Any remaining funds will be disbursed to the combined company and be used as working capital to finance the operations of the target business.</w:t>
      </w:r>
    </w:p>
    <w:p>
      <w:pPr>
        <w:sectPr>
          <w:pgSz w:w="11900" w:h="16838" w:orient="portrait"/>
          <w:cols w:equalWidth="0" w:num="1">
            <w:col w:w="9019"/>
          </w:cols>
          <w:pgMar w:left="1440" w:top="274" w:right="1440" w:bottom="696" w:gutter="0" w:footer="0" w:header="0"/>
        </w:sectPr>
      </w:pP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696" w:gutter="0" w:footer="0" w:header="0"/>
          <w:type w:val="continuous"/>
        </w:sectPr>
      </w:pPr>
    </w:p>
    <w:bookmarkStart w:id="49" w:name="page50"/>
    <w:bookmarkEnd w:id="4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880" w:hanging="426"/>
        <w:spacing w:after="0"/>
        <w:tabs>
          <w:tab w:leader="none" w:pos="8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amount of proceeds not held in trust will remain constant at $1,000,000 even if the over-allotment is exercised.</w:t>
      </w:r>
    </w:p>
    <w:p>
      <w:pPr>
        <w:spacing w:after="0" w:line="24" w:lineRule="exact"/>
        <w:rPr>
          <w:rFonts w:ascii="Arial" w:cs="Arial" w:eastAsia="Arial" w:hAnsi="Arial"/>
          <w:sz w:val="15"/>
          <w:szCs w:val="15"/>
          <w:color w:val="auto"/>
        </w:rPr>
      </w:pPr>
    </w:p>
    <w:p>
      <w:pPr>
        <w:jc w:val="both"/>
        <w:ind w:left="880" w:right="459" w:hanging="426"/>
        <w:spacing w:after="0" w:line="290" w:lineRule="auto"/>
        <w:tabs>
          <w:tab w:leader="none" w:pos="961"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These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that business combination. We do not anticipate any change in our intended use of proceeds, other than fluctuations among the current categories of allocated expenses, which fluctuations, to the extent they exceed current estimates for any specific category of expenses, would be deducted from our excess working capital.</w:t>
      </w:r>
    </w:p>
    <w:p>
      <w:pPr>
        <w:spacing w:after="0" w:line="91"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The payment to Chardan Capital Markets, LLC of a monthly fee of $10,000 is for general and administrative services including office space, utilities and secretarial support.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This arrangement is being agreed to by Chardan Capital Markets, LLC for our benefit. We believe that the fee charged by Chardan Capital Markets, LLC is at least as favorable as we could have obtained from an unaffiliated person. This arrangement will terminate upon completion of our initial business combination or the distribution of the trust account to our public stockholders. Other than the $10,000 per month fee, no compensation of any kind (including finder’s fees, consulting fees or other similar compensation) will be paid to our insiders, members of our management team or any of our or their respective affiliates,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Since the role of present management after our initial business combination is uncertain, we have no ability to determine what remuneration, if any, will be paid to those persons after our initial business combination.</w:t>
      </w:r>
    </w:p>
    <w:p>
      <w:pPr>
        <w:spacing w:after="0" w:line="101"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A total of $10.10 per unit (whether or not the underwriters’ over-allotment option is exercised in full) of the net proceeds from this offering and the sale of the private warrants described in this prospectus will be placed in a trust account in the United States at Morgan Stanley, maintained by Continental Stock Transfer &amp; Trust Company acting as trustee and will be invested only in U.S. government treasury bills, notes and bonds with a maturity of 183 days or less or in money market funds meeting certain conditions under Rule 2a-7 under the Investment Company Act and which invest solely in U.S. Treasuries. Except for all interest income that may be released to us to pay our tax obligations, as discussed below, none of the funds held in the trust account will be released from the trust account until the earlier of: (i) the consummation of our initial business combination within 15 months (or up to 18 months, as applicable) from the closing of this offering and (ii) a redemption to public stockholders prior to any voluntary winding-up in the event we do not consummate our initial business combination within the applicable period.</w:t>
      </w:r>
    </w:p>
    <w:p>
      <w:pPr>
        <w:spacing w:after="0" w:line="114"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The net proceeds held in the trust account may be used as consideration to pay the sellers of a target business with which we ultimately complete our initial business combination. If our initial business combination is paid for using shares or debt securities, or not all of the funds released from the trust account are used for payment of the purchase price in connection with our business combination, we may apply the cash released from the trust account that is not applied to the purchase price for general corporate purposes, including for maintenance or expansion of operations of acquired businesses, the payment of principal or interest due on indebtedness incurred in consummating the initial business combination, to fund the purchase of other companies or for working capital.</w:t>
      </w:r>
    </w:p>
    <w:p>
      <w:pPr>
        <w:spacing w:after="0" w:line="97"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acquisition, only after we have negotiated and signed a letter of intent or other preliminary agreement that addresses the terms of our initial business combination. However, if our estimate of the costs of undertaking in-depth due diligence and negotiating our initial business combination is less than the actual amount necessary to do so, or the amount of interest available to use from the trust account is minimal as a result of the current interest rate environment, we may be required to raise additional capital, the amount, availability and cost of which is currently unascertainable. In this event, we could seek such additional capital through loans or additional investments from members of our management team, but such members of our management team are not under any obligation to advance funds to, or invest in, us.</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0" w:name="page51"/>
    <w:bookmarkEnd w:id="5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On August 20, 2020, we issued an unsecured promissory note to Ventoux Acquisition, pursuant to which the Company may borrow up to an aggregate principal amount of $250,000. The promissory note is non-interest bearing and will be payable promptly after consummation of this offering or the date on which we determine not to conduct this offering. As of September 30, 2020, there was $153,018 outstanding under the promissory note.</w:t>
      </w:r>
    </w:p>
    <w:p>
      <w:pPr>
        <w:spacing w:after="0" w:line="120" w:lineRule="exact"/>
        <w:rPr>
          <w:sz w:val="20"/>
          <w:szCs w:val="20"/>
          <w:color w:val="auto"/>
        </w:rPr>
      </w:pPr>
    </w:p>
    <w:p>
      <w:pPr>
        <w:jc w:val="both"/>
        <w:ind w:left="460" w:right="479" w:firstLine="432"/>
        <w:spacing w:after="0" w:line="269"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co-sponsors or an affiliate of our co-sponsors or our officers and directors may, but are not obligated to, loan us funds as may be required. If we consummate our initial business combination, we would repay such loaned amounts.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$1.00 per private warrant (which, for example, would result in the holders being issued private warrants to purchase 500,000 shares of common stock if $500,000 of notes were so converted). Such private warrants will be identical to the private warrants to be issued at the closing of this offering. Loans made by Chardan Capital Markets, LLC or any of its related persons will not be convertible into private warrants, and Chardan Capital Markets, LLC and its related persons will have no recourse with respect to their ability to convert their loans into private warrants.</w:t>
      </w:r>
    </w:p>
    <w:p>
      <w:pPr>
        <w:spacing w:after="0" w:line="111" w:lineRule="exact"/>
        <w:rPr>
          <w:sz w:val="20"/>
          <w:szCs w:val="20"/>
          <w:color w:val="auto"/>
        </w:rPr>
      </w:pPr>
    </w:p>
    <w:p>
      <w:pPr>
        <w:jc w:val="both"/>
        <w:ind w:left="460" w:right="479" w:firstLine="432"/>
        <w:spacing w:after="0" w:line="301" w:lineRule="auto"/>
        <w:rPr>
          <w:sz w:val="20"/>
          <w:szCs w:val="20"/>
          <w:color w:val="auto"/>
        </w:rPr>
      </w:pPr>
      <w:r>
        <w:rPr>
          <w:rFonts w:ascii="Arial" w:cs="Arial" w:eastAsia="Arial" w:hAnsi="Arial"/>
          <w:sz w:val="16"/>
          <w:szCs w:val="16"/>
          <w:color w:val="auto"/>
        </w:rPr>
        <w:t>In no event will we redeem our public shares in an amount that would cause our net tangible assets to be less than $5,000,001. Furthermore, the redemption threshold may be further limited by the terms and conditions of our initial business combination. In such case, we would not proceed with the redemption of our public shares or the business combination, and instead may search for an alternate business combination.</w:t>
      </w:r>
    </w:p>
    <w:p>
      <w:pPr>
        <w:spacing w:after="0" w:line="76"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A public stockholder will be entitled to receive funds from the trust account only upon the earlier to occur of: (i) our consummation of our initial business combination, and then only in connection with those shares of common stock that such stockholder properly elected to redeem, subject to the limitations described herein, (ii) the redemption of our public shares if we are unable to consummate our initial business combination within 15 months (or up to 18 months, as applicable) following the closing of this offering, subject to applicable law, or</w:t>
      </w:r>
    </w:p>
    <w:p>
      <w:pPr>
        <w:spacing w:after="0" w:line="2" w:lineRule="exact"/>
        <w:rPr>
          <w:sz w:val="20"/>
          <w:szCs w:val="20"/>
          <w:color w:val="auto"/>
        </w:rPr>
      </w:pPr>
    </w:p>
    <w:p>
      <w:pPr>
        <w:jc w:val="both"/>
        <w:ind w:left="460" w:right="459" w:hanging="6"/>
        <w:spacing w:after="0" w:line="267" w:lineRule="auto"/>
        <w:tabs>
          <w:tab w:leader="none" w:pos="79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we seek to amend our certificate of incorporation to affect the substance or timing of our obligation to redeem all public shares if we cannot complete an initial business combination within 15 months (or up to 18 months, as applicable) of the closing of this offering and such amendment is duly approved. In no other circumstances will a public stockholder have any right or interest of any kind to or in the trust account. 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11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Our initial stockholders have agreed to waive their redemption rights with respect to any shares they own in connection with the consummation of our initial business combination, including their founder shares and public shares that they have purchased during or after the offering, if any. In addition, our initial stockholders have agreed to waive their rights to liquidating distributions with respect to its founder shares if we fail to consummate our initial business combination within 15 months (or up to 18 months, as applicable) from the closing of this offering. However, if our initial stockholders acquire public shares in or after this offering, they will be entitled to receive liquidating distributions with respect to such public shares if we fail to consummate our initial business combination within the required time period.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1" w:name="page52"/>
    <w:bookmarkEnd w:id="5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We have not paid any cash dividends on our shares of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and subject to the Delaware law. In addition, our board of directors is not currently contemplating and does not anticipate declaring any share dividends in the foreseeable future, except if we increase the size of the offering pursuant to Rule 462(b) under the Securities Act, in which case we will effect a share dividend immediately prior to the consummation of the offering in such amount as to maintain our initial stockholders’ ownership at 20% of the issued and outstanding shares of common stock upon the consummation of this offering (assuming no purchase in this offering and not taking into account ownership of the private warrants). Further, if we incur any indebtedness in connection with our initial business combination, our ability to declare dividends may be limited by restrictive covenants we may agree to in connection therewith.</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2" w:name="page53"/>
    <w:bookmarkEnd w:id="5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35" w:lineRule="exact"/>
        <w:rPr>
          <w:sz w:val="20"/>
          <w:szCs w:val="20"/>
          <w:color w:val="auto"/>
        </w:rPr>
      </w:pPr>
    </w:p>
    <w:p>
      <w:pPr>
        <w:jc w:val="both"/>
        <w:ind w:left="460" w:right="479" w:firstLine="432"/>
        <w:spacing w:after="0" w:line="272" w:lineRule="auto"/>
        <w:rPr>
          <w:sz w:val="20"/>
          <w:szCs w:val="20"/>
          <w:color w:val="auto"/>
        </w:rPr>
      </w:pPr>
      <w:r>
        <w:rPr>
          <w:rFonts w:ascii="Arial" w:cs="Arial" w:eastAsia="Arial" w:hAnsi="Arial"/>
          <w:sz w:val="17"/>
          <w:szCs w:val="17"/>
          <w:color w:val="auto"/>
        </w:rPr>
        <w:t>The difference between the public offering price per share, assuming no value is attributed to the rights and warrants included in the units we are offering by this prospectus, and the pro forma net tangible book value per share after this offering constitutes the dilution to investors in this offering. Such calculation does not reflect any dilution associated with the sale and exercise of warrants, including the private warrants. Net tangible book value per share is determined by dividing our net tangible book value, which is our total tangible assets less total liabilities (including the value of shares of common stock which may be redeemed for cash), by the number of outstanding shares of common stock.</w:t>
      </w:r>
    </w:p>
    <w:p>
      <w:pPr>
        <w:spacing w:after="0" w:line="83"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At September 30, 2020, our net tangible book value deficit was $88,378 or approximately $(0.02) per share. For the purposes of the dilution calculation, in order to present the maximum estimated dilution as a result of this offering, we have assumed (i) the issuance of 0.05 of a share for each right outstanding, as such issuance will occur upon a business combination without the payment of additional consideration and (ii) the number of shares included in the units offered hereby will be deemed to be 15,750,000 (consisting of 15,000,000 shares included in the units we are offering by this prospectus and 750,000 shares for the outstanding rights), and the price per share in this offering will be deemed to be $9.52. After giving effect to the sale of 15,000,000 shares of common stock (or 17,250,000 shares of common stock if the underwriters’ over-allotment option is exercised in full) included in the units we are offering by this prospectus and the proceeds received from the sale of the private warrants the deduction of underwriting discounts and estimated expenses of this offering, our pro forma net tangible book value at September 30, 2020 would have been $5,000,007 or $1.02 per share (or $0.90 if the underwriters’ over-allotment option is exercised in full), representing an immediate increase in net tangible book value of $1.04 per share (or $0.92 if the underwriters’ over-allotment option is exercised in full) to the initial stockholders and an immediate dilution of 89.3% or $8.50 per share (or 90.6% or $8.62 per share if the underwriters’ over-allotment option is exercised in full) to new investors not exercising their conversion/tender rights. For purposes of presentation, our pro forma net tangible book value after this offering is $147,523,458 less than it otherwise would have been because, if we effect a business combination, the ability of public stockholders to exercise conversion rights or sell their shares to us in any tender offer may result in the conversion or tender of up to 14,606,283 shares sold in this offering.</w:t>
      </w:r>
    </w:p>
    <w:p>
      <w:pPr>
        <w:spacing w:after="0" w:line="8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following table illustrates the dilution to the new investors on a per-share basis, assuming no value is attributed to the rights or redeemable warrants, including the private warrants: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jc w:val="center"/>
              <w:ind w:left="234"/>
              <w:spacing w:after="0"/>
              <w:rPr>
                <w:sz w:val="20"/>
                <w:szCs w:val="20"/>
                <w:color w:val="auto"/>
              </w:rPr>
            </w:pPr>
            <w:r>
              <w:rPr>
                <w:rFonts w:ascii="Arial" w:cs="Arial" w:eastAsia="Arial" w:hAnsi="Arial"/>
                <w:sz w:val="16"/>
                <w:szCs w:val="16"/>
                <w:b w:val="1"/>
                <w:bCs w:val="1"/>
                <w:color w:val="auto"/>
                <w:w w:val="93"/>
              </w:rPr>
              <w:t>Without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With</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6"/>
          </w:tcPr>
          <w:p>
            <w:pPr>
              <w:jc w:val="center"/>
              <w:ind w:right="260"/>
              <w:spacing w:after="0"/>
              <w:rPr>
                <w:sz w:val="20"/>
                <w:szCs w:val="20"/>
                <w:color w:val="auto"/>
              </w:rPr>
            </w:pPr>
            <w:r>
              <w:rPr>
                <w:rFonts w:ascii="Arial" w:cs="Arial" w:eastAsia="Arial" w:hAnsi="Arial"/>
                <w:sz w:val="16"/>
                <w:szCs w:val="16"/>
                <w:b w:val="1"/>
                <w:bCs w:val="1"/>
                <w:color w:val="auto"/>
                <w:w w:val="93"/>
              </w:rPr>
              <w:t>Over-Allotment</w:t>
            </w:r>
          </w:p>
        </w:tc>
        <w:tc>
          <w:tcPr>
            <w:tcW w:w="180" w:type="dxa"/>
            <w:vAlign w:val="bottom"/>
          </w:tcPr>
          <w:p>
            <w:pPr>
              <w:spacing w:after="0"/>
              <w:rPr>
                <w:sz w:val="18"/>
                <w:szCs w:val="18"/>
                <w:color w:val="auto"/>
              </w:rPr>
            </w:pPr>
          </w:p>
        </w:tc>
        <w:tc>
          <w:tcPr>
            <w:tcW w:w="1580" w:type="dxa"/>
            <w:vAlign w:val="bottom"/>
            <w:gridSpan w:val="5"/>
          </w:tcPr>
          <w:p>
            <w:pPr>
              <w:ind w:left="160"/>
              <w:spacing w:after="0"/>
              <w:rPr>
                <w:sz w:val="20"/>
                <w:szCs w:val="20"/>
                <w:color w:val="auto"/>
              </w:rPr>
            </w:pPr>
            <w:r>
              <w:rPr>
                <w:rFonts w:ascii="Arial" w:cs="Arial" w:eastAsia="Arial" w:hAnsi="Arial"/>
                <w:sz w:val="16"/>
                <w:szCs w:val="16"/>
                <w:b w:val="1"/>
                <w:bCs w:val="1"/>
                <w:color w:val="auto"/>
              </w:rPr>
              <w:t>Over-Allotment</w:t>
            </w:r>
          </w:p>
        </w:tc>
        <w:tc>
          <w:tcPr>
            <w:tcW w:w="0" w:type="dxa"/>
            <w:vAlign w:val="bottom"/>
          </w:tcPr>
          <w:p>
            <w:pPr>
              <w:spacing w:after="0"/>
              <w:rPr>
                <w:sz w:val="1"/>
                <w:szCs w:val="1"/>
                <w:color w:val="auto"/>
              </w:rPr>
            </w:pPr>
          </w:p>
        </w:tc>
      </w:tr>
      <w:tr>
        <w:trPr>
          <w:trHeight w:val="47"/>
        </w:trPr>
        <w:tc>
          <w:tcPr>
            <w:tcW w:w="428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Arial" w:cs="Arial" w:eastAsia="Arial" w:hAnsi="Arial"/>
                <w:sz w:val="18"/>
                <w:szCs w:val="18"/>
                <w:color w:val="auto"/>
              </w:rPr>
              <w:t>Net tangible book value before this offering</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79"/>
              <w:spacing w:after="0"/>
              <w:rPr>
                <w:sz w:val="20"/>
                <w:szCs w:val="20"/>
                <w:color w:val="auto"/>
              </w:rPr>
            </w:pPr>
            <w:r>
              <w:rPr>
                <w:rFonts w:ascii="Arial" w:cs="Arial" w:eastAsia="Arial" w:hAnsi="Arial"/>
                <w:sz w:val="18"/>
                <w:szCs w:val="18"/>
                <w:color w:val="auto"/>
              </w:rPr>
              <w:t>(0.02)</w:t>
            </w: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Increase attributable to new investors, private sales and</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contribution</w:t>
            </w:r>
          </w:p>
        </w:tc>
        <w:tc>
          <w:tcPr>
            <w:tcW w:w="3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2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0.92</w:t>
            </w:r>
          </w:p>
        </w:tc>
        <w:tc>
          <w:tcPr>
            <w:tcW w:w="3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80" w:type="dxa"/>
            <w:vAlign w:val="bottom"/>
          </w:tcPr>
          <w:p>
            <w:pPr>
              <w:spacing w:after="0"/>
              <w:rPr>
                <w:sz w:val="20"/>
                <w:szCs w:val="20"/>
                <w:color w:val="auto"/>
              </w:rPr>
            </w:pPr>
            <w:r>
              <w:rPr>
                <w:rFonts w:ascii="Arial" w:cs="Arial" w:eastAsia="Arial" w:hAnsi="Arial"/>
                <w:sz w:val="18"/>
                <w:szCs w:val="18"/>
                <w:color w:val="auto"/>
              </w:rPr>
              <w:t>Pro forma net tangible book value after this offering</w:t>
            </w:r>
          </w:p>
        </w:tc>
        <w:tc>
          <w:tcPr>
            <w:tcW w:w="3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Dilution to new investors</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Percentage of dilution to new investors</w:t>
            </w: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w w:val="90"/>
              </w:rPr>
              <w:t>89.3%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ind w:left="120"/>
              <w:spacing w:after="0"/>
              <w:rPr>
                <w:sz w:val="20"/>
                <w:szCs w:val="20"/>
                <w:color w:val="auto"/>
              </w:rPr>
            </w:pPr>
            <w:r>
              <w:rPr>
                <w:rFonts w:ascii="Arial" w:cs="Arial" w:eastAsia="Arial" w:hAnsi="Arial"/>
                <w:sz w:val="18"/>
                <w:szCs w:val="18"/>
                <w:color w:val="auto"/>
                <w:w w:val="90"/>
              </w:rPr>
              <w:t>90.6%</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sets forth information with respect to our initial stockholders and the new investors:</w:t>
      </w:r>
    </w:p>
    <w:p>
      <w:pPr>
        <w:spacing w:after="0" w:line="210"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1860" w:type="dxa"/>
            <w:vAlign w:val="bottom"/>
          </w:tcPr>
          <w:p>
            <w:pPr>
              <w:spacing w:after="0"/>
              <w:rPr>
                <w:sz w:val="17"/>
                <w:szCs w:val="17"/>
                <w:color w:val="auto"/>
              </w:rPr>
            </w:pPr>
          </w:p>
        </w:tc>
        <w:tc>
          <w:tcPr>
            <w:tcW w:w="2480" w:type="dxa"/>
            <w:vAlign w:val="bottom"/>
            <w:gridSpan w:val="5"/>
            <w:vMerge w:val="restart"/>
          </w:tcPr>
          <w:p>
            <w:pPr>
              <w:ind w:left="580"/>
              <w:spacing w:after="0"/>
              <w:rPr>
                <w:sz w:val="20"/>
                <w:szCs w:val="20"/>
                <w:color w:val="auto"/>
              </w:rPr>
            </w:pPr>
            <w:r>
              <w:rPr>
                <w:rFonts w:ascii="Arial" w:cs="Arial" w:eastAsia="Arial" w:hAnsi="Arial"/>
                <w:sz w:val="16"/>
                <w:szCs w:val="16"/>
                <w:b w:val="1"/>
                <w:bCs w:val="1"/>
                <w:color w:val="auto"/>
              </w:rPr>
              <w:t>Shares Purchased</w:t>
            </w:r>
          </w:p>
        </w:tc>
        <w:tc>
          <w:tcPr>
            <w:tcW w:w="160" w:type="dxa"/>
            <w:vAlign w:val="bottom"/>
          </w:tcPr>
          <w:p>
            <w:pPr>
              <w:spacing w:after="0"/>
              <w:rPr>
                <w:sz w:val="17"/>
                <w:szCs w:val="17"/>
                <w:color w:val="auto"/>
              </w:rPr>
            </w:pPr>
          </w:p>
        </w:tc>
        <w:tc>
          <w:tcPr>
            <w:tcW w:w="2240" w:type="dxa"/>
            <w:vAlign w:val="bottom"/>
            <w:gridSpan w:val="4"/>
            <w:vMerge w:val="restart"/>
          </w:tcPr>
          <w:p>
            <w:pPr>
              <w:jc w:val="right"/>
              <w:ind w:right="410"/>
              <w:spacing w:after="0"/>
              <w:rPr>
                <w:sz w:val="20"/>
                <w:szCs w:val="20"/>
                <w:color w:val="auto"/>
              </w:rPr>
            </w:pPr>
            <w:r>
              <w:rPr>
                <w:rFonts w:ascii="Arial" w:cs="Arial" w:eastAsia="Arial" w:hAnsi="Arial"/>
                <w:sz w:val="16"/>
                <w:szCs w:val="16"/>
                <w:b w:val="1"/>
                <w:bCs w:val="1"/>
                <w:color w:val="auto"/>
              </w:rPr>
              <w:t>Total Consideration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155"/>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75"/>
        </w:trPr>
        <w:tc>
          <w:tcPr>
            <w:tcW w:w="1860" w:type="dxa"/>
            <w:vAlign w:val="bottom"/>
          </w:tcPr>
          <w:p>
            <w:pPr>
              <w:spacing w:after="0"/>
              <w:rPr>
                <w:sz w:val="6"/>
                <w:szCs w:val="6"/>
                <w:color w:val="auto"/>
              </w:rPr>
            </w:pPr>
          </w:p>
        </w:tc>
        <w:tc>
          <w:tcPr>
            <w:tcW w:w="2480" w:type="dxa"/>
            <w:vAlign w:val="bottom"/>
            <w:gridSpan w:val="5"/>
            <w:vMerge w:val="continue"/>
          </w:tcPr>
          <w:p>
            <w:pPr>
              <w:spacing w:after="0"/>
              <w:rPr>
                <w:sz w:val="6"/>
                <w:szCs w:val="6"/>
                <w:color w:val="auto"/>
              </w:rPr>
            </w:pPr>
          </w:p>
        </w:tc>
        <w:tc>
          <w:tcPr>
            <w:tcW w:w="160" w:type="dxa"/>
            <w:vAlign w:val="bottom"/>
          </w:tcPr>
          <w:p>
            <w:pPr>
              <w:spacing w:after="0"/>
              <w:rPr>
                <w:sz w:val="6"/>
                <w:szCs w:val="6"/>
                <w:color w:val="auto"/>
              </w:rPr>
            </w:pPr>
          </w:p>
        </w:tc>
        <w:tc>
          <w:tcPr>
            <w:tcW w:w="224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vMerge w:val="restart"/>
          </w:tcPr>
          <w:p>
            <w:pPr>
              <w:jc w:val="center"/>
              <w:ind w:right="155"/>
              <w:spacing w:after="0"/>
              <w:rPr>
                <w:sz w:val="20"/>
                <w:szCs w:val="20"/>
                <w:color w:val="auto"/>
              </w:rPr>
            </w:pPr>
            <w:r>
              <w:rPr>
                <w:rFonts w:ascii="Arial" w:cs="Arial" w:eastAsia="Arial" w:hAnsi="Arial"/>
                <w:sz w:val="16"/>
                <w:szCs w:val="16"/>
                <w:b w:val="1"/>
                <w:bCs w:val="1"/>
                <w:color w:val="auto"/>
                <w:w w:val="91"/>
              </w:rPr>
              <w:t>Price</w:t>
            </w:r>
          </w:p>
        </w:tc>
        <w:tc>
          <w:tcPr>
            <w:tcW w:w="0" w:type="dxa"/>
            <w:vAlign w:val="bottom"/>
          </w:tcPr>
          <w:p>
            <w:pPr>
              <w:spacing w:after="0"/>
              <w:rPr>
                <w:sz w:val="1"/>
                <w:szCs w:val="1"/>
                <w:color w:val="auto"/>
              </w:rPr>
            </w:pPr>
          </w:p>
        </w:tc>
      </w:tr>
      <w:tr>
        <w:trPr>
          <w:trHeight w:val="47"/>
        </w:trPr>
        <w:tc>
          <w:tcPr>
            <w:tcW w:w="18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1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860" w:type="dxa"/>
            <w:vAlign w:val="bottom"/>
          </w:tcPr>
          <w:p>
            <w:pPr>
              <w:spacing w:after="0"/>
              <w:rPr>
                <w:sz w:val="18"/>
                <w:szCs w:val="18"/>
                <w:color w:val="auto"/>
              </w:rPr>
            </w:pPr>
          </w:p>
        </w:tc>
        <w:tc>
          <w:tcPr>
            <w:tcW w:w="122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w:t>
            </w:r>
          </w:p>
        </w:tc>
        <w:tc>
          <w:tcPr>
            <w:tcW w:w="1260" w:type="dxa"/>
            <w:vAlign w:val="bottom"/>
            <w:gridSpan w:val="3"/>
          </w:tcPr>
          <w:p>
            <w:pPr>
              <w:ind w:left="200"/>
              <w:spacing w:after="0"/>
              <w:rPr>
                <w:sz w:val="20"/>
                <w:szCs w:val="20"/>
                <w:color w:val="auto"/>
              </w:rPr>
            </w:pPr>
            <w:r>
              <w:rPr>
                <w:rFonts w:ascii="Arial" w:cs="Arial" w:eastAsia="Arial" w:hAnsi="Arial"/>
                <w:sz w:val="16"/>
                <w:szCs w:val="16"/>
                <w:b w:val="1"/>
                <w:bCs w:val="1"/>
                <w:color w:val="auto"/>
              </w:rPr>
              <w:t>Percentage</w:t>
            </w:r>
          </w:p>
        </w:tc>
        <w:tc>
          <w:tcPr>
            <w:tcW w:w="16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Amount</w:t>
            </w:r>
          </w:p>
        </w:tc>
        <w:tc>
          <w:tcPr>
            <w:tcW w:w="1180" w:type="dxa"/>
            <w:vAlign w:val="bottom"/>
            <w:gridSpan w:val="2"/>
          </w:tcPr>
          <w:p>
            <w:pPr>
              <w:jc w:val="right"/>
              <w:ind w:right="110"/>
              <w:spacing w:after="0"/>
              <w:rPr>
                <w:sz w:val="20"/>
                <w:szCs w:val="20"/>
                <w:color w:val="auto"/>
              </w:rPr>
            </w:pPr>
            <w:r>
              <w:rPr>
                <w:rFonts w:ascii="Arial" w:cs="Arial" w:eastAsia="Arial" w:hAnsi="Arial"/>
                <w:sz w:val="16"/>
                <w:szCs w:val="16"/>
                <w:b w:val="1"/>
                <w:bCs w:val="1"/>
                <w:color w:val="auto"/>
              </w:rPr>
              <w:t>Percentage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115"/>
              <w:spacing w:after="0"/>
              <w:rPr>
                <w:sz w:val="20"/>
                <w:szCs w:val="20"/>
                <w:color w:val="auto"/>
              </w:rPr>
            </w:pPr>
            <w:r>
              <w:rPr>
                <w:rFonts w:ascii="Arial" w:cs="Arial" w:eastAsia="Arial" w:hAnsi="Arial"/>
                <w:sz w:val="16"/>
                <w:szCs w:val="16"/>
                <w:b w:val="1"/>
                <w:bCs w:val="1"/>
                <w:color w:val="auto"/>
                <w:w w:val="90"/>
              </w:rPr>
              <w:t>Per Share</w:t>
            </w:r>
          </w:p>
        </w:tc>
        <w:tc>
          <w:tcPr>
            <w:tcW w:w="0" w:type="dxa"/>
            <w:vAlign w:val="bottom"/>
          </w:tcPr>
          <w:p>
            <w:pPr>
              <w:spacing w:after="0"/>
              <w:rPr>
                <w:sz w:val="1"/>
                <w:szCs w:val="1"/>
                <w:color w:val="auto"/>
              </w:rPr>
            </w:pPr>
          </w:p>
        </w:tc>
      </w:tr>
      <w:tr>
        <w:trPr>
          <w:trHeight w:val="47"/>
        </w:trPr>
        <w:tc>
          <w:tcPr>
            <w:tcW w:w="18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Initial stockholders</w:t>
            </w:r>
            <w:r>
              <w:rPr>
                <w:rFonts w:ascii="Arial" w:cs="Arial" w:eastAsia="Arial" w:hAnsi="Arial"/>
                <w:sz w:val="20"/>
                <w:szCs w:val="20"/>
                <w:color w:val="auto"/>
                <w:vertAlign w:val="superscript"/>
              </w:rPr>
              <w:t>(1)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0.007</w:t>
            </w:r>
          </w:p>
        </w:tc>
        <w:tc>
          <w:tcPr>
            <w:tcW w:w="0" w:type="dxa"/>
            <w:vAlign w:val="bottom"/>
          </w:tcPr>
          <w:p>
            <w:pPr>
              <w:spacing w:after="0"/>
              <w:rPr>
                <w:sz w:val="1"/>
                <w:szCs w:val="1"/>
                <w:color w:val="auto"/>
              </w:rPr>
            </w:pPr>
          </w:p>
        </w:tc>
      </w:tr>
      <w:tr>
        <w:trPr>
          <w:trHeight w:val="284"/>
        </w:trPr>
        <w:tc>
          <w:tcPr>
            <w:tcW w:w="1860" w:type="dxa"/>
            <w:vAlign w:val="bottom"/>
          </w:tcPr>
          <w:p>
            <w:pPr>
              <w:spacing w:after="0"/>
              <w:rPr>
                <w:sz w:val="20"/>
                <w:szCs w:val="20"/>
                <w:color w:val="auto"/>
              </w:rPr>
            </w:pPr>
            <w:r>
              <w:rPr>
                <w:rFonts w:ascii="Arial" w:cs="Arial" w:eastAsia="Arial" w:hAnsi="Arial"/>
                <w:sz w:val="18"/>
                <w:szCs w:val="18"/>
                <w:color w:val="auto"/>
              </w:rPr>
              <w:t>New investors</w:t>
            </w:r>
            <w:r>
              <w:rPr>
                <w:rFonts w:ascii="Arial" w:cs="Arial" w:eastAsia="Arial" w:hAnsi="Arial"/>
                <w:sz w:val="20"/>
                <w:szCs w:val="20"/>
                <w:color w:val="auto"/>
                <w:vertAlign w:val="superscript"/>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15,750,000</w:t>
            </w:r>
          </w:p>
        </w:tc>
        <w:tc>
          <w:tcPr>
            <w:tcW w:w="8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150,000,000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99.98%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43"/>
        </w:trPr>
        <w:tc>
          <w:tcPr>
            <w:tcW w:w="186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19,500,000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150,025,000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479" w:hanging="426"/>
        <w:spacing w:after="0" w:line="266" w:lineRule="auto"/>
        <w:tabs>
          <w:tab w:leader="none" w:pos="891"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Assumes the over-allotment option has not been exercised and an aggregate of 562,500 shares of common stock held by our initial stockholders have been forfeited as a result thereof.</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Assumes the issuance of an additional 750,000 shares underlying the rights included in the public units.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3" w:name="page54"/>
    <w:bookmarkEnd w:id="5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pro forma net tangible book value after the offering is calculated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ind w:left="180"/>
              <w:spacing w:after="0"/>
              <w:rPr>
                <w:sz w:val="20"/>
                <w:szCs w:val="20"/>
                <w:color w:val="auto"/>
              </w:rPr>
            </w:pPr>
            <w:r>
              <w:rPr>
                <w:rFonts w:ascii="Arial" w:cs="Arial" w:eastAsia="Arial" w:hAnsi="Arial"/>
                <w:sz w:val="16"/>
                <w:szCs w:val="16"/>
                <w:b w:val="1"/>
                <w:bCs w:val="1"/>
                <w:color w:val="auto"/>
              </w:rPr>
              <w:t>Without</w:t>
            </w:r>
          </w:p>
        </w:tc>
        <w:tc>
          <w:tcPr>
            <w:tcW w:w="120" w:type="dxa"/>
            <w:vAlign w:val="bottom"/>
          </w:tcPr>
          <w:p>
            <w:pPr>
              <w:spacing w:after="0"/>
              <w:rPr>
                <w:sz w:val="17"/>
                <w:szCs w:val="17"/>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With</w:t>
            </w:r>
          </w:p>
        </w:tc>
      </w:tr>
      <w:tr>
        <w:trPr>
          <w:trHeight w:val="210"/>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7"/>
          </w:tcPr>
          <w:p>
            <w:pPr>
              <w:jc w:val="right"/>
              <w:ind w:right="80"/>
              <w:spacing w:after="0"/>
              <w:rPr>
                <w:sz w:val="20"/>
                <w:szCs w:val="20"/>
                <w:color w:val="auto"/>
              </w:rPr>
            </w:pPr>
            <w:r>
              <w:rPr>
                <w:rFonts w:ascii="Arial" w:cs="Arial" w:eastAsia="Arial" w:hAnsi="Arial"/>
                <w:sz w:val="16"/>
                <w:szCs w:val="16"/>
                <w:b w:val="1"/>
                <w:bCs w:val="1"/>
                <w:color w:val="auto"/>
              </w:rPr>
              <w:t>Over-Allotment   Over-Allotment</w:t>
            </w:r>
          </w:p>
        </w:tc>
      </w:tr>
      <w:tr>
        <w:trPr>
          <w:trHeight w:val="46"/>
        </w:trPr>
        <w:tc>
          <w:tcPr>
            <w:tcW w:w="54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77"/>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r>
              <w:rPr>
                <w:rFonts w:ascii="Arial" w:cs="Arial" w:eastAsia="Arial" w:hAnsi="Arial"/>
                <w:sz w:val="20"/>
                <w:szCs w:val="20"/>
                <w:color w:val="auto"/>
                <w:vertAlign w:val="superscript"/>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Net tangible book value before this offering</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(88,378)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(88,378)</w:t>
            </w:r>
          </w:p>
        </w:tc>
      </w:tr>
      <w:tr>
        <w:trPr>
          <w:trHeight w:val="41"/>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Net proceeds from this offering and private placement of private warrants</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152,500,000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175,225,000</w:t>
            </w:r>
          </w:p>
        </w:tc>
      </w:tr>
      <w:tr>
        <w:trPr>
          <w:trHeight w:val="202"/>
        </w:trPr>
        <w:tc>
          <w:tcPr>
            <w:tcW w:w="5420" w:type="dxa"/>
            <w:vAlign w:val="bottom"/>
          </w:tcPr>
          <w:p>
            <w:pPr>
              <w:spacing w:after="0" w:line="201" w:lineRule="exact"/>
              <w:rPr>
                <w:sz w:val="20"/>
                <w:szCs w:val="20"/>
                <w:color w:val="auto"/>
              </w:rPr>
            </w:pPr>
            <w:r>
              <w:rPr>
                <w:rFonts w:ascii="Arial" w:cs="Arial" w:eastAsia="Arial" w:hAnsi="Arial"/>
                <w:sz w:val="18"/>
                <w:szCs w:val="18"/>
                <w:color w:val="auto"/>
                <w:w w:val="99"/>
              </w:rPr>
              <w:t>Plus: Offering costs accrued for and paid in advance, excluded from</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5420" w:type="dxa"/>
            <w:vAlign w:val="bottom"/>
          </w:tcPr>
          <w:p>
            <w:pPr>
              <w:ind w:left="180"/>
              <w:spacing w:after="0"/>
              <w:rPr>
                <w:sz w:val="20"/>
                <w:szCs w:val="20"/>
                <w:color w:val="auto"/>
              </w:rPr>
            </w:pPr>
            <w:r>
              <w:rPr>
                <w:rFonts w:ascii="Arial" w:cs="Arial" w:eastAsia="Arial" w:hAnsi="Arial"/>
                <w:sz w:val="18"/>
                <w:szCs w:val="18"/>
                <w:color w:val="auto"/>
              </w:rPr>
              <w:t>tangible book value before this offering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111,843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111,843</w:t>
            </w:r>
          </w:p>
        </w:tc>
      </w:tr>
      <w:tr>
        <w:trPr>
          <w:trHeight w:val="41"/>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Proceeds held in trust subject to conversion/tender</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(147,523,458)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(170,248,458)</w:t>
            </w: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83"/>
        </w:trPr>
        <w:tc>
          <w:tcPr>
            <w:tcW w:w="54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5,000,007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5,000,007</w:t>
            </w:r>
          </w:p>
        </w:tc>
      </w:tr>
      <w:tr>
        <w:trPr>
          <w:trHeight w:val="271"/>
        </w:trPr>
        <w:tc>
          <w:tcPr>
            <w:tcW w:w="54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Denominator:</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w w:val="95"/>
              </w:rPr>
              <w:t>Shares of common stock issued and outstanding prior to this offering</w:t>
            </w:r>
            <w:r>
              <w:rPr>
                <w:rFonts w:ascii="Arial" w:cs="Arial" w:eastAsia="Arial" w:hAnsi="Arial"/>
                <w:sz w:val="20"/>
                <w:szCs w:val="20"/>
                <w:color w:val="auto"/>
                <w:w w:val="95"/>
                <w:vertAlign w:val="superscript"/>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3,750,000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4,312,500</w:t>
            </w: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Shares of common stock to be sold in this offering</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15,000,000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17,250,000</w:t>
            </w:r>
          </w:p>
        </w:tc>
      </w:tr>
      <w:tr>
        <w:trPr>
          <w:trHeight w:val="40"/>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02"/>
        </w:trPr>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Shares of common stock underlying the rights to be included in the public</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1"/>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862,500</w:t>
            </w:r>
          </w:p>
        </w:tc>
      </w:tr>
      <w:tr>
        <w:trPr>
          <w:trHeight w:val="257"/>
        </w:trPr>
        <w:tc>
          <w:tcPr>
            <w:tcW w:w="5420" w:type="dxa"/>
            <w:vAlign w:val="bottom"/>
          </w:tcPr>
          <w:p>
            <w:pPr>
              <w:spacing w:after="0"/>
              <w:rPr>
                <w:sz w:val="20"/>
                <w:szCs w:val="20"/>
                <w:color w:val="auto"/>
              </w:rPr>
            </w:pPr>
            <w:r>
              <w:rPr>
                <w:rFonts w:ascii="Arial" w:cs="Arial" w:eastAsia="Arial" w:hAnsi="Arial"/>
                <w:sz w:val="18"/>
                <w:szCs w:val="18"/>
                <w:color w:val="auto"/>
              </w:rPr>
              <w:t>Less: Shares subject to conversion/tender</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(14,606,283)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(16,856,283)</w:t>
            </w:r>
          </w:p>
        </w:tc>
      </w:tr>
      <w:tr>
        <w:trPr>
          <w:trHeight w:val="27"/>
        </w:trPr>
        <w:tc>
          <w:tcPr>
            <w:tcW w:w="5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5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4,893,717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5,568,717</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479" w:hanging="426"/>
        <w:spacing w:after="0" w:line="293" w:lineRule="auto"/>
        <w:tabs>
          <w:tab w:leader="none" w:pos="891"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Assumes the over-allotment option has not been exercised and an aggregate of 562,500 shares of common stock held by our initial stockholders have been forfeited by us as a result thereof.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4" w:name="page55"/>
    <w:bookmarkEnd w:id="5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following table sets forth our capitalization at September 30, 2020 and as adjusted to give effect to the sale of our units and the private warrants and the application of the estimated net proceeds derived from the sale of such securities.</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auto"/>
              </w:rPr>
              <w:t>September 30, 2020</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560"/>
              <w:spacing w:after="0" w:line="182" w:lineRule="exact"/>
              <w:rPr>
                <w:sz w:val="20"/>
                <w:szCs w:val="20"/>
                <w:color w:val="auto"/>
              </w:rPr>
            </w:pPr>
            <w:r>
              <w:rPr>
                <w:rFonts w:ascii="Arial" w:cs="Arial" w:eastAsia="Arial" w:hAnsi="Arial"/>
                <w:sz w:val="16"/>
                <w:szCs w:val="16"/>
                <w:b w:val="1"/>
                <w:bCs w:val="1"/>
                <w:color w:val="auto"/>
              </w:rPr>
              <w:t>As</w:t>
            </w:r>
          </w:p>
        </w:tc>
        <w:tc>
          <w:tcPr>
            <w:tcW w:w="0" w:type="dxa"/>
            <w:vAlign w:val="bottom"/>
          </w:tcPr>
          <w:p>
            <w:pPr>
              <w:spacing w:after="0"/>
              <w:rPr>
                <w:sz w:val="1"/>
                <w:szCs w:val="1"/>
                <w:color w:val="auto"/>
              </w:rPr>
            </w:pPr>
          </w:p>
        </w:tc>
      </w:tr>
      <w:tr>
        <w:trPr>
          <w:trHeight w:val="253"/>
        </w:trPr>
        <w:tc>
          <w:tcPr>
            <w:tcW w:w="5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3"/>
          </w:tcPr>
          <w:p>
            <w:pPr>
              <w:ind w:left="120"/>
              <w:spacing w:after="0"/>
              <w:rPr>
                <w:sz w:val="20"/>
                <w:szCs w:val="20"/>
                <w:color w:val="auto"/>
              </w:rPr>
            </w:pPr>
            <w:r>
              <w:rPr>
                <w:rFonts w:ascii="Arial" w:cs="Arial" w:eastAsia="Arial" w:hAnsi="Arial"/>
                <w:sz w:val="16"/>
                <w:szCs w:val="16"/>
                <w:b w:val="1"/>
                <w:bCs w:val="1"/>
                <w:color w:val="auto"/>
              </w:rPr>
              <w:t>Actual</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Adjusted</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68"/>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Promissory note – related party</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153,018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60" w:type="dxa"/>
            <w:vAlign w:val="bottom"/>
            <w:tcBorders>
              <w:top w:val="single" w:sz="8" w:color="auto"/>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5600" w:type="dxa"/>
            <w:vAlign w:val="bottom"/>
          </w:tcPr>
          <w:p>
            <w:pPr>
              <w:spacing w:after="0" w:line="182" w:lineRule="exact"/>
              <w:rPr>
                <w:sz w:val="20"/>
                <w:szCs w:val="20"/>
                <w:color w:val="auto"/>
              </w:rPr>
            </w:pPr>
            <w:r>
              <w:rPr>
                <w:rFonts w:ascii="Arial" w:cs="Arial" w:eastAsia="Arial" w:hAnsi="Arial"/>
                <w:sz w:val="18"/>
                <w:szCs w:val="18"/>
                <w:color w:val="auto"/>
                <w:w w:val="94"/>
              </w:rPr>
              <w:t>Shares of common stock, $0.0001 par value, none and 14,606,283 shares</w:t>
            </w: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are subject to possible conversion/tender, respectively</w:t>
            </w:r>
          </w:p>
        </w:tc>
        <w:tc>
          <w:tcPr>
            <w:tcW w:w="220" w:type="dxa"/>
            <w:vAlign w:val="bottom"/>
          </w:tcPr>
          <w:p>
            <w:pPr>
              <w:spacing w:after="0"/>
              <w:rPr>
                <w:sz w:val="20"/>
                <w:szCs w:val="20"/>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147,523,458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Shares of common stock, $0.0001 par value, 5,000,000 shares authorized,</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actual; 50,000,000 shares authorized, as adjusted; 4,312,500 shares issued</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w w:val="99"/>
              </w:rPr>
              <w:t>and outstanding, actual; 4,143,717 shares issued and outstanding</w:t>
            </w:r>
            <w:r>
              <w:rPr>
                <w:rFonts w:ascii="Arial" w:cs="Arial" w:eastAsia="Arial" w:hAnsi="Arial"/>
                <w:sz w:val="20"/>
                <w:szCs w:val="20"/>
                <w:color w:val="auto"/>
                <w:w w:val="99"/>
                <w:vertAlign w:val="superscript"/>
              </w:rPr>
              <w:t>(2)</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(excluding 14,606,283 shares subject to possible conversion/tender),</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 adjusted</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600" w:type="dxa"/>
            <w:vAlign w:val="bottom"/>
          </w:tcPr>
          <w:p>
            <w:pPr>
              <w:spacing w:after="0" w:line="201" w:lineRule="exact"/>
              <w:rPr>
                <w:sz w:val="20"/>
                <w:szCs w:val="20"/>
                <w:color w:val="auto"/>
              </w:rPr>
            </w:pPr>
            <w:r>
              <w:rPr>
                <w:rFonts w:ascii="Arial" w:cs="Arial" w:eastAsia="Arial" w:hAnsi="Arial"/>
                <w:sz w:val="18"/>
                <w:szCs w:val="18"/>
                <w:color w:val="auto"/>
                <w:w w:val="96"/>
              </w:rPr>
              <w:t>Shares of preferred stock, $0.001 par value, 0 shares authorized, actual;</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1,000,000 shares authorized, as adjusted; no shares issued and</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outstanding (actual and as adjusted)</w:t>
            </w:r>
          </w:p>
        </w:tc>
        <w:tc>
          <w:tcPr>
            <w:tcW w:w="220" w:type="dxa"/>
            <w:vAlign w:val="bottom"/>
          </w:tcPr>
          <w:p>
            <w:pPr>
              <w:spacing w:after="0"/>
              <w:rPr>
                <w:sz w:val="20"/>
                <w:szCs w:val="20"/>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24,569</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5,001,128</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23,465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5,000,007</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 capitalization</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176,483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89"/>
              </w:rPr>
              <w:t>$  152,523,465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479" w:hanging="426"/>
        <w:spacing w:after="0" w:line="266" w:lineRule="auto"/>
        <w:tabs>
          <w:tab w:leader="none" w:pos="907"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the $6,000,000 we will receive from the sale of the private warrants (assumes the over-allotment option has not been exercised).</w:t>
      </w:r>
    </w:p>
    <w:p>
      <w:pPr>
        <w:spacing w:after="0" w:line="1" w:lineRule="exact"/>
        <w:rPr>
          <w:rFonts w:ascii="Arial" w:cs="Arial" w:eastAsia="Arial" w:hAnsi="Arial"/>
          <w:sz w:val="16"/>
          <w:szCs w:val="16"/>
          <w:color w:val="auto"/>
        </w:rPr>
      </w:pPr>
    </w:p>
    <w:p>
      <w:pPr>
        <w:ind w:left="880" w:right="479" w:hanging="426"/>
        <w:spacing w:after="0" w:line="288" w:lineRule="auto"/>
        <w:tabs>
          <w:tab w:leader="none" w:pos="891" w:val="left"/>
        </w:tabs>
        <w:numPr>
          <w:ilvl w:val="0"/>
          <w:numId w:val="27"/>
        </w:numPr>
        <w:rPr>
          <w:rFonts w:ascii="Arial" w:cs="Arial" w:eastAsia="Arial" w:hAnsi="Arial"/>
          <w:sz w:val="16"/>
          <w:szCs w:val="16"/>
          <w:color w:val="auto"/>
        </w:rPr>
      </w:pPr>
      <w:r>
        <w:rPr>
          <w:rFonts w:ascii="Arial" w:cs="Arial" w:eastAsia="Arial" w:hAnsi="Arial"/>
          <w:sz w:val="16"/>
          <w:szCs w:val="16"/>
          <w:color w:val="auto"/>
        </w:rPr>
        <w:t>Assumes the over-allotment option has not been exercised and an aggregate of 562,500 shares of common stock held by our initial stockholders have been forfeited as a result thereof.</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5" w:name="page56"/>
    <w:bookmarkEnd w:id="5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30"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We were incorporated on July 10, 2019 as a Delaware corporation to serve as a vehicle to effect a merger, share exchange, asset acquisition, share purchase, recapitalization, reorganization or similar business combination with one or more target businesses. Our efforts to identify a prospective target business will not be limited to a particular industry or geographic location. We intend to utilize cash derived from the proceeds of this offering, our securities, debt or a combination of cash, securities and debt, in effecting a business combination. The issuance of additional shares in our business combination:</w:t>
      </w:r>
    </w:p>
    <w:p>
      <w:pPr>
        <w:spacing w:after="0" w:line="110" w:lineRule="exact"/>
        <w:rPr>
          <w:sz w:val="20"/>
          <w:szCs w:val="20"/>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significantly reduce the equity interest of our stockholders;</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459"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we issue preferred shares with rights senior to those afforded to our shares of common stock;</w:t>
      </w:r>
    </w:p>
    <w:p>
      <w:pPr>
        <w:spacing w:after="0" w:line="89" w:lineRule="exact"/>
        <w:rPr>
          <w:rFonts w:ascii="Arial" w:cs="Arial" w:eastAsia="Arial" w:hAnsi="Arial"/>
          <w:sz w:val="18"/>
          <w:szCs w:val="18"/>
          <w:color w:val="auto"/>
        </w:rPr>
      </w:pPr>
    </w:p>
    <w:p>
      <w:pPr>
        <w:jc w:val="both"/>
        <w:ind w:left="1320" w:right="459" w:hanging="434"/>
        <w:spacing w:after="0" w:line="259" w:lineRule="auto"/>
        <w:tabs>
          <w:tab w:leader="none" w:pos="1446"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will likely cause a change in control if a substantial number of our shares of common stock are issued, which may affect, among other things, our ability to use our net operating loss carry forwards, if any, and most likely will also result in the resignation or removal of our present officers and directors; and</w:t>
      </w:r>
    </w:p>
    <w:p>
      <w:pPr>
        <w:spacing w:after="0" w:line="119"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securities.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Similarly, if we issue debt securities, it could result in:</w:t>
      </w:r>
    </w:p>
    <w:p>
      <w:pPr>
        <w:spacing w:after="0" w:line="144" w:lineRule="exact"/>
        <w:rPr>
          <w:sz w:val="20"/>
          <w:szCs w:val="20"/>
          <w:color w:val="auto"/>
        </w:rPr>
      </w:pPr>
    </w:p>
    <w:p>
      <w:pPr>
        <w:ind w:left="1320" w:right="479" w:hanging="434"/>
        <w:spacing w:after="0" w:line="277" w:lineRule="auto"/>
        <w:tabs>
          <w:tab w:leader="none" w:pos="14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 business combination are insufficient to pay our debt obligations;</w:t>
      </w:r>
    </w:p>
    <w:p>
      <w:pPr>
        <w:spacing w:after="0" w:line="102" w:lineRule="exact"/>
        <w:rPr>
          <w:rFonts w:ascii="Arial" w:cs="Arial" w:eastAsia="Arial" w:hAnsi="Arial"/>
          <w:sz w:val="18"/>
          <w:szCs w:val="18"/>
          <w:color w:val="auto"/>
        </w:rPr>
      </w:pPr>
    </w:p>
    <w:p>
      <w:pPr>
        <w:jc w:val="both"/>
        <w:ind w:left="1320" w:right="459" w:hanging="434"/>
        <w:spacing w:after="0" w:line="259" w:lineRule="auto"/>
        <w:tabs>
          <w:tab w:leader="none" w:pos="14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119"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 and</w:t>
      </w:r>
    </w:p>
    <w:p>
      <w:pPr>
        <w:spacing w:after="0" w:line="89" w:lineRule="exact"/>
        <w:rPr>
          <w:rFonts w:ascii="Arial" w:cs="Arial" w:eastAsia="Arial" w:hAnsi="Arial"/>
          <w:sz w:val="18"/>
          <w:szCs w:val="18"/>
          <w:color w:val="auto"/>
        </w:rPr>
      </w:pPr>
    </w:p>
    <w:p>
      <w:pPr>
        <w:ind w:left="1320" w:right="479" w:hanging="434"/>
        <w:spacing w:after="0" w:line="308" w:lineRule="auto"/>
        <w:tabs>
          <w:tab w:leader="none" w:pos="1459"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inability to obtain additional financing, if necessary, if the debt security contains covenants restricting our ability to obtain additional financing while such security is outstanding.</w:t>
      </w:r>
    </w:p>
    <w:p>
      <w:pPr>
        <w:spacing w:after="0" w:line="7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As indicated in the accompanying financial statements, at September 30, 2020, we had $65,640 in cash and $111,843 in deferred offering costs. Further, we expect to continue to incur significant costs in the pursuit of our acquisition plans. Our plans to raise capital or to consummate our initial business combination may not be successful.</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62"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As indicated in the accompanying financial statements, at September 30, 2020, we had $65,640 in cash and a working capital deficit of $88,378. Further, we have incurred and expect to continue to incur significant costs in pursuit of our financing and acquisition plans. Management’s plans to address this uncertainty through this offering are discussed above. Our plans to raise capital or to consummate our initial business combination may not be successful. These factors, among others, raise substantial doubt about our ability to continue as a going concern.</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6" w:name="page57"/>
    <w:bookmarkEnd w:id="5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Our liquidity needs have been satisfied to date through receipt of $25,000 from the sale of the insider shares. We estimate that the net proceeds from (1) the sale of the units in this offering, after deducting offering expenses of approximately $3,500,000 (or $3,950,000 if the over-allotment option is exercised in full) including underwriting fees and qualified independent underwriter fees of $3,000,000 (or $3,450,000 if the over-allotment option is exercised in full) and (2) the sale of the private warrants for a purchase price of $6,000,000 will be $152,500,000 (or $175,225,000 if the over-allotment option is exercised in full). Of this amount, $151,500,000 (or $174,225,000 if the over-allotment option is exercised in full), or “the net offering proceeds,” will be held in the trust account. The remaining $1,000,000 (whether or not the over-allotment option is exercised in full) will not be held in the trust account.</w:t>
      </w:r>
    </w:p>
    <w:p>
      <w:pPr>
        <w:spacing w:after="0" w:line="113"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We intend to use substantially all of the net proceeds of this offering, including the funds held in the trust account, to acquire a target business or businesses and to pay our expenses relating thereto. To the extent that our share capital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Over the next 15 months (or up to 18 months, as applicable), we will be using the funds held outside of the trust account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 Out of the funds available outside the trust account, we anticipate that we will incur approximately:</w:t>
      </w:r>
    </w:p>
    <w:p>
      <w:pPr>
        <w:spacing w:after="0" w:line="114" w:lineRule="exact"/>
        <w:rPr>
          <w:sz w:val="20"/>
          <w:szCs w:val="20"/>
          <w:color w:val="auto"/>
        </w:rPr>
      </w:pPr>
    </w:p>
    <w:p>
      <w:pPr>
        <w:jc w:val="both"/>
        <w:ind w:left="1320" w:right="459" w:hanging="434"/>
        <w:spacing w:after="0" w:line="263" w:lineRule="auto"/>
        <w:tabs>
          <w:tab w:leader="none" w:pos="14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$70,000 of expenses for the search for target businesses and for the legal, accounting and other third-party expenses attendant to the due diligence investigations, structuring and negotiating of a business combination;</w:t>
      </w:r>
    </w:p>
    <w:p>
      <w:pPr>
        <w:spacing w:after="0" w:line="116" w:lineRule="exact"/>
        <w:rPr>
          <w:rFonts w:ascii="Arial" w:cs="Arial" w:eastAsia="Arial" w:hAnsi="Arial"/>
          <w:sz w:val="18"/>
          <w:szCs w:val="18"/>
          <w:color w:val="auto"/>
        </w:rPr>
      </w:pPr>
    </w:p>
    <w:p>
      <w:pPr>
        <w:ind w:left="1320" w:right="459" w:hanging="434"/>
        <w:spacing w:after="0" w:line="277" w:lineRule="auto"/>
        <w:tabs>
          <w:tab w:leader="none" w:pos="14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$30,000 of expenses for the due diligence and investigation of a target business by our officers, directors and initial stockholders;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$40,000 of expenses in legal and accounting fees relating to our SEC reporting obligations;</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392" w:val="left"/>
        </w:tabs>
        <w:numPr>
          <w:ilvl w:val="0"/>
          <w:numId w:val="30"/>
        </w:numPr>
        <w:rPr>
          <w:rFonts w:ascii="Arial" w:cs="Arial" w:eastAsia="Arial" w:hAnsi="Arial"/>
          <w:sz w:val="18"/>
          <w:szCs w:val="18"/>
          <w:color w:val="auto"/>
        </w:rPr>
      </w:pPr>
      <w:r>
        <w:rPr>
          <w:rFonts w:ascii="Arial" w:cs="Arial" w:eastAsia="Arial" w:hAnsi="Arial"/>
          <w:sz w:val="18"/>
          <w:szCs w:val="18"/>
          <w:color w:val="auto"/>
        </w:rPr>
        <w:t>$150,000 for the payment of the administrative fee to Chardan Capital Markets, LLC (of $10,000 per month for up to 15 months), subject to deferral as described herein; and</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527" w:val="left"/>
        </w:tabs>
        <w:numPr>
          <w:ilvl w:val="0"/>
          <w:numId w:val="30"/>
        </w:numPr>
        <w:rPr>
          <w:rFonts w:ascii="Arial" w:cs="Arial" w:eastAsia="Arial" w:hAnsi="Arial"/>
          <w:sz w:val="18"/>
          <w:szCs w:val="18"/>
          <w:color w:val="auto"/>
        </w:rPr>
      </w:pPr>
      <w:r>
        <w:rPr>
          <w:rFonts w:ascii="Arial" w:cs="Arial" w:eastAsia="Arial" w:hAnsi="Arial"/>
          <w:sz w:val="18"/>
          <w:szCs w:val="18"/>
          <w:color w:val="auto"/>
        </w:rPr>
        <w:t>$710,000 for general working capital that will be used for miscellaneous expenses, including director and officer liability insurance premiums.</w:t>
      </w:r>
    </w:p>
    <w:p>
      <w:pPr>
        <w:spacing w:after="0" w:line="103"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If our estimates of the costs of undertaking in-depth due diligence and negotiating our initial business combination is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Transactions</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On August 20, 2020, we issued an unsecured promissory note to Ventoux Acquisition, pursuant to which the Company may borrow up to an aggregate principal amount of $250,000. The promissory note is non-interest bearing and will be payable promptly after consummation of this offering or the date on which we determine not to conduct this offering. As of September 30, 2020, there was $153,018 outstanding under the promissory note.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7" w:name="page58"/>
    <w:bookmarkEnd w:id="5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Ventoux Acquisition, our co-sponsor and an affiliate of certain of our directors and officers, has committed to purchase from us an aggregate of 4,000,000 warrants (or 4,450,000 warrants if the over-allotment option is exercised in full), and Chardan Investments, our co-sponsor and an affiliate of one of our directors and Chardan Capital Markets, LLC,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$6,000,000 (or $6,675,000 if the over-allotment option is exercised in full) we will receive from the sale of the private warrants, $3,500,000 (or $3,950,000 if the over-allotment option is exercised in full) will be used for offering expenses and $1,000,000 will be used for working capital.</w:t>
      </w:r>
    </w:p>
    <w:p>
      <w:pPr>
        <w:spacing w:after="0" w:line="10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have engaged Chardan Capital Markets, LLC as an advisor in connection with our initial business combination, pursuant to the business combination marketing agreement described under “Underwriting (Conflicts of Interest) — Business Combination Marketing Agreement.” We will pay Chardan Capital Markets, LLC a marketing fee for such services upon the consummation of our initial business combination in an amount equal to, in the aggregate, 3.5% of the gross proceeds of this offering, including any proceeds from the full or partial exercise of the over-allotment option. As a result, Chardan Capital Markets, LLC will not be entitled to such fee unless we consummate our initial business combination.</w:t>
      </w:r>
    </w:p>
    <w:p>
      <w:pPr>
        <w:spacing w:after="0" w:line="110"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If needed to finance transaction costs in connection with searching for a target business or consummating an intended initial business combination, our initial stockholders, officers, directors or their affiliates may, but are not obligated to, loan us funds as may be required. In the event that the initial business combination does not close, we may use a portion of the working capital held outside the trust account to repay such loaned amounts, but no proceeds from our trust account would be used for such repayment. Such loans would be evidenced by promissory notes.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$1.00 per private warrant (which, for example, would result in the holders being issued private warrants to purchase 500,000 shares of common stock if $500,000 of notes were so converted). Such private warrants will be identical to the private warrants to be issued at the closing of this offering. We believe the purchase price of these private warrants will approximate the fair value of such private warrants when issued. However, if it is determined, at the time of issuance, that the fair value of such private warrants exceeds the purchase price, we would record compensation expense for the excess of the fair value of the private warrants on the day of issuance over the purchase price in accordance with Accounting Standards Codification (“ASC”) 718 — Compensation — Stock Compensation. Loans made by Chardan Capital Markets, LLC or any of its related persons will not be convertible into private warrants and Chardan Capital Markets, LLC and its related persons will have no recourse with respect to their ability to convert their loans into private warrants.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Controls and Procedures</w:t>
      </w:r>
    </w:p>
    <w:p>
      <w:pPr>
        <w:spacing w:after="0" w:line="14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2021. As of the date of this prospectus, we have not completed an assessment, nor have our auditors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Target businesses we may consider for our initial business combination may have internal controls that need improvement in areas such as:</w:t>
      </w:r>
    </w:p>
    <w:p>
      <w:pPr>
        <w:spacing w:after="0" w:line="118" w:lineRule="exact"/>
        <w:rPr>
          <w:sz w:val="20"/>
          <w:szCs w:val="20"/>
          <w:color w:val="auto"/>
        </w:rPr>
      </w:pPr>
    </w:p>
    <w:p>
      <w:pPr>
        <w:ind w:left="1300" w:hanging="414"/>
        <w:spacing w:after="0"/>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staffing for financial, accounting and external reporting areas, including segregation of duties;</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8" w:name="page59"/>
    <w:bookmarkEnd w:id="5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documentation of processes, assumptions and conclusions underlying significant estimates; and</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11"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Once our management’s report on internal controls is complete, we will retain our independent auditors to audit and render an opinion on such report when, or if, required by Section 404. The independent auditors may identify additional issues concerning a target business’s internal controls while performing their audit of internal control over financial reporting.</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net proceeds of this offering, including amounts in the trust account, will be invested in United States government treasury bills, bonds or notes having a maturity of 183 days or less, or in money market funds meeting the applicable conditions under Rule 2a-7 promulgated under the Investment Company Act and that invest solely in U.S. treasuries. Due to the short-term nature of these investments, we believe there will be no associated material exposure to interest rate risk.</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Off-Balance Sheet Arrangements; Commitments and Contractual Obligations; Quarterly Results</w:t>
      </w:r>
    </w:p>
    <w:p>
      <w:pPr>
        <w:spacing w:after="0" w:line="17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As of September 30, 2020, we did not have any off-balance sheet arrangements as defined in Item 303(a) (4)(ii) of Regulation S-K and did not have any commitments or contractual obligations. No unaudited quarterly operating data is included in this prospectus as we have conducted no operations to date.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JOBS Act</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such, our financial statements may not be comparable to companies that comply with public company effective dates.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9" w:name="page60"/>
    <w:bookmarkEnd w:id="5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Introduction</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are a blank check company formed under the laws of the State of Delaware on July 10, 2019. We were formed for the purpose of effecting a merger, share exchange, asset acquisition, share purchase, reorganization or similar business combination with one or more businesses, which we refer to throughout this prospectus as our initial business combination. We have not identified any business combination target and we have not, nor has anyone on our behalf, initiated any substantive discussions, directly or indirectly, with any business combination target.</w:t>
      </w:r>
    </w:p>
    <w:p>
      <w:pPr>
        <w:spacing w:after="0" w:line="125"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While we may pursue an initial business combination in any region or sector, we intend to focus our efforts on businesses in North America within the hospitality, leisure, travel and dining sectors with an emphasis on consumer branded businesses that have attractive growth characteristics. In addition, we intend to pursue technology companies operating in these sectors, such as business and consumer services and infrastructure. However, we do not intend to invest in businesses with large exposure to investments in physical real estate.</w:t>
      </w:r>
    </w:p>
    <w:p>
      <w:pPr>
        <w:spacing w:after="0" w:line="9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intend to focus on established and high-growth businesses that have an aggregate enterprise value of approximately $500 million to $2.0 billion and would benefit from access to public markets and the operational and strategic expertise of our management team and board of directors. We will seek to capitalize on the significant experience of our management team in consummating an initial business combination with the ultimate goal of pursuing attractive returns for our shareholders.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Co-Sponsors, Management, Board of Directors and Competitive Advantages</w:t>
      </w:r>
    </w:p>
    <w:p>
      <w:pPr>
        <w:spacing w:after="0" w:line="14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As we search for a prospective target company or business, we intend to leverage the multiple decades of combined investment experience, successful Special Purpose Acquisition Company, or SPAC, execution experience and the expansive network of relationships of the principals and affiliates of our co-sponsors, Ventoux Acquisitions and Chardan Investments. Our management team, led by co-founders Mr. Edward Scheetz and Mr. Matthew MacDonald, have a combined 40 years of hospitality and investment experience. Together with our management team, Chardan Investments and its affiliate, Chardan Capital Markets, LLC, our board of directors and our Senior Advisor, Mr. Robert Martin, we are confident that the combined experience makes us well situated to identify, source, negotiate and execute an initial business combination in the hospitality, leisure, travel and dining sectors.</w:t>
      </w:r>
    </w:p>
    <w:p>
      <w:pPr>
        <w:spacing w:after="0" w:line="113" w:lineRule="exact"/>
        <w:rPr>
          <w:sz w:val="20"/>
          <w:szCs w:val="20"/>
          <w:color w:val="auto"/>
        </w:rPr>
      </w:pPr>
    </w:p>
    <w:p>
      <w:pPr>
        <w:jc w:val="both"/>
        <w:ind w:left="460" w:right="479" w:firstLine="432"/>
        <w:spacing w:after="0" w:line="284" w:lineRule="auto"/>
        <w:rPr>
          <w:sz w:val="20"/>
          <w:szCs w:val="20"/>
          <w:color w:val="auto"/>
        </w:rPr>
      </w:pPr>
      <w:r>
        <w:rPr>
          <w:rFonts w:ascii="Arial" w:cs="Arial" w:eastAsia="Arial" w:hAnsi="Arial"/>
          <w:sz w:val="16"/>
          <w:szCs w:val="16"/>
          <w:color w:val="auto"/>
        </w:rPr>
        <w:t>Mr. Scheetz is our co-founder, Chief Executive Officer and Chairman of the board of directors. Mr. Scheetz has over thirty years of experience as a leader and innovator in real estate, hospitality and leisure investments. He has been involved in numerous public companies including the leadership of several initial public offerings during his career. Mr. Scheetz was a partner at Apollo Management where he was the co-head of Apollo Real Estate Advisors and raised, invested and managed their first three real estate funds. Mr. Scheetz was co-founder and co-CEO of NorthStar Capital Investment Corporation, and he was also the co-founder and Executive Chairman of NorthStar Realty Finance Corp. (NYSE: NRF), which he successfully took public in</w:t>
      </w:r>
    </w:p>
    <w:p>
      <w:pPr>
        <w:spacing w:after="0" w:line="2"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2004. In 2005, Mr. Scheetz became the Chief Executive Officer of Morgans Hotel Group Co. (NASDAQ: MHGC), which he took public in 2006. Morgans was the developer, owner and operator of such iconic hotel properties as Delano and Shore Club in Miami, Mondrian in Los Angeles, Morgans, Royalton, Paramount and Hudson in New York, and Sanderson and St. Martin’s Lane in London.</w:t>
      </w:r>
    </w:p>
    <w:p>
      <w:pPr>
        <w:spacing w:after="0" w:line="125"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2010, Mr. Scheetz founded Chelsea Hotels which had properties in Manhattan (including the renowned Hotel Chelsea), Brooklyn, Montauk, Miami, and Chicago. Mr. Scheetz successfully sold Chelsea Hotels in 2016. Throughout his career, Mr. Scheetz has acquired and invested in excess of $10 billion in private companies.</w:t>
      </w:r>
    </w:p>
    <w:p>
      <w:pPr>
        <w:spacing w:after="0" w:line="106"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Mr. MacDonald is our co-founder, Chief Financial Officer and Secretary, and has over a decade of experience in real estate, hospitality and leisure investments at public companies and private equity-backed ventures. Mr. MacDonald was responsible for corporate M&amp;A transaction activity at Hyatt Hotel Corporation (NYSE: H), where, as part of Hyatt’s global platform, he oversaw M&amp;A investments and underwrote public and private companies within the broader hotel and leisure sectors. Mr. MacDonald joined Hyatt in 2017 through Hyatt’s acquisition of Miraval Group, a KSL Capital portfolio company. In 2018, Mr. MacDonald led the company’s $450 million acquisition of Two Roads Hospitality, which included management contracts for 75 hotel properties across five hotel brands in 23 global markets; the acquisition anchored Hyatt’s Global Lifestyle Division. Additionally, Mr. MacDonald led the development of two of Hyatt’s brands in the wellness space, Miraval and Exhale. With respect to Exhale, Mr. MacDonald led strategic</w:t>
      </w:r>
    </w:p>
    <w:p>
      <w:pPr>
        <w:sectPr>
          <w:pgSz w:w="11900" w:h="16838" w:orient="portrait"/>
          <w:cols w:equalWidth="0" w:num="1">
            <w:col w:w="9019"/>
          </w:cols>
          <w:pgMar w:left="1440" w:top="274" w:right="1440"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0" w:name="page61"/>
    <w:bookmarkEnd w:id="6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consideration, due diligence and acquisition of the 25-unit spa and class-based fitness company for Hyatt’s Wellness platform, and subsequently led integration of the company, units and 1,000 employees into Hyatt. Mr. MacDonald joined Miraval and KSL in 2016. Prior to 2016, Mr. MacDonald was in the Real Estate Investment Management and Acquisitions group at Starwood Hotels &amp; Resorts (NYSE: HOT).</w:t>
      </w:r>
    </w:p>
    <w:p>
      <w:pPr>
        <w:spacing w:after="0" w:line="104"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Mr. Strasbourger is our Chief Operating Officer, and has over a decade of experience in venture and private equity backed entertainment, hospitality, travel and real estate technology companies as a founder, operator, and board member. Mr. Strasbourger most recently was responsible for strategic partnerships and corporate development at Convene and has overseen revenue, marketing, and digital at previous companies. Leveraging his financial background, Mr. Strasbourger takes a revenue and ROI generating lens across strategy, business development, product and growth marketing. Prior to his work as a technology executive, Mr. Strasbourger worked in the Emerging Markets Fixed Income group at Barclays Capital (NYSE: BCS).</w:t>
      </w:r>
    </w:p>
    <w:p>
      <w:pPr>
        <w:spacing w:after="0" w:line="72" w:lineRule="exact"/>
        <w:rPr>
          <w:sz w:val="20"/>
          <w:szCs w:val="20"/>
          <w:color w:val="auto"/>
        </w:rPr>
      </w:pPr>
    </w:p>
    <w:p>
      <w:pPr>
        <w:jc w:val="both"/>
        <w:ind w:left="460" w:right="479" w:firstLine="432"/>
        <w:spacing w:after="0" w:line="269" w:lineRule="auto"/>
        <w:rPr>
          <w:sz w:val="20"/>
          <w:szCs w:val="20"/>
          <w:color w:val="auto"/>
        </w:rPr>
      </w:pPr>
      <w:r>
        <w:rPr>
          <w:rFonts w:ascii="Arial" w:cs="Arial" w:eastAsia="Arial" w:hAnsi="Arial"/>
          <w:sz w:val="17"/>
          <w:szCs w:val="17"/>
          <w:color w:val="auto"/>
        </w:rPr>
        <w:t>Mr. Phatak is our Chief Investment Officer, and has over 17 years of experience in various finance and direct investment roles on Wall Street. Mr. Phatak founded his own investment firm, Tappan Street Partners LLC, where he has led a research driven investment process for a number of private funds over the past nine years. Additionally, Mr. Phatak was a Partner at Markley Capital Management from 2019 to 2020. Prior to Tappan Street, Mr. Phatak developed his investment expertise as a member of the US investment team at Eton Park Capital Management from 2005 to 2011, helping to deploy approximately $5 billion of capital as part of a six-member team. During his career, Mr. Phatak has underwritten investments in a variety of different sectors, including gaming, hospitality, and leisure. Mr. Phatak began his career at the Blackstone Group (NYSE: BX) as an analyst in the Restructuring and Reorganization Advisory group from 2003 to 2005, and later as a private equity associate at Madison Dearborn Partners during 2005.</w:t>
      </w:r>
    </w:p>
    <w:p>
      <w:pPr>
        <w:spacing w:after="0" w:line="10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Our management team is supported by Chardan Capital Markets’ team of investment banking professionals who each possess extensive experience in corporate finance, mergers and acquisitions, equity and debt capital markets, strategic consulting and operations. Mr. Jonas Grossman, Partner and President of Chardan Capital Markets, and Mr. Alex Weil, co-head of FinTech Investment Banking at Chardan Capital Markets, will each serve on our board of directors. We believe Chardan’s decades of successfully executing SPAC and M&amp;A transactions benefit us, complementing the deep sector expertise and expansive networks of Messrs. Scheetz and MacDonald, our board of directors and advisors.</w:t>
      </w:r>
    </w:p>
    <w:p>
      <w:pPr>
        <w:spacing w:after="0" w:line="83"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Chardan has an extensive track record in the SPAC market as underwriter, sponsor and advisor. Since 2004, Chardan has been lead or co-lead underwriter on 81 SPAC IPOs. Since 2018, Chardan has been merger and acquisition advisor to eleven SPACs, helping companies close transactions valued at approximately $5.1 billion. Chardan-advised SPACs have targeted a wide range of industries, including life sciences, healthcare services, technology hardware and software, financial technology, insurance, financial services, education, media &amp; entertainment, industrials, materials, consumer staples and energy. Chardan has advised SPACs targeting both global and regional markets as well as those with more defined areas of focus in emerging and other geographic markets, including in North America. No Chardan advised or lead underwritten SPAC has liquidated to-date. In addition to its active advisory and underwriting business, Chardan’s principals have founded seven SPACs, five of which have closed successful business combinations, one of which has announced a business combination and one of which is currently seeking an acquisition.</w:t>
      </w:r>
    </w:p>
    <w:p>
      <w:pPr>
        <w:spacing w:after="0" w:line="77"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Mr. Jonas Grossman is a partner, the President and Head of Capital Markets for Chardan Capital Markets, LLC, a New York headquartered broker/dealer, established in 2003. Since 2003, Mr. Grossman has overseen the firm’s investment banking and capital markets activities and initiatives. He has extensive transactional experience having led or managed more than 400 transactions during his tenure at Chardan.</w:t>
      </w:r>
    </w:p>
    <w:p>
      <w:pPr>
        <w:spacing w:after="0" w:line="90"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Mr. Grossman has nearly two decades of SPAC expertise. Mr. Grossman has provided underwriting and business combination advisory services to more than 80 SPACs in a variety of industries and has been a founder and CEO and President of two SPACs and a nonexecutive board member of an additional SPACs. Mr. Grossman was the Chief Executive Officer and President of Chardan Healthcare Acquisition Corp. from March 2018 until its merger in October 2019 with BiomX (NYSE: PHGE). Mr. Grossman is currently a director of BiomX and since March 2020 is also a director of LifeSci Acquisition Corp. which recently announced a business combination with Vincera Pharma, Inc. Since April 2020, Mr. Grossman has been the Chief Executive Officer and President of Chardan Healthcare Acquisition 2 Corp.</w:t>
      </w:r>
    </w:p>
    <w:p>
      <w:pPr>
        <w:spacing w:after="0" w:line="9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Mr. Alex Weil is currently co-head of FinTech investment banking at Chardan. Mr. Weil has spent his career, which spans over two decades, providing strategic advisory services to global companies, senior executives, boards of directors, and investors. Mr. Weil’s background in strategic advisory work was built during his career at both global</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1" w:name="page62"/>
    <w:bookmarkEnd w:id="6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companies, as a leader in Citi’s corporate strategy and M&amp;A group, UBS Financial Institutions Group’s investmentv bank, and General Electric’s corporate development group, and at boutique investment banking advisors, such as Lazard Middle Market and William Blair.</w:t>
      </w:r>
    </w:p>
    <w:p>
      <w:pPr>
        <w:spacing w:after="0" w:line="116"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Mr. Weil has advised on billions of dollars of transactions ranging from corporate divestitures and spin offs, innovative technology company acquisitions to larger, more complex M&amp;A transactions. Mr. Weil has participated or led a variety of transactions, such as: Genworth’s spin-off IPO from General Electric; Citi-related transactions including a variety of technology and capital markets businesses (e.g. Lava Trading, Knight Options Market Making, and Automated Trading Desk) along with the creation of Citi Holdings and subsequent sales of Nikko Asset Management and its subprime auto finance business; Schwab’s acquisition of OptionsXpress; and CVC’s majority investment in Alix Partners. Mr. Weil’s extensive financial and M&amp;A expertise will help put us in a strong position to structure profitable investments.</w:t>
      </w:r>
    </w:p>
    <w:p>
      <w:pPr>
        <w:spacing w:after="0" w:line="111"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believe the partnership between Ventoux Acquisition and Chardan offers investors a differentiated investment opportunity which brings together a management team with deep and proven industry focus with one of the leading and most successful SPAC advisors that provides deep sector expertise, an expansive network of relationships, and decades of M&amp;A transaction experience.</w:t>
      </w:r>
    </w:p>
    <w:p>
      <w:pPr>
        <w:spacing w:after="0" w:line="106"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Our board of directors will include Woody H. Levin, Julie Atkinson, Chris Ahrens and Bernard Van der Lande.</w:t>
      </w:r>
    </w:p>
    <w:p>
      <w:pPr>
        <w:spacing w:after="0" w:line="103"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Woody Levin is the founder and has served as Chief Executive Officer of Extend, Inc., which offers an API-first solution for merchants to offer extended warranties and protection plans, and 3.0 Capital GP, LLC, which is a multi-strategy crypto asset hedge fund. Mr. Levin also served as Vice President of Growth at DocuSign, Inc. (NASDAQ: DOCU), which allows organizations to digitally prepare, sign, act on, and manage agreements. In addition, Mr. Levin served as the founder and Chief Executive Officer of Estate Assist, Inc., a digital estate planning platform until its acquisition, and of BringIt, Inc., a virtual currency casino and arcade until its acquisition. Mr. Levin served as Director Emerging Business — Office of the CTO at International Game Technology PLC (NYSE: IGT), which manufactures and distributes slot machines and other gaming technology. Mr. Levin serves a member of the board of directors of DraftKings Inc. (NASDAQ: DKNG) and of Extend, Inc.</w:t>
      </w:r>
    </w:p>
    <w:p>
      <w:pPr>
        <w:spacing w:after="0" w:line="127"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Julie Atkinson is the Chief Marketing Officer for Founders Table Restaurant Group, which includes the Chopt and Dos Toros restaurant brands. She previously served as Senior Vice President, Global Digital at Tory Burch LLC from January 2017 to May 2018. Prior to joining Tory Burch, Ms. Atkinson served in various leadership roles at Starwood Hotels &amp; Resorts Worldwide, Inc., most recently as Senior Vice President, Global Digital from November 2014 to January 2017 and as Vice President of Global Online Distribution from September 2012 until November 2014. Prior to joining Starwood, Ms. Atkinson held multiple roles at Travelocity including marketing and operations. Ms. Atkinson is an accomplished digital, marketing, and technology executive with a 20-year track record of innovative and strategic leadership for multiple global consumer brands. She also sits on the board of directors of Bright Horizons Family Solutions Inc. (NYSE: BFAM).</w:t>
      </w:r>
    </w:p>
    <w:p>
      <w:pPr>
        <w:spacing w:after="0" w:line="113"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Chris Ahrens is an Advisor with Certares, a travel focused investment firm. Prior to joining Certares, he was a Managing Director of One Equity Partners (“OEP”), the private equity investment arm of JPMorgan Chase. He was active in OEP’s travel industry, technology and healthcare investments. Chris currently serves on the Board of Directors of Internova Travel Group, a leading premium corporate, leisure, franchise and consortia travel company operating under a variety of diversified divisions and brands, including Tzell Travel, Protravel International,Travel Leaders Network and Nexion.</w:t>
      </w:r>
    </w:p>
    <w:p>
      <w:pPr>
        <w:spacing w:after="0" w:line="110"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Bernard Van der Lande is Managing Director of Cindat, an international private equity investment platform for whom Mr. Van der Lande oversees US and European operations as well as strategy and fund formation initiatives. Consistently in the vanguard of cross-border and digitized capital formation strategies, Mr. Van der Lande has transacted on or recapitalized a variety of public and private investment vehicles. Bernard Van der Lande was previously Managing Director of Easterly LLC, a private asset management holding company with interests in boutique investment management firms. Previously, he was Managing Director of CBRE Capital Advisors, Inc., CBRE's real estate investment banking business, and Managing Director of Hodges Ward Elliott, another capital markets and investment banking business.</w:t>
      </w:r>
    </w:p>
    <w:p>
      <w:pPr>
        <w:spacing w:after="0" w:line="111"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Mr. Robert Martin will serve as a Senior Advisor to the management team. Mr. Martin is a Vice Chairman in JLL’s New York office, where he leads a ten member brokerage, advisory and consulting team that focuses on tenant representation in the New York Tri-state market. Mr. Martin is an accomplished real estate professional, having</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2" w:name="page63"/>
    <w:bookmarkEnd w:id="6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completed transactions involving more than 50 million square feet over his 35-year real estate career. Mr. Martin is also the principal and founder of RGM Holdings, a real estate investment firm that sources and invests in real estate assets in the New York metro area. RGM Holdings is the General Partner in a portfolio of real estate investments comprising over 690,000 square feet and a value in excess of $1.3 billion. Mr. Martin is also an early investor in a variety of ventures, including in the proptech and fintech sectors.</w:t>
      </w:r>
    </w:p>
    <w:p>
      <w:pPr>
        <w:spacing w:after="0" w:line="10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believe the combined networks and relationships of our management, directors and advisors will allow us to identify, source, underwrite, negotiate and execute an initial business combination with a successful and fast-growing company within our target sector. Opportunities will be sourced through our established and proprietary networks of senior executives, investors, investment banks, and advisors. With our focus on value creation, we will be driven by a disciplined investment strategy that will conduct comprehensive due diligence, thorough underwriting and thoughtful strategic analysis, resulting in a thorough evaluation of each investment opportunity.</w:t>
      </w:r>
    </w:p>
    <w:p>
      <w:pPr>
        <w:spacing w:after="0" w:line="127" w:lineRule="exact"/>
        <w:rPr>
          <w:sz w:val="20"/>
          <w:szCs w:val="20"/>
          <w:color w:val="auto"/>
        </w:rPr>
      </w:pPr>
    </w:p>
    <w:p>
      <w:pPr>
        <w:jc w:val="both"/>
        <w:ind w:left="460" w:right="479" w:firstLine="432"/>
        <w:spacing w:after="0" w:line="291" w:lineRule="auto"/>
        <w:rPr>
          <w:sz w:val="20"/>
          <w:szCs w:val="20"/>
          <w:color w:val="auto"/>
        </w:rPr>
      </w:pPr>
      <w:r>
        <w:rPr>
          <w:rFonts w:ascii="Arial" w:cs="Arial" w:eastAsia="Arial" w:hAnsi="Arial"/>
          <w:sz w:val="16"/>
          <w:szCs w:val="16"/>
          <w:color w:val="auto"/>
        </w:rPr>
        <w:t>With respect to the foregoing experiences of our management, directors, and Chardan, past performance is not a guarantee (i) that we will be able to identify a suitable candidate for our initial business combination or</w:t>
      </w:r>
    </w:p>
    <w:p>
      <w:pPr>
        <w:jc w:val="both"/>
        <w:ind w:left="460" w:right="479" w:hanging="6"/>
        <w:spacing w:after="0" w:line="255" w:lineRule="auto"/>
        <w:tabs>
          <w:tab w:leader="none" w:pos="756" w:val="left"/>
        </w:tabs>
        <w:numPr>
          <w:ilvl w:val="0"/>
          <w:numId w:val="33"/>
        </w:numPr>
        <w:rPr>
          <w:rFonts w:ascii="Arial" w:cs="Arial" w:eastAsia="Arial" w:hAnsi="Arial"/>
          <w:sz w:val="18"/>
          <w:szCs w:val="18"/>
          <w:color w:val="auto"/>
        </w:rPr>
      </w:pPr>
      <w:r>
        <w:rPr>
          <w:rFonts w:ascii="Arial" w:cs="Arial" w:eastAsia="Arial" w:hAnsi="Arial"/>
          <w:sz w:val="18"/>
          <w:szCs w:val="18"/>
          <w:color w:val="auto"/>
        </w:rPr>
        <w:t>of success with respect to any business combination we may consummate. You should not rely on the historical record of our management’s, directors’, or Chardan’s performance as indicative of our future performance.</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Industry Opportunity</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intend to identify and acquire a business within the hospitality, leisure, travel and dining sectors with an overall transaction value between approximately $500 million and $2.0 billion. We believe that these sectors represent attractive target markets given the size, breadth and prospects for growth, with travel and tourism having contributed nearly $8.8 trillion to global GDP in 2018, having been expected to grow an average of 7.1% annually through 2020 prior to COVID-19, which has adversely impacted the sector. Based on demographic and behavioral trends and a long-term demand for travel and leisure experiences, consumers are investing more in experiences than products, and we believe this will continue through a down-cycle in hospitality due to COVID-19.</w:t>
      </w:r>
    </w:p>
    <w:p>
      <w:pPr>
        <w:spacing w:after="0" w:line="124"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In 2019, domestic and international travelers spent $1.126 trillion in the U.S. and domestic travelers alone spent $972 billion in the U.S. (a 4.4% increase from 2018), according to the U.S. Travel Association. Moreover, domestic and international leisure travelers spent a total of $792 billion in 2019 in the U.S., up 4.1% from 2018, and domestic and international business traveler spending increased 2.2% to $334 billion in 2019. Other sectors, from entertainment to venues, tours and restaurants, also benefited as U.S. consumers invested in an inherent love for leisure, travel and dining experiences.</w:t>
      </w:r>
    </w:p>
    <w:p>
      <w:pPr>
        <w:spacing w:after="0" w:line="11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COVID-19 has created a temporary valuation dislocation, and has adversely impacted the ability of companies and business divisions to access to the public and/or private financing markets. We believe that COVID-19 will create a pervasive and permanent change in global consumer and business behavior similar to previous crises, such as 9/11’s impact on travel security and the global financial crisis’ impact on (increased) financial regulation.</w:t>
      </w:r>
    </w:p>
    <w:p>
      <w:pPr>
        <w:spacing w:after="0" w:line="107"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Competition for consumers’ hospitality, travel, leisure and dining spending has remained high, and resulted in companies introducing innovative concepts, technologies and strategies to establish competitive market positioning. We believe the private market for hospitality, leisure, travel and dining companies will provide attractive opportunities for identifying a business combination target. We are confident that we will identify and capitalize on the many attractive and well-positioned companies whose operating models have, or will adapt, to the changing consumer and business behaviors in a COVID-19 or post-COVID-19 environment.</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Strategy</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Our management team’s objective is to generate attractive returns and create long-term value for our shareholders by applying a disciplined approach of identifying attractive business combination targets that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9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Our evaluation process will leverage our co-founders’, board’s and advisors’ network of industry, private equity sponsor, credit fund sponsor and lending community relationships, as well as relationships with management teams of public and private companies, investment bankers, restructuring advisors, attorneys and accountants, which we believe will provide us with a number of business combination opportunities. We intend to deploy a pro-active,</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3" w:name="page64"/>
    <w:bookmarkEnd w:id="6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thematic sourcing strategy and to focus on companies where we believe the combination of our operating experience, relationships, capital and capital markets expertise can be catalysts to transform a target company and can help accelerate the target’s growth and performance.</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management team, board and advisors have experience in:</w:t>
      </w:r>
    </w:p>
    <w:p>
      <w:pPr>
        <w:spacing w:after="0" w:line="144" w:lineRule="exact"/>
        <w:rPr>
          <w:sz w:val="20"/>
          <w:szCs w:val="20"/>
          <w:color w:val="auto"/>
        </w:rPr>
      </w:pPr>
    </w:p>
    <w:p>
      <w:pPr>
        <w:ind w:left="1300" w:hanging="41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key activities of SPACs including, sponsoring, underwriting and M&amp;A advisory;</w:t>
      </w:r>
    </w:p>
    <w:p>
      <w:pPr>
        <w:spacing w:after="0" w:line="130" w:lineRule="exact"/>
        <w:rPr>
          <w:rFonts w:ascii="Arial" w:cs="Arial" w:eastAsia="Arial" w:hAnsi="Arial"/>
          <w:sz w:val="18"/>
          <w:szCs w:val="18"/>
          <w:color w:val="auto"/>
        </w:rPr>
      </w:pPr>
    </w:p>
    <w:p>
      <w:pPr>
        <w:ind w:left="1320" w:right="459" w:hanging="434"/>
        <w:spacing w:after="0" w:line="277" w:lineRule="auto"/>
        <w:tabs>
          <w:tab w:leader="none" w:pos="14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operating companies, setting and changing strategies, and identifying, monitoring and recruiting world-class talent;</w:t>
      </w:r>
    </w:p>
    <w:p>
      <w:pPr>
        <w:spacing w:after="0" w:line="75" w:lineRule="exact"/>
        <w:rPr>
          <w:rFonts w:ascii="Arial" w:cs="Arial" w:eastAsia="Arial" w:hAnsi="Arial"/>
          <w:sz w:val="18"/>
          <w:szCs w:val="18"/>
          <w:color w:val="auto"/>
        </w:rPr>
      </w:pPr>
    </w:p>
    <w:p>
      <w:pPr>
        <w:jc w:val="both"/>
        <w:ind w:left="1320" w:right="479" w:hanging="434"/>
        <w:spacing w:after="0" w:line="263" w:lineRule="auto"/>
        <w:tabs>
          <w:tab w:leader="none" w:pos="1594"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130" w:lineRule="exact"/>
        <w:rPr>
          <w:rFonts w:ascii="Arial" w:cs="Arial" w:eastAsia="Arial" w:hAnsi="Arial"/>
          <w:sz w:val="18"/>
          <w:szCs w:val="18"/>
          <w:color w:val="auto"/>
        </w:rPr>
      </w:pPr>
    </w:p>
    <w:p>
      <w:pPr>
        <w:ind w:left="1320" w:right="479" w:hanging="434"/>
        <w:spacing w:after="0" w:line="277" w:lineRule="auto"/>
        <w:tabs>
          <w:tab w:leader="none" w:pos="140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75" w:lineRule="exact"/>
        <w:rPr>
          <w:rFonts w:ascii="Arial" w:cs="Arial" w:eastAsia="Arial" w:hAnsi="Arial"/>
          <w:sz w:val="18"/>
          <w:szCs w:val="18"/>
          <w:color w:val="auto"/>
        </w:rPr>
      </w:pPr>
    </w:p>
    <w:p>
      <w:pPr>
        <w:ind w:left="1300" w:hanging="41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 and</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419"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executing transactions in multiple geographies and under varying economic and financial market conditions.</w:t>
      </w:r>
    </w:p>
    <w:p>
      <w:pPr>
        <w:spacing w:after="0" w:line="76"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Upon completion of this offering, members of our management team and board, as well as our advisers will communicate with their network of relationships to articulate our initial business combination criteria, including the parameters of our search for a target business, and will begin the disciplined process of pursuing and reviewing promising leads. 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Investment Criteria</w:t>
      </w:r>
    </w:p>
    <w:p>
      <w:pPr>
        <w:spacing w:after="0" w:line="135"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Consistent with our business strategy, we have identified the following general criteria and guidelines that we believe are important in evaluating candidates for our initial business combination. We will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107" w:lineRule="exact"/>
        <w:rPr>
          <w:sz w:val="20"/>
          <w:szCs w:val="20"/>
          <w:color w:val="auto"/>
        </w:rPr>
      </w:pPr>
    </w:p>
    <w:p>
      <w:pPr>
        <w:ind w:left="1320" w:right="479" w:hanging="434"/>
        <w:spacing w:after="0" w:line="277" w:lineRule="auto"/>
        <w:tabs>
          <w:tab w:leader="none" w:pos="14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has a strong competitive industry position with demonstrated competitive advantages to maintain barriers to entry;</w:t>
      </w:r>
    </w:p>
    <w:p>
      <w:pPr>
        <w:spacing w:after="0" w:line="75" w:lineRule="exact"/>
        <w:rPr>
          <w:rFonts w:ascii="Arial" w:cs="Arial" w:eastAsia="Arial" w:hAnsi="Arial"/>
          <w:sz w:val="18"/>
          <w:szCs w:val="18"/>
          <w:color w:val="auto"/>
        </w:rPr>
      </w:pPr>
    </w:p>
    <w:p>
      <w:pPr>
        <w:ind w:left="1320" w:right="479" w:hanging="434"/>
        <w:spacing w:after="0" w:line="277" w:lineRule="auto"/>
        <w:tabs>
          <w:tab w:leader="none" w:pos="14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has a historic record of above average growth and strong free cash flow characteristics with high returns on capital;</w:t>
      </w:r>
    </w:p>
    <w:p>
      <w:pPr>
        <w:spacing w:after="0" w:line="75" w:lineRule="exact"/>
        <w:rPr>
          <w:rFonts w:ascii="Arial" w:cs="Arial" w:eastAsia="Arial" w:hAnsi="Arial"/>
          <w:sz w:val="18"/>
          <w:szCs w:val="18"/>
          <w:color w:val="auto"/>
        </w:rPr>
      </w:pPr>
    </w:p>
    <w:p>
      <w:pPr>
        <w:jc w:val="both"/>
        <w:ind w:left="1320" w:right="479" w:hanging="434"/>
        <w:spacing w:after="0" w:line="286" w:lineRule="auto"/>
        <w:tabs>
          <w:tab w:leader="none" w:pos="1365" w:val="left"/>
        </w:tabs>
        <w:numPr>
          <w:ilvl w:val="0"/>
          <w:numId w:val="35"/>
        </w:numPr>
        <w:rPr>
          <w:rFonts w:ascii="Arial" w:cs="Arial" w:eastAsia="Arial" w:hAnsi="Arial"/>
          <w:sz w:val="17"/>
          <w:szCs w:val="17"/>
          <w:color w:val="auto"/>
        </w:rPr>
      </w:pPr>
      <w:r>
        <w:rPr>
          <w:rFonts w:ascii="Arial" w:cs="Arial" w:eastAsia="Arial" w:hAnsi="Arial"/>
          <w:sz w:val="17"/>
          <w:szCs w:val="17"/>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pacing w:after="0" w:line="84" w:lineRule="exact"/>
        <w:rPr>
          <w:rFonts w:ascii="Arial" w:cs="Arial" w:eastAsia="Arial" w:hAnsi="Arial"/>
          <w:sz w:val="17"/>
          <w:szCs w:val="17"/>
          <w:color w:val="auto"/>
        </w:rPr>
      </w:pPr>
    </w:p>
    <w:p>
      <w:pPr>
        <w:ind w:left="1320" w:right="479" w:hanging="434"/>
        <w:spacing w:after="0" w:line="277" w:lineRule="auto"/>
        <w:tabs>
          <w:tab w:leader="none" w:pos="1473"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 positioned for continued organic growth and may grow through bolt-on acquisitions in these challenging times for the industry sectors;</w:t>
      </w:r>
    </w:p>
    <w:p>
      <w:pPr>
        <w:spacing w:after="0" w:line="75" w:lineRule="exact"/>
        <w:rPr>
          <w:rFonts w:ascii="Arial" w:cs="Arial" w:eastAsia="Arial" w:hAnsi="Arial"/>
          <w:sz w:val="18"/>
          <w:szCs w:val="18"/>
          <w:color w:val="auto"/>
        </w:rPr>
      </w:pPr>
    </w:p>
    <w:p>
      <w:pPr>
        <w:ind w:left="1300" w:hanging="41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 a fundamentally sound company with a proven track record;</w:t>
      </w:r>
    </w:p>
    <w:p>
      <w:pPr>
        <w:spacing w:after="0" w:line="130"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has an operating model that has adapted to meet the changing consumer or business behaviors in a post-COVID 19 environment;</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will offer an attractive risk-adjusted return for our stockholders; and</w:t>
      </w:r>
    </w:p>
    <w:p>
      <w:pPr>
        <w:spacing w:after="0" w:line="130"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can benefit from being a publicly traded company, are prepared to be a publicly traded company and can utilize access to broader capital markets.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4" w:name="page65"/>
    <w:bookmarkEnd w:id="6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proxy solicitation materials or tender offer documents that we would file with the SEC.</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Acquisition Process</w:t>
      </w:r>
    </w:p>
    <w:p>
      <w:pPr>
        <w:spacing w:after="0" w:line="135"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Rigorous and comprehensive due diligence on prospective business targets is particularly important within the hospitality, travel, leisure and dining sectors in which we intend to target. In the process of identifying a potential business target, we expect to conduct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will also utilize our management team’s operational and capital planning experience.</w:t>
      </w:r>
    </w:p>
    <w:p>
      <w:pPr>
        <w:spacing w:after="0" w:line="85"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have not identified any business combination target and we have not, nor has anyone on our behalf, initiated any substantive discussions, directly or indirectly, with any business combination target. Our co-sponsors, all of the members of our management team and our board, our advisors, including Chardan, are continuously made aware of potential business opportunities, one or more of which we may desire to pursue, for a business combination, but we have not (nor has anyone on our behalf) contacted, or had any discussions, formal or otherwise with, any prospective target business with respect to a business combination transaction with us.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Value Creation Post Merger</w:t>
      </w:r>
    </w:p>
    <w:p>
      <w:pPr>
        <w:spacing w:after="0" w:line="135" w:lineRule="exact"/>
        <w:rPr>
          <w:sz w:val="20"/>
          <w:szCs w:val="20"/>
          <w:color w:val="auto"/>
        </w:rPr>
      </w:pPr>
    </w:p>
    <w:p>
      <w:pPr>
        <w:jc w:val="both"/>
        <w:ind w:left="460" w:right="479" w:firstLine="432"/>
        <w:spacing w:after="0" w:line="272" w:lineRule="auto"/>
        <w:rPr>
          <w:sz w:val="20"/>
          <w:szCs w:val="20"/>
          <w:color w:val="auto"/>
        </w:rPr>
      </w:pPr>
      <w:r>
        <w:rPr>
          <w:rFonts w:ascii="Arial" w:cs="Arial" w:eastAsia="Arial" w:hAnsi="Arial"/>
          <w:sz w:val="17"/>
          <w:szCs w:val="17"/>
          <w:color w:val="auto"/>
        </w:rPr>
        <w:t>After the initial business combination, our management team intends to apply a rigorous approach to enhancing shareholder value, including evaluating the experience and expertise of incumbent management and making changes when appropriate, examining opportunities for revenue enhancement, cost savings, operating efficiencies and strategic acquisitions and divestitures, and accessing the financial markets to optimize the company’s capital structure. Our management team intends to pursue post-merger initiatives through participation on the board of directors, through direct involvement with company operations and/or calling upon a stable of former managers and advisors when necessary.</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Effecting a Business Combination</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w:t>
      </w:r>
    </w:p>
    <w:p>
      <w:pPr>
        <w:spacing w:after="0" w:line="14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We are not presently engaged in, and we will not engage in, any operations for an indefinite period of time following this offering. We intend to effectuate our initial business combination using cash from the proceeds of this offering and the private placement of the private warrants, our shares, rights, new debt, or a combination of these, as the consideration to be paid in our initial business combination. We may seek to consummate our initial business combination with a company or business that may be financially unstable or in its early stages of development or growth (such as a company that has begun operations but is not yet at the stage of commercial manufacturing and sales), which would subject us to the numerous risks inherent in such companies and businesses, although we will not be permitted to effectuate our initial business combination with another blank check company or a similar company with nominal operations.</w:t>
      </w:r>
    </w:p>
    <w:p>
      <w:pPr>
        <w:spacing w:after="0" w:line="86" w:lineRule="exact"/>
        <w:rPr>
          <w:sz w:val="20"/>
          <w:szCs w:val="20"/>
          <w:color w:val="auto"/>
        </w:rPr>
      </w:pPr>
    </w:p>
    <w:p>
      <w:pPr>
        <w:jc w:val="both"/>
        <w:ind w:left="460" w:right="479" w:firstLine="432"/>
        <w:spacing w:after="0" w:line="254" w:lineRule="auto"/>
        <w:rPr>
          <w:sz w:val="20"/>
          <w:szCs w:val="20"/>
          <w:color w:val="auto"/>
        </w:rPr>
      </w:pPr>
      <w:r>
        <w:rPr>
          <w:rFonts w:ascii="Arial" w:cs="Arial" w:eastAsia="Arial" w:hAnsi="Arial"/>
          <w:sz w:val="18"/>
          <w:szCs w:val="18"/>
          <w:color w:val="auto"/>
        </w:rPr>
        <w:t>If our initial business combination is paid for using shares or debt securities, or not all of the funds released from the trust account are used for payment of the purchase price in connection with our business combination or used for redemptions of purchases of our common stock, we may apply the cash released to us from the trust account that is not applied to the purchase price for general corporate purposes, including for maintenance or expansion of operations of acquired businesses, the payment of principal or interest due on indebtedness incurred in consummating our initial business combination, to fund the purchase of other companies or for working capital.</w:t>
      </w:r>
    </w:p>
    <w:p>
      <w:pPr>
        <w:spacing w:after="0" w:line="100"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We have not identified any acquisition targets. From the period prior to our formation through the date of this prospectus, there have been no communications, evaluations or discussions between any of our officers, directors or our</w:t>
      </w:r>
    </w:p>
    <w:p>
      <w:pPr>
        <w:sectPr>
          <w:pgSz w:w="11900" w:h="16838" w:orient="portrait"/>
          <w:cols w:equalWidth="0" w:num="1">
            <w:col w:w="9019"/>
          </w:cols>
          <w:pgMar w:left="1440" w:top="274"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5" w:name="page66"/>
    <w:bookmarkEnd w:id="6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co-sponsors and any of their contacts or relationships regarding a potential initial business combination. Additionally, we have not engaged or retained any agent or other representative to identify or locate any suitable acquisition candidate. Subject to the requirement that our initial business combination must be with one or more target businesses or assets having an aggregate fair market value of at least 80% of the value of the trust account (excluding any taxes payable on the income earned on the trust account) at the time of the agreement to enter into such initial business combination, we have virtually unrestricted flexibility in identifying and selecting one or more prospective target businesses.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this assessment may not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100"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may seek to raise additional funds through a private offering of debt or equity securities in connection with the consummation of our initial business combination, and we may effectuate our initial business combination using the proceeds of such offering rather than using the amounts held in the trust account. Subject to compliance with applicable securities laws, we would consummate such financing only simultaneously with the consummation of our business combination. In the case of an initial business combination funded with assets other than the trust account assets, our tender offer documents or proxy materials disclosing the business combination would disclose the terms of the financing and, only if required by law or Nasdaq, we would seek stockholder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Sources of Target Businesses</w:t>
      </w:r>
    </w:p>
    <w:p>
      <w:pPr>
        <w:spacing w:after="0" w:line="144"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We anticipate that target business candidates will be brought to our attention from various unaffiliated sources, including investment bankers, venture capital funds, private equity groups, leveraged buyout funds, management buyout funds and other members of the financial community. Target businesses may be brought to our attention by such unaffiliated sources as a result of being solicited by us through calls or mailings. These sources also may introduce us to target businesses in which they think we may be interested on an unsolicited basis, since many of these sources will have read this prospectus and know what types of businesses we are targeting. Our officers and directors, as well as their affiliates, also may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may be paid out of the funds held in the trust account. Although some of our officers and directors may enter into employment or consulting agreements with the acquired business following our initial business combination, the presence or absence of any such arrangements will not be used as a criterion in our selection process of an acquisition candidate.</w:t>
      </w:r>
    </w:p>
    <w:p>
      <w:pPr>
        <w:spacing w:after="0" w:line="32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co-sponsors, officers or directors. In the event we seek to complete our initial business combination with such a company, we, or a committee of independent directors, would obtain an opinion from an independent investment banking firm or another independent entity that commonly renders valuation opinions on the type of target business we seek to acquire that such an initial business combination is fair to our stockholders from a financial point of view.</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Selection of a Target Business and Structuring of a Business Combination</w:t>
      </w:r>
    </w:p>
    <w:p>
      <w:pPr>
        <w:spacing w:after="0" w:line="15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Subject to the requirement that our initial business combination must be with one or more target businesses or assets having an aggregate fair market value of at least 80% of the value of the trust account (excluding any taxes payable</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6" w:name="page67"/>
    <w:bookmarkEnd w:id="6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on the income earned on the trust account) at the time of the agreement to enter into such initial business combination, our management will have virtually unrestricted flexibility in identifying and selecting one or more prospective target businesses. In any case, we will only consummate an initial business combination in which we become the majority shareholder of the target (or control the target through contractual arrangements in limited circumstances for regulatory compliance purposes as discussed below) or are otherwise not required to register as an investment company under the Investment Company Act, or to the extent permitted by law we may acquire interests in a variable interest entity, in which we may have less than a majority of the voting rights in such entity, but in which we are the primary beneficiary. There is no basis for investors in this offering to evaluate the possible merits or risks of any target business with which we may ultimately complete our initial business combination. To the extent we effect our initial business combination with a company or business that may be financially unstable or in its early stages of development or growth (such as a company that has begun operations but is not yet at the stage of commercial manufacturing and sales), we may be affected by numerous risks inherent in such company or business. Although our management will endeavor to evaluate the risks inherent in a particular target business, we may not properly ascertain or assess all significant risk factors.</w:t>
      </w:r>
    </w:p>
    <w:p>
      <w:pPr>
        <w:spacing w:after="0" w:line="10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evaluating a prospective target business, we expect to conduct a thorough due diligence review that will encompass, among other things, meetings with incumbent management and employees, document reviews, interviews of customers and suppliers, inspection of facilities, as well as a review of financial and other information made available to us.</w:t>
      </w:r>
    </w:p>
    <w:p>
      <w:pPr>
        <w:spacing w:after="0" w:line="119"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a business combination is not ultimately completed will result in our incurring losses and will reduce the funds we can use to complete another business combination. We will not pay any finders or consulting fees to members of our management team, or any of their respective affiliates, for services rendered to or in connection with our initial business combination.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Market Value of Target Business or Businesses</w:t>
      </w:r>
    </w:p>
    <w:p>
      <w:pPr>
        <w:spacing w:after="0" w:line="144"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The target business or businesses or assets with which we effect our initial business combination must have a collective fair market value equal to at least 80% of the value of the trust account (excluding any taxes payable on the income earned on the trust account) at the time of the agreement to enter into such initial business combination. If we acquire less than 100% of one or more target businesses in our initial business combination, the aggregate fair market value of the portion or portions we acquire must equal at least 80% of the value of the trust account at the time of the agreement to enter into such initial business combination. However, we will always acquire at least a controlling interest in a target business. The fair market value of a portion of a target business or assets will likely be calculated by multiplying the fair market value of the entire business by the percentage of the target we acquire. We may seek to consummate our initial business combination with an initial target business or businesses with a collective fair market value in excess of the balance in the trust account. In order to consummate such an initial business combination, we may issue a significant amount of debt, equity or other securities to the sellers of such business and/or seek to raise additional funds through a private offering of debt, equity or other securities. If we issue securities in order to consummate such an initial business combination, our stockholders could end up owning a minority of the combined company’s voting securities as there is no requirement that our stockholders own a certain percentage of our company (or, depending on the structure of the initial business combination, an ultimate parent company that may be formed) after our business combination. Because we have no specific business combination under consideration, we have not entered into any such arrangement to issue our debt or equity securities and have no current intention of doing so.</w:t>
      </w:r>
    </w:p>
    <w:p>
      <w:pPr>
        <w:spacing w:after="0" w:line="121"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fair market value of a target business or businesses or assets will be determined by our board of directors based upon standards generally accepted by the financial community, such as actual and potential gross margins, the values of comparable businesses, earnings and cash flow, book value, enterprise value and, where appropriate, upon the advice of appraisers or other professional consultants. Investors will be relying on the business judgment of our board of directors, which will have significant discretion in choosing the standard used to establish the fair market value of a particular target business. If our board of directors is not able to independently determine that the target business or assets has a sufficient fair market value to meet the threshold criterion, we will obtain an opinion from an unaffiliated, independent investment banking firm or another independent entity that commonly renders valuation opinions on the type of target business we seek to acquire with respect to the satisfaction of such criterion. Notwithstanding the foregoing, unless we consummate a business combination with an affiliated entity, we are not required to obtain an</w:t>
      </w:r>
    </w:p>
    <w:p>
      <w:pPr>
        <w:sectPr>
          <w:pgSz w:w="11900" w:h="16838" w:orient="portrait"/>
          <w:cols w:equalWidth="0" w:num="1">
            <w:col w:w="9019"/>
          </w:cols>
          <w:pgMar w:left="1440" w:top="274"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7" w:name="page68"/>
    <w:bookmarkEnd w:id="6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opinion from an independent investment banking firm, or another independent entity that commonly renders valuation opinions on the type of target business we seek to acquire, that the price we are paying is fair to our stockholders.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our initial business combination with only a single entity, our lack of diversification may:</w:t>
      </w:r>
    </w:p>
    <w:p>
      <w:pPr>
        <w:spacing w:after="0" w:line="125" w:lineRule="exact"/>
        <w:rPr>
          <w:sz w:val="20"/>
          <w:szCs w:val="20"/>
          <w:color w:val="auto"/>
        </w:rPr>
      </w:pPr>
    </w:p>
    <w:p>
      <w:pPr>
        <w:jc w:val="both"/>
        <w:ind w:left="1320" w:right="459" w:hanging="434"/>
        <w:spacing w:after="0" w:line="263" w:lineRule="auto"/>
        <w:tabs>
          <w:tab w:leader="none" w:pos="13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Limited Ability to Evaluate the Target’s Management Team</w:t>
      </w:r>
    </w:p>
    <w:p>
      <w:pPr>
        <w:spacing w:after="0" w:line="15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Although we intend to closely scrutinize the management of a prospective target business when evaluating the desirability of effecting our initial business combination with that business, our assessment of the target business’ management may not prove to be correct. The future role of members of our management team, if any, in the target business cannot presently be stated with any certainty. Consequently, members of our management team may not become a part of the target’s management team, and the future management may not have the necessary skills, qualifications or abilities to manage a public company. Further, it is also not certain whether one or more of our directors will remain associated in some capacity with us following our initial business combination. Moreover, members of our management team may not have significant experience or knowledge relating to the operations of the particular target business. Our key personnel may not remain in senior management or advisory positions with the combined company. The determination as to whether any of our key personnel will remain with the combined company will be made at the time of our initial business combination.</w:t>
      </w:r>
    </w:p>
    <w:p>
      <w:pPr>
        <w:spacing w:after="0" w:line="111"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may not have the ability to recruit additional managers, or to ascertain that additional managers will have the requisite skills, knowledge or experience necessary to enhance the incumbent management.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Stockholders May Not Have the Ability to Approve an Initial Business Combination</w:t>
      </w:r>
    </w:p>
    <w:p>
      <w:pPr>
        <w:spacing w:after="0" w:line="14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 xml:space="preserve">In connection with any proposed business combination, we will either (1) seek stockholder approval of our initial business combination at a meeting called for such purpose at which public stockholders may seek to convert their public shares, regardless of whether they vote for or against the proposed business combination, into their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the aggregate amount then on deposit in the trust account (net of taxes payable) or</w:t>
      </w:r>
    </w:p>
    <w:p>
      <w:pPr>
        <w:spacing w:after="0" w:line="1" w:lineRule="exact"/>
        <w:rPr>
          <w:sz w:val="20"/>
          <w:szCs w:val="20"/>
          <w:color w:val="auto"/>
        </w:rPr>
      </w:pPr>
    </w:p>
    <w:p>
      <w:pPr>
        <w:jc w:val="both"/>
        <w:ind w:left="460" w:right="459" w:hanging="6"/>
        <w:spacing w:after="0" w:line="252" w:lineRule="auto"/>
        <w:tabs>
          <w:tab w:leader="none" w:pos="7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provide our public stockholders with the opportunity to sell their public shares to us by means of a tender offer (and thereby avoid the need for a stockholder vote) for an amount equal to their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aggregate amount then on deposit in the trust account (net of taxes payable), in each case subject to the limitations described herein. Notwithstanding the foregoing, our initial stockholders have agreed, pursuant to written letter agreements with us, not to convert any public shares held by them into their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aggregate amount then on deposit in the trust account.</w:t>
      </w:r>
    </w:p>
    <w:p>
      <w:pPr>
        <w:spacing w:after="0" w:line="126"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110"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 xml:space="preserve">If we determine to engage in a tender offer, such tender offer will be structured so that each stockholder may tender any or all of his, her or its public shares rather than some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of his, her or its shares. The decision as to whether we will seek stockholder approval of a proposed business combination or will allow stockholders to sell</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8" w:name="page69"/>
    <w:bookmarkEnd w:id="6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their shares to us in a tender offer will be made by us based on a variety of factors such as the timing of the transaction and whether the terms of the transaction would otherwise require us to seek stockholder approval. If we so choose and are legally permitted to do so, we have the flexibility to avoid a stockholder vote and allow our stockholders to sell 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upon such consummation and, solely if we seek stockholder approval, a majority of the issued and outstanding shares of common stock voted are voted in favor of the business combination.</w:t>
      </w:r>
    </w:p>
    <w:p>
      <w:pPr>
        <w:spacing w:after="0" w:line="9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We chose our net tangible asset threshold of $5,000,001 to ensure that we are not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converted or sold to us), and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 Public stockholders may therefore have to wait 15 months (or up to 18 months, as applicable) from the closing of this offering in order to be able to receive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trust account.</w:t>
      </w:r>
    </w:p>
    <w:p>
      <w:pPr>
        <w:spacing w:after="0" w:line="87"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Our initial stockholders and our officers and directors have agreed (1) to vote any shares of common stock owned by them in favor of any proposed business combination, (2) not to convert any shares of common stock in connection with a stockholder vote to approve a proposed initial business combination and (3) not sell any shares of common stock in any tender in connection with a proposed initial business combination. As a result, if we sought stockholder approval of a proposed transaction, we would need only 937,001 of our public shares (or approximately 5.1% of our public shares) to be voted in favor of the transaction in order to have such transaction approved (assuming that only a quorum was present at the meeting, that the over-allotment option is not exercised and that the initial stockholders do not purchase any units in this offering or units or shares in the after-market).</w:t>
      </w:r>
    </w:p>
    <w:p>
      <w:pPr>
        <w:spacing w:after="0" w:line="115"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If we hold a meeting to approve a proposed business combination and a significant number of stockholders vote, or indicate an intention to vote, against such proposed business combination, our officers, directors, initial stockholders or their affiliates could make such purchases in the open market or in private transactions in order to influence the vote. Notwithstanding the foregoing, our officers, directors, initial stockholders and their affiliates will not make purchases of common stock if the purchases would violate Section 9(a)(2) or Rule 10b-5 of the Exchange Act, which are rules designed to stop potential manipulation of a company’s stock.</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Conversion/Tender Rights</w:t>
      </w:r>
    </w:p>
    <w:p>
      <w:pPr>
        <w:spacing w:after="0" w:line="131"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 xml:space="preserve">In connection with any meeting called to approve an initial business combination, public stockholders may seek to convert their public shares, regardless of whether they vote for or against the proposed business combination, into their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the aggregate amount then on deposit in the trust account, less any taxes then due but not yet paid. A public stockholder may be required to vote for or against a proposed business combination in order to have his, her or its shares of common stock redeemed for cash. If required to do so, and the stockholder fails to vote for or against a proposed business combination, that stockholder would not be able to have his, her or its shares of common stock redeemed. Notwithstanding the foregoing, our initial stockholders have agreed, pursuant to written letter agreements with us, not to convert any public shares held by them into their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the aggregate amount then on deposit in the trust account. If we hold a meeting to approve an initial business combination, a holder will always have the ability to vote against a proposed business combination and not seek conversion of his, her or its shares.</w:t>
      </w:r>
    </w:p>
    <w:p>
      <w:pPr>
        <w:spacing w:after="0" w:line="9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Alternatively, if we engage in a tender offer, each public stockholder will be provided the opportunity to sell its public shares to us in such tender offer. The tender offer rules require us to hold the tender offer open for at least 20 business days. Accordingly, this is the minimum amount of time we would need to provide holders to determine whether they want to sell their public shares to us in the tender offer or remain an investor in our company.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9" w:name="page70"/>
    <w:bookmarkEnd w:id="6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Our initial stockholders, officers and directors will not have conversion rights with respect to any shares of common stock owned by them, directly or indirectly, whether acquired prior to this offering or purchased by them in this offering or in the aftermarket.</w:t>
      </w:r>
    </w:p>
    <w:p>
      <w:pPr>
        <w:spacing w:after="0" w:line="89"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 xml:space="preserve">We may also require public stockholders, whether they are a record holder or hold their shares in “street name,” to either tender their certificates (if any) to our transfer agent or to deliver their shares to the transfer agent electronically using Depository Trust Company’s DWAC (Deposit/Withdrawal At Custodian) System, at the holder’s option, at any time at or prior to the vote on the business combination. The proxy solicitation materials that we will furnish to stockholders in connection with the vote for any proposed business combination will indicate whether we are requiring stockholders to satisfy such delivery requirements. Accordingly, a stockholder would have from the time our proxy statement is mailed through the vote on the business combination to deliver his, her or its shares if the holder wishes to seek to exercise his conversion rights. Under Delaware law, we are required to provide at least 10 days’ advance notice of any stockholder meeting, which would be the minimum amount of time a stockholder would have to determine whether to exercise conversion rights. As a result, if we require public stockholders who wish to convert their shares of common stock into the right to receive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portion of the funds in the trust account to comply with the foregoing delivery requirements, holders may not have sufficient time to receive the notice and deliver their shares for conversion. Accordingly, investors may not be able to exercise their conversion rights and may be forced to retain our securities when they otherwise would not want to. The conversion rights will include the requirement that a beneficial holder must identify itself in order to validly redeem its shares.</w:t>
      </w:r>
    </w:p>
    <w:p>
      <w:pPr>
        <w:spacing w:after="0" w:line="109"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There is a nominal cost associated with this tendering process and the act of certificating the shares or delivering them through the DWAC System. The transfer agent will typically charge the tendering broker $45, and it would be up to the broker whether or not to pass this cost on to the converting holder. However, this fee would be incurred regardless of whether or not we require holders seeking to exercise conversion rights. The need to deliver shares is a requirement of exercising conversion rights regardless of the timing of when such delivery must be effectuated. However, in the event we require stockholders seeking to exercise conversion rights to deliver their shares prior to the consummation of the proposed business combination and the proposed business combination is not consummated, this may result in an increased cost to stockholders.</w:t>
      </w:r>
    </w:p>
    <w:p>
      <w:pPr>
        <w:spacing w:after="0" w:line="98"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Any request to convert or tender such shares, once made, may be withdrawn at any time up to the vote on the proposed business combination or expiration of the tender offer. Furthermore, if a holder of a public share delivered its certificate in connection with an election of their conversion or tender and subsequently decides prior to the vote on the business combination or the expiration of the tender offer not to elect to exercise such rights, it may simply request that the transfer agent return the certificate (physically or electronically).</w:t>
      </w:r>
    </w:p>
    <w:p>
      <w:pPr>
        <w:spacing w:after="0" w:line="8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If the initial business combination is not approved or completed for any reason, then our public stockholders who elected to exercise their conversion or tender rights would not be entitled to convert their shares for the applicable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trust account. In such case, we will promptly return any shares delivered by public holders.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 of Trust Account if No Business Combination</w:t>
      </w:r>
    </w:p>
    <w:p>
      <w:pPr>
        <w:spacing w:after="0" w:line="158"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If we do not complete a business combination within 15 months (or up to 18 months, as applicable) from the closing of this offering,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w:t>
      </w:r>
    </w:p>
    <w:p>
      <w:pPr>
        <w:spacing w:after="0" w:line="2" w:lineRule="exact"/>
        <w:rPr>
          <w:sz w:val="20"/>
          <w:szCs w:val="20"/>
          <w:color w:val="auto"/>
        </w:rPr>
      </w:pPr>
    </w:p>
    <w:p>
      <w:pPr>
        <w:jc w:val="both"/>
        <w:ind w:left="460" w:right="459" w:hanging="6"/>
        <w:spacing w:after="0" w:line="302" w:lineRule="auto"/>
        <w:tabs>
          <w:tab w:leader="none" w:pos="793" w:val="left"/>
        </w:tabs>
        <w:numPr>
          <w:ilvl w:val="0"/>
          <w:numId w:val="38"/>
        </w:numPr>
        <w:rPr>
          <w:rFonts w:ascii="Arial" w:cs="Arial" w:eastAsia="Arial" w:hAnsi="Arial"/>
          <w:sz w:val="16"/>
          <w:szCs w:val="16"/>
          <w:color w:val="auto"/>
        </w:rPr>
      </w:pPr>
      <w:r>
        <w:rPr>
          <w:rFonts w:ascii="Arial" w:cs="Arial" w:eastAsia="Arial" w:hAnsi="Arial"/>
          <w:sz w:val="16"/>
          <w:szCs w:val="16"/>
          <w:color w:val="auto"/>
        </w:rPr>
        <w:t>above) to our obligations under Delaware law to provide for claims of creditors and the requirements of other applicable law. There will be no redemption rights or liquidating distributions with respect to our rights or warrants, which will expire worthless if we fail to complete our business combination within the time period.</w:t>
      </w:r>
    </w:p>
    <w:p>
      <w:pPr>
        <w:spacing w:after="0" w:line="8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However, if we anticipate that we may not be able to consummate our initial business combination within 15 months, our initial stockholders or their affiliates may, but are not obligated to, extend the period of time to consummate an initial business combination one time by up to an additional three months (for a total of up to 18 months to complete an initial business combination) without the need for a separate stockholder vote. Pursuant to the terms of our amended and restated certificate of incorporation and the trust agreement to be entered into between us and Continental Stock Transfer &amp; Trust Company on the date of this prospectus, the only way to extend the time available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0" w:name="page71"/>
    <w:bookmarkEnd w:id="7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for us to consummate our initial business combination without the need for a separate stockholder vote is for our initial stockholders or their affiliates or designees, upon five days’ advance notice prior to the applicable deadline, to deposit into the trust account $1,500,000, or $1,725,000 if the underwriters’ over-allotment option is exercised in full ($0.10 per share), if extended for the full 3 months, on or prior to the date of the applicable deadline. Pursuant to our amended and restated certificate of incorporation and the trust agreement, if such funds are not deposited, the time to complete an initial business combination cannot be extended unless our stockholders otherwise approve an extension on different terms. In the event that they elected to extend the time to complete a business combination and deposited the applicable amount of money into trust, the initial stockholders would receive a non-interest bearing, unsecured promissory note equal to the amount of any such deposit that will not be repaid in the event that we are unable to close a business combination unless there are funds available outside the trust account to do so. Such notes would be paid upon consummation of our initial business combination. In the event that we receive notice from our insiders five days prior to the applicable deadline of their intent to effect an extension, we intend to issue a press release announcing such intention at least three days prior to the applicable deadline.</w:t>
      </w:r>
    </w:p>
    <w:p>
      <w:pPr>
        <w:spacing w:after="0" w:line="10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pacing w:after="0" w:line="111" w:lineRule="exact"/>
        <w:rPr>
          <w:sz w:val="20"/>
          <w:szCs w:val="20"/>
          <w:color w:val="auto"/>
        </w:rPr>
      </w:pPr>
    </w:p>
    <w:p>
      <w:pPr>
        <w:jc w:val="both"/>
        <w:ind w:left="460" w:right="459" w:firstLine="432"/>
        <w:spacing w:after="0" w:line="250" w:lineRule="auto"/>
        <w:rPr>
          <w:sz w:val="20"/>
          <w:szCs w:val="20"/>
          <w:color w:val="auto"/>
        </w:rPr>
      </w:pPr>
      <w:r>
        <w:rPr>
          <w:rFonts w:ascii="Arial" w:cs="Arial" w:eastAsia="Arial" w:hAnsi="Arial"/>
          <w:sz w:val="18"/>
          <w:szCs w:val="18"/>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It is our intention to redeem our public shares as soon as reasonably possible following the 15</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month (or up to the 18</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month, as applicable) from the closing of this offering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115"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2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will seek to have all third parties (including any vendors or other entities we engage after this offering) and any prospective target businesses enter into valid and enforceable agreements with us waiving any right, title, interest or claim of any kind they may have in or to any monies held in the trust account. The underwriters in this offering will execute such a waiver agreement.</w:t>
      </w:r>
    </w:p>
    <w:p>
      <w:pPr>
        <w:spacing w:after="0" w:line="119"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refuses to execute such a waiver, we will execute an agreement with that entity only if our management first determines that we would be unable to obtain, on a reasonable basis, substantially similar services or opportunities from another entity willing to execute</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1" w:name="page72"/>
    <w:bookmarkEnd w:id="7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such a waiver. Examples of instances where we may engage a third party that refuses to execute a waiver would be the engagement of a third party consultant who cannot sign such an agreement due to regulatory restrictions, such as our auditors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third parties execute such agreements with us, they will not seek recourse against the trust account. Certain of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$10.10 per public share, except as to any claims by a third party who executed a valid and enforceable agreement with us waiving any right, title, interest or claim of any kind they may have in or to any monies held in the trust account and except as to any claims under our indemnity of the underwriters of this offering against certain liabilities, including liabilities under the Securities Act. Our board of directors has evaluated such insiders’ financial net worth and believes they will be able to satisfy any indemnification obligations that may arise. However, these insiders may not be able to satisfy their indemnification obligations, as we have not required them to retain any assets to provide for their indemnification obligations, nor have we taken any further steps to ensure that they will be able to satisfy any indemnification obligations that arise. Moreover, these insiders will not be liable to our public stockholders, and instead will only have liability to us. As a result, if we liquidate, the per-share distribution from the trust account could be less than the estimated $10.10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w:t>
      </w:r>
    </w:p>
    <w:p>
      <w:pPr>
        <w:spacing w:after="0" w:line="10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10 business days to effectuate the redemption of our public shares. Our insiders have waived their rights to participate in any redemption with respect to their insider shares. We will pay the costs of any subsequent liquidation from our remaining assets outside of the trust account. If such funds are insufficient, our insiders have agreed to pay the funds necessary to complete such liquidation (currently anticipated to be no more than approximately $50,000), and have agreed not to seek repayment of such expenses. Each holder of public shares will receive a pro rata portion of the amount then in the trust account, plus any pro rata interest earned on the funds held in the trust account and not previously released to us or necessary to pay our taxes. The proceeds deposited in the trust account could, however, become subject to claims of our creditors that are in preference to the claims of public stockholders.</w:t>
      </w:r>
    </w:p>
    <w:p>
      <w:pPr>
        <w:spacing w:after="0" w:line="11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Our public stockholders shall be entitled to receive funds from the trust account only in the event of our failure to complete our initial business combination in the required time period or if the stockholders seek to have us convert their respective shares of common stock upon a business combination which is actually completed by us. In no other circumstances shall a stockholder have any right or interest of any kind to or in the trust account.</w:t>
      </w:r>
    </w:p>
    <w:p>
      <w:pPr>
        <w:spacing w:after="0" w:line="107"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conversion amount received by public stockholders may be less than $10.10.</w:t>
      </w:r>
    </w:p>
    <w:p>
      <w:pPr>
        <w:spacing w:after="0" w:line="109"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2" w:name="page73"/>
    <w:bookmarkEnd w:id="7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Certificate of Incorporation</w:t>
      </w:r>
    </w:p>
    <w:p>
      <w:pPr>
        <w:spacing w:after="0" w:line="144"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Our certificate of incorporation contains certain requirements and restrictions relating to this offering that will apply to us until the consummation of our initial business combination.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in connection with any such vote. Our insiders have agreed to waive any conversion rights with respect to any insider shares and any public shares they may hold in connection with any vote to amend our certificate of incorporation. Specifically, our certificate of incorporation provides, among other things, that:</w:t>
      </w:r>
    </w:p>
    <w:p>
      <w:pPr>
        <w:spacing w:after="0" w:line="104" w:lineRule="exact"/>
        <w:rPr>
          <w:sz w:val="20"/>
          <w:szCs w:val="20"/>
          <w:color w:val="auto"/>
        </w:rPr>
      </w:pPr>
    </w:p>
    <w:p>
      <w:pPr>
        <w:jc w:val="both"/>
        <w:ind w:left="1320" w:right="459" w:hanging="434"/>
        <w:spacing w:after="0" w:line="271" w:lineRule="auto"/>
        <w:tabs>
          <w:tab w:leader="none" w:pos="1365"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prior to the consummation of our initial business combination, we shall either (1) seek stockholder approval of our initial business combination at a meeting called for such purpose at which public stockholders may seek to convert their shares of common stock, regardless of whether they vote for or against the proposed business combination, into a portion of the aggregate amount then on deposit in the trust account, or (2) provide our stockholders with the opportunity to sell their shares to us by means of a tender offer (and thereby avoid the need for a stockholder vote) for an amount equal to their pro rata share of the aggregate amount then on deposit in the trust account, in each case subject to the limitations described herein;</w:t>
      </w:r>
    </w:p>
    <w:p>
      <w:pPr>
        <w:spacing w:after="0" w:line="110" w:lineRule="exact"/>
        <w:rPr>
          <w:rFonts w:ascii="Arial" w:cs="Arial" w:eastAsia="Arial" w:hAnsi="Arial"/>
          <w:sz w:val="17"/>
          <w:szCs w:val="17"/>
          <w:color w:val="auto"/>
        </w:rPr>
      </w:pPr>
    </w:p>
    <w:p>
      <w:pPr>
        <w:jc w:val="both"/>
        <w:ind w:left="1320" w:right="459" w:hanging="434"/>
        <w:spacing w:after="0" w:line="259" w:lineRule="auto"/>
        <w:tabs>
          <w:tab w:leader="none" w:pos="1419"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105" w:lineRule="exact"/>
        <w:rPr>
          <w:rFonts w:ascii="Arial" w:cs="Arial" w:eastAsia="Arial" w:hAnsi="Arial"/>
          <w:sz w:val="18"/>
          <w:szCs w:val="18"/>
          <w:color w:val="auto"/>
        </w:rPr>
      </w:pPr>
    </w:p>
    <w:p>
      <w:pPr>
        <w:jc w:val="both"/>
        <w:ind w:left="1320" w:right="479" w:hanging="434"/>
        <w:spacing w:after="0" w:line="286" w:lineRule="auto"/>
        <w:tabs>
          <w:tab w:leader="none" w:pos="1405"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our initial business combination is not consummated within 15 months (or up to 18 months, as applicable) of the closing of this offering, then our existence will terminate and we will distribute all amounts in the trust account to all of our public holders of shares of common stock;</w:t>
      </w:r>
    </w:p>
    <w:p>
      <w:pPr>
        <w:spacing w:after="0" w:line="97" w:lineRule="exact"/>
        <w:rPr>
          <w:rFonts w:ascii="Arial" w:cs="Arial" w:eastAsia="Arial" w:hAnsi="Arial"/>
          <w:sz w:val="17"/>
          <w:szCs w:val="17"/>
          <w:color w:val="auto"/>
        </w:rPr>
      </w:pPr>
    </w:p>
    <w:p>
      <w:pPr>
        <w:ind w:left="1320" w:right="479" w:hanging="434"/>
        <w:spacing w:after="0" w:line="277" w:lineRule="auto"/>
        <w:tabs>
          <w:tab w:leader="none" w:pos="13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upon the consummation of this offering, $151,500,000, or $174,225,000 if the over-allotment option is exercised in full, shall be placed into the trust account;</w:t>
      </w:r>
    </w:p>
    <w:p>
      <w:pPr>
        <w:spacing w:after="0" w:line="102" w:lineRule="exact"/>
        <w:rPr>
          <w:rFonts w:ascii="Arial" w:cs="Arial" w:eastAsia="Arial" w:hAnsi="Arial"/>
          <w:sz w:val="18"/>
          <w:szCs w:val="18"/>
          <w:color w:val="auto"/>
        </w:rPr>
      </w:pPr>
    </w:p>
    <w:p>
      <w:pPr>
        <w:jc w:val="both"/>
        <w:ind w:left="1320" w:right="459" w:hanging="434"/>
        <w:spacing w:after="0" w:line="263" w:lineRule="auto"/>
        <w:tabs>
          <w:tab w:leader="none" w:pos="1459"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102" w:lineRule="exact"/>
        <w:rPr>
          <w:rFonts w:ascii="Arial" w:cs="Arial" w:eastAsia="Arial" w:hAnsi="Arial"/>
          <w:sz w:val="18"/>
          <w:szCs w:val="18"/>
          <w:color w:val="auto"/>
        </w:rPr>
      </w:pPr>
    </w:p>
    <w:p>
      <w:pPr>
        <w:jc w:val="both"/>
        <w:ind w:left="1320" w:right="479" w:hanging="434"/>
        <w:spacing w:after="0" w:line="263" w:lineRule="auto"/>
        <w:tabs>
          <w:tab w:leader="none" w:pos="1405"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(i) receive funds from the trust account or (ii) vote on any initial business combination.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Potential Revisions to Agreements with Insiders</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Each of our insiders has entered into a letter agreement with us pursuant to which each of them has agreed to do certain things relating to us and our activities prior to a business combination. We could seek to amend these letter agreements without the approval of stockholders, although we have no intention to do so. In particular:</w:t>
      </w:r>
    </w:p>
    <w:p>
      <w:pPr>
        <w:spacing w:after="0" w:line="92" w:lineRule="exact"/>
        <w:rPr>
          <w:sz w:val="20"/>
          <w:szCs w:val="20"/>
          <w:color w:val="auto"/>
        </w:rPr>
      </w:pPr>
    </w:p>
    <w:p>
      <w:pPr>
        <w:jc w:val="both"/>
        <w:ind w:left="1320" w:right="459" w:hanging="434"/>
        <w:spacing w:after="0" w:line="263" w:lineRule="auto"/>
        <w:tabs>
          <w:tab w:leader="none" w:pos="1594"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relating to liquidating the trust account if we failed to consummate a business combination in the time-frames specified above could be amended, but only if we allowed all stockholders to redeem their shares in connection with such amendment;</w:t>
      </w:r>
    </w:p>
    <w:p>
      <w:pPr>
        <w:spacing w:after="0" w:line="102" w:lineRule="exact"/>
        <w:rPr>
          <w:rFonts w:ascii="Arial" w:cs="Arial" w:eastAsia="Arial" w:hAnsi="Arial"/>
          <w:sz w:val="18"/>
          <w:szCs w:val="18"/>
          <w:color w:val="auto"/>
        </w:rPr>
      </w:pPr>
    </w:p>
    <w:p>
      <w:pPr>
        <w:jc w:val="both"/>
        <w:ind w:left="1320" w:right="459" w:hanging="434"/>
        <w:spacing w:after="0" w:line="263" w:lineRule="auto"/>
        <w:tabs>
          <w:tab w:leader="none" w:pos="1432"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relating to our insiders being required to vote in favor of a business combination or against any amendments to our organizational documents could be amended to allow our insiders to vote on a transaction as they wished;</w:t>
      </w:r>
    </w:p>
    <w:p>
      <w:pPr>
        <w:spacing w:after="0" w:line="89" w:lineRule="exact"/>
        <w:rPr>
          <w:rFonts w:ascii="Arial" w:cs="Arial" w:eastAsia="Arial" w:hAnsi="Arial"/>
          <w:sz w:val="18"/>
          <w:szCs w:val="18"/>
          <w:color w:val="auto"/>
        </w:rPr>
      </w:pPr>
    </w:p>
    <w:p>
      <w:pPr>
        <w:jc w:val="both"/>
        <w:ind w:left="1320" w:right="459" w:hanging="434"/>
        <w:spacing w:after="0" w:line="279" w:lineRule="auto"/>
        <w:tabs>
          <w:tab w:leader="none" w:pos="1432"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requirement of members of the management team to remain our officer or director until the closing of a business combination could be amended to allow persons to resign from their positions with us if, for example, the current management team was having difficulty locating a target business and another management team had a potential target business;</w:t>
      </w:r>
    </w:p>
    <w:p>
      <w:pPr>
        <w:sectPr>
          <w:pgSz w:w="11900" w:h="16838" w:orient="portrait"/>
          <w:cols w:equalWidth="0" w:num="1">
            <w:col w:w="9019"/>
          </w:cols>
          <w:pgMar w:left="1440" w:top="274"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3" w:name="page74"/>
    <w:bookmarkEnd w:id="7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1320" w:right="459" w:hanging="434"/>
        <w:spacing w:after="0" w:line="277" w:lineRule="auto"/>
        <w:tabs>
          <w:tab w:leader="none" w:pos="13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restrictions on transfer of our securities could be amended to allow transfer to third parties who were not members of our original management team;</w:t>
      </w:r>
    </w:p>
    <w:p>
      <w:pPr>
        <w:spacing w:after="0" w:line="75" w:lineRule="exact"/>
        <w:rPr>
          <w:rFonts w:ascii="Arial" w:cs="Arial" w:eastAsia="Arial" w:hAnsi="Arial"/>
          <w:sz w:val="18"/>
          <w:szCs w:val="18"/>
          <w:color w:val="auto"/>
        </w:rPr>
      </w:pPr>
    </w:p>
    <w:p>
      <w:pPr>
        <w:ind w:left="1320" w:right="459" w:hanging="434"/>
        <w:spacing w:after="0" w:line="308" w:lineRule="auto"/>
        <w:tabs>
          <w:tab w:leader="none" w:pos="1621"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obligation of our management team to not propose amendments to our organizational documents could be amended to allow them to propose such changes to our stockholders;</w:t>
      </w:r>
    </w:p>
    <w:p>
      <w:pPr>
        <w:spacing w:after="0" w:line="65" w:lineRule="exact"/>
        <w:rPr>
          <w:rFonts w:ascii="Arial" w:cs="Arial" w:eastAsia="Arial" w:hAnsi="Arial"/>
          <w:sz w:val="17"/>
          <w:szCs w:val="17"/>
          <w:color w:val="auto"/>
        </w:rPr>
      </w:pPr>
    </w:p>
    <w:p>
      <w:pPr>
        <w:ind w:left="1320" w:right="459" w:hanging="434"/>
        <w:spacing w:after="0" w:line="308" w:lineRule="auto"/>
        <w:tabs>
          <w:tab w:leader="none" w:pos="1635"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obligation of insiders to not receive any compensation in connection with a business combination could be modified in order to allow them to receive such compensation; and</w:t>
      </w:r>
    </w:p>
    <w:p>
      <w:pPr>
        <w:spacing w:after="0" w:line="51" w:lineRule="exact"/>
        <w:rPr>
          <w:rFonts w:ascii="Arial" w:cs="Arial" w:eastAsia="Arial" w:hAnsi="Arial"/>
          <w:sz w:val="17"/>
          <w:szCs w:val="17"/>
          <w:color w:val="auto"/>
        </w:rPr>
      </w:pPr>
    </w:p>
    <w:p>
      <w:pPr>
        <w:ind w:left="1320" w:right="479" w:hanging="434"/>
        <w:spacing w:after="0" w:line="277" w:lineRule="auto"/>
        <w:tabs>
          <w:tab w:leader="none" w:pos="144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requirement to obtain a valuation for any target business affiliated with our insiders, in the event it was too expensive to do so.</w:t>
      </w:r>
    </w:p>
    <w:p>
      <w:pPr>
        <w:spacing w:after="0" w:line="103"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Except as specified above, stockholders would not be required to be given the opportunity to redeem their shares in connection with such changes. Such changes could result in:</w:t>
      </w:r>
    </w:p>
    <w:p>
      <w:pPr>
        <w:spacing w:after="0" w:line="76" w:lineRule="exact"/>
        <w:rPr>
          <w:sz w:val="20"/>
          <w:szCs w:val="20"/>
          <w:color w:val="auto"/>
        </w:rPr>
      </w:pPr>
    </w:p>
    <w:p>
      <w:pPr>
        <w:jc w:val="both"/>
        <w:ind w:left="1320" w:right="459" w:hanging="434"/>
        <w:spacing w:after="0" w:line="263" w:lineRule="auto"/>
        <w:tabs>
          <w:tab w:leader="none" w:pos="136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having an extended period of time to consummate a business combination (although with less in trust as a certain number of our stockholders would certainly redeem their shares in connection with any such extension);</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527"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insiders being able to vote against a business combination or in favor of changes to our organizational documents;</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78"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operations being controlled by a new management team that our stockholders did not elect to invest with;</w:t>
      </w:r>
    </w:p>
    <w:p>
      <w:pPr>
        <w:spacing w:after="0" w:line="75" w:lineRule="exact"/>
        <w:rPr>
          <w:rFonts w:ascii="Arial" w:cs="Arial" w:eastAsia="Arial" w:hAnsi="Arial"/>
          <w:sz w:val="18"/>
          <w:szCs w:val="18"/>
          <w:color w:val="auto"/>
        </w:rPr>
      </w:pPr>
    </w:p>
    <w:p>
      <w:pPr>
        <w:ind w:left="1300" w:hanging="41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insiders receiving compensation in connection with a business combination; and</w:t>
      </w:r>
    </w:p>
    <w:p>
      <w:pPr>
        <w:spacing w:after="0" w:line="130" w:lineRule="exact"/>
        <w:rPr>
          <w:rFonts w:ascii="Arial" w:cs="Arial" w:eastAsia="Arial" w:hAnsi="Arial"/>
          <w:sz w:val="18"/>
          <w:szCs w:val="18"/>
          <w:color w:val="auto"/>
        </w:rPr>
      </w:pPr>
    </w:p>
    <w:p>
      <w:pPr>
        <w:ind w:left="1320" w:right="479" w:hanging="434"/>
        <w:spacing w:after="0" w:line="277" w:lineRule="auto"/>
        <w:tabs>
          <w:tab w:leader="none" w:pos="1486"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insiders closing a transaction with one of their affiliates without receiving an independent valuation of such business.</w:t>
      </w:r>
    </w:p>
    <w:p>
      <w:pPr>
        <w:spacing w:after="0" w:line="10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will not agree to any such changes unless we believed that such changes were in the best interests of our stockholders (for example, if we believed such a modification were necessary to complete a business combination). Each of our officers and directors have fiduciary obligations to us requiring that they act in our best interests and the best interests of our stockholders.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Competition</w:t>
      </w:r>
    </w:p>
    <w:p>
      <w:pPr>
        <w:spacing w:after="0" w:line="15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and operating businesses seeking strategic acquisitions. Many of these entities are well established and have significant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the requirement that we acquire a target business or businesses having a fair market value equal to at least 80% of the value of the trust account (excluding any taxes payable on the income earned on the trust account) at the time of the agreement to enter into the business combination, our obligation to pay cash in connection with our public stockholders who exercise their redemption rights and the number of our outstanding warrants and the future dilution they potentially represent may not be viewed favorably by certain target businesses. Any of these factors may place us at a competitive disadvantage in successfully negotiating our initial business combination.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Facilities</w:t>
      </w:r>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We will pay to Chardan Capital Markets, LLC, an affiliate of Chardan Investments, a fee of $10,000 per month for use of office space and certain office and secretarial services. The office space will be located at 1 East Putnam Avenue, Floor 4, Greenwich, CT 06830.</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Employees</w:t>
      </w:r>
    </w:p>
    <w:p>
      <w:pPr>
        <w:spacing w:after="0" w:line="15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We currently have 4 executive officers. These individuals are not obligated to devote any specific number of hours to our matters but they intend to devote as much of their time as they deem necessary to our affairs until we</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4" w:name="page75"/>
    <w:bookmarkEnd w:id="7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consummation of our initial business combination.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Periodic Reporting and Audited Financial Statements</w:t>
      </w:r>
    </w:p>
    <w:p>
      <w:pPr>
        <w:spacing w:after="0" w:line="158"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We will register our units, shares of common stock, rights and warrants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pacing w:after="0" w:line="10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will provide stockholders with audited financial statements of the prospective target business as part of any proxy solicitation sent to stockholders to assist them in assessing the target business. In all likelihood, the financial information included in the proxy solicitation materials will need to be prepared in accordance with U.S. GAAP or IFRS, depending on the circumstances, and the historical financial statements may be required to be audited in accordance with the standards of the PCAOB. The financial statements may also be required to be prepared in accordance with U.S. GAAP for the Form 8-K announcing the closing of an initial business combination, which would need to be filed within four business days thereafter. We cannot assure you that any particular target business identified by us as a potential acquisition candidate will have the necessary financial information. To the extent that this requirement cannot be met, we may not be able to acquire the proposed target business.</w:t>
      </w:r>
    </w:p>
    <w:p>
      <w:pPr>
        <w:spacing w:after="0" w:line="10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will be required to comply with the internal control requirements of the Sarbanes-Oxley Act beginning for the fiscal year ending December 31, 2021.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20"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13"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spacing w:after="0" w:line="23" w:lineRule="exact"/>
        <w:rPr>
          <w:sz w:val="20"/>
          <w:szCs w:val="20"/>
          <w:color w:val="auto"/>
        </w:rPr>
      </w:pPr>
    </w:p>
    <w:p>
      <w:pPr>
        <w:jc w:val="both"/>
        <w:ind w:left="460" w:right="459" w:hanging="6"/>
        <w:spacing w:after="0" w:line="290" w:lineRule="auto"/>
        <w:tabs>
          <w:tab w:leader="none" w:pos="7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last business day of our most recently completed second fiscal quarter, and (2) the date on which we have issued more than $1.0 billion in non-convertible debt securities during the prior three-year period. References herein to “emerging growth company” shall have the meaning associated with it in the JOBS Act.</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There is no material litigation, arbitration or governmental proceeding currently pending against us or any of our officers or directors in their capacity as such, and we and our officers and directors have not been subject to any such proceeding in the 12 months preceding the date of this prospectus.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5" w:name="page76"/>
    <w:bookmarkEnd w:id="7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Comparison to Offerings of Blank Check Companies Subject to Rule 419</w:t>
      </w:r>
    </w:p>
    <w:p>
      <w:pPr>
        <w:spacing w:after="0" w:line="14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The following table compares and contrasts the terms of our offering and the terms of an offering of blank check companies under Rule 419 promulgated by the SEC assuming that the gross proceeds, underwriting discounts and underwriting expenses for the Rule 419 offering are the same as this offering and that the underwriters will not exercise their over-allotment option. None of the terms of a Rule 419 offering will apply to this offering because we will be listed on a national securities exchange, we will have net tangible assets in excess of $5,000,001 upon the consummation of this offering, and we will file a Current Report on Form 8-K, including an audited balance sheet demonstrating this fact.</w:t>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640" w:hanging="179"/>
        <w:spacing w:after="0" w:line="386" w:lineRule="auto"/>
        <w:rPr>
          <w:sz w:val="20"/>
          <w:szCs w:val="20"/>
          <w:color w:val="auto"/>
        </w:rPr>
      </w:pPr>
      <w:r>
        <w:rPr>
          <w:rFonts w:ascii="Arial" w:cs="Arial" w:eastAsia="Arial" w:hAnsi="Arial"/>
          <w:sz w:val="15"/>
          <w:szCs w:val="15"/>
          <w:b w:val="1"/>
          <w:bCs w:val="1"/>
          <w:color w:val="auto"/>
        </w:rPr>
        <w:t>Escrow of offering proceeds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800"/>
        <w:spacing w:after="0"/>
        <w:tabs>
          <w:tab w:leader="none" w:pos="3620" w:val="left"/>
        </w:tabs>
        <w:rPr>
          <w:sz w:val="20"/>
          <w:szCs w:val="20"/>
          <w:color w:val="auto"/>
        </w:rPr>
      </w:pPr>
      <w:r>
        <w:rPr>
          <w:rFonts w:ascii="Arial" w:cs="Arial" w:eastAsia="Arial" w:hAnsi="Arial"/>
          <w:sz w:val="16"/>
          <w:szCs w:val="16"/>
          <w:b w:val="1"/>
          <w:bCs w:val="1"/>
          <w:color w:val="auto"/>
        </w:rPr>
        <w:t>Terms of the Offering</w:t>
      </w:r>
      <w:r>
        <w:rPr>
          <w:sz w:val="20"/>
          <w:szCs w:val="20"/>
          <w:color w:val="auto"/>
        </w:rPr>
        <w:tab/>
      </w:r>
      <w:r>
        <w:rPr>
          <w:rFonts w:ascii="Arial" w:cs="Arial" w:eastAsia="Arial" w:hAnsi="Arial"/>
          <w:sz w:val="14"/>
          <w:szCs w:val="14"/>
          <w:b w:val="1"/>
          <w:bCs w:val="1"/>
          <w:color w:val="auto"/>
        </w:rPr>
        <w:t>Terms Under a Rule 419 Offering</w:t>
      </w:r>
    </w:p>
    <w:p>
      <w:pPr>
        <w:spacing w:after="0" w:line="72" w:lineRule="exact"/>
        <w:rPr>
          <w:sz w:val="20"/>
          <w:szCs w:val="20"/>
          <w:color w:val="auto"/>
        </w:rPr>
      </w:pPr>
    </w:p>
    <w:p>
      <w:pPr>
        <w:jc w:val="both"/>
        <w:ind w:right="459"/>
        <w:spacing w:after="0" w:line="268" w:lineRule="auto"/>
        <w:rPr>
          <w:sz w:val="20"/>
          <w:szCs w:val="20"/>
          <w:color w:val="auto"/>
        </w:rPr>
      </w:pPr>
      <w:r>
        <w:rPr>
          <w:rFonts w:ascii="Arial" w:cs="Arial" w:eastAsia="Arial" w:hAnsi="Arial"/>
          <w:sz w:val="17"/>
          <w:szCs w:val="17"/>
          <w:color w:val="auto"/>
        </w:rPr>
        <w:t>$151,500,000 of the net offering proceeds $132,300,000 of the offering proceeds and proceeds from the sale of the private would be required to be deposited into warrants will be deposited into a trust either an escrow account with an insured account in the United States, maintained depositary institution or in a separate bank by Continental Stock Transfer &amp; Trust account established by a broker-dealer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-692150</wp:posOffset>
            </wp:positionV>
            <wp:extent cx="40633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tabs>
          <w:tab w:leader="none" w:pos="3180" w:val="left"/>
        </w:tabs>
        <w:rPr>
          <w:sz w:val="20"/>
          <w:szCs w:val="20"/>
          <w:color w:val="auto"/>
        </w:rPr>
      </w:pPr>
      <w:r>
        <w:rPr>
          <w:rFonts w:ascii="Arial" w:cs="Arial" w:eastAsia="Arial" w:hAnsi="Arial"/>
          <w:sz w:val="18"/>
          <w:szCs w:val="18"/>
          <w:color w:val="auto"/>
        </w:rPr>
        <w:t>Company, acting as trustee.</w:t>
      </w:r>
      <w:r>
        <w:rPr>
          <w:sz w:val="20"/>
          <w:szCs w:val="20"/>
          <w:color w:val="auto"/>
        </w:rPr>
        <w:tab/>
      </w:r>
      <w:r>
        <w:rPr>
          <w:rFonts w:ascii="Arial" w:cs="Arial" w:eastAsia="Arial" w:hAnsi="Arial"/>
          <w:sz w:val="17"/>
          <w:szCs w:val="17"/>
          <w:color w:val="auto"/>
        </w:rPr>
        <w:t>which the broker-dealer acts as trustee for</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persons having the beneficial interests in the</w:t>
      </w:r>
    </w:p>
    <w:p>
      <w:pPr>
        <w:spacing w:after="0" w:line="32"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account.</w:t>
      </w:r>
    </w:p>
    <w:p>
      <w:pPr>
        <w:spacing w:after="0" w:line="166" w:lineRule="exact"/>
        <w:rPr>
          <w:sz w:val="20"/>
          <w:szCs w:val="20"/>
          <w:color w:val="auto"/>
        </w:rPr>
      </w:pPr>
    </w:p>
    <w:p>
      <w:pPr>
        <w:sectPr>
          <w:pgSz w:w="11900" w:h="16838" w:orient="portrait"/>
          <w:cols w:equalWidth="0" w:num="2">
            <w:col w:w="1860" w:space="300"/>
            <w:col w:w="6859"/>
          </w:cols>
          <w:pgMar w:left="1440" w:top="274" w:right="1440" w:bottom="1440" w:gutter="0" w:footer="0" w:header="0"/>
          <w:type w:val="continuous"/>
        </w:sectPr>
      </w:pPr>
    </w:p>
    <w:tbl>
      <w:tblPr>
        <w:tblLayout w:type="fixed"/>
        <w:tblInd w:w="460" w:type="dxa"/>
        <w:tblCellMar>
          <w:top w:w="0" w:type="dxa"/>
          <w:left w:w="0" w:type="dxa"/>
          <w:bottom w:w="0" w:type="dxa"/>
          <w:right w:w="0" w:type="dxa"/>
        </w:tblCellMar>
      </w:tblPr>
      <w:tr>
        <w:trPr>
          <w:trHeight w:val="216"/>
        </w:trPr>
        <w:tc>
          <w:tcPr>
            <w:tcW w:w="1640" w:type="dxa"/>
            <w:vAlign w:val="bottom"/>
          </w:tcPr>
          <w:p>
            <w:pPr>
              <w:spacing w:after="0"/>
              <w:rPr>
                <w:sz w:val="20"/>
                <w:szCs w:val="20"/>
                <w:color w:val="auto"/>
              </w:rPr>
            </w:pPr>
            <w:r>
              <w:rPr>
                <w:rFonts w:ascii="Arial" w:cs="Arial" w:eastAsia="Arial" w:hAnsi="Arial"/>
                <w:sz w:val="18"/>
                <w:szCs w:val="18"/>
                <w:b w:val="1"/>
                <w:bCs w:val="1"/>
                <w:color w:val="auto"/>
              </w:rPr>
              <w:t>Investment of net</w:t>
            </w:r>
          </w:p>
        </w:tc>
        <w:tc>
          <w:tcPr>
            <w:tcW w:w="3200" w:type="dxa"/>
            <w:vAlign w:val="bottom"/>
          </w:tcPr>
          <w:p>
            <w:pPr>
              <w:ind w:left="60"/>
              <w:spacing w:after="0"/>
              <w:rPr>
                <w:sz w:val="20"/>
                <w:szCs w:val="20"/>
                <w:color w:val="auto"/>
              </w:rPr>
            </w:pPr>
            <w:r>
              <w:rPr>
                <w:rFonts w:ascii="Arial" w:cs="Arial" w:eastAsia="Arial" w:hAnsi="Arial"/>
                <w:sz w:val="18"/>
                <w:szCs w:val="18"/>
                <w:color w:val="auto"/>
                <w:w w:val="98"/>
              </w:rPr>
              <w:t>The  $151,500,000  of  the  net  offering</w:t>
            </w:r>
          </w:p>
        </w:tc>
        <w:tc>
          <w:tcPr>
            <w:tcW w:w="3260" w:type="dxa"/>
            <w:vAlign w:val="bottom"/>
          </w:tcPr>
          <w:p>
            <w:pPr>
              <w:ind w:left="60"/>
              <w:spacing w:after="0"/>
              <w:rPr>
                <w:sz w:val="20"/>
                <w:szCs w:val="20"/>
                <w:color w:val="auto"/>
              </w:rPr>
            </w:pPr>
            <w:r>
              <w:rPr>
                <w:rFonts w:ascii="Arial" w:cs="Arial" w:eastAsia="Arial" w:hAnsi="Arial"/>
                <w:sz w:val="18"/>
                <w:szCs w:val="18"/>
                <w:color w:val="auto"/>
                <w:w w:val="89"/>
              </w:rPr>
              <w:t>Proceeds could be invested only in specified</w:t>
            </w:r>
          </w:p>
        </w:tc>
      </w:tr>
      <w:tr>
        <w:trPr>
          <w:trHeight w:val="220"/>
        </w:trPr>
        <w:tc>
          <w:tcPr>
            <w:tcW w:w="1640" w:type="dxa"/>
            <w:vAlign w:val="bottom"/>
          </w:tcPr>
          <w:p>
            <w:pPr>
              <w:ind w:left="180"/>
              <w:spacing w:after="0"/>
              <w:rPr>
                <w:sz w:val="20"/>
                <w:szCs w:val="20"/>
                <w:color w:val="auto"/>
              </w:rPr>
            </w:pPr>
            <w:r>
              <w:rPr>
                <w:rFonts w:ascii="Arial" w:cs="Arial" w:eastAsia="Arial" w:hAnsi="Arial"/>
                <w:sz w:val="18"/>
                <w:szCs w:val="18"/>
                <w:b w:val="1"/>
                <w:bCs w:val="1"/>
                <w:color w:val="auto"/>
              </w:rPr>
              <w:t>proceeds</w:t>
            </w:r>
          </w:p>
        </w:tc>
        <w:tc>
          <w:tcPr>
            <w:tcW w:w="3200" w:type="dxa"/>
            <w:vAlign w:val="bottom"/>
          </w:tcPr>
          <w:p>
            <w:pPr>
              <w:ind w:left="60"/>
              <w:spacing w:after="0"/>
              <w:rPr>
                <w:sz w:val="20"/>
                <w:szCs w:val="20"/>
                <w:color w:val="auto"/>
              </w:rPr>
            </w:pPr>
            <w:r>
              <w:rPr>
                <w:rFonts w:ascii="Arial" w:cs="Arial" w:eastAsia="Arial" w:hAnsi="Arial"/>
                <w:sz w:val="18"/>
                <w:szCs w:val="18"/>
                <w:color w:val="auto"/>
                <w:w w:val="89"/>
              </w:rPr>
              <w:t>proceeds and proceeds from the sale of the</w:t>
            </w:r>
          </w:p>
        </w:tc>
        <w:tc>
          <w:tcPr>
            <w:tcW w:w="3260" w:type="dxa"/>
            <w:vAlign w:val="bottom"/>
          </w:tcPr>
          <w:p>
            <w:pPr>
              <w:ind w:left="60"/>
              <w:spacing w:after="0"/>
              <w:rPr>
                <w:sz w:val="20"/>
                <w:szCs w:val="20"/>
                <w:color w:val="auto"/>
              </w:rPr>
            </w:pPr>
            <w:r>
              <w:rPr>
                <w:rFonts w:ascii="Arial" w:cs="Arial" w:eastAsia="Arial" w:hAnsi="Arial"/>
                <w:sz w:val="18"/>
                <w:szCs w:val="18"/>
                <w:color w:val="auto"/>
              </w:rPr>
              <w:t>securities such as a money market fund</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7"/>
              </w:rPr>
              <w:t>private warrants held in trust will only be</w:t>
            </w:r>
          </w:p>
        </w:tc>
        <w:tc>
          <w:tcPr>
            <w:tcW w:w="3260" w:type="dxa"/>
            <w:vAlign w:val="bottom"/>
          </w:tcPr>
          <w:p>
            <w:pPr>
              <w:ind w:left="60"/>
              <w:spacing w:after="0"/>
              <w:rPr>
                <w:sz w:val="20"/>
                <w:szCs w:val="20"/>
                <w:color w:val="auto"/>
              </w:rPr>
            </w:pPr>
            <w:r>
              <w:rPr>
                <w:rFonts w:ascii="Arial" w:cs="Arial" w:eastAsia="Arial" w:hAnsi="Arial"/>
                <w:sz w:val="18"/>
                <w:szCs w:val="18"/>
                <w:color w:val="auto"/>
              </w:rPr>
              <w:t>meeting  conditions  of  the  Investment</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7"/>
              </w:rPr>
              <w:t>invested  in  United  States  government</w:t>
            </w:r>
          </w:p>
        </w:tc>
        <w:tc>
          <w:tcPr>
            <w:tcW w:w="3260" w:type="dxa"/>
            <w:vAlign w:val="bottom"/>
          </w:tcPr>
          <w:p>
            <w:pPr>
              <w:ind w:left="60"/>
              <w:spacing w:after="0"/>
              <w:rPr>
                <w:sz w:val="20"/>
                <w:szCs w:val="20"/>
                <w:color w:val="auto"/>
              </w:rPr>
            </w:pPr>
            <w:r>
              <w:rPr>
                <w:rFonts w:ascii="Arial" w:cs="Arial" w:eastAsia="Arial" w:hAnsi="Arial"/>
                <w:sz w:val="18"/>
                <w:szCs w:val="18"/>
                <w:color w:val="auto"/>
                <w:w w:val="92"/>
              </w:rPr>
              <w:t>Company Act or in securities that are direct</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9"/>
              </w:rPr>
              <w:t>treasury  bills,  bonds  or  notes  with  a</w:t>
            </w:r>
          </w:p>
        </w:tc>
        <w:tc>
          <w:tcPr>
            <w:tcW w:w="3260" w:type="dxa"/>
            <w:vAlign w:val="bottom"/>
          </w:tcPr>
          <w:p>
            <w:pPr>
              <w:ind w:left="60"/>
              <w:spacing w:after="0"/>
              <w:rPr>
                <w:sz w:val="20"/>
                <w:szCs w:val="20"/>
                <w:color w:val="auto"/>
              </w:rPr>
            </w:pPr>
            <w:r>
              <w:rPr>
                <w:rFonts w:ascii="Arial" w:cs="Arial" w:eastAsia="Arial" w:hAnsi="Arial"/>
                <w:sz w:val="18"/>
                <w:szCs w:val="18"/>
                <w:color w:val="auto"/>
                <w:w w:val="92"/>
              </w:rPr>
              <w:t>obligations of, or obligations guaranteed as</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7"/>
              </w:rPr>
              <w:t>maturity of 183 days or less or in money</w:t>
            </w:r>
          </w:p>
        </w:tc>
        <w:tc>
          <w:tcPr>
            <w:tcW w:w="3260" w:type="dxa"/>
            <w:vAlign w:val="bottom"/>
          </w:tcPr>
          <w:p>
            <w:pPr>
              <w:ind w:left="60"/>
              <w:spacing w:after="0"/>
              <w:rPr>
                <w:sz w:val="20"/>
                <w:szCs w:val="20"/>
                <w:color w:val="auto"/>
              </w:rPr>
            </w:pPr>
            <w:r>
              <w:rPr>
                <w:rFonts w:ascii="Arial" w:cs="Arial" w:eastAsia="Arial" w:hAnsi="Arial"/>
                <w:sz w:val="18"/>
                <w:szCs w:val="18"/>
                <w:color w:val="auto"/>
                <w:w w:val="91"/>
              </w:rPr>
              <w:t>to principal or interest by, the United States.</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rPr>
              <w:t>market  funds  meeting  the  applicable</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7"/>
              </w:rPr>
              <w:t>conditions under Rule 2a-7 promulgated</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8"/>
              </w:rPr>
              <w:t>under the Investment Company Act and</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rPr>
              <w:t>that  invest  solely  in  United  States</w:t>
            </w:r>
          </w:p>
        </w:tc>
        <w:tc>
          <w:tcPr>
            <w:tcW w:w="3260" w:type="dxa"/>
            <w:vAlign w:val="bottom"/>
          </w:tcPr>
          <w:p>
            <w:pPr>
              <w:spacing w:after="0"/>
              <w:rPr>
                <w:sz w:val="18"/>
                <w:szCs w:val="18"/>
                <w:color w:val="auto"/>
              </w:rPr>
            </w:pPr>
          </w:p>
        </w:tc>
      </w:tr>
      <w:tr>
        <w:trPr>
          <w:trHeight w:val="230"/>
        </w:trPr>
        <w:tc>
          <w:tcPr>
            <w:tcW w:w="1640" w:type="dxa"/>
            <w:vAlign w:val="bottom"/>
          </w:tcPr>
          <w:p>
            <w:pPr>
              <w:spacing w:after="0"/>
              <w:rPr>
                <w:sz w:val="20"/>
                <w:szCs w:val="20"/>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rPr>
              <w:t>government treasuries.</w:t>
            </w:r>
          </w:p>
        </w:tc>
        <w:tc>
          <w:tcPr>
            <w:tcW w:w="3260" w:type="dxa"/>
            <w:vAlign w:val="bottom"/>
          </w:tcPr>
          <w:p>
            <w:pPr>
              <w:spacing w:after="0"/>
              <w:rPr>
                <w:sz w:val="20"/>
                <w:szCs w:val="20"/>
                <w:color w:val="auto"/>
              </w:rPr>
            </w:pPr>
          </w:p>
        </w:tc>
      </w:tr>
      <w:tr>
        <w:trPr>
          <w:trHeight w:val="387"/>
        </w:trPr>
        <w:tc>
          <w:tcPr>
            <w:tcW w:w="1640" w:type="dxa"/>
            <w:vAlign w:val="bottom"/>
          </w:tcPr>
          <w:p>
            <w:pPr>
              <w:spacing w:after="0"/>
              <w:rPr>
                <w:sz w:val="20"/>
                <w:szCs w:val="20"/>
                <w:color w:val="auto"/>
              </w:rPr>
            </w:pPr>
            <w:r>
              <w:rPr>
                <w:rFonts w:ascii="Arial" w:cs="Arial" w:eastAsia="Arial" w:hAnsi="Arial"/>
                <w:sz w:val="18"/>
                <w:szCs w:val="18"/>
                <w:b w:val="1"/>
                <w:bCs w:val="1"/>
                <w:color w:val="auto"/>
              </w:rPr>
              <w:t>Limitation on</w:t>
            </w:r>
          </w:p>
        </w:tc>
        <w:tc>
          <w:tcPr>
            <w:tcW w:w="3200" w:type="dxa"/>
            <w:vAlign w:val="bottom"/>
          </w:tcPr>
          <w:p>
            <w:pPr>
              <w:ind w:left="60"/>
              <w:spacing w:after="0"/>
              <w:rPr>
                <w:sz w:val="20"/>
                <w:szCs w:val="20"/>
                <w:color w:val="auto"/>
              </w:rPr>
            </w:pPr>
            <w:r>
              <w:rPr>
                <w:rFonts w:ascii="Arial" w:cs="Arial" w:eastAsia="Arial" w:hAnsi="Arial"/>
                <w:sz w:val="18"/>
                <w:szCs w:val="18"/>
                <w:color w:val="auto"/>
                <w:w w:val="94"/>
              </w:rPr>
              <w:t>The initial target business that we acquire</w:t>
            </w:r>
          </w:p>
        </w:tc>
        <w:tc>
          <w:tcPr>
            <w:tcW w:w="3260" w:type="dxa"/>
            <w:vAlign w:val="bottom"/>
          </w:tcPr>
          <w:p>
            <w:pPr>
              <w:ind w:left="60"/>
              <w:spacing w:after="0"/>
              <w:rPr>
                <w:sz w:val="20"/>
                <w:szCs w:val="20"/>
                <w:color w:val="auto"/>
              </w:rPr>
            </w:pPr>
            <w:r>
              <w:rPr>
                <w:rFonts w:ascii="Arial" w:cs="Arial" w:eastAsia="Arial" w:hAnsi="Arial"/>
                <w:sz w:val="18"/>
                <w:szCs w:val="18"/>
                <w:color w:val="auto"/>
              </w:rPr>
              <w:t>We would be restricted from acquiring a</w:t>
            </w:r>
          </w:p>
        </w:tc>
      </w:tr>
      <w:tr>
        <w:trPr>
          <w:trHeight w:val="216"/>
        </w:trPr>
        <w:tc>
          <w:tcPr>
            <w:tcW w:w="1640" w:type="dxa"/>
            <w:vAlign w:val="bottom"/>
          </w:tcPr>
          <w:p>
            <w:pPr>
              <w:ind w:left="180"/>
              <w:spacing w:after="0"/>
              <w:rPr>
                <w:sz w:val="20"/>
                <w:szCs w:val="20"/>
                <w:color w:val="auto"/>
              </w:rPr>
            </w:pPr>
            <w:r>
              <w:rPr>
                <w:rFonts w:ascii="Arial" w:cs="Arial" w:eastAsia="Arial" w:hAnsi="Arial"/>
                <w:sz w:val="18"/>
                <w:szCs w:val="18"/>
                <w:b w:val="1"/>
                <w:bCs w:val="1"/>
                <w:color w:val="auto"/>
              </w:rPr>
              <w:t>fair value or net</w:t>
            </w:r>
          </w:p>
        </w:tc>
        <w:tc>
          <w:tcPr>
            <w:tcW w:w="3200" w:type="dxa"/>
            <w:vAlign w:val="bottom"/>
          </w:tcPr>
          <w:p>
            <w:pPr>
              <w:ind w:left="60"/>
              <w:spacing w:after="0"/>
              <w:rPr>
                <w:sz w:val="20"/>
                <w:szCs w:val="20"/>
                <w:color w:val="auto"/>
              </w:rPr>
            </w:pPr>
            <w:r>
              <w:rPr>
                <w:rFonts w:ascii="Arial" w:cs="Arial" w:eastAsia="Arial" w:hAnsi="Arial"/>
                <w:sz w:val="18"/>
                <w:szCs w:val="18"/>
                <w:color w:val="auto"/>
                <w:w w:val="95"/>
              </w:rPr>
              <w:t>must have a fair market value equal to at</w:t>
            </w:r>
          </w:p>
        </w:tc>
        <w:tc>
          <w:tcPr>
            <w:tcW w:w="3260" w:type="dxa"/>
            <w:vAlign w:val="bottom"/>
          </w:tcPr>
          <w:p>
            <w:pPr>
              <w:ind w:left="60"/>
              <w:spacing w:after="0"/>
              <w:rPr>
                <w:sz w:val="20"/>
                <w:szCs w:val="20"/>
                <w:color w:val="auto"/>
              </w:rPr>
            </w:pPr>
            <w:r>
              <w:rPr>
                <w:rFonts w:ascii="Arial" w:cs="Arial" w:eastAsia="Arial" w:hAnsi="Arial"/>
                <w:sz w:val="18"/>
                <w:szCs w:val="18"/>
                <w:color w:val="auto"/>
                <w:w w:val="90"/>
              </w:rPr>
              <w:t>target business unless the fair value of such</w:t>
            </w:r>
          </w:p>
        </w:tc>
      </w:tr>
      <w:tr>
        <w:trPr>
          <w:trHeight w:val="216"/>
        </w:trPr>
        <w:tc>
          <w:tcPr>
            <w:tcW w:w="1640" w:type="dxa"/>
            <w:vAlign w:val="bottom"/>
          </w:tcPr>
          <w:p>
            <w:pPr>
              <w:ind w:left="180"/>
              <w:spacing w:after="0"/>
              <w:rPr>
                <w:sz w:val="20"/>
                <w:szCs w:val="20"/>
                <w:color w:val="auto"/>
              </w:rPr>
            </w:pPr>
            <w:r>
              <w:rPr>
                <w:rFonts w:ascii="Arial" w:cs="Arial" w:eastAsia="Arial" w:hAnsi="Arial"/>
                <w:sz w:val="18"/>
                <w:szCs w:val="18"/>
                <w:b w:val="1"/>
                <w:bCs w:val="1"/>
                <w:color w:val="auto"/>
              </w:rPr>
              <w:t>assets of target</w:t>
            </w:r>
          </w:p>
        </w:tc>
        <w:tc>
          <w:tcPr>
            <w:tcW w:w="3200" w:type="dxa"/>
            <w:vAlign w:val="bottom"/>
          </w:tcPr>
          <w:p>
            <w:pPr>
              <w:ind w:left="60"/>
              <w:spacing w:after="0"/>
              <w:rPr>
                <w:sz w:val="20"/>
                <w:szCs w:val="20"/>
                <w:color w:val="auto"/>
              </w:rPr>
            </w:pPr>
            <w:r>
              <w:rPr>
                <w:rFonts w:ascii="Arial" w:cs="Arial" w:eastAsia="Arial" w:hAnsi="Arial"/>
                <w:sz w:val="18"/>
                <w:szCs w:val="18"/>
                <w:color w:val="auto"/>
                <w:w w:val="96"/>
              </w:rPr>
              <w:t>least  80%  of  the  balance  in  our  trust</w:t>
            </w:r>
          </w:p>
        </w:tc>
        <w:tc>
          <w:tcPr>
            <w:tcW w:w="3260" w:type="dxa"/>
            <w:vAlign w:val="bottom"/>
          </w:tcPr>
          <w:p>
            <w:pPr>
              <w:ind w:left="60"/>
              <w:spacing w:after="0"/>
              <w:rPr>
                <w:sz w:val="20"/>
                <w:szCs w:val="20"/>
                <w:color w:val="auto"/>
              </w:rPr>
            </w:pPr>
            <w:r>
              <w:rPr>
                <w:rFonts w:ascii="Arial" w:cs="Arial" w:eastAsia="Arial" w:hAnsi="Arial"/>
                <w:sz w:val="18"/>
                <w:szCs w:val="18"/>
                <w:color w:val="auto"/>
                <w:w w:val="96"/>
              </w:rPr>
              <w:t>business  or  net  assets  to  be  acquired</w:t>
            </w:r>
          </w:p>
        </w:tc>
      </w:tr>
      <w:tr>
        <w:trPr>
          <w:trHeight w:val="220"/>
        </w:trPr>
        <w:tc>
          <w:tcPr>
            <w:tcW w:w="1640" w:type="dxa"/>
            <w:vAlign w:val="bottom"/>
          </w:tcPr>
          <w:p>
            <w:pPr>
              <w:ind w:left="180"/>
              <w:spacing w:after="0"/>
              <w:rPr>
                <w:sz w:val="20"/>
                <w:szCs w:val="20"/>
                <w:color w:val="auto"/>
              </w:rPr>
            </w:pPr>
            <w:r>
              <w:rPr>
                <w:rFonts w:ascii="Arial" w:cs="Arial" w:eastAsia="Arial" w:hAnsi="Arial"/>
                <w:sz w:val="18"/>
                <w:szCs w:val="18"/>
                <w:b w:val="1"/>
                <w:bCs w:val="1"/>
                <w:color w:val="auto"/>
              </w:rPr>
              <w:t>business</w:t>
            </w:r>
          </w:p>
        </w:tc>
        <w:tc>
          <w:tcPr>
            <w:tcW w:w="3200" w:type="dxa"/>
            <w:vAlign w:val="bottom"/>
          </w:tcPr>
          <w:p>
            <w:pPr>
              <w:ind w:left="60"/>
              <w:spacing w:after="0"/>
              <w:rPr>
                <w:sz w:val="20"/>
                <w:szCs w:val="20"/>
                <w:color w:val="auto"/>
              </w:rPr>
            </w:pPr>
            <w:r>
              <w:rPr>
                <w:rFonts w:ascii="Arial" w:cs="Arial" w:eastAsia="Arial" w:hAnsi="Arial"/>
                <w:sz w:val="18"/>
                <w:szCs w:val="18"/>
                <w:color w:val="auto"/>
                <w:w w:val="92"/>
              </w:rPr>
              <w:t>account net of taxes payable at the time of</w:t>
            </w:r>
          </w:p>
        </w:tc>
        <w:tc>
          <w:tcPr>
            <w:tcW w:w="3260" w:type="dxa"/>
            <w:vAlign w:val="bottom"/>
          </w:tcPr>
          <w:p>
            <w:pPr>
              <w:ind w:left="60"/>
              <w:spacing w:after="0"/>
              <w:rPr>
                <w:sz w:val="20"/>
                <w:szCs w:val="20"/>
                <w:color w:val="auto"/>
              </w:rPr>
            </w:pPr>
            <w:r>
              <w:rPr>
                <w:rFonts w:ascii="Arial" w:cs="Arial" w:eastAsia="Arial" w:hAnsi="Arial"/>
                <w:sz w:val="18"/>
                <w:szCs w:val="18"/>
                <w:color w:val="auto"/>
              </w:rPr>
              <w:t>represent at least 80% of the maximum</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3"/>
              </w:rPr>
              <w:t>the execution of a definitive agreement for</w:t>
            </w:r>
          </w:p>
        </w:tc>
        <w:tc>
          <w:tcPr>
            <w:tcW w:w="3260" w:type="dxa"/>
            <w:vAlign w:val="bottom"/>
          </w:tcPr>
          <w:p>
            <w:pPr>
              <w:ind w:left="60"/>
              <w:spacing w:after="0"/>
              <w:rPr>
                <w:sz w:val="20"/>
                <w:szCs w:val="20"/>
                <w:color w:val="auto"/>
              </w:rPr>
            </w:pPr>
            <w:r>
              <w:rPr>
                <w:rFonts w:ascii="Arial" w:cs="Arial" w:eastAsia="Arial" w:hAnsi="Arial"/>
                <w:sz w:val="18"/>
                <w:szCs w:val="18"/>
                <w:color w:val="auto"/>
              </w:rPr>
              <w:t>offering proceeds.</w:t>
            </w:r>
          </w:p>
        </w:tc>
      </w:tr>
      <w:tr>
        <w:trPr>
          <w:trHeight w:val="230"/>
        </w:trPr>
        <w:tc>
          <w:tcPr>
            <w:tcW w:w="1640" w:type="dxa"/>
            <w:vAlign w:val="bottom"/>
          </w:tcPr>
          <w:p>
            <w:pPr>
              <w:spacing w:after="0"/>
              <w:rPr>
                <w:sz w:val="20"/>
                <w:szCs w:val="20"/>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rPr>
              <w:t>our initial business combination.</w:t>
            </w:r>
          </w:p>
        </w:tc>
        <w:tc>
          <w:tcPr>
            <w:tcW w:w="3260" w:type="dxa"/>
            <w:vAlign w:val="bottom"/>
          </w:tcPr>
          <w:p>
            <w:pPr>
              <w:spacing w:after="0"/>
              <w:rPr>
                <w:sz w:val="20"/>
                <w:szCs w:val="20"/>
                <w:color w:val="auto"/>
              </w:rPr>
            </w:pPr>
          </w:p>
        </w:tc>
      </w:tr>
      <w:tr>
        <w:trPr>
          <w:trHeight w:val="387"/>
        </w:trPr>
        <w:tc>
          <w:tcPr>
            <w:tcW w:w="1640" w:type="dxa"/>
            <w:vAlign w:val="bottom"/>
          </w:tcPr>
          <w:p>
            <w:pPr>
              <w:spacing w:after="0"/>
              <w:rPr>
                <w:sz w:val="20"/>
                <w:szCs w:val="20"/>
                <w:color w:val="auto"/>
              </w:rPr>
            </w:pPr>
            <w:r>
              <w:rPr>
                <w:rFonts w:ascii="Arial" w:cs="Arial" w:eastAsia="Arial" w:hAnsi="Arial"/>
                <w:sz w:val="18"/>
                <w:szCs w:val="18"/>
                <w:b w:val="1"/>
                <w:bCs w:val="1"/>
                <w:color w:val="auto"/>
                <w:w w:val="91"/>
              </w:rPr>
              <w:t>Trading of securities</w:t>
            </w:r>
          </w:p>
        </w:tc>
        <w:tc>
          <w:tcPr>
            <w:tcW w:w="3200" w:type="dxa"/>
            <w:vAlign w:val="bottom"/>
          </w:tcPr>
          <w:p>
            <w:pPr>
              <w:ind w:left="60"/>
              <w:spacing w:after="0"/>
              <w:rPr>
                <w:sz w:val="20"/>
                <w:szCs w:val="20"/>
                <w:color w:val="auto"/>
              </w:rPr>
            </w:pPr>
            <w:r>
              <w:rPr>
                <w:rFonts w:ascii="Arial" w:cs="Arial" w:eastAsia="Arial" w:hAnsi="Arial"/>
                <w:sz w:val="18"/>
                <w:szCs w:val="18"/>
                <w:color w:val="auto"/>
                <w:w w:val="99"/>
              </w:rPr>
              <w:t>The units may commence trading on or</w:t>
            </w:r>
          </w:p>
        </w:tc>
        <w:tc>
          <w:tcPr>
            <w:tcW w:w="3260" w:type="dxa"/>
            <w:vAlign w:val="bottom"/>
          </w:tcPr>
          <w:p>
            <w:pPr>
              <w:ind w:left="60"/>
              <w:spacing w:after="0"/>
              <w:rPr>
                <w:sz w:val="20"/>
                <w:szCs w:val="20"/>
                <w:color w:val="auto"/>
              </w:rPr>
            </w:pPr>
            <w:r>
              <w:rPr>
                <w:rFonts w:ascii="Arial" w:cs="Arial" w:eastAsia="Arial" w:hAnsi="Arial"/>
                <w:sz w:val="18"/>
                <w:szCs w:val="18"/>
                <w:color w:val="auto"/>
              </w:rPr>
              <w:t>No trading of the units or the underlying</w:t>
            </w:r>
          </w:p>
        </w:tc>
      </w:tr>
      <w:tr>
        <w:trPr>
          <w:trHeight w:val="220"/>
        </w:trPr>
        <w:tc>
          <w:tcPr>
            <w:tcW w:w="1640" w:type="dxa"/>
            <w:vAlign w:val="bottom"/>
          </w:tcPr>
          <w:p>
            <w:pPr>
              <w:ind w:left="180"/>
              <w:spacing w:after="0"/>
              <w:rPr>
                <w:sz w:val="20"/>
                <w:szCs w:val="20"/>
                <w:color w:val="auto"/>
              </w:rPr>
            </w:pPr>
            <w:r>
              <w:rPr>
                <w:rFonts w:ascii="Arial" w:cs="Arial" w:eastAsia="Arial" w:hAnsi="Arial"/>
                <w:sz w:val="18"/>
                <w:szCs w:val="18"/>
                <w:b w:val="1"/>
                <w:bCs w:val="1"/>
                <w:color w:val="auto"/>
              </w:rPr>
              <w:t>issued</w:t>
            </w:r>
          </w:p>
        </w:tc>
        <w:tc>
          <w:tcPr>
            <w:tcW w:w="3200" w:type="dxa"/>
            <w:vAlign w:val="bottom"/>
          </w:tcPr>
          <w:p>
            <w:pPr>
              <w:ind w:left="60"/>
              <w:spacing w:after="0"/>
              <w:rPr>
                <w:sz w:val="20"/>
                <w:szCs w:val="20"/>
                <w:color w:val="auto"/>
              </w:rPr>
            </w:pPr>
            <w:r>
              <w:rPr>
                <w:rFonts w:ascii="Arial" w:cs="Arial" w:eastAsia="Arial" w:hAnsi="Arial"/>
                <w:sz w:val="18"/>
                <w:szCs w:val="18"/>
                <w:color w:val="auto"/>
                <w:w w:val="94"/>
              </w:rPr>
              <w:t>promptly after the date of this prospectus.</w:t>
            </w:r>
          </w:p>
        </w:tc>
        <w:tc>
          <w:tcPr>
            <w:tcW w:w="3260" w:type="dxa"/>
            <w:vAlign w:val="bottom"/>
          </w:tcPr>
          <w:p>
            <w:pPr>
              <w:ind w:left="60"/>
              <w:spacing w:after="0"/>
              <w:rPr>
                <w:sz w:val="20"/>
                <w:szCs w:val="20"/>
                <w:color w:val="auto"/>
              </w:rPr>
            </w:pPr>
            <w:r>
              <w:rPr>
                <w:rFonts w:ascii="Arial" w:cs="Arial" w:eastAsia="Arial" w:hAnsi="Arial"/>
                <w:sz w:val="18"/>
                <w:szCs w:val="18"/>
                <w:color w:val="auto"/>
                <w:w w:val="97"/>
              </w:rPr>
              <w:t>securities  would  be  permitted  until  the</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7"/>
              </w:rPr>
              <w:t>The shares of common stock, rights and</w:t>
            </w:r>
          </w:p>
        </w:tc>
        <w:tc>
          <w:tcPr>
            <w:tcW w:w="3260" w:type="dxa"/>
            <w:vAlign w:val="bottom"/>
          </w:tcPr>
          <w:p>
            <w:pPr>
              <w:ind w:left="60"/>
              <w:spacing w:after="0"/>
              <w:rPr>
                <w:sz w:val="20"/>
                <w:szCs w:val="20"/>
                <w:color w:val="auto"/>
              </w:rPr>
            </w:pPr>
            <w:r>
              <w:rPr>
                <w:rFonts w:ascii="Arial" w:cs="Arial" w:eastAsia="Arial" w:hAnsi="Arial"/>
                <w:sz w:val="18"/>
                <w:szCs w:val="18"/>
                <w:color w:val="auto"/>
                <w:w w:val="97"/>
              </w:rPr>
              <w:t>completion  of  a  business  combination.</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3"/>
              </w:rPr>
              <w:t>warrants comprising the units will begin to</w:t>
            </w:r>
          </w:p>
        </w:tc>
        <w:tc>
          <w:tcPr>
            <w:tcW w:w="3260" w:type="dxa"/>
            <w:vAlign w:val="bottom"/>
          </w:tcPr>
          <w:p>
            <w:pPr>
              <w:ind w:left="60"/>
              <w:spacing w:after="0"/>
              <w:rPr>
                <w:sz w:val="20"/>
                <w:szCs w:val="20"/>
                <w:color w:val="auto"/>
              </w:rPr>
            </w:pPr>
            <w:r>
              <w:rPr>
                <w:rFonts w:ascii="Arial" w:cs="Arial" w:eastAsia="Arial" w:hAnsi="Arial"/>
                <w:sz w:val="18"/>
                <w:szCs w:val="18"/>
                <w:color w:val="auto"/>
                <w:w w:val="95"/>
              </w:rPr>
              <w:t>During this period, the securities would be</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line="216" w:lineRule="exact"/>
              <w:rPr>
                <w:sz w:val="20"/>
                <w:szCs w:val="20"/>
                <w:color w:val="auto"/>
              </w:rPr>
            </w:pPr>
            <w:r>
              <w:rPr>
                <w:rFonts w:ascii="Arial" w:cs="Arial" w:eastAsia="Arial" w:hAnsi="Arial"/>
                <w:sz w:val="18"/>
                <w:szCs w:val="18"/>
                <w:color w:val="auto"/>
                <w:w w:val="94"/>
              </w:rPr>
              <w:t>trade separately on the 90</w:t>
            </w:r>
            <w:r>
              <w:rPr>
                <w:rFonts w:ascii="Arial" w:cs="Arial" w:eastAsia="Arial" w:hAnsi="Arial"/>
                <w:sz w:val="20"/>
                <w:szCs w:val="20"/>
                <w:color w:val="auto"/>
                <w:w w:val="94"/>
                <w:vertAlign w:val="superscript"/>
              </w:rPr>
              <w:t>th</w:t>
            </w:r>
            <w:r>
              <w:rPr>
                <w:rFonts w:ascii="Arial" w:cs="Arial" w:eastAsia="Arial" w:hAnsi="Arial"/>
                <w:sz w:val="18"/>
                <w:szCs w:val="18"/>
                <w:color w:val="auto"/>
                <w:w w:val="94"/>
              </w:rPr>
              <w:t xml:space="preserve">  day after the</w:t>
            </w:r>
          </w:p>
        </w:tc>
        <w:tc>
          <w:tcPr>
            <w:tcW w:w="3260" w:type="dxa"/>
            <w:vAlign w:val="bottom"/>
          </w:tcPr>
          <w:p>
            <w:pPr>
              <w:ind w:left="60"/>
              <w:spacing w:after="0"/>
              <w:rPr>
                <w:sz w:val="20"/>
                <w:szCs w:val="20"/>
                <w:color w:val="auto"/>
              </w:rPr>
            </w:pPr>
            <w:r>
              <w:rPr>
                <w:rFonts w:ascii="Arial" w:cs="Arial" w:eastAsia="Arial" w:hAnsi="Arial"/>
                <w:sz w:val="18"/>
                <w:szCs w:val="18"/>
                <w:color w:val="auto"/>
              </w:rPr>
              <w:t>held in the escrow or trust account.</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9"/>
              </w:rPr>
              <w:t>date of this prospectus unless Chardan</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8"/>
              </w:rPr>
              <w:t>informs us of its decision to allow earlier</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rPr>
              <w:t>separate   trading   (based   upon   its</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2"/>
              </w:rPr>
              <w:t>assessment of the relative strengths of the</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2"/>
              </w:rPr>
              <w:t>securities markets and small capitalization</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0"/>
              </w:rPr>
              <w:t>and blank check companies in general, and</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2"/>
              </w:rPr>
              <w:t>the trading pattern of, and demand for, our</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4"/>
              </w:rPr>
              <w:t>securities in particular), provided we have</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rPr>
              <w:t>filed with the SEC a Current Report on</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8"/>
              </w:rPr>
              <w:t>Form  8-K,  which  includes  an  audited</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4"/>
              </w:rPr>
              <w:t>balance sheet reflecting our receipt of the</w:t>
            </w:r>
          </w:p>
        </w:tc>
        <w:tc>
          <w:tcPr>
            <w:tcW w:w="3260" w:type="dxa"/>
            <w:vAlign w:val="bottom"/>
          </w:tcPr>
          <w:p>
            <w:pPr>
              <w:spacing w:after="0"/>
              <w:rPr>
                <w:sz w:val="18"/>
                <w:szCs w:val="18"/>
                <w:color w:val="auto"/>
              </w:rPr>
            </w:pPr>
          </w:p>
        </w:tc>
      </w:tr>
      <w:tr>
        <w:trPr>
          <w:trHeight w:val="230"/>
        </w:trPr>
        <w:tc>
          <w:tcPr>
            <w:tcW w:w="1640" w:type="dxa"/>
            <w:vAlign w:val="bottom"/>
          </w:tcPr>
          <w:p>
            <w:pPr>
              <w:spacing w:after="0"/>
              <w:rPr>
                <w:sz w:val="20"/>
                <w:szCs w:val="20"/>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rPr>
              <w:t>proceeds of this offering.</w:t>
            </w:r>
          </w:p>
        </w:tc>
        <w:tc>
          <w:tcPr>
            <w:tcW w:w="3260" w:type="dxa"/>
            <w:vAlign w:val="bottom"/>
          </w:tcPr>
          <w:p>
            <w:pPr>
              <w:spacing w:after="0"/>
              <w:rPr>
                <w:sz w:val="20"/>
                <w:szCs w:val="20"/>
                <w:color w:val="auto"/>
              </w:rPr>
            </w:pPr>
          </w:p>
        </w:tc>
      </w:tr>
      <w:tr>
        <w:trPr>
          <w:trHeight w:val="445"/>
        </w:trPr>
        <w:tc>
          <w:tcPr>
            <w:tcW w:w="16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ind w:left="2320"/>
              <w:spacing w:after="0"/>
              <w:rPr>
                <w:sz w:val="20"/>
                <w:szCs w:val="20"/>
                <w:color w:val="auto"/>
              </w:rPr>
            </w:pPr>
            <w:r>
              <w:rPr>
                <w:rFonts w:ascii="Arial" w:cs="Arial" w:eastAsia="Arial" w:hAnsi="Arial"/>
                <w:sz w:val="18"/>
                <w:szCs w:val="18"/>
                <w:color w:val="auto"/>
              </w:rPr>
              <w:t>71</w:t>
            </w: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type w:val="continuous"/>
        </w:sectPr>
      </w:pPr>
    </w:p>
    <w:bookmarkStart w:id="76" w:name="page77"/>
    <w:bookmarkEnd w:id="76"/>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Exercise of</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the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3"/>
          </w:tcPr>
          <w:p>
            <w:pPr>
              <w:ind w:left="380"/>
              <w:spacing w:after="0"/>
              <w:rPr>
                <w:sz w:val="20"/>
                <w:szCs w:val="20"/>
                <w:color w:val="auto"/>
              </w:rPr>
            </w:pPr>
            <w:r>
              <w:rPr>
                <w:rFonts w:ascii="Arial" w:cs="Arial" w:eastAsia="Arial" w:hAnsi="Arial"/>
                <w:sz w:val="16"/>
                <w:szCs w:val="16"/>
                <w:b w:val="1"/>
                <w:bCs w:val="1"/>
                <w:color w:val="auto"/>
                <w:w w:val="97"/>
              </w:rPr>
              <w:t>Terms of the Offering</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380"/>
              <w:spacing w:after="0"/>
              <w:rPr>
                <w:sz w:val="20"/>
                <w:szCs w:val="20"/>
                <w:color w:val="auto"/>
              </w:rPr>
            </w:pPr>
            <w:r>
              <w:rPr>
                <w:rFonts w:ascii="Arial" w:cs="Arial" w:eastAsia="Arial" w:hAnsi="Arial"/>
                <w:sz w:val="16"/>
                <w:szCs w:val="16"/>
                <w:b w:val="1"/>
                <w:bCs w:val="1"/>
                <w:color w:val="auto"/>
              </w:rPr>
              <w:t>Terms Under a Rule 419 Offering</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960" w:type="dxa"/>
            <w:vAlign w:val="bottom"/>
            <w:tcBorders>
              <w:bottom w:val="single" w:sz="8" w:color="auto"/>
            </w:tcBorders>
            <w:gridSpan w:val="5"/>
          </w:tcPr>
          <w:p>
            <w:pPr>
              <w:spacing w:after="0"/>
              <w:rPr>
                <w:sz w:val="4"/>
                <w:szCs w:val="4"/>
                <w:color w:val="auto"/>
              </w:rPr>
            </w:pPr>
          </w:p>
        </w:tc>
        <w:tc>
          <w:tcPr>
            <w:tcW w:w="100" w:type="dxa"/>
            <w:vAlign w:val="bottom"/>
            <w:vMerge w:val="restart"/>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960" w:type="dxa"/>
            <w:vAlign w:val="bottom"/>
            <w:gridSpan w:val="5"/>
          </w:tcPr>
          <w:p>
            <w:pPr>
              <w:spacing w:after="0" w:line="195" w:lineRule="exact"/>
              <w:rPr>
                <w:sz w:val="20"/>
                <w:szCs w:val="20"/>
                <w:color w:val="auto"/>
              </w:rPr>
            </w:pPr>
            <w:r>
              <w:rPr>
                <w:rFonts w:ascii="Arial" w:cs="Arial" w:eastAsia="Arial" w:hAnsi="Arial"/>
                <w:sz w:val="18"/>
                <w:szCs w:val="18"/>
                <w:color w:val="auto"/>
                <w:w w:val="95"/>
              </w:rPr>
              <w:t>The warrants cannot be exercised until</w:t>
            </w:r>
          </w:p>
        </w:tc>
        <w:tc>
          <w:tcPr>
            <w:tcW w:w="100" w:type="dxa"/>
            <w:vAlign w:val="bottom"/>
            <w:vMerge w:val="continue"/>
          </w:tcPr>
          <w:p>
            <w:pPr>
              <w:spacing w:after="0"/>
              <w:rPr>
                <w:sz w:val="16"/>
                <w:szCs w:val="16"/>
                <w:color w:val="auto"/>
              </w:rPr>
            </w:pPr>
          </w:p>
        </w:tc>
        <w:tc>
          <w:tcPr>
            <w:tcW w:w="3100" w:type="dxa"/>
            <w:vAlign w:val="bottom"/>
          </w:tcPr>
          <w:p>
            <w:pPr>
              <w:spacing w:after="0" w:line="195" w:lineRule="exact"/>
              <w:rPr>
                <w:sz w:val="20"/>
                <w:szCs w:val="20"/>
                <w:color w:val="auto"/>
              </w:rPr>
            </w:pPr>
            <w:r>
              <w:rPr>
                <w:rFonts w:ascii="Arial" w:cs="Arial" w:eastAsia="Arial" w:hAnsi="Arial"/>
                <w:sz w:val="18"/>
                <w:szCs w:val="18"/>
                <w:color w:val="auto"/>
                <w:w w:val="95"/>
              </w:rPr>
              <w:t>The warrants could be exercised prior to</w:t>
            </w:r>
          </w:p>
        </w:tc>
        <w:tc>
          <w:tcPr>
            <w:tcW w:w="0" w:type="dxa"/>
            <w:vAlign w:val="bottom"/>
          </w:tcPr>
          <w:p>
            <w:pPr>
              <w:spacing w:after="0"/>
              <w:rPr>
                <w:sz w:val="1"/>
                <w:szCs w:val="1"/>
                <w:color w:val="auto"/>
              </w:rPr>
            </w:pPr>
          </w:p>
        </w:tc>
      </w:tr>
      <w:tr>
        <w:trPr>
          <w:trHeight w:val="216"/>
        </w:trPr>
        <w:tc>
          <w:tcPr>
            <w:tcW w:w="360" w:type="dxa"/>
            <w:vAlign w:val="bottom"/>
            <w:gridSpan w:val="2"/>
          </w:tcPr>
          <w:p>
            <w:pPr>
              <w:spacing w:after="0"/>
              <w:rPr>
                <w:sz w:val="20"/>
                <w:szCs w:val="20"/>
                <w:color w:val="auto"/>
              </w:rPr>
            </w:pPr>
            <w:r>
              <w:rPr>
                <w:rFonts w:ascii="Arial" w:cs="Arial" w:eastAsia="Arial" w:hAnsi="Arial"/>
                <w:sz w:val="18"/>
                <w:szCs w:val="18"/>
                <w:color w:val="auto"/>
              </w:rPr>
              <w:t>the</w:t>
            </w:r>
          </w:p>
        </w:tc>
        <w:tc>
          <w:tcPr>
            <w:tcW w:w="1100" w:type="dxa"/>
            <w:vAlign w:val="bottom"/>
          </w:tcPr>
          <w:p>
            <w:pPr>
              <w:ind w:left="140"/>
              <w:spacing w:after="0"/>
              <w:rPr>
                <w:sz w:val="20"/>
                <w:szCs w:val="20"/>
                <w:color w:val="auto"/>
              </w:rPr>
            </w:pPr>
            <w:r>
              <w:rPr>
                <w:rFonts w:ascii="Arial" w:cs="Arial" w:eastAsia="Arial" w:hAnsi="Arial"/>
                <w:sz w:val="18"/>
                <w:szCs w:val="18"/>
                <w:color w:val="auto"/>
              </w:rPr>
              <w:t>completion</w:t>
            </w:r>
          </w:p>
        </w:tc>
        <w:tc>
          <w:tcPr>
            <w:tcW w:w="420" w:type="dxa"/>
            <w:vAlign w:val="bottom"/>
          </w:tcPr>
          <w:p>
            <w:pPr>
              <w:ind w:left="120"/>
              <w:spacing w:after="0"/>
              <w:rPr>
                <w:sz w:val="20"/>
                <w:szCs w:val="20"/>
                <w:color w:val="auto"/>
              </w:rPr>
            </w:pPr>
            <w:r>
              <w:rPr>
                <w:rFonts w:ascii="Arial" w:cs="Arial" w:eastAsia="Arial" w:hAnsi="Arial"/>
                <w:sz w:val="18"/>
                <w:szCs w:val="18"/>
                <w:color w:val="auto"/>
              </w:rPr>
              <w:t>of</w:t>
            </w:r>
          </w:p>
        </w:tc>
        <w:tc>
          <w:tcPr>
            <w:tcW w:w="460" w:type="dxa"/>
            <w:vAlign w:val="bottom"/>
          </w:tcPr>
          <w:p>
            <w:pPr>
              <w:ind w:left="140"/>
              <w:spacing w:after="0"/>
              <w:rPr>
                <w:sz w:val="20"/>
                <w:szCs w:val="20"/>
                <w:color w:val="auto"/>
              </w:rPr>
            </w:pPr>
            <w:r>
              <w:rPr>
                <w:rFonts w:ascii="Arial" w:cs="Arial" w:eastAsia="Arial" w:hAnsi="Arial"/>
                <w:sz w:val="18"/>
                <w:szCs w:val="18"/>
                <w:color w:val="auto"/>
              </w:rPr>
              <w:t>a</w:t>
            </w:r>
          </w:p>
        </w:tc>
        <w:tc>
          <w:tcPr>
            <w:tcW w:w="640" w:type="dxa"/>
            <w:vAlign w:val="bottom"/>
          </w:tcPr>
          <w:p>
            <w:pPr>
              <w:ind w:left="40"/>
              <w:spacing w:after="0"/>
              <w:rPr>
                <w:sz w:val="20"/>
                <w:szCs w:val="20"/>
                <w:color w:val="auto"/>
              </w:rPr>
            </w:pPr>
            <w:r>
              <w:rPr>
                <w:rFonts w:ascii="Arial" w:cs="Arial" w:eastAsia="Arial" w:hAnsi="Arial"/>
                <w:sz w:val="18"/>
                <w:szCs w:val="18"/>
                <w:color w:val="auto"/>
                <w:w w:val="81"/>
              </w:rPr>
              <w:t>business</w:t>
            </w: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w w:val="91"/>
              </w:rPr>
              <w:t>the completion of a business combination,</w:t>
            </w:r>
          </w:p>
        </w:tc>
        <w:tc>
          <w:tcPr>
            <w:tcW w:w="0" w:type="dxa"/>
            <w:vAlign w:val="bottom"/>
          </w:tcPr>
          <w:p>
            <w:pPr>
              <w:spacing w:after="0"/>
              <w:rPr>
                <w:sz w:val="1"/>
                <w:szCs w:val="1"/>
                <w:color w:val="auto"/>
              </w:rPr>
            </w:pPr>
          </w:p>
        </w:tc>
      </w:tr>
      <w:tr>
        <w:trPr>
          <w:trHeight w:val="216"/>
        </w:trPr>
        <w:tc>
          <w:tcPr>
            <w:tcW w:w="2980" w:type="dxa"/>
            <w:vAlign w:val="bottom"/>
            <w:gridSpan w:val="6"/>
          </w:tcPr>
          <w:p>
            <w:pPr>
              <w:spacing w:after="0"/>
              <w:rPr>
                <w:sz w:val="20"/>
                <w:szCs w:val="20"/>
                <w:color w:val="auto"/>
              </w:rPr>
            </w:pPr>
            <w:r>
              <w:rPr>
                <w:rFonts w:ascii="Arial" w:cs="Arial" w:eastAsia="Arial" w:hAnsi="Arial"/>
                <w:sz w:val="18"/>
                <w:szCs w:val="18"/>
                <w:color w:val="auto"/>
              </w:rPr>
              <w:t>combination and, accordingly, will be</w:t>
            </w: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w w:val="97"/>
              </w:rPr>
              <w:t>but securities received and cash paid in</w:t>
            </w:r>
          </w:p>
        </w:tc>
        <w:tc>
          <w:tcPr>
            <w:tcW w:w="0" w:type="dxa"/>
            <w:vAlign w:val="bottom"/>
          </w:tcPr>
          <w:p>
            <w:pPr>
              <w:spacing w:after="0"/>
              <w:rPr>
                <w:sz w:val="1"/>
                <w:szCs w:val="1"/>
                <w:color w:val="auto"/>
              </w:rPr>
            </w:pPr>
          </w:p>
        </w:tc>
      </w:tr>
      <w:tr>
        <w:trPr>
          <w:trHeight w:val="216"/>
        </w:trPr>
        <w:tc>
          <w:tcPr>
            <w:tcW w:w="2980" w:type="dxa"/>
            <w:vAlign w:val="bottom"/>
            <w:gridSpan w:val="6"/>
          </w:tcPr>
          <w:p>
            <w:pPr>
              <w:spacing w:after="0"/>
              <w:rPr>
                <w:sz w:val="20"/>
                <w:szCs w:val="20"/>
                <w:color w:val="auto"/>
              </w:rPr>
            </w:pPr>
            <w:r>
              <w:rPr>
                <w:rFonts w:ascii="Arial" w:cs="Arial" w:eastAsia="Arial" w:hAnsi="Arial"/>
                <w:sz w:val="18"/>
                <w:szCs w:val="18"/>
                <w:color w:val="auto"/>
                <w:w w:val="90"/>
              </w:rPr>
              <w:t>exercised only after the trust account has</w:t>
            </w: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rPr>
              <w:t>connection with the exercise would be</w:t>
            </w:r>
          </w:p>
        </w:tc>
        <w:tc>
          <w:tcPr>
            <w:tcW w:w="0" w:type="dxa"/>
            <w:vAlign w:val="bottom"/>
          </w:tcPr>
          <w:p>
            <w:pPr>
              <w:spacing w:after="0"/>
              <w:rPr>
                <w:sz w:val="1"/>
                <w:szCs w:val="1"/>
                <w:color w:val="auto"/>
              </w:rPr>
            </w:pPr>
          </w:p>
        </w:tc>
      </w:tr>
      <w:tr>
        <w:trPr>
          <w:trHeight w:val="230"/>
        </w:trPr>
        <w:tc>
          <w:tcPr>
            <w:tcW w:w="2340" w:type="dxa"/>
            <w:vAlign w:val="bottom"/>
            <w:gridSpan w:val="5"/>
          </w:tcPr>
          <w:p>
            <w:pPr>
              <w:spacing w:after="0"/>
              <w:rPr>
                <w:sz w:val="20"/>
                <w:szCs w:val="20"/>
                <w:color w:val="auto"/>
              </w:rPr>
            </w:pPr>
            <w:r>
              <w:rPr>
                <w:rFonts w:ascii="Arial" w:cs="Arial" w:eastAsia="Arial" w:hAnsi="Arial"/>
                <w:sz w:val="18"/>
                <w:szCs w:val="18"/>
                <w:color w:val="auto"/>
                <w:w w:val="89"/>
              </w:rPr>
              <w:t>been terminated and distributed.</w:t>
            </w:r>
          </w:p>
        </w:tc>
        <w:tc>
          <w:tcPr>
            <w:tcW w:w="640" w:type="dxa"/>
            <w:vAlign w:val="bottom"/>
          </w:tcPr>
          <w:p>
            <w:pPr>
              <w:spacing w:after="0"/>
              <w:rPr>
                <w:sz w:val="20"/>
                <w:szCs w:val="20"/>
                <w:color w:val="auto"/>
              </w:rPr>
            </w:pP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w w:val="95"/>
              </w:rPr>
              <w:t>deposited in the escrow or trust account.</w:t>
            </w: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2">
            <w:col w:w="1740" w:space="640"/>
            <w:col w:w="6639"/>
          </w:cols>
          <w:pgMar w:left="1440" w:top="274" w:right="1440" w:bottom="1440" w:gutter="0" w:footer="0" w:header="0"/>
        </w:sectPr>
      </w:pPr>
    </w:p>
    <w:tbl>
      <w:tblPr>
        <w:tblLayout w:type="fixed"/>
        <w:tblInd w:w="46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Arial" w:cs="Arial" w:eastAsia="Arial" w:hAnsi="Arial"/>
                <w:sz w:val="18"/>
                <w:szCs w:val="18"/>
                <w:b w:val="1"/>
                <w:bCs w:val="1"/>
                <w:color w:val="auto"/>
                <w:w w:val="97"/>
              </w:rPr>
              <w:t>Election to remain an</w:t>
            </w: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7"/>
              </w:rPr>
              <w:t>We will either (1) give our stockholders</w:t>
            </w:r>
          </w:p>
        </w:tc>
        <w:tc>
          <w:tcPr>
            <w:tcW w:w="280" w:type="dxa"/>
            <w:vAlign w:val="bottom"/>
          </w:tcPr>
          <w:p>
            <w:pPr>
              <w:ind w:left="40"/>
              <w:spacing w:after="0"/>
              <w:rPr>
                <w:sz w:val="20"/>
                <w:szCs w:val="20"/>
                <w:color w:val="auto"/>
              </w:rPr>
            </w:pPr>
            <w:r>
              <w:rPr>
                <w:rFonts w:ascii="Arial" w:cs="Arial" w:eastAsia="Arial" w:hAnsi="Arial"/>
                <w:sz w:val="18"/>
                <w:szCs w:val="18"/>
                <w:color w:val="auto"/>
              </w:rPr>
              <w:t>A</w:t>
            </w:r>
          </w:p>
        </w:tc>
        <w:tc>
          <w:tcPr>
            <w:tcW w:w="980" w:type="dxa"/>
            <w:vAlign w:val="bottom"/>
            <w:gridSpan w:val="2"/>
          </w:tcPr>
          <w:p>
            <w:pPr>
              <w:ind w:left="80"/>
              <w:spacing w:after="0"/>
              <w:rPr>
                <w:sz w:val="20"/>
                <w:szCs w:val="20"/>
                <w:color w:val="auto"/>
              </w:rPr>
            </w:pPr>
            <w:r>
              <w:rPr>
                <w:rFonts w:ascii="Arial" w:cs="Arial" w:eastAsia="Arial" w:hAnsi="Arial"/>
                <w:sz w:val="18"/>
                <w:szCs w:val="18"/>
                <w:color w:val="auto"/>
                <w:w w:val="99"/>
              </w:rPr>
              <w:t>prospectus</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w w:val="99"/>
              </w:rPr>
              <w:t>containing</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information</w:t>
            </w:r>
          </w:p>
        </w:tc>
      </w:tr>
      <w:tr>
        <w:trPr>
          <w:trHeight w:val="220"/>
        </w:trPr>
        <w:tc>
          <w:tcPr>
            <w:tcW w:w="1800" w:type="dxa"/>
            <w:vAlign w:val="bottom"/>
          </w:tcPr>
          <w:p>
            <w:pPr>
              <w:ind w:left="180"/>
              <w:spacing w:after="0"/>
              <w:rPr>
                <w:sz w:val="20"/>
                <w:szCs w:val="20"/>
                <w:color w:val="auto"/>
              </w:rPr>
            </w:pPr>
            <w:r>
              <w:rPr>
                <w:rFonts w:ascii="Arial" w:cs="Arial" w:eastAsia="Arial" w:hAnsi="Arial"/>
                <w:sz w:val="18"/>
                <w:szCs w:val="18"/>
                <w:b w:val="1"/>
                <w:bCs w:val="1"/>
                <w:color w:val="auto"/>
              </w:rPr>
              <w:t>investor</w:t>
            </w: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7"/>
              </w:rPr>
              <w:t>the opportunity to vote on the business</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89"/>
              </w:rPr>
              <w:t>required by the SEC would be sent to each</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rPr>
              <w:t>combination or (2) provide our public</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1"/>
              </w:rPr>
              <w:t>investor. Each investor would be given the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6"/>
              </w:rPr>
              <w:t>stockholders with the opportunity to sell</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8"/>
              </w:rPr>
              <w:t>opportunity  to  notify  the  company,  in</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4"/>
              </w:rPr>
              <w:t>their public shares to us in a tender offer</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4"/>
              </w:rPr>
              <w:t>writing, within a period of no less than 20</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7"/>
              </w:rPr>
              <w:t xml:space="preserve">for cash equal to their </w:t>
            </w:r>
            <w:r>
              <w:rPr>
                <w:rFonts w:ascii="Arial" w:cs="Arial" w:eastAsia="Arial" w:hAnsi="Arial"/>
                <w:sz w:val="18"/>
                <w:szCs w:val="18"/>
                <w:i w:val="1"/>
                <w:iCs w:val="1"/>
                <w:color w:val="auto"/>
                <w:w w:val="97"/>
              </w:rPr>
              <w:t>pro rata</w:t>
            </w:r>
            <w:r>
              <w:rPr>
                <w:rFonts w:ascii="Arial" w:cs="Arial" w:eastAsia="Arial" w:hAnsi="Arial"/>
                <w:sz w:val="18"/>
                <w:szCs w:val="18"/>
                <w:color w:val="auto"/>
                <w:w w:val="97"/>
              </w:rPr>
              <w:t xml:space="preserve"> share of</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business</w:t>
            </w:r>
          </w:p>
        </w:tc>
        <w:tc>
          <w:tcPr>
            <w:tcW w:w="460" w:type="dxa"/>
            <w:vAlign w:val="bottom"/>
          </w:tcPr>
          <w:p>
            <w:pPr>
              <w:ind w:left="60"/>
              <w:spacing w:after="0"/>
              <w:rPr>
                <w:sz w:val="20"/>
                <w:szCs w:val="20"/>
                <w:color w:val="auto"/>
              </w:rPr>
            </w:pPr>
            <w:r>
              <w:rPr>
                <w:rFonts w:ascii="Arial" w:cs="Arial" w:eastAsia="Arial" w:hAnsi="Arial"/>
                <w:sz w:val="18"/>
                <w:szCs w:val="18"/>
                <w:color w:val="auto"/>
                <w:w w:val="99"/>
              </w:rPr>
              <w:t>days</w:t>
            </w:r>
          </w:p>
        </w:tc>
        <w:tc>
          <w:tcPr>
            <w:tcW w:w="440" w:type="dxa"/>
            <w:vAlign w:val="bottom"/>
          </w:tcPr>
          <w:p>
            <w:pPr>
              <w:ind w:left="140"/>
              <w:spacing w:after="0"/>
              <w:rPr>
                <w:sz w:val="20"/>
                <w:szCs w:val="20"/>
                <w:color w:val="auto"/>
              </w:rPr>
            </w:pPr>
            <w:r>
              <w:rPr>
                <w:rFonts w:ascii="Arial" w:cs="Arial" w:eastAsia="Arial" w:hAnsi="Arial"/>
                <w:sz w:val="18"/>
                <w:szCs w:val="18"/>
                <w:color w:val="auto"/>
                <w:w w:val="93"/>
              </w:rPr>
              <w:t>and</w:t>
            </w:r>
          </w:p>
        </w:tc>
        <w:tc>
          <w:tcPr>
            <w:tcW w:w="460" w:type="dxa"/>
            <w:vAlign w:val="bottom"/>
          </w:tcPr>
          <w:p>
            <w:pPr>
              <w:ind w:left="160"/>
              <w:spacing w:after="0"/>
              <w:rPr>
                <w:sz w:val="20"/>
                <w:szCs w:val="20"/>
                <w:color w:val="auto"/>
              </w:rPr>
            </w:pPr>
            <w:r>
              <w:rPr>
                <w:rFonts w:ascii="Arial" w:cs="Arial" w:eastAsia="Arial" w:hAnsi="Arial"/>
                <w:sz w:val="18"/>
                <w:szCs w:val="18"/>
                <w:color w:val="auto"/>
              </w:rPr>
              <w:t>no</w:t>
            </w:r>
          </w:p>
        </w:tc>
        <w:tc>
          <w:tcPr>
            <w:tcW w:w="460" w:type="dxa"/>
            <w:vAlign w:val="bottom"/>
          </w:tcPr>
          <w:p>
            <w:pPr>
              <w:ind w:left="80"/>
              <w:spacing w:after="0"/>
              <w:rPr>
                <w:sz w:val="20"/>
                <w:szCs w:val="20"/>
                <w:color w:val="auto"/>
              </w:rPr>
            </w:pPr>
            <w:r>
              <w:rPr>
                <w:rFonts w:ascii="Arial" w:cs="Arial" w:eastAsia="Arial" w:hAnsi="Arial"/>
                <w:sz w:val="18"/>
                <w:szCs w:val="18"/>
                <w:color w:val="auto"/>
                <w:w w:val="87"/>
              </w:rPr>
              <w:t>more</w:t>
            </w:r>
          </w:p>
        </w:tc>
        <w:tc>
          <w:tcPr>
            <w:tcW w:w="520" w:type="dxa"/>
            <w:vAlign w:val="bottom"/>
          </w:tcPr>
          <w:p>
            <w:pPr>
              <w:jc w:val="right"/>
              <w:spacing w:after="0"/>
              <w:rPr>
                <w:sz w:val="20"/>
                <w:szCs w:val="20"/>
                <w:color w:val="auto"/>
              </w:rPr>
            </w:pPr>
            <w:r>
              <w:rPr>
                <w:rFonts w:ascii="Arial" w:cs="Arial" w:eastAsia="Arial" w:hAnsi="Arial"/>
                <w:sz w:val="18"/>
                <w:szCs w:val="18"/>
                <w:color w:val="auto"/>
              </w:rPr>
              <w:t>than</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3"/>
              </w:rPr>
              <w:t>the aggregate amount then on deposit in</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89"/>
              </w:rPr>
              <w:t>45 business days from the effective date of</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2"/>
              </w:rPr>
              <w:t>the trust account, less taxes. If we hold a</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6"/>
              </w:rPr>
              <w:t>the post-effective amendment, to decide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2"/>
              </w:rPr>
              <w:t>meeting to approve a proposed business</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9"/>
              </w:rPr>
              <w:t>whether he, she or it elects to remain a</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rPr>
              <w:t>combination,   we   will   send   each</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2"/>
              </w:rPr>
              <w:t>stockholder of the company or require the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2"/>
              </w:rPr>
              <w:t>stockholder a proxy statement containing</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rPr>
              <w:t>return of his or her investment. If the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5"/>
              </w:rPr>
              <w:t>information required by the SEC. Under</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2"/>
              </w:rPr>
              <w:t>company has not received the notification</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6"/>
              </w:rPr>
              <w:t>Delaware law, we must provide at least</w:t>
            </w:r>
          </w:p>
        </w:tc>
        <w:tc>
          <w:tcPr>
            <w:tcW w:w="3140" w:type="dxa"/>
            <w:vAlign w:val="bottom"/>
            <w:gridSpan w:val="7"/>
          </w:tcPr>
          <w:p>
            <w:pPr>
              <w:ind w:left="40"/>
              <w:spacing w:after="0" w:line="216" w:lineRule="exact"/>
              <w:rPr>
                <w:sz w:val="20"/>
                <w:szCs w:val="20"/>
                <w:color w:val="auto"/>
              </w:rPr>
            </w:pPr>
            <w:r>
              <w:rPr>
                <w:rFonts w:ascii="Arial" w:cs="Arial" w:eastAsia="Arial" w:hAnsi="Arial"/>
                <w:sz w:val="18"/>
                <w:szCs w:val="18"/>
                <w:color w:val="auto"/>
                <w:w w:val="92"/>
              </w:rPr>
              <w:t>by the end of the 45</w:t>
            </w:r>
            <w:r>
              <w:rPr>
                <w:rFonts w:ascii="Arial" w:cs="Arial" w:eastAsia="Arial" w:hAnsi="Arial"/>
                <w:sz w:val="20"/>
                <w:szCs w:val="20"/>
                <w:color w:val="auto"/>
                <w:w w:val="92"/>
                <w:vertAlign w:val="superscript"/>
              </w:rPr>
              <w:t>th</w:t>
            </w:r>
            <w:r>
              <w:rPr>
                <w:rFonts w:ascii="Arial" w:cs="Arial" w:eastAsia="Arial" w:hAnsi="Arial"/>
                <w:sz w:val="18"/>
                <w:szCs w:val="18"/>
                <w:color w:val="auto"/>
                <w:w w:val="92"/>
              </w:rPr>
              <w:t xml:space="preserve"> business day, funds</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5"/>
              </w:rPr>
              <w:t>10 days’ advance notice of any meeting</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8"/>
              </w:rPr>
              <w:t>and interest or dividends, if any, held in</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7"/>
              </w:rPr>
              <w:t>of stockholders. Accordingly, this is the</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rPr>
              <w:t>the  trust  or  escrow  account  would</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3"/>
              </w:rPr>
              <w:t>minimum amount of time we would need</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rPr>
              <w:t>automatically   be   returned   to   the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5"/>
              </w:rPr>
              <w:t>to provide holders to determine whether</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2"/>
              </w:rPr>
              <w:t>stockholder. Unless a sufficient number of</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rPr>
              <w:t>to exercise their rights to convert their</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6"/>
              </w:rPr>
              <w:t>investors elect to remain investors, all of</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4"/>
              </w:rPr>
              <w:t>shares into cash at such a meeting or to</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1"/>
              </w:rPr>
              <w:t>the deposited funds in the escrow account</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8"/>
              </w:rPr>
              <w:t>remain  an  investor  in  our  company.</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1"/>
              </w:rPr>
              <w:t>must be returned to all investors and none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rPr>
              <w:t>Alternatively,  if  we  do  not  hold  a</w:t>
            </w:r>
          </w:p>
        </w:tc>
        <w:tc>
          <w:tcPr>
            <w:tcW w:w="280" w:type="dxa"/>
            <w:vAlign w:val="bottom"/>
          </w:tcPr>
          <w:p>
            <w:pPr>
              <w:ind w:left="40"/>
              <w:spacing w:after="0"/>
              <w:rPr>
                <w:sz w:val="20"/>
                <w:szCs w:val="20"/>
                <w:color w:val="auto"/>
              </w:rPr>
            </w:pPr>
            <w:r>
              <w:rPr>
                <w:rFonts w:ascii="Arial" w:cs="Arial" w:eastAsia="Arial" w:hAnsi="Arial"/>
                <w:sz w:val="18"/>
                <w:szCs w:val="18"/>
                <w:color w:val="auto"/>
              </w:rPr>
              <w:t>of</w:t>
            </w:r>
          </w:p>
        </w:tc>
        <w:tc>
          <w:tcPr>
            <w:tcW w:w="520" w:type="dxa"/>
            <w:vAlign w:val="bottom"/>
          </w:tcPr>
          <w:p>
            <w:pPr>
              <w:ind w:left="140"/>
              <w:spacing w:after="0"/>
              <w:rPr>
                <w:sz w:val="20"/>
                <w:szCs w:val="20"/>
                <w:color w:val="auto"/>
              </w:rPr>
            </w:pPr>
            <w:r>
              <w:rPr>
                <w:rFonts w:ascii="Arial" w:cs="Arial" w:eastAsia="Arial" w:hAnsi="Arial"/>
                <w:sz w:val="18"/>
                <w:szCs w:val="18"/>
                <w:color w:val="auto"/>
              </w:rPr>
              <w:t>the</w:t>
            </w: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securities</w:t>
            </w:r>
          </w:p>
        </w:tc>
        <w:tc>
          <w:tcPr>
            <w:tcW w:w="460" w:type="dxa"/>
            <w:vAlign w:val="bottom"/>
          </w:tcPr>
          <w:p>
            <w:pPr>
              <w:ind w:left="40"/>
              <w:spacing w:after="0"/>
              <w:rPr>
                <w:sz w:val="20"/>
                <w:szCs w:val="20"/>
                <w:color w:val="auto"/>
              </w:rPr>
            </w:pPr>
            <w:r>
              <w:rPr>
                <w:rFonts w:ascii="Arial" w:cs="Arial" w:eastAsia="Arial" w:hAnsi="Arial"/>
                <w:sz w:val="18"/>
                <w:szCs w:val="18"/>
                <w:color w:val="auto"/>
              </w:rPr>
              <w:t>will</w:t>
            </w:r>
          </w:p>
        </w:tc>
        <w:tc>
          <w:tcPr>
            <w:tcW w:w="460" w:type="dxa"/>
            <w:vAlign w:val="bottom"/>
          </w:tcPr>
          <w:p>
            <w:pPr>
              <w:ind w:left="80"/>
              <w:spacing w:after="0"/>
              <w:rPr>
                <w:sz w:val="20"/>
                <w:szCs w:val="20"/>
                <w:color w:val="auto"/>
              </w:rPr>
            </w:pPr>
            <w:r>
              <w:rPr>
                <w:rFonts w:ascii="Arial" w:cs="Arial" w:eastAsia="Arial" w:hAnsi="Arial"/>
                <w:sz w:val="18"/>
                <w:szCs w:val="18"/>
                <w:color w:val="auto"/>
              </w:rPr>
              <w:t>be</w:t>
            </w:r>
          </w:p>
        </w:tc>
        <w:tc>
          <w:tcPr>
            <w:tcW w:w="520" w:type="dxa"/>
            <w:vAlign w:val="bottom"/>
          </w:tcPr>
          <w:p>
            <w:pPr>
              <w:jc w:val="right"/>
              <w:spacing w:after="0"/>
              <w:rPr>
                <w:sz w:val="20"/>
                <w:szCs w:val="20"/>
                <w:color w:val="auto"/>
              </w:rPr>
            </w:pPr>
            <w:r>
              <w:rPr>
                <w:rFonts w:ascii="Arial" w:cs="Arial" w:eastAsia="Arial" w:hAnsi="Arial"/>
                <w:sz w:val="18"/>
                <w:szCs w:val="18"/>
                <w:color w:val="auto"/>
                <w:w w:val="84"/>
              </w:rPr>
              <w:t>issued.</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rPr>
              <w:t>meeting and instead conduct a tender</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8"/>
              </w:rPr>
              <w:t>offer, we will conduct such tender offer</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4"/>
              </w:rPr>
              <w:t>in accordance with the tender offer rules</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rPr>
              <w:t>of  the  SEC  and  file  tender  offer</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9"/>
              </w:rPr>
              <w:t>documents  with  the  SEC  which  will</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6"/>
              </w:rPr>
              <w:t>contain substantially the same financial</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rPr>
              <w:t>and other information about the initial</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4"/>
              </w:rPr>
              <w:t>business combination as we would have</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0"/>
        </w:trPr>
        <w:tc>
          <w:tcPr>
            <w:tcW w:w="1800" w:type="dxa"/>
            <w:vAlign w:val="bottom"/>
          </w:tcPr>
          <w:p>
            <w:pPr>
              <w:spacing w:after="0"/>
              <w:rPr>
                <w:sz w:val="20"/>
                <w:szCs w:val="20"/>
                <w:color w:val="auto"/>
              </w:rPr>
            </w:pPr>
          </w:p>
        </w:tc>
        <w:tc>
          <w:tcPr>
            <w:tcW w:w="900" w:type="dxa"/>
            <w:vAlign w:val="bottom"/>
          </w:tcPr>
          <w:p>
            <w:pPr>
              <w:ind w:left="120"/>
              <w:spacing w:after="0"/>
              <w:rPr>
                <w:sz w:val="20"/>
                <w:szCs w:val="20"/>
                <w:color w:val="auto"/>
              </w:rPr>
            </w:pPr>
            <w:r>
              <w:rPr>
                <w:rFonts w:ascii="Arial" w:cs="Arial" w:eastAsia="Arial" w:hAnsi="Arial"/>
                <w:sz w:val="18"/>
                <w:szCs w:val="18"/>
                <w:color w:val="auto"/>
              </w:rPr>
              <w:t>included</w:t>
            </w:r>
          </w:p>
        </w:tc>
        <w:tc>
          <w:tcPr>
            <w:tcW w:w="380" w:type="dxa"/>
            <w:vAlign w:val="bottom"/>
          </w:tcPr>
          <w:p>
            <w:pPr>
              <w:ind w:left="100"/>
              <w:spacing w:after="0"/>
              <w:rPr>
                <w:sz w:val="20"/>
                <w:szCs w:val="20"/>
                <w:color w:val="auto"/>
              </w:rPr>
            </w:pPr>
            <w:r>
              <w:rPr>
                <w:rFonts w:ascii="Arial" w:cs="Arial" w:eastAsia="Arial" w:hAnsi="Arial"/>
                <w:sz w:val="18"/>
                <w:szCs w:val="18"/>
                <w:color w:val="auto"/>
              </w:rPr>
              <w:t>in</w:t>
            </w:r>
          </w:p>
        </w:tc>
        <w:tc>
          <w:tcPr>
            <w:tcW w:w="420" w:type="dxa"/>
            <w:vAlign w:val="bottom"/>
          </w:tcPr>
          <w:p>
            <w:pPr>
              <w:ind w:left="100"/>
              <w:spacing w:after="0"/>
              <w:rPr>
                <w:sz w:val="20"/>
                <w:szCs w:val="20"/>
                <w:color w:val="auto"/>
              </w:rPr>
            </w:pPr>
            <w:r>
              <w:rPr>
                <w:rFonts w:ascii="Arial" w:cs="Arial" w:eastAsia="Arial" w:hAnsi="Arial"/>
                <w:sz w:val="18"/>
                <w:szCs w:val="18"/>
                <w:color w:val="auto"/>
              </w:rPr>
              <w:t>a</w:t>
            </w:r>
          </w:p>
        </w:tc>
        <w:tc>
          <w:tcPr>
            <w:tcW w:w="1460" w:type="dxa"/>
            <w:vAlign w:val="bottom"/>
            <w:gridSpan w:val="2"/>
          </w:tcPr>
          <w:p>
            <w:pPr>
              <w:spacing w:after="0"/>
              <w:rPr>
                <w:sz w:val="20"/>
                <w:szCs w:val="20"/>
                <w:color w:val="auto"/>
              </w:rPr>
            </w:pPr>
            <w:r>
              <w:rPr>
                <w:rFonts w:ascii="Arial" w:cs="Arial" w:eastAsia="Arial" w:hAnsi="Arial"/>
                <w:sz w:val="18"/>
                <w:szCs w:val="18"/>
                <w:color w:val="auto"/>
              </w:rPr>
              <w:t>proxy   statement.</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1"/>
        </w:trPr>
        <w:tc>
          <w:tcPr>
            <w:tcW w:w="1800" w:type="dxa"/>
            <w:vAlign w:val="bottom"/>
          </w:tcPr>
          <w:p>
            <w:pPr>
              <w:spacing w:after="0"/>
              <w:rPr>
                <w:sz w:val="24"/>
                <w:szCs w:val="24"/>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5"/>
              </w:rPr>
              <w:t>The tender offer rules require us to hold</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rPr>
              <w:t>the tender offer open for at least 20</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9"/>
              </w:rPr>
              <w:t>business days. Accordingly, this is the</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3"/>
              </w:rPr>
              <w:t>minimum amount of time we would need</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5"/>
              </w:rPr>
              <w:t>to provide holders to determine whether</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4"/>
              </w:rPr>
              <w:t>they want to sell their shares to us in the</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5"/>
              </w:rPr>
              <w:t>tender offer or remain an investor in our</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0"/>
        </w:trPr>
        <w:tc>
          <w:tcPr>
            <w:tcW w:w="1800" w:type="dxa"/>
            <w:vAlign w:val="bottom"/>
          </w:tcPr>
          <w:p>
            <w:pPr>
              <w:spacing w:after="0"/>
              <w:rPr>
                <w:sz w:val="20"/>
                <w:szCs w:val="20"/>
                <w:color w:val="auto"/>
              </w:rPr>
            </w:pPr>
          </w:p>
        </w:tc>
        <w:tc>
          <w:tcPr>
            <w:tcW w:w="900" w:type="dxa"/>
            <w:vAlign w:val="bottom"/>
          </w:tcPr>
          <w:p>
            <w:pPr>
              <w:ind w:left="120"/>
              <w:spacing w:after="0"/>
              <w:rPr>
                <w:sz w:val="20"/>
                <w:szCs w:val="20"/>
                <w:color w:val="auto"/>
              </w:rPr>
            </w:pPr>
            <w:r>
              <w:rPr>
                <w:rFonts w:ascii="Arial" w:cs="Arial" w:eastAsia="Arial" w:hAnsi="Arial"/>
                <w:sz w:val="18"/>
                <w:szCs w:val="18"/>
                <w:color w:val="auto"/>
                <w:w w:val="97"/>
              </w:rPr>
              <w:t>company.</w:t>
            </w: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87"/>
        </w:trPr>
        <w:tc>
          <w:tcPr>
            <w:tcW w:w="1800" w:type="dxa"/>
            <w:vAlign w:val="bottom"/>
          </w:tcPr>
          <w:p>
            <w:pPr>
              <w:spacing w:after="0"/>
              <w:rPr>
                <w:sz w:val="20"/>
                <w:szCs w:val="20"/>
                <w:color w:val="auto"/>
              </w:rPr>
            </w:pPr>
            <w:r>
              <w:rPr>
                <w:rFonts w:ascii="Arial" w:cs="Arial" w:eastAsia="Arial" w:hAnsi="Arial"/>
                <w:sz w:val="18"/>
                <w:szCs w:val="18"/>
                <w:b w:val="1"/>
                <w:bCs w:val="1"/>
                <w:color w:val="auto"/>
                <w:w w:val="92"/>
              </w:rPr>
              <w:t>Business combination</w:t>
            </w:r>
          </w:p>
        </w:tc>
        <w:tc>
          <w:tcPr>
            <w:tcW w:w="900" w:type="dxa"/>
            <w:vAlign w:val="bottom"/>
          </w:tcPr>
          <w:p>
            <w:pPr>
              <w:ind w:left="120"/>
              <w:spacing w:after="0"/>
              <w:rPr>
                <w:sz w:val="20"/>
                <w:szCs w:val="20"/>
                <w:color w:val="auto"/>
              </w:rPr>
            </w:pPr>
            <w:r>
              <w:rPr>
                <w:rFonts w:ascii="Arial" w:cs="Arial" w:eastAsia="Arial" w:hAnsi="Arial"/>
                <w:sz w:val="18"/>
                <w:szCs w:val="18"/>
                <w:color w:val="auto"/>
              </w:rPr>
              <w:t>Pursuant</w:t>
            </w:r>
          </w:p>
        </w:tc>
        <w:tc>
          <w:tcPr>
            <w:tcW w:w="380" w:type="dxa"/>
            <w:vAlign w:val="bottom"/>
          </w:tcPr>
          <w:p>
            <w:pPr>
              <w:ind w:left="120"/>
              <w:spacing w:after="0"/>
              <w:rPr>
                <w:sz w:val="20"/>
                <w:szCs w:val="20"/>
                <w:color w:val="auto"/>
              </w:rPr>
            </w:pPr>
            <w:r>
              <w:rPr>
                <w:rFonts w:ascii="Arial" w:cs="Arial" w:eastAsia="Arial" w:hAnsi="Arial"/>
                <w:sz w:val="18"/>
                <w:szCs w:val="18"/>
                <w:color w:val="auto"/>
              </w:rPr>
              <w:t>to</w:t>
            </w:r>
          </w:p>
        </w:tc>
        <w:tc>
          <w:tcPr>
            <w:tcW w:w="420" w:type="dxa"/>
            <w:vAlign w:val="bottom"/>
          </w:tcPr>
          <w:p>
            <w:pPr>
              <w:ind w:left="160"/>
              <w:spacing w:after="0"/>
              <w:rPr>
                <w:sz w:val="20"/>
                <w:szCs w:val="20"/>
                <w:color w:val="auto"/>
              </w:rPr>
            </w:pPr>
            <w:r>
              <w:rPr>
                <w:rFonts w:ascii="Arial" w:cs="Arial" w:eastAsia="Arial" w:hAnsi="Arial"/>
                <w:sz w:val="18"/>
                <w:szCs w:val="18"/>
                <w:color w:val="auto"/>
                <w:w w:val="92"/>
              </w:rPr>
              <w:t>our</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certificate</w:t>
            </w:r>
          </w:p>
        </w:tc>
        <w:tc>
          <w:tcPr>
            <w:tcW w:w="340" w:type="dxa"/>
            <w:vAlign w:val="bottom"/>
          </w:tcPr>
          <w:p>
            <w:pPr>
              <w:ind w:left="140"/>
              <w:spacing w:after="0"/>
              <w:rPr>
                <w:sz w:val="20"/>
                <w:szCs w:val="20"/>
                <w:color w:val="auto"/>
              </w:rPr>
            </w:pPr>
            <w:r>
              <w:rPr>
                <w:rFonts w:ascii="Arial" w:cs="Arial" w:eastAsia="Arial" w:hAnsi="Arial"/>
                <w:sz w:val="18"/>
                <w:szCs w:val="18"/>
                <w:color w:val="auto"/>
              </w:rPr>
              <w:t>of</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rPr>
              <w:t>If   an   acquisition   has   not   been</w:t>
            </w:r>
          </w:p>
        </w:tc>
      </w:tr>
      <w:tr>
        <w:trPr>
          <w:trHeight w:val="220"/>
        </w:trPr>
        <w:tc>
          <w:tcPr>
            <w:tcW w:w="1800" w:type="dxa"/>
            <w:vAlign w:val="bottom"/>
          </w:tcPr>
          <w:p>
            <w:pPr>
              <w:ind w:left="180"/>
              <w:spacing w:after="0"/>
              <w:rPr>
                <w:sz w:val="20"/>
                <w:szCs w:val="20"/>
                <w:color w:val="auto"/>
              </w:rPr>
            </w:pPr>
            <w:r>
              <w:rPr>
                <w:rFonts w:ascii="Arial" w:cs="Arial" w:eastAsia="Arial" w:hAnsi="Arial"/>
                <w:sz w:val="18"/>
                <w:szCs w:val="18"/>
                <w:b w:val="1"/>
                <w:bCs w:val="1"/>
                <w:color w:val="auto"/>
              </w:rPr>
              <w:t>deadline</w:t>
            </w: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7"/>
              </w:rPr>
              <w:t>incorporation, if we do not complete an</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5"/>
              </w:rPr>
              <w:t>consummated within 18 months after the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rPr>
              <w:t>initial business combination within 15</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rPr>
              <w:t>effective date of the initial registration</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rPr>
              <w:t>months  (or  up  to  18  months,  as</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8"/>
              </w:rPr>
              <w:t>statement,  funds  held  in  the  trust  or</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rPr>
              <w:t>applicable) from the consummation of</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6"/>
              </w:rPr>
              <w:t>escrow  account  would  be  returned  to</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6"/>
              </w:rPr>
              <w:t>this offering, it will trigger our automatic</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w w:val="96"/>
              </w:rPr>
              <w:t>investors.</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0"/>
        </w:trPr>
        <w:tc>
          <w:tcPr>
            <w:tcW w:w="1800" w:type="dxa"/>
            <w:vAlign w:val="bottom"/>
          </w:tcPr>
          <w:p>
            <w:pPr>
              <w:spacing w:after="0"/>
              <w:rPr>
                <w:sz w:val="20"/>
                <w:szCs w:val="20"/>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8"/>
              </w:rPr>
              <w:t>winding up, dissolution and liquidation.</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32"/>
        </w:trPr>
        <w:tc>
          <w:tcPr>
            <w:tcW w:w="1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72</w:t>
            </w: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type w:val="continuous"/>
        </w:sectPr>
      </w:pPr>
    </w:p>
    <w:bookmarkStart w:id="77" w:name="page78"/>
    <w:bookmarkEnd w:id="77"/>
    <w:p>
      <w:pPr>
        <w:jc w:val="center"/>
        <w:ind w:left="2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ind w:left="640" w:hanging="179"/>
        <w:spacing w:after="0" w:line="289" w:lineRule="auto"/>
        <w:rPr>
          <w:sz w:val="20"/>
          <w:szCs w:val="20"/>
          <w:color w:val="auto"/>
        </w:rPr>
      </w:pPr>
      <w:r>
        <w:rPr>
          <w:rFonts w:ascii="Arial" w:cs="Arial" w:eastAsia="Arial" w:hAnsi="Arial"/>
          <w:sz w:val="17"/>
          <w:szCs w:val="17"/>
          <w:b w:val="1"/>
          <w:bCs w:val="1"/>
          <w:color w:val="auto"/>
        </w:rPr>
        <w:t>Interest earned on the funds in the trust account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800"/>
        <w:spacing w:after="0"/>
        <w:tabs>
          <w:tab w:leader="none" w:pos="3620" w:val="left"/>
        </w:tabs>
        <w:rPr>
          <w:sz w:val="20"/>
          <w:szCs w:val="20"/>
          <w:color w:val="auto"/>
        </w:rPr>
      </w:pPr>
      <w:r>
        <w:rPr>
          <w:rFonts w:ascii="Arial" w:cs="Arial" w:eastAsia="Arial" w:hAnsi="Arial"/>
          <w:sz w:val="16"/>
          <w:szCs w:val="16"/>
          <w:b w:val="1"/>
          <w:bCs w:val="1"/>
          <w:color w:val="auto"/>
        </w:rPr>
        <w:t>Terms of the Offering</w:t>
      </w:r>
      <w:r>
        <w:rPr>
          <w:sz w:val="20"/>
          <w:szCs w:val="20"/>
          <w:color w:val="auto"/>
        </w:rPr>
        <w:tab/>
      </w:r>
      <w:r>
        <w:rPr>
          <w:rFonts w:ascii="Arial" w:cs="Arial" w:eastAsia="Arial" w:hAnsi="Arial"/>
          <w:sz w:val="14"/>
          <w:szCs w:val="14"/>
          <w:b w:val="1"/>
          <w:bCs w:val="1"/>
          <w:color w:val="auto"/>
        </w:rPr>
        <w:t>Terms Under a Rule 419 Offering</w:t>
      </w:r>
    </w:p>
    <w:p>
      <w:pPr>
        <w:spacing w:after="0" w:line="72" w:lineRule="exact"/>
        <w:rPr>
          <w:sz w:val="20"/>
          <w:szCs w:val="20"/>
          <w:color w:val="auto"/>
        </w:rPr>
      </w:pPr>
    </w:p>
    <w:p>
      <w:pPr>
        <w:ind w:right="459"/>
        <w:spacing w:after="0" w:line="252" w:lineRule="auto"/>
        <w:rPr>
          <w:sz w:val="20"/>
          <w:szCs w:val="20"/>
          <w:color w:val="auto"/>
        </w:rPr>
      </w:pPr>
      <w:r>
        <w:rPr>
          <w:rFonts w:ascii="Arial" w:cs="Arial" w:eastAsia="Arial" w:hAnsi="Arial"/>
          <w:sz w:val="18"/>
          <w:szCs w:val="18"/>
          <w:color w:val="auto"/>
        </w:rPr>
        <w:t>There can be released to us, from time to All interest earned on the funds in the trust time, any interest earned on the funds in account will be held in trust for the benefit the trust account that we may need to pay of public stockholders until the earlier of our tax obligations. The remaining interest the completion of a business combination earned on the funds in the trust account and our liquidation upon failure to effect a will not be released until the earlier of the business combination within the allotted completion of a business combination and time. our entry into liquidation upon failure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-1102995</wp:posOffset>
            </wp:positionV>
            <wp:extent cx="40633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effect a business combination within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allotted time.</w:t>
      </w:r>
    </w:p>
    <w:p>
      <w:pPr>
        <w:spacing w:after="0" w:line="180" w:lineRule="exact"/>
        <w:rPr>
          <w:sz w:val="20"/>
          <w:szCs w:val="20"/>
          <w:color w:val="auto"/>
        </w:rPr>
      </w:pPr>
    </w:p>
    <w:p>
      <w:pPr>
        <w:sectPr>
          <w:pgSz w:w="11900" w:h="16838" w:orient="portrait"/>
          <w:cols w:equalWidth="0" w:num="2">
            <w:col w:w="1940" w:space="220"/>
            <w:col w:w="6859"/>
          </w:cols>
          <w:pgMar w:left="1440" w:top="274" w:right="1440" w:bottom="1440" w:gutter="0" w:footer="0" w:header="0"/>
        </w:sectPr>
      </w:pPr>
    </w:p>
    <w:p>
      <w:pPr>
        <w:jc w:val="both"/>
        <w:ind w:left="2160" w:right="459" w:hanging="1700"/>
        <w:spacing w:after="0" w:line="269" w:lineRule="auto"/>
        <w:tabs>
          <w:tab w:leader="none" w:pos="2140" w:val="left"/>
        </w:tabs>
        <w:rPr>
          <w:sz w:val="20"/>
          <w:szCs w:val="20"/>
          <w:color w:val="auto"/>
        </w:rPr>
      </w:pPr>
      <w:r>
        <w:rPr>
          <w:rFonts w:ascii="Arial" w:cs="Arial" w:eastAsia="Arial" w:hAnsi="Arial"/>
          <w:sz w:val="18"/>
          <w:szCs w:val="18"/>
          <w:b w:val="1"/>
          <w:bCs w:val="1"/>
          <w:color w:val="auto"/>
        </w:rPr>
        <w:t>Release of funds</w:t>
      </w:r>
      <w:r>
        <w:rPr>
          <w:sz w:val="20"/>
          <w:szCs w:val="20"/>
          <w:color w:val="auto"/>
        </w:rPr>
        <w:tab/>
      </w:r>
      <w:r>
        <w:rPr>
          <w:rFonts w:ascii="Arial" w:cs="Arial" w:eastAsia="Arial" w:hAnsi="Arial"/>
          <w:sz w:val="17"/>
          <w:szCs w:val="17"/>
          <w:color w:val="auto"/>
        </w:rPr>
        <w:t>Except for interest earned on the funds The proceeds held in the escrow account held in the trust account that may be would not be released until the earlier of the released to us to pay our tax obligations, completion of a business combination or the the proceeds held in the trust account will failure to effect a business combination not be released until the earlier of the within the allotted time.</w:t>
      </w:r>
    </w:p>
    <w:p>
      <w:pPr>
        <w:spacing w:after="0" w:line="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completion of a business combination (in</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which case, the proceeds released to us</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will be net of the funds used to pay</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converting or tendering stockholders, as</w:t>
      </w:r>
    </w:p>
    <w:p>
      <w:pPr>
        <w:spacing w:after="0" w:line="9" w:lineRule="exact"/>
        <w:rPr>
          <w:sz w:val="20"/>
          <w:szCs w:val="20"/>
          <w:color w:val="auto"/>
        </w:rPr>
      </w:pPr>
    </w:p>
    <w:p>
      <w:pPr>
        <w:ind w:left="2160"/>
        <w:spacing w:after="0"/>
        <w:tabs>
          <w:tab w:leader="none" w:pos="2560" w:val="left"/>
          <w:tab w:leader="none" w:pos="3240" w:val="left"/>
          <w:tab w:leader="none" w:pos="3720" w:val="left"/>
          <w:tab w:leader="none" w:pos="4480" w:val="left"/>
          <w:tab w:leader="none" w:pos="5020" w:val="left"/>
        </w:tabs>
        <w:rPr>
          <w:sz w:val="20"/>
          <w:szCs w:val="20"/>
          <w:color w:val="auto"/>
        </w:rPr>
      </w:pPr>
      <w:r>
        <w:rPr>
          <w:rFonts w:ascii="Arial" w:cs="Arial" w:eastAsia="Arial" w:hAnsi="Arial"/>
          <w:sz w:val="18"/>
          <w:szCs w:val="18"/>
          <w:color w:val="auto"/>
        </w:rPr>
        <w:t>the</w:t>
        <w:tab/>
        <w:t>trustee</w:t>
        <w:tab/>
        <w:t>will</w:t>
        <w:tab/>
        <w:t>directly</w:t>
        <w:tab/>
        <w:t>send</w:t>
      </w:r>
      <w:r>
        <w:rPr>
          <w:sz w:val="20"/>
          <w:szCs w:val="20"/>
          <w:color w:val="auto"/>
        </w:rPr>
        <w:tab/>
      </w:r>
      <w:r>
        <w:rPr>
          <w:rFonts w:ascii="Arial" w:cs="Arial" w:eastAsia="Arial" w:hAnsi="Arial"/>
          <w:sz w:val="15"/>
          <w:szCs w:val="15"/>
          <w:color w:val="auto"/>
        </w:rPr>
        <w:t>the</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appropriate portion of the amount held in</w:t>
      </w:r>
    </w:p>
    <w:p>
      <w:pPr>
        <w:spacing w:after="0" w:line="9" w:lineRule="exact"/>
        <w:rPr>
          <w:sz w:val="20"/>
          <w:szCs w:val="20"/>
          <w:color w:val="auto"/>
        </w:rPr>
      </w:pPr>
    </w:p>
    <w:p>
      <w:pPr>
        <w:ind w:left="2160"/>
        <w:spacing w:after="0"/>
        <w:tabs>
          <w:tab w:leader="none" w:pos="2620" w:val="left"/>
          <w:tab w:leader="none" w:pos="2920" w:val="left"/>
          <w:tab w:leader="none" w:pos="3300" w:val="left"/>
          <w:tab w:leader="none" w:pos="4240" w:val="left"/>
          <w:tab w:leader="none" w:pos="4560" w:val="left"/>
        </w:tabs>
        <w:rPr>
          <w:sz w:val="20"/>
          <w:szCs w:val="20"/>
          <w:color w:val="auto"/>
        </w:rPr>
      </w:pPr>
      <w:r>
        <w:rPr>
          <w:rFonts w:ascii="Arial" w:cs="Arial" w:eastAsia="Arial" w:hAnsi="Arial"/>
          <w:sz w:val="18"/>
          <w:szCs w:val="18"/>
          <w:color w:val="auto"/>
        </w:rPr>
        <w:t>trust</w:t>
        <w:tab/>
        <w:t>to</w:t>
        <w:tab/>
        <w:t>the</w:t>
        <w:tab/>
        <w:t>converting</w:t>
        <w:tab/>
        <w:t>or</w:t>
      </w:r>
      <w:r>
        <w:rPr>
          <w:sz w:val="20"/>
          <w:szCs w:val="20"/>
          <w:color w:val="auto"/>
        </w:rPr>
        <w:tab/>
      </w:r>
      <w:r>
        <w:rPr>
          <w:rFonts w:ascii="Arial" w:cs="Arial" w:eastAsia="Arial" w:hAnsi="Arial"/>
          <w:sz w:val="16"/>
          <w:szCs w:val="16"/>
          <w:color w:val="auto"/>
        </w:rPr>
        <w:t>tendering</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stockholders at the time of the business</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combination) and the liquidation of our</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trust  account  upon  failure  to  effect  a</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business combination within the allotted</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8" w:name="page79"/>
    <w:bookmarkEnd w:id="7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Directors and Executive Officers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current directors, director nominees and executive officers are as follows: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26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85"/>
              </w:rPr>
              <w:t>Age</w:t>
            </w:r>
          </w:p>
        </w:tc>
        <w:tc>
          <w:tcPr>
            <w:tcW w:w="100" w:type="dxa"/>
            <w:vAlign w:val="bottom"/>
          </w:tcPr>
          <w:p>
            <w:pPr>
              <w:spacing w:after="0"/>
              <w:rPr>
                <w:sz w:val="18"/>
                <w:szCs w:val="18"/>
                <w:color w:val="auto"/>
              </w:rPr>
            </w:pPr>
          </w:p>
        </w:tc>
        <w:tc>
          <w:tcPr>
            <w:tcW w:w="5120" w:type="dxa"/>
            <w:vAlign w:val="bottom"/>
          </w:tcPr>
          <w:p>
            <w:pPr>
              <w:ind w:left="2280"/>
              <w:spacing w:after="0"/>
              <w:rPr>
                <w:sz w:val="20"/>
                <w:szCs w:val="20"/>
                <w:color w:val="auto"/>
              </w:rPr>
            </w:pPr>
            <w:r>
              <w:rPr>
                <w:rFonts w:ascii="Arial" w:cs="Arial" w:eastAsia="Arial" w:hAnsi="Arial"/>
                <w:sz w:val="16"/>
                <w:szCs w:val="16"/>
                <w:b w:val="1"/>
                <w:bCs w:val="1"/>
                <w:color w:val="auto"/>
              </w:rPr>
              <w:t>Position</w:t>
            </w:r>
          </w:p>
        </w:tc>
      </w:tr>
      <w:tr>
        <w:trPr>
          <w:trHeight w:val="47"/>
        </w:trPr>
        <w:tc>
          <w:tcPr>
            <w:tcW w:w="2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120" w:type="dxa"/>
            <w:vAlign w:val="bottom"/>
            <w:tcBorders>
              <w:bottom w:val="single" w:sz="8" w:color="auto"/>
            </w:tcBorders>
          </w:tcPr>
          <w:p>
            <w:pPr>
              <w:spacing w:after="0"/>
              <w:rPr>
                <w:sz w:val="4"/>
                <w:szCs w:val="4"/>
                <w:color w:val="auto"/>
              </w:rPr>
            </w:pPr>
          </w:p>
        </w:tc>
      </w:tr>
      <w:tr>
        <w:trPr>
          <w:trHeight w:val="243"/>
        </w:trPr>
        <w:tc>
          <w:tcPr>
            <w:tcW w:w="2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Edward Scheetz</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Chairman, Chief Executive Officer, Director</w:t>
            </w:r>
          </w:p>
        </w:tc>
      </w:t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Matthew MacDonald</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522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 and Secretary, Director</w:t>
            </w:r>
          </w:p>
        </w:tc>
      </w:tr>
      <w:tr>
        <w:trPr>
          <w:trHeight w:val="53"/>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20" w:type="dxa"/>
            <w:vAlign w:val="bottom"/>
          </w:tcPr>
          <w:p>
            <w:pPr>
              <w:spacing w:after="0"/>
              <w:rPr>
                <w:sz w:val="4"/>
                <w:szCs w:val="4"/>
                <w:color w:val="auto"/>
              </w:rPr>
            </w:pPr>
          </w:p>
        </w:tc>
      </w:tr>
      <w:tr>
        <w:trPr>
          <w:trHeight w:val="263"/>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Brock Strasbourger</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33</w:t>
            </w:r>
          </w:p>
        </w:tc>
        <w:tc>
          <w:tcPr>
            <w:tcW w:w="5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Chief Operating Officer</w:t>
            </w:r>
          </w:p>
        </w:tc>
      </w:t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Prasad Phatak</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5220" w:type="dxa"/>
            <w:vAlign w:val="bottom"/>
            <w:gridSpan w:val="2"/>
          </w:tcPr>
          <w:p>
            <w:pPr>
              <w:ind w:left="100"/>
              <w:spacing w:after="0"/>
              <w:rPr>
                <w:sz w:val="20"/>
                <w:szCs w:val="20"/>
                <w:color w:val="auto"/>
              </w:rPr>
            </w:pPr>
            <w:r>
              <w:rPr>
                <w:rFonts w:ascii="Arial" w:cs="Arial" w:eastAsia="Arial" w:hAnsi="Arial"/>
                <w:sz w:val="18"/>
                <w:szCs w:val="18"/>
                <w:color w:val="auto"/>
              </w:rPr>
              <w:t>Chief Investment Officer</w:t>
            </w:r>
          </w:p>
        </w:tc>
      </w:tr>
      <w:tr>
        <w:trPr>
          <w:trHeight w:val="53"/>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20" w:type="dxa"/>
            <w:vAlign w:val="bottom"/>
          </w:tcPr>
          <w:p>
            <w:pPr>
              <w:spacing w:after="0"/>
              <w:rPr>
                <w:sz w:val="4"/>
                <w:szCs w:val="4"/>
                <w:color w:val="auto"/>
              </w:rPr>
            </w:pPr>
          </w:p>
        </w:tc>
      </w:tr>
      <w:tr>
        <w:trPr>
          <w:trHeight w:val="264"/>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Jonas Grossman</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5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Woodrow H. Levin</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522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r>
        <w:trPr>
          <w:trHeight w:val="53"/>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20" w:type="dxa"/>
            <w:vAlign w:val="bottom"/>
          </w:tcPr>
          <w:p>
            <w:pPr>
              <w:spacing w:after="0"/>
              <w:rPr>
                <w:sz w:val="4"/>
                <w:szCs w:val="4"/>
                <w:color w:val="auto"/>
              </w:rPr>
            </w:pPr>
          </w:p>
        </w:tc>
      </w:tr>
      <w:tr>
        <w:trPr>
          <w:trHeight w:val="263"/>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Alex Weil</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5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Director Nominee</w:t>
            </w:r>
          </w:p>
        </w:tc>
      </w:t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Julie Atkinson</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522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r>
        <w:trPr>
          <w:trHeight w:val="53"/>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20" w:type="dxa"/>
            <w:vAlign w:val="bottom"/>
          </w:tcPr>
          <w:p>
            <w:pPr>
              <w:spacing w:after="0"/>
              <w:rPr>
                <w:sz w:val="4"/>
                <w:szCs w:val="4"/>
                <w:color w:val="auto"/>
              </w:rPr>
            </w:pPr>
          </w:p>
        </w:tc>
      </w:tr>
      <w:tr>
        <w:trPr>
          <w:trHeight w:val="263"/>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Christian Ahrens</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5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Director Nominee</w:t>
            </w:r>
          </w:p>
        </w:tc>
      </w:t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Bernard Van der Lande</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522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bl>
    <w:p>
      <w:pPr>
        <w:spacing w:after="0" w:line="214"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Edward Scheetz, 55, has been our Chief Executive Officer and Chairman since August 2020. He is also the co-founder, Chief Executive Officer and Chairman of Ventoux Acquisition. From November, 2016 until present, Mr. Scheetz has actively pursued a range of projects in the hospitality and real estate sectors. In June 2018, Mr. Scheetz, with partners, acquired a mixed use hotel and condominium project in West Hollywood, CA. In March 2020, he began the redevelopment and expansion of the project. From 2013 until October 2016, Mr. Scheetz was Chief Executive Officer of Chelsea Hotels until the sale of that company. In March, 2011, Mr. Scheetz founded and served as Chief Executive Officer of King &amp; Grove Hotels until 2013 when King &amp; Grove Hotels became Chelsea Hotels. In 2005, Mr. Scheetz became Chief Executive Officer of Morgans Hotel Group Co. In 2006, he took Morgans public (NASDAQ: MHGC). Morgans was the developer, owner and operator of such iconic hotel properties as Delano and Shore Club in Miami, Mondrian in Los Angeles, Morgans, Royalton, Paramount and Hudson in New York, and Sanderson and St. Martin’s Lane in London. In 1997, Mr. Scheetz co-founded NorthStar Capital Investment Corp. (“NCIC”). While at NCIC, Mr. Scheetz co-founded real estate investment trust NorthStar Realty Finance Corp., which went public in 2004 (NYSE: NRF). Mr. Scheetz continued to serve as Executive Chairman of NRF through 2007. From 1993 until 1997, Mr. Scheetz was a partner at Apollo Management where he was the co-head of Apollo Real Estate Advisors and raised, invested and managed their first three real estate funds. Prior to his work at Apollo, Mr. Scheetz was at The Trammell Crow Companies and Crow Family Ventures where he was involved with Wyndham Hotels, assisted the Chief Financial Officer in restructuring The Trammell Crow Company, and was a Principal at Trammell Crow Ventures. Mr. Scheetz graduated from Princeton University where he earned an A.B. in Economics. We believe Mr. Scheetz is well qualified to serve as a director based on his extensive industry and transaction expertise and wide network of relationships with industry participants.</w:t>
      </w:r>
    </w:p>
    <w:p>
      <w:pPr>
        <w:spacing w:after="0" w:line="11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Matthew MacDonald, 36, has been our Chief Financial Officer and Secretary, and a director since August 2020. He is also the co-founder and Chief Financial Officer of Ventoux Acquisition. Prior to co-founding Ventoux Acquisition in August 2020, Mr. MacDonald worked at Hyatt Hotels Corporation as the Vice President of Capital Strategy and Wellness Development, where he focused on acquiring hospitality companies and brands. Mr. MacDonald joined Hyatt in January 2017 as a result of Hyatt’s acquisition of Miraval Group, a leading hospitality wellness company. Mr. MacDonald joined Miraval Group, a KSL Capital portfolio company, as Vice President of Development in May 2016 following four years at Starwood Hotels and Resorts. Mr. MacDonald is a graduate of the University of Denver and received a Master in Real Estate Finance from New York University. We believe Mr. MacDonald is qualified to serve on our board of directors because of his experience in sourcing, negotiating and executing merger transactions within the hospitality, leisure, travel and dining sectors.</w:t>
      </w:r>
    </w:p>
    <w:p>
      <w:pPr>
        <w:spacing w:after="0" w:line="101" w:lineRule="exact"/>
        <w:rPr>
          <w:sz w:val="20"/>
          <w:szCs w:val="20"/>
          <w:color w:val="auto"/>
        </w:rPr>
      </w:pPr>
    </w:p>
    <w:p>
      <w:pPr>
        <w:jc w:val="both"/>
        <w:ind w:left="460" w:right="479" w:firstLine="432"/>
        <w:spacing w:after="0" w:line="270" w:lineRule="auto"/>
        <w:rPr>
          <w:sz w:val="20"/>
          <w:szCs w:val="20"/>
          <w:color w:val="auto"/>
        </w:rPr>
      </w:pPr>
      <w:r>
        <w:rPr>
          <w:rFonts w:ascii="Arial" w:cs="Arial" w:eastAsia="Arial" w:hAnsi="Arial"/>
          <w:sz w:val="17"/>
          <w:szCs w:val="17"/>
          <w:color w:val="auto"/>
        </w:rPr>
        <w:t>Brock Strasbourger, 33, has been our Chief Operating Officer since October 2020. He is also the Chief Operating Officer of Ventoux Acquisition. Prior to his work at Ventoux Acquisition, Mr. Strasbourger worked for Convene since December 2018 as the Vice President and Head of Strategic Partnerships, focusing on corporate development, opening new revenue streams, and driving growth through external channels. Prior to Convene, Mr. Strasbourger was the Vice President of Digital at OTG Management, an airport hospitality and technology business, from March 2016 through November 2018 and spent nearly three years at Fancy.com as the Head of Business. To begin his career, Mr. Strasbourger spent nearly four years on the Emerging Markets Fixed Income Sales and Trading desk at Barclays Capital (NYSE: BCS). Mr. Strasbourger is a graduate from the University of Michigan with honors and distinction.</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9" w:name="page80"/>
    <w:bookmarkEnd w:id="7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Prasad Phatak, 38, has been our Chief Investment Officer since September 2020. He is also the Chief Investment Officer of Ventoux Acquisition. Since July 2011, Mr. Phatak has been the Managing Member of Tappan Street Partners LLC, where he has led the investment research and portfolio management for several private investment funds these past nine years. Additionally, from December 2019 to September 2020, Mr. Phatak was a Partner at Markley Capital Management, a US-focused investment firm. Mr. Phatak founded Tappan Street Partners after leaving Eton Park Capital Management, where he began as a Research Associate in October 2005 and focused on investing in both public and private investments in a variety of industries. Prior to Eton Park, Mr. Phatak worked as a private equity associate for Madison Dearborn Partners from July 2005 to October 2005, and began his career in July 2003 at the Blackstone Group (NYSE: BX) in the Restructuring and Reorganization Advisory Group, where he worked for two years as an investment banking analyst, analyzing complex corporate restructurings in both out of court and Chapter 11 reorganizations. Mr. Phatak graduated with high distinction from the University of Michigan Ross School of Business with a B.B.A. in Finance and Accounting in May 2003.</w:t>
      </w:r>
    </w:p>
    <w:p>
      <w:pPr>
        <w:spacing w:after="0" w:line="119"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Jonas Grossman, 46, has been our director since July 2019. Mr. Grossman was the Chief Executive Officer and President of Chardan Healthcare Acquisition Corp. from March 2018 until its merger in October 2019 with BiomX (NYSE: PHGE). Mr. Grossman is currently a director of BiomX and since March 2020 is also a director of LifeSci Acquisition Corp., a special purpose acquisition company that recently announced a business combination with Vincera Pharma, Inc. Since April 2020, Mr. Grossman has been the Chief Executive Officer and President of Chardan Healthcare Acquisition 2 Corp., a special purpose acquisition company. Mr. Grossman has served as Partner and Head of Capital Markets for Chardan Capital Markets, LLC, a New York headquartered broker/dealer, since December 2003, and has served as President of Chardan Capital Markets, LLC since September 2015. Since 2003, Mr. Grossman has overseen the firm’s investment banking and capital markets activities and initiatives. He has extensive transactional experience having led or managed more than 400 transactions during his tenure at Chardan. Since December 2006, Mr. Grossman has served as a founding partner for Cornix Advisors, LLC, a New York based hedge fund. From 2001 until 2003, Mr. Grossman worked at Ramius Capital Group, LLC, a global multi-strategy hedge fund where he served as Vice President and Head Trader. Mr. Grossman served as a director for Ideanomics, Inc. (formerly China Broadband, Inc.) (NASDAQ: IDEX) from January 2008 until November 2010. He holds a B.A. in Economics from Cornell University and an M.B.A. from NYU’s Stern School of Business. We believe Mr. Grossman is qualified to serve on our board of directors because of his long-running capital markets experience as well as his previous company board positions.</w:t>
      </w:r>
    </w:p>
    <w:p>
      <w:pPr>
        <w:spacing w:after="0" w:line="122"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Woodrow (“Woody”) H. Levin, 42, has agreed to become our director as of the effective date of the registration statement of which this prospectus is part. Mr. Levin is the founder, and has been the Chief Executive Officer since February 2019, of Extend, Inc. Mr. Levin was the Chief Executive Officer of 3.0 Capital GP, LLC from November 2017 until January 2019. From September 2015 until October 2017, Mr. Levin served as Vice President of Growth at DocuSign, Inc. (NASDAQ: DOCU). In addition, Mr. Levin served as the founder and Chief Executive Officer of Estate Assist, Inc., from February 2014 to September 2015 (at which time it was acquired), and BringIt, Inc., from June 2009 to September 2012 (at which time it was acquired by DocuSign). Before that, Mr. Levin served as Director Emerging Business — Office of the CTO at International Game Technology PLC (NYSE: IGT). Since May 2013, Mr. Levin has served as a member of the board of directors of DraftKings Inc. (NASDAQ: DKNG), and he has served as a member of the board of directors of Extend, Inc. since February 2019. Since September 2020, Mr. Levin has been a member of the board of directors of 10X Capital Venture Acquisition Corp., a special purpose acquisition company. Mr. Levin received his J.D. from Chicago-Kent College of Law, Illinois Institute of Technology, and his B.A. from the University of Wisconsin. We believe Mr. Levin is qualified to serve on our board of directors because of his extensive experience and knowledge as an executive for technology companies.</w:t>
      </w:r>
    </w:p>
    <w:p>
      <w:pPr>
        <w:spacing w:after="0" w:line="101"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Alex Weil, 49, has agreed to become our director as of the effective date of the registration statement of which this prospectus is a part. Mr. Weil has served as Managing Director and Co-Head of Fintech Investment Banking at Chardan Capital Markets, LLC, a New York headquartered broker/dealer, since March 2020. From January 2018 to March 2020, Mr. Weil served as Managing Director and Head of Insurtech Investment banking at SenaHill Securities, LLC, a New York headquartered broker/dealer. From January 2013 to September 2017, Mr. Weil, was a Director at PricewaterhouseCoopers Inc., a network of firms providing assurance, advisory and tax services. Prior to 2012, Mr. Weil held positions as a Director at Lazard Middle Market, LLC, an Executive Director at UBS Securities LLC and a Director at Citigroup Global Markets Inc. Mr. Weil holds a B.A. in Business Administration from the University of Colorado, Boulder. We believe Mr. Weil is qualified to serve on our board of directors based on his extensive capital markets and transaction management experience and network of relationships.</w:t>
      </w:r>
    </w:p>
    <w:p>
      <w:pPr>
        <w:sectPr>
          <w:pgSz w:w="11900" w:h="16838" w:orient="portrait"/>
          <w:cols w:equalWidth="0" w:num="1">
            <w:col w:w="9019"/>
          </w:cols>
          <w:pgMar w:left="1440" w:top="274" w:right="1440"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0" w:name="page81"/>
    <w:bookmarkEnd w:id="8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Julie Atkinson, 47, has agreed to become our director as of the effective date of the registration statement of which this prospectus is a part. Ms. Atkinson served as Chief Marketing Officer for Founders Table Restaurant Group since October 2019. She previously served as Senior Vice President, Global Digital at Tory Burch LLC from January 2017 to May 2018. Prior to joining Tory Burch, Ms. Atkinson served in various leadership roles at Starwood Hotels &amp; Resorts Worldwide, Inc., most recently as Senior Vice President, Global Digital from November 2014 to January 2017 and as Vice President of Global Online Distribution from September 2012 until November 2014. Prior to joining Starwood, Ms. Atkinson held multiple roles at Travelocity including marketing and operations. Since December 2017, Ms. Atkinson has served as a member of the Board of Directors of Bright Horizons Family Solutions Inc. (NYSE: BFAM). Ms. Atkinson holds a B.A. in English and Political Science from Amherst College. We believe Ms. Atkinson is qualified to serve on our board of directors because of her 20-year track record of executing innovative strategic and tactical leadership for global consumer brands.</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Christian “Chris” Ahrens, 44, has agreed to become our director as of the effective date of the registration statement of which this prospectus is a part. Mr. Ahrens has been an Advisor with Certares Management LLC since October 2017. From January 2015 until September 2017 Mr. Ahrens was a Partner with Certares. Prior to December 2015 Mr. Ahrens was a Managing Director at One Equity Partners, the private equity investing arm of JPMorgan Chase, which he joined in September 2001. Mr Ahrens has served as a board member at Internova Travel Group since January 2015. Mr. Ahrens received his A.B. from Princeton University. We believe Mr. Ahrens is qualified to serve on our board of directors because of his experience in corporate finance and investing.</w:t>
      </w:r>
    </w:p>
    <w:p>
      <w:pPr>
        <w:spacing w:after="0" w:line="124"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Bernard A. Van der Lande, 38, has agreed to become our director as of the effective date of the registration statement of which this prospectus is part. Mr. Van der Lande has been a Managing Director of Cindat USA LLC since January 2020. Mr. Van der Lande was Chief Issuance Officer of Templum, Inc. from February 2019 until August 2019. From November 2017 until January 2019, Mr. Van der Lande served as Managing Director of Easterly Capital, LLC. Before that, Mr. Van der Lande was with CBRE, Inc. from January 2013 until November 2017, where he served in capacities of Managing Director of its investment banking division, Capital Advisors, and Senior Vice President of its international hotels brokerage business. In addition, Mr. Van der Lande served as Managing Director of Hodges Ward Elliott’s Lodging Capital Markets business, where he worked from October 2008 until December 2012. Mr. Van der Lande received his B.A. from Davidson College. We believe Mr. Van der Lande is qualified to serve on our board of directors because of his extensive experience in the global capital markets, public and private markets, and with cross-border lodging and hospitality transactions, as well as his knowledge as an executive for emerging technology, and private equity companies.</w:t>
      </w:r>
    </w:p>
    <w:p>
      <w:pPr>
        <w:spacing w:after="0" w:line="105"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Ventoux Acquisition has agreed with one of its members to re-nominate each of our current directors for any election of directors we hold prior to the closing of our initial business combination, and that it will vote in favor of the election of such persons.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62"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Upon consummation of this offering, our board of directors will have seven members, five of whom will be deemed “independent” under SEC and Nasdaq rules. We may not hold an annual meeting of stockholders until after we consummate our initial business combination.</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directors may consist of a chairman of the board, and that our officers may consist of chief executive officer, president, chief financial officer, executive vice president(s), vice president(s), secretary, treasurer and such other officers as may be determined by the board of directors.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Compensation</w:t>
      </w:r>
    </w:p>
    <w:p>
      <w:pPr>
        <w:spacing w:after="0" w:line="14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No executive officer has received any cash compensation for services rendered to us. Commencing on the date of this prospectus through the completion of our initial business combination with a target business, we will pay to Chardan Capital Markets, LLC, an affiliate of Chardan Investments, a fee of $10,000 per month for providing us with office space and certain office and secretarial services.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1" w:name="page82"/>
    <w:bookmarkEnd w:id="8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initial business combination. No compensation or fees of any kind, including finder’s fees, consulting fees and other similar fees, will be paid to our insiders or any of the members of our management team, for services rendered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w:t>
      </w:r>
    </w:p>
    <w:p>
      <w:pPr>
        <w:spacing w:after="0" w:line="114"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162"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Nasdaq listing standards require that within one year of the listing of our securities on the Nasdaq Capital Market we have at least three independent directors and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five are “independent directors” as defined in the Nasdaq listing standards and applicable SEC rules. Our independent directors will have regularly scheduled meetings at which only independent directors are present.</w:t>
      </w:r>
    </w:p>
    <w:p>
      <w:pPr>
        <w:spacing w:after="0" w:line="84" w:lineRule="exact"/>
        <w:rPr>
          <w:sz w:val="20"/>
          <w:szCs w:val="20"/>
          <w:color w:val="auto"/>
        </w:rPr>
      </w:pPr>
    </w:p>
    <w:p>
      <w:pPr>
        <w:jc w:val="both"/>
        <w:ind w:left="460" w:right="479" w:firstLine="432"/>
        <w:spacing w:after="0" w:line="301" w:lineRule="auto"/>
        <w:rPr>
          <w:sz w:val="20"/>
          <w:szCs w:val="20"/>
          <w:color w:val="auto"/>
        </w:rPr>
      </w:pPr>
      <w:r>
        <w:rPr>
          <w:rFonts w:ascii="Arial" w:cs="Arial" w:eastAsia="Arial" w:hAnsi="Arial"/>
          <w:sz w:val="16"/>
          <w:szCs w:val="16"/>
          <w:color w:val="auto"/>
        </w:rPr>
        <w:t>We will only enter into a business combination if it is approved by a majority of our independent directors. Additionally, we will only enter into transactions with our officers and directors and their respective affiliates that are on terms no less favorable to us than could be obtained from independent parties. Any related party transactions must be approved by our audit committee and a majority of disinterested directors.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 Committee</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Effective as of the date of this prospectus, we have established an audit committee of the board of directors, which will consist of Mr. Weil, Mr. Levin, and Mr. Ahrens each of whom is an independent director. Mr. Weil will serve as chairman of the audit committee. The audit committee’s duties, which are specified in our Audit Committee Charter, include, but are not limited to:</w:t>
      </w:r>
    </w:p>
    <w:p>
      <w:pPr>
        <w:spacing w:after="0" w:line="119" w:lineRule="exact"/>
        <w:rPr>
          <w:sz w:val="20"/>
          <w:szCs w:val="20"/>
          <w:color w:val="auto"/>
        </w:rPr>
      </w:pPr>
    </w:p>
    <w:p>
      <w:pPr>
        <w:jc w:val="both"/>
        <w:ind w:left="1320" w:right="479" w:hanging="434"/>
        <w:spacing w:after="0" w:line="263" w:lineRule="auto"/>
        <w:tabs>
          <w:tab w:leader="none" w:pos="13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the annual audited financial statements, and recommending to the board whether the audited financial statements should be included in our Form 10-K;</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discussing with management and the independent auditor significant financial reporting issues and judgments made in connection with the preparation of our financial statements;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discussing with management major risk assessment and risk management policies;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monitoring the independence of the independent auditor;</w:t>
      </w:r>
    </w:p>
    <w:p>
      <w:pPr>
        <w:spacing w:after="0" w:line="144" w:lineRule="exact"/>
        <w:rPr>
          <w:rFonts w:ascii="Arial" w:cs="Arial" w:eastAsia="Arial" w:hAnsi="Arial"/>
          <w:sz w:val="18"/>
          <w:szCs w:val="18"/>
          <w:color w:val="auto"/>
        </w:rPr>
      </w:pPr>
    </w:p>
    <w:p>
      <w:pPr>
        <w:ind w:left="1320" w:right="479" w:hanging="434"/>
        <w:spacing w:after="0" w:line="308" w:lineRule="auto"/>
        <w:tabs>
          <w:tab w:leader="none" w:pos="1405" w:val="left"/>
        </w:tabs>
        <w:numPr>
          <w:ilvl w:val="0"/>
          <w:numId w:val="44"/>
        </w:numPr>
        <w:rPr>
          <w:rFonts w:ascii="Arial" w:cs="Arial" w:eastAsia="Arial" w:hAnsi="Arial"/>
          <w:sz w:val="17"/>
          <w:szCs w:val="17"/>
          <w:color w:val="auto"/>
        </w:rPr>
      </w:pPr>
      <w:r>
        <w:rPr>
          <w:rFonts w:ascii="Arial" w:cs="Arial" w:eastAsia="Arial" w:hAnsi="Arial"/>
          <w:sz w:val="17"/>
          <w:szCs w:val="17"/>
          <w:color w:val="auto"/>
        </w:rPr>
        <w:t>verifying the rotation of the lead (or coordinating) audit partner having primary responsibility for the audit and the audit partner responsible for reviewing the audit as required by law;</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and approving all related party transactions;</w:t>
      </w:r>
    </w:p>
    <w:p>
      <w:pPr>
        <w:spacing w:after="0" w:line="157" w:lineRule="exact"/>
        <w:rPr>
          <w:rFonts w:ascii="Arial" w:cs="Arial" w:eastAsia="Arial" w:hAnsi="Arial"/>
          <w:sz w:val="18"/>
          <w:szCs w:val="18"/>
          <w:color w:val="auto"/>
        </w:rPr>
      </w:pPr>
    </w:p>
    <w:p>
      <w:pPr>
        <w:ind w:left="4420" w:right="739" w:hanging="3534"/>
        <w:spacing w:after="0" w:line="481" w:lineRule="auto"/>
        <w:tabs>
          <w:tab w:leader="none" w:pos="13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inquiring and discussing with management our compliance with applicable laws and regulations;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-131445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2" w:name="page83"/>
    <w:bookmarkEnd w:id="8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77" w:lineRule="auto"/>
        <w:tabs>
          <w:tab w:leader="none" w:pos="16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auditor, including the fees and terms of the services to be performed;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appointing or replacing the independent auditor;</w:t>
      </w:r>
    </w:p>
    <w:p>
      <w:pPr>
        <w:spacing w:after="0" w:line="157" w:lineRule="exact"/>
        <w:rPr>
          <w:rFonts w:ascii="Arial" w:cs="Arial" w:eastAsia="Arial" w:hAnsi="Arial"/>
          <w:sz w:val="18"/>
          <w:szCs w:val="18"/>
          <w:color w:val="auto"/>
        </w:rPr>
      </w:pPr>
    </w:p>
    <w:p>
      <w:pPr>
        <w:jc w:val="both"/>
        <w:ind w:left="1320" w:right="479" w:hanging="434"/>
        <w:spacing w:after="0" w:line="286" w:lineRule="auto"/>
        <w:tabs>
          <w:tab w:leader="none" w:pos="1486" w:val="left"/>
        </w:tabs>
        <w:numPr>
          <w:ilvl w:val="0"/>
          <w:numId w:val="45"/>
        </w:numPr>
        <w:rPr>
          <w:rFonts w:ascii="Arial" w:cs="Arial" w:eastAsia="Arial" w:hAnsi="Arial"/>
          <w:sz w:val="17"/>
          <w:szCs w:val="17"/>
          <w:color w:val="auto"/>
        </w:rPr>
      </w:pPr>
      <w:r>
        <w:rPr>
          <w:rFonts w:ascii="Arial" w:cs="Arial" w:eastAsia="Arial" w:hAnsi="Arial"/>
          <w:sz w:val="17"/>
          <w:szCs w:val="17"/>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84" w:lineRule="exact"/>
        <w:rPr>
          <w:rFonts w:ascii="Arial" w:cs="Arial" w:eastAsia="Arial" w:hAnsi="Arial"/>
          <w:sz w:val="17"/>
          <w:szCs w:val="17"/>
          <w:color w:val="auto"/>
        </w:rPr>
      </w:pPr>
    </w:p>
    <w:p>
      <w:pPr>
        <w:jc w:val="both"/>
        <w:ind w:left="1320" w:right="479" w:hanging="434"/>
        <w:spacing w:after="0" w:line="263" w:lineRule="auto"/>
        <w:tabs>
          <w:tab w:leader="none" w:pos="1554"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4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approving reimbursement of expenses incurred by our management team in identifying potential target businesses.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Financial Experts on Audit Committee</w:t>
      </w:r>
    </w:p>
    <w:p>
      <w:pPr>
        <w:spacing w:after="0" w:line="162"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The audit committee will at all times be composed exclusively of “independent directors” who are “financially literate” as defined under the Nasdaq listing standards. The Nasdaq listing standards define “financially literate” as being able to read and understand fundamental financial statements, including a company’s balance sheet, income statement and cash flow statement.</w:t>
      </w:r>
    </w:p>
    <w:p>
      <w:pPr>
        <w:spacing w:after="0" w:line="106"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Mr. Weil qualifies as an “audit committee financial expert,” as defined under rules and regulations of the SEC.</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62" w:lineRule="exact"/>
        <w:rPr>
          <w:sz w:val="20"/>
          <w:szCs w:val="20"/>
          <w:color w:val="auto"/>
        </w:rPr>
      </w:pPr>
    </w:p>
    <w:p>
      <w:pPr>
        <w:jc w:val="both"/>
        <w:ind w:left="460" w:right="479" w:firstLine="432"/>
        <w:spacing w:after="0" w:line="272" w:lineRule="auto"/>
        <w:rPr>
          <w:sz w:val="20"/>
          <w:szCs w:val="20"/>
          <w:color w:val="auto"/>
        </w:rPr>
      </w:pPr>
      <w:r>
        <w:rPr>
          <w:rFonts w:ascii="Arial" w:cs="Arial" w:eastAsia="Arial" w:hAnsi="Arial"/>
          <w:sz w:val="17"/>
          <w:szCs w:val="17"/>
          <w:color w:val="auto"/>
        </w:rPr>
        <w:t>Effective as of the date of this prospectus, we have established a nominating and corporate governance committee of the board of directors, which will consist of Mr. Weil, Mr. Ahrens, and Ms. Atkinson, each of whom is an independent director under Nasdaq’s listing standards. Mr. Ahrens is the Chairperson of the nominating and corporate governance committee. The nominating and corporate governance committee is responsible for overseeing the selection of persons to be nominated to serve on our board of directors. The nominating and corporate governance committee considers persons identified by its members, management, stockholders, investment bankers and others.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Guidelines for Selecting Director Nominees</w:t>
      </w:r>
    </w:p>
    <w:p>
      <w:pPr>
        <w:spacing w:after="0" w:line="16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guidelines for selecting nominees, which are specified in the Nominating and Corporate Governance Committee Charter, generally provide that persons to be nominated:</w:t>
      </w:r>
    </w:p>
    <w:p>
      <w:pPr>
        <w:spacing w:after="0" w:line="89" w:lineRule="exact"/>
        <w:rPr>
          <w:sz w:val="20"/>
          <w:szCs w:val="20"/>
          <w:color w:val="auto"/>
        </w:rPr>
      </w:pPr>
    </w:p>
    <w:p>
      <w:pPr>
        <w:ind w:left="1320" w:right="479" w:hanging="434"/>
        <w:spacing w:after="0" w:line="277" w:lineRule="auto"/>
        <w:tabs>
          <w:tab w:leader="none" w:pos="1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102" w:lineRule="exact"/>
        <w:rPr>
          <w:rFonts w:ascii="Arial" w:cs="Arial" w:eastAsia="Arial" w:hAnsi="Arial"/>
          <w:sz w:val="18"/>
          <w:szCs w:val="18"/>
          <w:color w:val="auto"/>
        </w:rPr>
      </w:pPr>
    </w:p>
    <w:p>
      <w:pPr>
        <w:jc w:val="both"/>
        <w:ind w:left="1320" w:right="479" w:hanging="434"/>
        <w:spacing w:after="0" w:line="263" w:lineRule="auto"/>
        <w:tabs>
          <w:tab w:leader="none" w:pos="1689"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should have the highest ethical standards, a strong sense of professionalism and intense dedication to serving the interests of the stockholders.</w:t>
      </w:r>
    </w:p>
    <w:p>
      <w:pPr>
        <w:spacing w:after="0" w:line="89"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The nominating and corporate governance committee will consider a number of qualifications relating to management and leadership experience, background and integrity and professionalism in evaluating a person’s candidacy for membership on the board of directors. The nominating and corporate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and corporate governance committee does not distinguish among nominees recommended by stockholders and other persons.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3" w:name="page84"/>
    <w:bookmarkEnd w:id="8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Upon the effectiveness of the registration statement of which this prospectus forms a part, we have established a compensation committee of the board of directors consisting of Mr. Levin, Ms. Atkinson, and Mr. Van der Lande, each of whom is an independent director. Mr. Levin will serve as chairman of the compensation committee. We will adopt a compensation committee charter, which will detail the principal functions of the compensation committee, including:</w:t>
      </w:r>
    </w:p>
    <w:p>
      <w:pPr>
        <w:spacing w:after="0" w:line="120" w:lineRule="exact"/>
        <w:rPr>
          <w:sz w:val="20"/>
          <w:szCs w:val="20"/>
          <w:color w:val="auto"/>
        </w:rPr>
      </w:pPr>
    </w:p>
    <w:p>
      <w:pPr>
        <w:jc w:val="both"/>
        <w:ind w:left="1320" w:right="459" w:hanging="434"/>
        <w:spacing w:after="0" w:line="259" w:lineRule="auto"/>
        <w:tabs>
          <w:tab w:leader="none" w:pos="13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19" w:lineRule="exact"/>
        <w:rPr>
          <w:rFonts w:ascii="Arial" w:cs="Arial" w:eastAsia="Arial" w:hAnsi="Arial"/>
          <w:sz w:val="18"/>
          <w:szCs w:val="18"/>
          <w:color w:val="auto"/>
        </w:rPr>
      </w:pPr>
    </w:p>
    <w:p>
      <w:pPr>
        <w:ind w:left="1300" w:hanging="41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executive officers;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implementing and administering our incentive compensation equity-based remuneration plans;</w:t>
      </w:r>
    </w:p>
    <w:p>
      <w:pPr>
        <w:spacing w:after="0" w:line="169" w:lineRule="exact"/>
        <w:rPr>
          <w:rFonts w:ascii="Arial" w:cs="Arial" w:eastAsia="Arial" w:hAnsi="Arial"/>
          <w:sz w:val="17"/>
          <w:szCs w:val="17"/>
          <w:color w:val="auto"/>
        </w:rPr>
      </w:pPr>
    </w:p>
    <w:p>
      <w:pPr>
        <w:ind w:left="1320" w:right="479" w:hanging="434"/>
        <w:spacing w:after="0" w:line="277" w:lineRule="auto"/>
        <w:tabs>
          <w:tab w:leader="none" w:pos="1608"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38"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producing a report on executive compensation to be included in our annual proxy statement; and</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reviewing, evaluating and recommending changes, if appropriate, to the remuneration for directors.</w:t>
      </w:r>
    </w:p>
    <w:p>
      <w:pPr>
        <w:spacing w:after="0" w:line="167"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charter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62"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None of our directors who currently serve as members of our compensation committee is, or has at any time in the past been, one of our officers or employees. None of our executive officers currently serves, or in the past year has served, as a member of the compensation committee of any other entity that has one or more executive officers serving on our board of directors. None of our executive officers currently serves, or in the past year has served, as a member of the board of directors of any other entity that has one or more executive officers serving on our compensation committee.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Ethics</w:t>
      </w:r>
    </w:p>
    <w:p>
      <w:pPr>
        <w:spacing w:after="0" w:line="162"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Effective upon consummation of this offering, we will adopt a code of ethics that applies to all of our executive officers, directors and employees. The code of ethics codifies the business and ethical principles that govern all aspects of our business.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Investors should be aware of the following potential conflicts of interest:</w:t>
      </w:r>
    </w:p>
    <w:p>
      <w:pPr>
        <w:spacing w:after="0" w:line="158" w:lineRule="exact"/>
        <w:rPr>
          <w:sz w:val="20"/>
          <w:szCs w:val="20"/>
          <w:color w:val="auto"/>
        </w:rPr>
      </w:pPr>
    </w:p>
    <w:p>
      <w:pPr>
        <w:jc w:val="both"/>
        <w:ind w:left="1320" w:right="479" w:hanging="434"/>
        <w:spacing w:after="0" w:line="263" w:lineRule="auto"/>
        <w:tabs>
          <w:tab w:leader="none" w:pos="1581"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None of our officers and directors is required to commit their full time to our affairs, and, accordingly, they may have conflicts of interest in allocating their time among various business activities.</w:t>
      </w:r>
    </w:p>
    <w:p>
      <w:pPr>
        <w:spacing w:after="0" w:line="116" w:lineRule="exact"/>
        <w:rPr>
          <w:rFonts w:ascii="Arial" w:cs="Arial" w:eastAsia="Arial" w:hAnsi="Arial"/>
          <w:sz w:val="18"/>
          <w:szCs w:val="18"/>
          <w:color w:val="auto"/>
        </w:rPr>
      </w:pPr>
    </w:p>
    <w:p>
      <w:pPr>
        <w:jc w:val="both"/>
        <w:ind w:left="1320" w:right="479" w:hanging="434"/>
        <w:spacing w:after="0" w:line="257" w:lineRule="auto"/>
        <w:tabs>
          <w:tab w:leader="none" w:pos="1459"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officers and directors may become aware of investment and business opportunities which may be appropriate for presentation to our company as well as the other entities with which they are affiliated. Our officers and directors may have conflicts of interest in determining to which entity a particular business opportunity should be presented.</w:t>
      </w:r>
    </w:p>
    <w:p>
      <w:pPr>
        <w:spacing w:after="0" w:line="106" w:lineRule="exact"/>
        <w:rPr>
          <w:rFonts w:ascii="Arial" w:cs="Arial" w:eastAsia="Arial" w:hAnsi="Arial"/>
          <w:sz w:val="18"/>
          <w:szCs w:val="18"/>
          <w:color w:val="auto"/>
        </w:rPr>
      </w:pPr>
    </w:p>
    <w:p>
      <w:pPr>
        <w:jc w:val="both"/>
        <w:ind w:left="1320" w:right="479" w:hanging="434"/>
        <w:spacing w:after="0" w:line="263" w:lineRule="auto"/>
        <w:tabs>
          <w:tab w:leader="none" w:pos="14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officers and directors may in the future become affiliated with entities, including other blank check companies, engaged in business activities similar to those intended to be conducted by our company.</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4" w:name="page85"/>
    <w:bookmarkEnd w:id="8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jc w:val="both"/>
        <w:ind w:left="1320" w:right="459" w:hanging="434"/>
        <w:spacing w:after="0" w:line="311" w:lineRule="auto"/>
        <w:tabs>
          <w:tab w:leader="none" w:pos="1392" w:val="left"/>
        </w:tabs>
        <w:numPr>
          <w:ilvl w:val="0"/>
          <w:numId w:val="49"/>
        </w:numPr>
        <w:rPr>
          <w:rFonts w:ascii="Arial" w:cs="Arial" w:eastAsia="Arial" w:hAnsi="Arial"/>
          <w:sz w:val="16"/>
          <w:szCs w:val="16"/>
          <w:color w:val="auto"/>
        </w:rPr>
      </w:pPr>
      <w:r>
        <w:rPr>
          <w:rFonts w:ascii="Arial" w:cs="Arial" w:eastAsia="Arial" w:hAnsi="Arial"/>
          <w:sz w:val="16"/>
          <w:szCs w:val="16"/>
          <w:color w:val="auto"/>
        </w:rPr>
        <w:t>Unless we consummate our initial business combination, our officers, directors and other insiders will not receive reimbursement for any out-of-pocket expenses incurred by them to the extent that such expenses exceed the amount of available proceeds not deposited in the trust account.</w:t>
      </w:r>
    </w:p>
    <w:p>
      <w:pPr>
        <w:spacing w:after="0" w:line="54" w:lineRule="exact"/>
        <w:rPr>
          <w:rFonts w:ascii="Arial" w:cs="Arial" w:eastAsia="Arial" w:hAnsi="Arial"/>
          <w:sz w:val="16"/>
          <w:szCs w:val="16"/>
          <w:color w:val="auto"/>
        </w:rPr>
      </w:pPr>
    </w:p>
    <w:p>
      <w:pPr>
        <w:jc w:val="both"/>
        <w:ind w:left="1320" w:right="459" w:hanging="434"/>
        <w:spacing w:after="0" w:line="270" w:lineRule="auto"/>
        <w:tabs>
          <w:tab w:leader="none" w:pos="1419"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insider shares beneficially owned by our officers and directors will be released from escrow only if our initial business combination is successfully completed. Additionally, if we are unable to complete an initial business combination within the required time frame, our officers and directors will not be entitled to receive any amounts held in the trust account with respect to any of their insider shares or private warrants. Furthermore, Ventoux Acquisition and Chardan Investments have agreed that the private warrants will not be sold or transferred by it until after we have completed our initial business combination. For the foregoing reasons, our board may have a conflict of interest in determining whether a particular target business is an appropriate business with which to effect our initial business combination.</w:t>
      </w:r>
    </w:p>
    <w:p>
      <w:pPr>
        <w:spacing w:after="0" w:line="99" w:lineRule="exact"/>
        <w:rPr>
          <w:rFonts w:ascii="Arial" w:cs="Arial" w:eastAsia="Arial" w:hAnsi="Arial"/>
          <w:sz w:val="17"/>
          <w:szCs w:val="17"/>
          <w:color w:val="auto"/>
        </w:rPr>
      </w:pPr>
    </w:p>
    <w:p>
      <w:pPr>
        <w:jc w:val="both"/>
        <w:ind w:left="1320" w:right="459" w:hanging="434"/>
        <w:spacing w:after="0" w:line="289" w:lineRule="auto"/>
        <w:tabs>
          <w:tab w:leader="none" w:pos="1513"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have engaged Chardan Capital Markets, LLC as an advisor in connection with our initial business combination, pursuant to the business combination marketing agreement described under “Underwriting (Conflicts of Interest) — Business Combination Marketing Agreement.” We will pay Chardan Capital Markets, LLC a marketing fee for such services upon the consummation of our initial business combination in an amount equal to, in the aggregate, 3.5% of the gross proceeds of this offering including any proceeds from the full or partial exercise of the over-allotment option, or $5,250,00 if the underwriters’ over-allotment option is not exercised (or $6,037,500 if the underwriters’ over-allotment option is exercised in full). As a result, Chardan Capital Markets, LLC will not be entitled to such fee unless we consummate our initial business combination.</w:t>
      </w:r>
    </w:p>
    <w:p>
      <w:pPr>
        <w:spacing w:after="0" w:line="72"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76" w:lineRule="exact"/>
        <w:rPr>
          <w:sz w:val="20"/>
          <w:szCs w:val="20"/>
          <w:color w:val="auto"/>
        </w:rPr>
      </w:pPr>
    </w:p>
    <w:p>
      <w:pPr>
        <w:ind w:left="1300" w:hanging="41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130"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76"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Accordingly, as a result of multiple business affiliations, our officers and directors may have similar legal obligations relating to presenting business opportunities meeting the above-listed criteria to multiple entities. Furthermore, our certificate of incorporation provides that the doctrine of corporate opportunity will not apply with respect to any of our officers or directors in circumstances where the application of the doctrine would conflict with any fiduciary duties or contractual obligations they may have. In order to minimize potential conflicts of interest which may arise from multiple affiliations, our officers and directors (other than our independent directors) have agreed to present to us for our consideration, prior to presentation to any other person or entity, any suitable opportunity to acquire a target business, until the earlier of: (1) our consummation of an initial business combination and (2) 15 months (or up to 18 months, as applicable) from the date of this prospectus. This agreement is, however, subject to any pre-existing fiduciary and contractual obligations such officer or director may from time to time have to another entity. Accordingly, if any of them becomes aware of a business combination opportunity which is suitable for an entity to which he or she has pre-existing fiduciary or contractual obligations, he or she will honor his or her fiduciary or contractual obligations to present such business combination opportunity to such entity, and only present it to us if such entity rejects the opportunity. We do not believe, however, that the pre-existing fiduciary duties or contractual obligations of our officers and directors will materially undermine our ability to complete our business combination because in most cases the affiliated companies are closely held entities controlled by the officer or director or the nature of the affiliated company’s business is such that it is unlikely that a conflict will arise.</w:t>
      </w:r>
    </w:p>
    <w:p>
      <w:pPr>
        <w:spacing w:after="0" w:line="90"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Furthermore, Mr. Grossman is a director of each of LifeSci Acquisition Corp. and Chardan Healthcare Acquisition 2 Corp., and an officer of Chardan Healthcare Acquisition 2 Corp. Mr. Levin is a director of 10X Capital Venture Acquisition Corp. Each of LifeSci Acquisition Corp., Chardan Healthcare Acquisition 2 Corp. and 10X Capital Venture Acquisition Corp. is a special purpose acquisition company that is seeking a target for a business combination. These entities may have priority over us in connection with potential target business identified by each of them. These affiliations may limit the number of potential targets these individuals present to us for purposes of completing a business combination.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5" w:name="page86"/>
    <w:bookmarkEnd w:id="8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The following table summarizes the current material pre-existing fiduciary or contractual obligations of our officers, directors and director nominees: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480" w:type="dxa"/>
            <w:vAlign w:val="bottom"/>
          </w:tcPr>
          <w:p>
            <w:pPr>
              <w:spacing w:after="0"/>
              <w:rPr>
                <w:sz w:val="20"/>
                <w:szCs w:val="20"/>
                <w:color w:val="auto"/>
              </w:rPr>
            </w:pPr>
            <w:r>
              <w:rPr>
                <w:rFonts w:ascii="Arial" w:cs="Arial" w:eastAsia="Arial" w:hAnsi="Arial"/>
                <w:sz w:val="16"/>
                <w:szCs w:val="16"/>
                <w:b w:val="1"/>
                <w:bCs w:val="1"/>
                <w:color w:val="auto"/>
              </w:rPr>
              <w:t>Name of Individual</w:t>
            </w:r>
          </w:p>
        </w:tc>
        <w:tc>
          <w:tcPr>
            <w:tcW w:w="100" w:type="dxa"/>
            <w:vAlign w:val="bottom"/>
          </w:tcPr>
          <w:p>
            <w:pPr>
              <w:spacing w:after="0"/>
              <w:rPr>
                <w:sz w:val="18"/>
                <w:szCs w:val="18"/>
                <w:color w:val="auto"/>
              </w:rPr>
            </w:pPr>
          </w:p>
        </w:tc>
        <w:tc>
          <w:tcPr>
            <w:tcW w:w="2920" w:type="dxa"/>
            <w:vAlign w:val="bottom"/>
          </w:tcPr>
          <w:p>
            <w:pPr>
              <w:ind w:left="460"/>
              <w:spacing w:after="0"/>
              <w:rPr>
                <w:sz w:val="20"/>
                <w:szCs w:val="20"/>
                <w:color w:val="auto"/>
              </w:rPr>
            </w:pPr>
            <w:r>
              <w:rPr>
                <w:rFonts w:ascii="Arial" w:cs="Arial" w:eastAsia="Arial" w:hAnsi="Arial"/>
                <w:sz w:val="16"/>
                <w:szCs w:val="16"/>
                <w:b w:val="1"/>
                <w:bCs w:val="1"/>
                <w:color w:val="auto"/>
              </w:rPr>
              <w:t>Name of Affiliated Company</w:t>
            </w:r>
          </w:p>
        </w:tc>
        <w:tc>
          <w:tcPr>
            <w:tcW w:w="100" w:type="dxa"/>
            <w:vAlign w:val="bottom"/>
          </w:tcPr>
          <w:p>
            <w:pPr>
              <w:spacing w:after="0"/>
              <w:rPr>
                <w:sz w:val="18"/>
                <w:szCs w:val="18"/>
                <w:color w:val="auto"/>
              </w:rPr>
            </w:pPr>
          </w:p>
        </w:tc>
        <w:tc>
          <w:tcPr>
            <w:tcW w:w="1820" w:type="dxa"/>
            <w:vAlign w:val="bottom"/>
            <w:gridSpan w:val="2"/>
          </w:tcPr>
          <w:p>
            <w:pPr>
              <w:ind w:left="280"/>
              <w:spacing w:after="0"/>
              <w:rPr>
                <w:sz w:val="20"/>
                <w:szCs w:val="20"/>
                <w:color w:val="auto"/>
              </w:rPr>
            </w:pPr>
            <w:r>
              <w:rPr>
                <w:rFonts w:ascii="Arial" w:cs="Arial" w:eastAsia="Arial" w:hAnsi="Arial"/>
                <w:sz w:val="16"/>
                <w:szCs w:val="16"/>
                <w:b w:val="1"/>
                <w:bCs w:val="1"/>
                <w:color w:val="auto"/>
              </w:rPr>
              <w:t>Entity’s Business</w:t>
            </w:r>
          </w:p>
        </w:tc>
        <w:tc>
          <w:tcPr>
            <w:tcW w:w="1680" w:type="dxa"/>
            <w:vAlign w:val="bottom"/>
          </w:tcPr>
          <w:p>
            <w:pPr>
              <w:ind w:left="480"/>
              <w:spacing w:after="0"/>
              <w:rPr>
                <w:sz w:val="20"/>
                <w:szCs w:val="20"/>
                <w:color w:val="auto"/>
              </w:rPr>
            </w:pPr>
            <w:r>
              <w:rPr>
                <w:rFonts w:ascii="Arial" w:cs="Arial" w:eastAsia="Arial" w:hAnsi="Arial"/>
                <w:sz w:val="16"/>
                <w:szCs w:val="16"/>
                <w:b w:val="1"/>
                <w:bCs w:val="1"/>
                <w:color w:val="auto"/>
              </w:rPr>
              <w:t>Affiliation</w:t>
            </w:r>
          </w:p>
        </w:tc>
        <w:tc>
          <w:tcPr>
            <w:tcW w:w="0" w:type="dxa"/>
            <w:vAlign w:val="bottom"/>
          </w:tcPr>
          <w:p>
            <w:pPr>
              <w:spacing w:after="0"/>
              <w:rPr>
                <w:sz w:val="1"/>
                <w:szCs w:val="1"/>
                <w:color w:val="auto"/>
              </w:rPr>
            </w:pPr>
          </w:p>
        </w:tc>
      </w:tr>
      <w:tr>
        <w:trPr>
          <w:trHeight w:val="46"/>
        </w:trPr>
        <w:tc>
          <w:tcPr>
            <w:tcW w:w="14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480" w:type="dxa"/>
            <w:vAlign w:val="bottom"/>
          </w:tcPr>
          <w:p>
            <w:pPr>
              <w:spacing w:after="0" w:line="195" w:lineRule="exact"/>
              <w:rPr>
                <w:sz w:val="20"/>
                <w:szCs w:val="20"/>
                <w:color w:val="auto"/>
              </w:rPr>
            </w:pPr>
            <w:r>
              <w:rPr>
                <w:rFonts w:ascii="Arial" w:cs="Arial" w:eastAsia="Arial" w:hAnsi="Arial"/>
                <w:sz w:val="18"/>
                <w:szCs w:val="18"/>
                <w:color w:val="auto"/>
              </w:rPr>
              <w:t>Edward Scheetz</w:t>
            </w:r>
          </w:p>
        </w:tc>
        <w:tc>
          <w:tcPr>
            <w:tcW w:w="100" w:type="dxa"/>
            <w:vAlign w:val="bottom"/>
            <w:vMerge w:val="continue"/>
          </w:tcPr>
          <w:p>
            <w:pPr>
              <w:spacing w:after="0"/>
              <w:rPr>
                <w:sz w:val="16"/>
                <w:szCs w:val="16"/>
                <w:color w:val="auto"/>
              </w:rPr>
            </w:pPr>
          </w:p>
        </w:tc>
        <w:tc>
          <w:tcPr>
            <w:tcW w:w="2920" w:type="dxa"/>
            <w:vAlign w:val="bottom"/>
          </w:tcPr>
          <w:p>
            <w:pPr>
              <w:spacing w:after="0" w:line="195" w:lineRule="exact"/>
              <w:rPr>
                <w:sz w:val="20"/>
                <w:szCs w:val="20"/>
                <w:color w:val="auto"/>
              </w:rPr>
            </w:pPr>
            <w:r>
              <w:rPr>
                <w:rFonts w:ascii="Arial" w:cs="Arial" w:eastAsia="Arial" w:hAnsi="Arial"/>
                <w:sz w:val="18"/>
                <w:szCs w:val="18"/>
                <w:color w:val="auto"/>
              </w:rPr>
              <w:t>Ventoux Acquisition Holdings LLC</w:t>
            </w:r>
          </w:p>
        </w:tc>
        <w:tc>
          <w:tcPr>
            <w:tcW w:w="100" w:type="dxa"/>
            <w:vAlign w:val="bottom"/>
            <w:vMerge w:val="continue"/>
          </w:tcPr>
          <w:p>
            <w:pPr>
              <w:spacing w:after="0"/>
              <w:rPr>
                <w:sz w:val="16"/>
                <w:szCs w:val="16"/>
                <w:color w:val="auto"/>
              </w:rPr>
            </w:pPr>
          </w:p>
        </w:tc>
        <w:tc>
          <w:tcPr>
            <w:tcW w:w="1720" w:type="dxa"/>
            <w:vAlign w:val="bottom"/>
          </w:tcPr>
          <w:p>
            <w:pPr>
              <w:spacing w:after="0" w:line="195" w:lineRule="exact"/>
              <w:rPr>
                <w:sz w:val="20"/>
                <w:szCs w:val="20"/>
                <w:color w:val="auto"/>
              </w:rPr>
            </w:pPr>
            <w:r>
              <w:rPr>
                <w:rFonts w:ascii="Arial" w:cs="Arial" w:eastAsia="Arial" w:hAnsi="Arial"/>
                <w:sz w:val="18"/>
                <w:szCs w:val="18"/>
                <w:color w:val="auto"/>
              </w:rPr>
              <w:t>Co-Sponsor</w:t>
            </w:r>
          </w:p>
        </w:tc>
        <w:tc>
          <w:tcPr>
            <w:tcW w:w="100" w:type="dxa"/>
            <w:vAlign w:val="bottom"/>
            <w:vMerge w:val="continue"/>
          </w:tcPr>
          <w:p>
            <w:pPr>
              <w:spacing w:after="0"/>
              <w:rPr>
                <w:sz w:val="16"/>
                <w:szCs w:val="16"/>
                <w:color w:val="auto"/>
              </w:rPr>
            </w:pPr>
          </w:p>
        </w:tc>
        <w:tc>
          <w:tcPr>
            <w:tcW w:w="1680" w:type="dxa"/>
            <w:vAlign w:val="bottom"/>
          </w:tcPr>
          <w:p>
            <w:pPr>
              <w:spacing w:after="0" w:line="195" w:lineRule="exact"/>
              <w:rPr>
                <w:sz w:val="20"/>
                <w:szCs w:val="20"/>
                <w:color w:val="auto"/>
              </w:rPr>
            </w:pPr>
            <w:r>
              <w:rPr>
                <w:rFonts w:ascii="Arial" w:cs="Arial" w:eastAsia="Arial" w:hAnsi="Arial"/>
                <w:sz w:val="18"/>
                <w:szCs w:val="18"/>
                <w:color w:val="auto"/>
              </w:rPr>
              <w:t>Co-Founder,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Chief Executive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Officer and</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Chairman Officer</w:t>
            </w:r>
          </w:p>
        </w:tc>
        <w:tc>
          <w:tcPr>
            <w:tcW w:w="0" w:type="dxa"/>
            <w:vAlign w:val="bottom"/>
          </w:tcPr>
          <w:p>
            <w:pPr>
              <w:spacing w:after="0"/>
              <w:rPr>
                <w:sz w:val="1"/>
                <w:szCs w:val="1"/>
                <w:color w:val="auto"/>
              </w:rPr>
            </w:pPr>
          </w:p>
        </w:tc>
      </w:tr>
      <w:tr>
        <w:trPr>
          <w:trHeight w:val="377"/>
        </w:trPr>
        <w:tc>
          <w:tcPr>
            <w:tcW w:w="1480" w:type="dxa"/>
            <w:vAlign w:val="bottom"/>
          </w:tcPr>
          <w:p>
            <w:pPr>
              <w:spacing w:after="0"/>
              <w:rPr>
                <w:sz w:val="20"/>
                <w:szCs w:val="20"/>
                <w:color w:val="auto"/>
              </w:rPr>
            </w:pPr>
            <w:r>
              <w:rPr>
                <w:rFonts w:ascii="Arial" w:cs="Arial" w:eastAsia="Arial" w:hAnsi="Arial"/>
                <w:sz w:val="18"/>
                <w:szCs w:val="18"/>
                <w:color w:val="auto"/>
              </w:rPr>
              <w:t>Matthew</w:t>
            </w: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Ventoux Acquisition Holdings LLC</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Co-Sponsor</w:t>
            </w:r>
          </w:p>
        </w:tc>
        <w:tc>
          <w:tcPr>
            <w:tcW w:w="1680" w:type="dxa"/>
            <w:vAlign w:val="bottom"/>
          </w:tcPr>
          <w:p>
            <w:pPr>
              <w:spacing w:after="0"/>
              <w:rPr>
                <w:sz w:val="20"/>
                <w:szCs w:val="20"/>
                <w:color w:val="auto"/>
              </w:rPr>
            </w:pPr>
            <w:r>
              <w:rPr>
                <w:rFonts w:ascii="Arial" w:cs="Arial" w:eastAsia="Arial" w:hAnsi="Arial"/>
                <w:sz w:val="18"/>
                <w:szCs w:val="18"/>
                <w:color w:val="auto"/>
              </w:rPr>
              <w:t>Co-Founder and</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MacDonald</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Chief Financial</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391"/>
        </w:trPr>
        <w:tc>
          <w:tcPr>
            <w:tcW w:w="1480" w:type="dxa"/>
            <w:vAlign w:val="bottom"/>
          </w:tcPr>
          <w:p>
            <w:pPr>
              <w:spacing w:after="0"/>
              <w:rPr>
                <w:sz w:val="20"/>
                <w:szCs w:val="20"/>
                <w:color w:val="auto"/>
              </w:rPr>
            </w:pPr>
            <w:r>
              <w:rPr>
                <w:rFonts w:ascii="Arial" w:cs="Arial" w:eastAsia="Arial" w:hAnsi="Arial"/>
                <w:sz w:val="18"/>
                <w:szCs w:val="18"/>
                <w:color w:val="auto"/>
                <w:w w:val="94"/>
              </w:rPr>
              <w:t>Brock Strasbourger</w:t>
            </w: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Ventoux Acquisition Holdings LLC</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Co-Sponsor</w:t>
            </w:r>
          </w:p>
        </w:tc>
        <w:tc>
          <w:tcPr>
            <w:tcW w:w="1680" w:type="dxa"/>
            <w:vAlign w:val="bottom"/>
          </w:tcPr>
          <w:p>
            <w:pPr>
              <w:spacing w:after="0"/>
              <w:rPr>
                <w:sz w:val="20"/>
                <w:szCs w:val="20"/>
                <w:color w:val="auto"/>
              </w:rPr>
            </w:pPr>
            <w:r>
              <w:rPr>
                <w:rFonts w:ascii="Arial" w:cs="Arial" w:eastAsia="Arial" w:hAnsi="Arial"/>
                <w:sz w:val="18"/>
                <w:szCs w:val="18"/>
                <w:color w:val="auto"/>
              </w:rPr>
              <w:t>Chief Operating</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391"/>
        </w:trPr>
        <w:tc>
          <w:tcPr>
            <w:tcW w:w="1480" w:type="dxa"/>
            <w:vAlign w:val="bottom"/>
          </w:tcPr>
          <w:p>
            <w:pPr>
              <w:spacing w:after="0"/>
              <w:rPr>
                <w:sz w:val="20"/>
                <w:szCs w:val="20"/>
                <w:color w:val="auto"/>
              </w:rPr>
            </w:pPr>
            <w:r>
              <w:rPr>
                <w:rFonts w:ascii="Arial" w:cs="Arial" w:eastAsia="Arial" w:hAnsi="Arial"/>
                <w:sz w:val="18"/>
                <w:szCs w:val="18"/>
                <w:color w:val="auto"/>
              </w:rPr>
              <w:t>Prasad Phatak</w:t>
            </w: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Ventoux Acquisition Holdings LLC</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Co-Sponsor</w:t>
            </w:r>
          </w:p>
        </w:tc>
        <w:tc>
          <w:tcPr>
            <w:tcW w:w="1680" w:type="dxa"/>
            <w:vAlign w:val="bottom"/>
          </w:tcPr>
          <w:p>
            <w:pPr>
              <w:spacing w:after="0"/>
              <w:rPr>
                <w:sz w:val="20"/>
                <w:szCs w:val="20"/>
                <w:color w:val="auto"/>
              </w:rPr>
            </w:pPr>
            <w:r>
              <w:rPr>
                <w:rFonts w:ascii="Arial" w:cs="Arial" w:eastAsia="Arial" w:hAnsi="Arial"/>
                <w:sz w:val="18"/>
                <w:szCs w:val="18"/>
                <w:color w:val="auto"/>
              </w:rPr>
              <w:t>Chief Investment</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270"/>
        </w:trPr>
        <w:tc>
          <w:tcPr>
            <w:tcW w:w="1480" w:type="dxa"/>
            <w:vAlign w:val="bottom"/>
          </w:tcPr>
          <w:p>
            <w:pPr>
              <w:spacing w:after="0"/>
              <w:rPr>
                <w:sz w:val="23"/>
                <w:szCs w:val="23"/>
                <w:color w:val="auto"/>
              </w:rPr>
            </w:pP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Tappan Street Partners LLC</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Hedge fund</w:t>
            </w:r>
          </w:p>
        </w:tc>
        <w:tc>
          <w:tcPr>
            <w:tcW w:w="1680" w:type="dxa"/>
            <w:vAlign w:val="bottom"/>
          </w:tcPr>
          <w:p>
            <w:pPr>
              <w:spacing w:after="0"/>
              <w:rPr>
                <w:sz w:val="20"/>
                <w:szCs w:val="20"/>
                <w:color w:val="auto"/>
              </w:rPr>
            </w:pPr>
            <w:r>
              <w:rPr>
                <w:rFonts w:ascii="Arial" w:cs="Arial" w:eastAsia="Arial" w:hAnsi="Arial"/>
                <w:sz w:val="18"/>
                <w:szCs w:val="18"/>
                <w:color w:val="auto"/>
              </w:rPr>
              <w:t>Managing Member</w:t>
            </w:r>
          </w:p>
        </w:tc>
        <w:tc>
          <w:tcPr>
            <w:tcW w:w="0" w:type="dxa"/>
            <w:vAlign w:val="bottom"/>
          </w:tcPr>
          <w:p>
            <w:pPr>
              <w:spacing w:after="0"/>
              <w:rPr>
                <w:sz w:val="1"/>
                <w:szCs w:val="1"/>
                <w:color w:val="auto"/>
              </w:rPr>
            </w:pPr>
          </w:p>
        </w:tc>
      </w:tr>
      <w:tr>
        <w:trPr>
          <w:trHeight w:val="418"/>
        </w:trPr>
        <w:tc>
          <w:tcPr>
            <w:tcW w:w="1480" w:type="dxa"/>
            <w:vAlign w:val="bottom"/>
          </w:tcPr>
          <w:p>
            <w:pPr>
              <w:spacing w:after="0"/>
              <w:rPr>
                <w:sz w:val="20"/>
                <w:szCs w:val="20"/>
                <w:color w:val="auto"/>
              </w:rPr>
            </w:pPr>
            <w:r>
              <w:rPr>
                <w:rFonts w:ascii="Arial" w:cs="Arial" w:eastAsia="Arial" w:hAnsi="Arial"/>
                <w:sz w:val="18"/>
                <w:szCs w:val="18"/>
                <w:color w:val="auto"/>
              </w:rPr>
              <w:t>Jonas Grossman</w:t>
            </w: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w w:val="91"/>
              </w:rPr>
              <w:t>Chardan International Investments, LLC</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Co-Sponsor</w:t>
            </w:r>
          </w:p>
        </w:tc>
        <w:tc>
          <w:tcPr>
            <w:tcW w:w="1680" w:type="dxa"/>
            <w:vAlign w:val="bottom"/>
          </w:tcPr>
          <w:p>
            <w:pPr>
              <w:spacing w:after="0"/>
              <w:rPr>
                <w:sz w:val="20"/>
                <w:szCs w:val="20"/>
                <w:color w:val="auto"/>
              </w:rPr>
            </w:pPr>
            <w:r>
              <w:rPr>
                <w:rFonts w:ascii="Arial" w:cs="Arial" w:eastAsia="Arial" w:hAnsi="Arial"/>
                <w:sz w:val="18"/>
                <w:szCs w:val="18"/>
                <w:color w:val="auto"/>
              </w:rPr>
              <w:t>Managing Member</w:t>
            </w: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2"/>
                <w:szCs w:val="22"/>
                <w:color w:val="auto"/>
              </w:rPr>
            </w:pP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Chardan Capital Markets, LLC</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Investment bank</w:t>
            </w:r>
          </w:p>
        </w:tc>
        <w:tc>
          <w:tcPr>
            <w:tcW w:w="1680" w:type="dxa"/>
            <w:vAlign w:val="bottom"/>
          </w:tcPr>
          <w:p>
            <w:pPr>
              <w:spacing w:after="0"/>
              <w:rPr>
                <w:sz w:val="20"/>
                <w:szCs w:val="20"/>
                <w:color w:val="auto"/>
              </w:rPr>
            </w:pPr>
            <w:r>
              <w:rPr>
                <w:rFonts w:ascii="Arial" w:cs="Arial" w:eastAsia="Arial" w:hAnsi="Arial"/>
                <w:sz w:val="18"/>
                <w:szCs w:val="18"/>
                <w:color w:val="auto"/>
                <w:w w:val="92"/>
              </w:rPr>
              <w:t>President, Partner and</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Head of Capital</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Markets</w:t>
            </w:r>
          </w:p>
        </w:tc>
        <w:tc>
          <w:tcPr>
            <w:tcW w:w="0" w:type="dxa"/>
            <w:vAlign w:val="bottom"/>
          </w:tcPr>
          <w:p>
            <w:pPr>
              <w:spacing w:after="0"/>
              <w:rPr>
                <w:sz w:val="1"/>
                <w:szCs w:val="1"/>
                <w:color w:val="auto"/>
              </w:rPr>
            </w:pPr>
          </w:p>
        </w:tc>
      </w:tr>
      <w:tr>
        <w:trPr>
          <w:trHeight w:val="242"/>
        </w:trPr>
        <w:tc>
          <w:tcPr>
            <w:tcW w:w="1480" w:type="dxa"/>
            <w:vAlign w:val="bottom"/>
          </w:tcPr>
          <w:p>
            <w:pPr>
              <w:spacing w:after="0"/>
              <w:rPr>
                <w:sz w:val="21"/>
                <w:szCs w:val="21"/>
                <w:color w:val="auto"/>
              </w:rPr>
            </w:pP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BiomX, Inc.</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Pre-clinical</w:t>
            </w:r>
          </w:p>
        </w:tc>
        <w:tc>
          <w:tcPr>
            <w:tcW w:w="16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microbiome company</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w w:val="96"/>
              </w:rPr>
              <w:t>developing both natural</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w w:val="96"/>
              </w:rPr>
              <w:t>and engineered phage-</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based therapies for</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acne and chronic</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diseases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2"/>
                <w:szCs w:val="22"/>
                <w:color w:val="auto"/>
              </w:rPr>
            </w:pP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LifeSci Acquisition Corp.</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Blank check company</w:t>
            </w:r>
          </w:p>
        </w:tc>
        <w:tc>
          <w:tcPr>
            <w:tcW w:w="16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69"/>
        </w:trPr>
        <w:tc>
          <w:tcPr>
            <w:tcW w:w="1480" w:type="dxa"/>
            <w:vAlign w:val="bottom"/>
          </w:tcPr>
          <w:p>
            <w:pPr>
              <w:spacing w:after="0"/>
              <w:rPr>
                <w:sz w:val="23"/>
                <w:szCs w:val="23"/>
                <w:color w:val="auto"/>
              </w:rPr>
            </w:pP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w w:val="91"/>
              </w:rPr>
              <w:t>Chardan Healthcare Acquisition 2 Corp.</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Blank check company</w:t>
            </w:r>
          </w:p>
        </w:tc>
        <w:tc>
          <w:tcPr>
            <w:tcW w:w="1680" w:type="dxa"/>
            <w:vAlign w:val="bottom"/>
          </w:tcPr>
          <w:p>
            <w:pPr>
              <w:spacing w:after="0"/>
              <w:rPr>
                <w:sz w:val="20"/>
                <w:szCs w:val="20"/>
                <w:color w:val="auto"/>
              </w:rPr>
            </w:pPr>
            <w:r>
              <w:rPr>
                <w:rFonts w:ascii="Arial" w:cs="Arial" w:eastAsia="Arial" w:hAnsi="Arial"/>
                <w:sz w:val="18"/>
                <w:szCs w:val="18"/>
                <w:color w:val="auto"/>
              </w:rPr>
              <w:t>Chief Executive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w w:val="95"/>
              </w:rPr>
              <w:t>Officer and President,</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2"/>
                <w:szCs w:val="22"/>
                <w:color w:val="auto"/>
              </w:rPr>
            </w:pP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Cornix Advisors, LLC</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Hedge fund</w:t>
            </w:r>
          </w:p>
        </w:tc>
        <w:tc>
          <w:tcPr>
            <w:tcW w:w="1680" w:type="dxa"/>
            <w:vAlign w:val="bottom"/>
          </w:tcPr>
          <w:p>
            <w:pPr>
              <w:spacing w:after="0"/>
              <w:rPr>
                <w:sz w:val="20"/>
                <w:szCs w:val="20"/>
                <w:color w:val="auto"/>
              </w:rPr>
            </w:pPr>
            <w:r>
              <w:rPr>
                <w:rFonts w:ascii="Arial" w:cs="Arial" w:eastAsia="Arial" w:hAnsi="Arial"/>
                <w:sz w:val="18"/>
                <w:szCs w:val="18"/>
                <w:color w:val="auto"/>
              </w:rPr>
              <w:t>Founding Partner</w:t>
            </w:r>
          </w:p>
        </w:tc>
        <w:tc>
          <w:tcPr>
            <w:tcW w:w="0" w:type="dxa"/>
            <w:vAlign w:val="bottom"/>
          </w:tcPr>
          <w:p>
            <w:pPr>
              <w:spacing w:after="0"/>
              <w:rPr>
                <w:sz w:val="1"/>
                <w:szCs w:val="1"/>
                <w:color w:val="auto"/>
              </w:rPr>
            </w:pPr>
          </w:p>
        </w:tc>
      </w:tr>
      <w:tr>
        <w:trPr>
          <w:trHeight w:val="404"/>
        </w:trPr>
        <w:tc>
          <w:tcPr>
            <w:tcW w:w="1480" w:type="dxa"/>
            <w:vAlign w:val="bottom"/>
          </w:tcPr>
          <w:p>
            <w:pPr>
              <w:spacing w:after="0"/>
              <w:rPr>
                <w:sz w:val="20"/>
                <w:szCs w:val="20"/>
                <w:color w:val="auto"/>
              </w:rPr>
            </w:pPr>
            <w:r>
              <w:rPr>
                <w:rFonts w:ascii="Arial" w:cs="Arial" w:eastAsia="Arial" w:hAnsi="Arial"/>
                <w:sz w:val="18"/>
                <w:szCs w:val="18"/>
                <w:color w:val="auto"/>
              </w:rPr>
              <w:t>Woodrow</w:t>
            </w: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Extend, Inc.</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Company focused on</w:t>
            </w:r>
          </w:p>
        </w:tc>
        <w:tc>
          <w:tcPr>
            <w:tcW w:w="1680" w:type="dxa"/>
            <w:vAlign w:val="bottom"/>
          </w:tcPr>
          <w:p>
            <w:pPr>
              <w:spacing w:after="0"/>
              <w:rPr>
                <w:sz w:val="20"/>
                <w:szCs w:val="20"/>
                <w:color w:val="auto"/>
              </w:rPr>
            </w:pPr>
            <w:r>
              <w:rPr>
                <w:rFonts w:ascii="Arial" w:cs="Arial" w:eastAsia="Arial" w:hAnsi="Arial"/>
                <w:sz w:val="18"/>
                <w:szCs w:val="18"/>
                <w:color w:val="auto"/>
              </w:rPr>
              <w:t>Chief Executive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w w:val="96"/>
              </w:rPr>
              <w:t>(“Woody”) H. Levin</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API-first solution for</w:t>
            </w:r>
          </w:p>
        </w:tc>
        <w:tc>
          <w:tcPr>
            <w:tcW w:w="1680" w:type="dxa"/>
            <w:vAlign w:val="bottom"/>
          </w:tcPr>
          <w:p>
            <w:pPr>
              <w:spacing w:after="0"/>
              <w:rPr>
                <w:sz w:val="20"/>
                <w:szCs w:val="20"/>
                <w:color w:val="auto"/>
              </w:rPr>
            </w:pPr>
            <w:r>
              <w:rPr>
                <w:rFonts w:ascii="Arial" w:cs="Arial" w:eastAsia="Arial" w:hAnsi="Arial"/>
                <w:sz w:val="18"/>
                <w:szCs w:val="18"/>
                <w:color w:val="auto"/>
              </w:rPr>
              <w:t>Officer and 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merchants to offer</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extended warranties</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and protection plans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2"/>
                <w:szCs w:val="22"/>
                <w:color w:val="auto"/>
              </w:rPr>
            </w:pP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3.0 Capital GP, LLC</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Hedge fund</w:t>
            </w:r>
          </w:p>
        </w:tc>
        <w:tc>
          <w:tcPr>
            <w:tcW w:w="1680" w:type="dxa"/>
            <w:vAlign w:val="bottom"/>
          </w:tcPr>
          <w:p>
            <w:pPr>
              <w:spacing w:after="0"/>
              <w:rPr>
                <w:sz w:val="20"/>
                <w:szCs w:val="20"/>
                <w:color w:val="auto"/>
              </w:rPr>
            </w:pPr>
            <w:r>
              <w:rPr>
                <w:rFonts w:ascii="Arial" w:cs="Arial" w:eastAsia="Arial" w:hAnsi="Arial"/>
                <w:sz w:val="18"/>
                <w:szCs w:val="18"/>
                <w:color w:val="auto"/>
              </w:rPr>
              <w:t>Chief Executive</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242"/>
        </w:trPr>
        <w:tc>
          <w:tcPr>
            <w:tcW w:w="1480" w:type="dxa"/>
            <w:vAlign w:val="bottom"/>
          </w:tcPr>
          <w:p>
            <w:pPr>
              <w:spacing w:after="0"/>
              <w:rPr>
                <w:sz w:val="21"/>
                <w:szCs w:val="21"/>
                <w:color w:val="auto"/>
              </w:rPr>
            </w:pP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DraftKings Inc.</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Company focused on</w:t>
            </w:r>
          </w:p>
        </w:tc>
        <w:tc>
          <w:tcPr>
            <w:tcW w:w="16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digital sports</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entertainment and</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gaming</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2"/>
                <w:szCs w:val="22"/>
                <w:color w:val="auto"/>
              </w:rPr>
            </w:pP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w w:val="95"/>
              </w:rPr>
              <w:t>10X Capital Venture Acquisition Corp.</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Blank check company</w:t>
            </w:r>
          </w:p>
        </w:tc>
        <w:tc>
          <w:tcPr>
            <w:tcW w:w="16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04"/>
        </w:trPr>
        <w:tc>
          <w:tcPr>
            <w:tcW w:w="1480" w:type="dxa"/>
            <w:vAlign w:val="bottom"/>
          </w:tcPr>
          <w:p>
            <w:pPr>
              <w:spacing w:after="0"/>
              <w:rPr>
                <w:sz w:val="20"/>
                <w:szCs w:val="20"/>
                <w:color w:val="auto"/>
              </w:rPr>
            </w:pPr>
            <w:r>
              <w:rPr>
                <w:rFonts w:ascii="Arial" w:cs="Arial" w:eastAsia="Arial" w:hAnsi="Arial"/>
                <w:sz w:val="18"/>
                <w:szCs w:val="18"/>
                <w:color w:val="auto"/>
              </w:rPr>
              <w:t>Alex Weil</w:t>
            </w: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Chardan Capital Markets, LLC</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Investment bank</w:t>
            </w:r>
          </w:p>
        </w:tc>
        <w:tc>
          <w:tcPr>
            <w:tcW w:w="1680" w:type="dxa"/>
            <w:vAlign w:val="bottom"/>
          </w:tcPr>
          <w:p>
            <w:pPr>
              <w:spacing w:after="0"/>
              <w:rPr>
                <w:sz w:val="20"/>
                <w:szCs w:val="20"/>
                <w:color w:val="auto"/>
              </w:rPr>
            </w:pPr>
            <w:r>
              <w:rPr>
                <w:rFonts w:ascii="Arial" w:cs="Arial" w:eastAsia="Arial" w:hAnsi="Arial"/>
                <w:sz w:val="18"/>
                <w:szCs w:val="18"/>
                <w:color w:val="auto"/>
              </w:rPr>
              <w:t>Managing 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and Co-Head of</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Fintech Investment</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Banking</w:t>
            </w:r>
          </w:p>
        </w:tc>
        <w:tc>
          <w:tcPr>
            <w:tcW w:w="0" w:type="dxa"/>
            <w:vAlign w:val="bottom"/>
          </w:tcPr>
          <w:p>
            <w:pPr>
              <w:spacing w:after="0"/>
              <w:rPr>
                <w:sz w:val="1"/>
                <w:szCs w:val="1"/>
                <w:color w:val="auto"/>
              </w:rPr>
            </w:pPr>
          </w:p>
        </w:tc>
      </w:tr>
      <w:tr>
        <w:trPr>
          <w:trHeight w:val="445"/>
        </w:trPr>
        <w:tc>
          <w:tcPr>
            <w:tcW w:w="14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
          </w:tcPr>
          <w:p>
            <w:pPr>
              <w:ind w:left="248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86" w:name="page87"/>
    <w:bookmarkEnd w:id="8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480" w:type="dxa"/>
            <w:vAlign w:val="bottom"/>
          </w:tcPr>
          <w:p>
            <w:pPr>
              <w:spacing w:after="0"/>
              <w:rPr>
                <w:sz w:val="20"/>
                <w:szCs w:val="20"/>
                <w:color w:val="auto"/>
              </w:rPr>
            </w:pPr>
            <w:r>
              <w:rPr>
                <w:rFonts w:ascii="Arial" w:cs="Arial" w:eastAsia="Arial" w:hAnsi="Arial"/>
                <w:sz w:val="16"/>
                <w:szCs w:val="16"/>
                <w:b w:val="1"/>
                <w:bCs w:val="1"/>
                <w:color w:val="auto"/>
              </w:rPr>
              <w:t>Name of Individual</w:t>
            </w:r>
          </w:p>
        </w:tc>
        <w:tc>
          <w:tcPr>
            <w:tcW w:w="100" w:type="dxa"/>
            <w:vAlign w:val="bottom"/>
          </w:tcPr>
          <w:p>
            <w:pPr>
              <w:spacing w:after="0"/>
              <w:rPr>
                <w:sz w:val="18"/>
                <w:szCs w:val="18"/>
                <w:color w:val="auto"/>
              </w:rPr>
            </w:pPr>
          </w:p>
        </w:tc>
        <w:tc>
          <w:tcPr>
            <w:tcW w:w="2980" w:type="dxa"/>
            <w:vAlign w:val="bottom"/>
            <w:gridSpan w:val="2"/>
          </w:tcPr>
          <w:p>
            <w:pPr>
              <w:ind w:left="440"/>
              <w:spacing w:after="0"/>
              <w:rPr>
                <w:sz w:val="20"/>
                <w:szCs w:val="20"/>
                <w:color w:val="auto"/>
              </w:rPr>
            </w:pPr>
            <w:r>
              <w:rPr>
                <w:rFonts w:ascii="Arial" w:cs="Arial" w:eastAsia="Arial" w:hAnsi="Arial"/>
                <w:sz w:val="16"/>
                <w:szCs w:val="16"/>
                <w:b w:val="1"/>
                <w:bCs w:val="1"/>
                <w:color w:val="auto"/>
              </w:rPr>
              <w:t>Name of Affiliated Company</w:t>
            </w:r>
          </w:p>
        </w:tc>
        <w:tc>
          <w:tcPr>
            <w:tcW w:w="1840" w:type="dxa"/>
            <w:vAlign w:val="bottom"/>
            <w:gridSpan w:val="2"/>
          </w:tcPr>
          <w:p>
            <w:pPr>
              <w:ind w:left="280"/>
              <w:spacing w:after="0"/>
              <w:rPr>
                <w:sz w:val="20"/>
                <w:szCs w:val="20"/>
                <w:color w:val="auto"/>
              </w:rPr>
            </w:pPr>
            <w:r>
              <w:rPr>
                <w:rFonts w:ascii="Arial" w:cs="Arial" w:eastAsia="Arial" w:hAnsi="Arial"/>
                <w:sz w:val="16"/>
                <w:szCs w:val="16"/>
                <w:b w:val="1"/>
                <w:bCs w:val="1"/>
                <w:color w:val="auto"/>
              </w:rPr>
              <w:t>Entity’s Business</w:t>
            </w:r>
          </w:p>
        </w:tc>
        <w:tc>
          <w:tcPr>
            <w:tcW w:w="1700" w:type="dxa"/>
            <w:vAlign w:val="bottom"/>
          </w:tcPr>
          <w:p>
            <w:pPr>
              <w:ind w:left="480"/>
              <w:spacing w:after="0"/>
              <w:rPr>
                <w:sz w:val="20"/>
                <w:szCs w:val="20"/>
                <w:color w:val="auto"/>
              </w:rPr>
            </w:pPr>
            <w:r>
              <w:rPr>
                <w:rFonts w:ascii="Arial" w:cs="Arial" w:eastAsia="Arial" w:hAnsi="Arial"/>
                <w:sz w:val="16"/>
                <w:szCs w:val="16"/>
                <w:b w:val="1"/>
                <w:bCs w:val="1"/>
                <w:color w:val="auto"/>
              </w:rPr>
              <w:t>Affiliation</w:t>
            </w:r>
          </w:p>
        </w:tc>
        <w:tc>
          <w:tcPr>
            <w:tcW w:w="0" w:type="dxa"/>
            <w:vAlign w:val="bottom"/>
          </w:tcPr>
          <w:p>
            <w:pPr>
              <w:spacing w:after="0"/>
              <w:rPr>
                <w:sz w:val="1"/>
                <w:szCs w:val="1"/>
                <w:color w:val="auto"/>
              </w:rPr>
            </w:pPr>
          </w:p>
        </w:tc>
      </w:tr>
      <w:tr>
        <w:trPr>
          <w:trHeight w:val="47"/>
        </w:trPr>
        <w:tc>
          <w:tcPr>
            <w:tcW w:w="14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480" w:type="dxa"/>
            <w:vAlign w:val="bottom"/>
          </w:tcPr>
          <w:p>
            <w:pPr>
              <w:spacing w:after="0" w:line="195" w:lineRule="exact"/>
              <w:rPr>
                <w:sz w:val="20"/>
                <w:szCs w:val="20"/>
                <w:color w:val="auto"/>
              </w:rPr>
            </w:pPr>
            <w:r>
              <w:rPr>
                <w:rFonts w:ascii="Arial" w:cs="Arial" w:eastAsia="Arial" w:hAnsi="Arial"/>
                <w:sz w:val="18"/>
                <w:szCs w:val="18"/>
                <w:color w:val="auto"/>
              </w:rPr>
              <w:t>Julie Atkinson</w:t>
            </w:r>
          </w:p>
        </w:tc>
        <w:tc>
          <w:tcPr>
            <w:tcW w:w="100" w:type="dxa"/>
            <w:vAlign w:val="bottom"/>
            <w:vMerge w:val="continue"/>
          </w:tcPr>
          <w:p>
            <w:pPr>
              <w:spacing w:after="0"/>
              <w:rPr>
                <w:sz w:val="16"/>
                <w:szCs w:val="16"/>
                <w:color w:val="auto"/>
              </w:rPr>
            </w:pPr>
          </w:p>
        </w:tc>
        <w:tc>
          <w:tcPr>
            <w:tcW w:w="2880" w:type="dxa"/>
            <w:vAlign w:val="bottom"/>
          </w:tcPr>
          <w:p>
            <w:pPr>
              <w:spacing w:after="0" w:line="195" w:lineRule="exact"/>
              <w:rPr>
                <w:sz w:val="20"/>
                <w:szCs w:val="20"/>
                <w:color w:val="auto"/>
              </w:rPr>
            </w:pPr>
            <w:r>
              <w:rPr>
                <w:rFonts w:ascii="Arial" w:cs="Arial" w:eastAsia="Arial" w:hAnsi="Arial"/>
                <w:sz w:val="18"/>
                <w:szCs w:val="18"/>
                <w:color w:val="auto"/>
              </w:rPr>
              <w:t>Founders Table Restaurant Group</w:t>
            </w:r>
          </w:p>
        </w:tc>
        <w:tc>
          <w:tcPr>
            <w:tcW w:w="100" w:type="dxa"/>
            <w:vAlign w:val="bottom"/>
            <w:vMerge w:val="continue"/>
          </w:tcPr>
          <w:p>
            <w:pPr>
              <w:spacing w:after="0"/>
              <w:rPr>
                <w:sz w:val="16"/>
                <w:szCs w:val="16"/>
                <w:color w:val="auto"/>
              </w:rPr>
            </w:pPr>
          </w:p>
        </w:tc>
        <w:tc>
          <w:tcPr>
            <w:tcW w:w="1740" w:type="dxa"/>
            <w:vAlign w:val="bottom"/>
          </w:tcPr>
          <w:p>
            <w:pPr>
              <w:spacing w:after="0" w:line="195" w:lineRule="exact"/>
              <w:rPr>
                <w:sz w:val="20"/>
                <w:szCs w:val="20"/>
                <w:color w:val="auto"/>
              </w:rPr>
            </w:pPr>
            <w:r>
              <w:rPr>
                <w:rFonts w:ascii="Arial" w:cs="Arial" w:eastAsia="Arial" w:hAnsi="Arial"/>
                <w:sz w:val="18"/>
                <w:szCs w:val="18"/>
                <w:color w:val="auto"/>
              </w:rPr>
              <w:t>Company focused on</w:t>
            </w:r>
          </w:p>
        </w:tc>
        <w:tc>
          <w:tcPr>
            <w:tcW w:w="100" w:type="dxa"/>
            <w:vAlign w:val="bottom"/>
            <w:vMerge w:val="continue"/>
          </w:tcPr>
          <w:p>
            <w:pPr>
              <w:spacing w:after="0"/>
              <w:rPr>
                <w:sz w:val="16"/>
                <w:szCs w:val="16"/>
                <w:color w:val="auto"/>
              </w:rPr>
            </w:pPr>
          </w:p>
        </w:tc>
        <w:tc>
          <w:tcPr>
            <w:tcW w:w="1700" w:type="dxa"/>
            <w:vAlign w:val="bottom"/>
          </w:tcPr>
          <w:p>
            <w:pPr>
              <w:spacing w:after="0" w:line="195" w:lineRule="exact"/>
              <w:rPr>
                <w:sz w:val="20"/>
                <w:szCs w:val="20"/>
                <w:color w:val="auto"/>
              </w:rPr>
            </w:pPr>
            <w:r>
              <w:rPr>
                <w:rFonts w:ascii="Arial" w:cs="Arial" w:eastAsia="Arial" w:hAnsi="Arial"/>
                <w:sz w:val="18"/>
                <w:szCs w:val="18"/>
                <w:color w:val="auto"/>
              </w:rPr>
              <w:t>Chief Marketing</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creation, acquisition</w:t>
            </w:r>
          </w:p>
        </w:tc>
        <w:tc>
          <w:tcPr>
            <w:tcW w:w="1700" w:type="dxa"/>
            <w:vAlign w:val="bottom"/>
          </w:tcPr>
          <w:p>
            <w:pPr>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and cultivation of</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founder led-restaurant</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companies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480" w:type="dxa"/>
            <w:vAlign w:val="bottom"/>
          </w:tcPr>
          <w:p>
            <w:pPr>
              <w:spacing w:after="0"/>
              <w:rPr>
                <w:sz w:val="21"/>
                <w:szCs w:val="21"/>
                <w:color w:val="auto"/>
              </w:rPr>
            </w:pP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Bright Horizons Family Solutions Inc.</w:t>
            </w:r>
          </w:p>
        </w:tc>
        <w:tc>
          <w:tcPr>
            <w:tcW w:w="1840" w:type="dxa"/>
            <w:vAlign w:val="bottom"/>
            <w:gridSpan w:val="2"/>
          </w:tcPr>
          <w:p>
            <w:pPr>
              <w:spacing w:after="0"/>
              <w:rPr>
                <w:sz w:val="20"/>
                <w:szCs w:val="20"/>
                <w:color w:val="auto"/>
              </w:rPr>
            </w:pPr>
            <w:r>
              <w:rPr>
                <w:rFonts w:ascii="Arial" w:cs="Arial" w:eastAsia="Arial" w:hAnsi="Arial"/>
                <w:sz w:val="18"/>
                <w:szCs w:val="18"/>
                <w:color w:val="auto"/>
              </w:rPr>
              <w:t>Provider of child care</w:t>
            </w:r>
          </w:p>
        </w:tc>
        <w:tc>
          <w:tcPr>
            <w:tcW w:w="170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and early education,</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dependent care, and</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workforce education</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service</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480" w:type="dxa"/>
            <w:vAlign w:val="bottom"/>
          </w:tcPr>
          <w:p>
            <w:pPr>
              <w:spacing w:after="0"/>
              <w:rPr>
                <w:sz w:val="20"/>
                <w:szCs w:val="20"/>
                <w:color w:val="auto"/>
              </w:rPr>
            </w:pPr>
            <w:r>
              <w:rPr>
                <w:rFonts w:ascii="Arial" w:cs="Arial" w:eastAsia="Arial" w:hAnsi="Arial"/>
                <w:sz w:val="18"/>
                <w:szCs w:val="18"/>
                <w:color w:val="auto"/>
              </w:rPr>
              <w:t>Christian (“Chris”)</w:t>
            </w: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Certares</w:t>
            </w:r>
          </w:p>
        </w:tc>
        <w:tc>
          <w:tcPr>
            <w:tcW w:w="1840" w:type="dxa"/>
            <w:vAlign w:val="bottom"/>
            <w:gridSpan w:val="2"/>
          </w:tcPr>
          <w:p>
            <w:pPr>
              <w:spacing w:after="0"/>
              <w:rPr>
                <w:sz w:val="20"/>
                <w:szCs w:val="20"/>
                <w:color w:val="auto"/>
              </w:rPr>
            </w:pPr>
            <w:r>
              <w:rPr>
                <w:rFonts w:ascii="Arial" w:cs="Arial" w:eastAsia="Arial" w:hAnsi="Arial"/>
                <w:sz w:val="18"/>
                <w:szCs w:val="18"/>
                <w:color w:val="auto"/>
              </w:rPr>
              <w:t>Investment</w:t>
            </w:r>
          </w:p>
        </w:tc>
        <w:tc>
          <w:tcPr>
            <w:tcW w:w="1700" w:type="dxa"/>
            <w:vAlign w:val="bottom"/>
          </w:tcPr>
          <w:p>
            <w:pPr>
              <w:spacing w:after="0"/>
              <w:rPr>
                <w:sz w:val="20"/>
                <w:szCs w:val="20"/>
                <w:color w:val="auto"/>
              </w:rPr>
            </w:pPr>
            <w:r>
              <w:rPr>
                <w:rFonts w:ascii="Arial" w:cs="Arial" w:eastAsia="Arial" w:hAnsi="Arial"/>
                <w:sz w:val="18"/>
                <w:szCs w:val="18"/>
                <w:color w:val="auto"/>
              </w:rPr>
              <w:t>Advisor</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Ahrens</w:t>
            </w: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w w:val="99"/>
              </w:rPr>
              <w:t>management company</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480" w:type="dxa"/>
            <w:vAlign w:val="bottom"/>
          </w:tcPr>
          <w:p>
            <w:pPr>
              <w:spacing w:after="0"/>
              <w:rPr>
                <w:sz w:val="21"/>
                <w:szCs w:val="21"/>
                <w:color w:val="auto"/>
              </w:rPr>
            </w:pP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Internova Travel Group</w:t>
            </w:r>
          </w:p>
        </w:tc>
        <w:tc>
          <w:tcPr>
            <w:tcW w:w="1840" w:type="dxa"/>
            <w:vAlign w:val="bottom"/>
            <w:gridSpan w:val="2"/>
          </w:tcPr>
          <w:p>
            <w:pPr>
              <w:spacing w:after="0"/>
              <w:rPr>
                <w:sz w:val="20"/>
                <w:szCs w:val="20"/>
                <w:color w:val="auto"/>
              </w:rPr>
            </w:pPr>
            <w:r>
              <w:rPr>
                <w:rFonts w:ascii="Arial" w:cs="Arial" w:eastAsia="Arial" w:hAnsi="Arial"/>
                <w:sz w:val="18"/>
                <w:szCs w:val="18"/>
                <w:color w:val="auto"/>
              </w:rPr>
              <w:t>Company focused on</w:t>
            </w:r>
          </w:p>
        </w:tc>
        <w:tc>
          <w:tcPr>
            <w:tcW w:w="170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travel services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480" w:type="dxa"/>
            <w:vAlign w:val="bottom"/>
          </w:tcPr>
          <w:p>
            <w:pPr>
              <w:spacing w:after="0"/>
              <w:rPr>
                <w:sz w:val="20"/>
                <w:szCs w:val="20"/>
                <w:color w:val="auto"/>
              </w:rPr>
            </w:pPr>
            <w:r>
              <w:rPr>
                <w:rFonts w:ascii="Arial" w:cs="Arial" w:eastAsia="Arial" w:hAnsi="Arial"/>
                <w:sz w:val="18"/>
                <w:szCs w:val="18"/>
                <w:color w:val="auto"/>
              </w:rPr>
              <w:t>Bernard Van der</w:t>
            </w: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Cindat</w:t>
            </w:r>
          </w:p>
        </w:tc>
        <w:tc>
          <w:tcPr>
            <w:tcW w:w="1840" w:type="dxa"/>
            <w:vAlign w:val="bottom"/>
            <w:gridSpan w:val="2"/>
          </w:tcPr>
          <w:p>
            <w:pPr>
              <w:spacing w:after="0"/>
              <w:rPr>
                <w:sz w:val="20"/>
                <w:szCs w:val="20"/>
                <w:color w:val="auto"/>
              </w:rPr>
            </w:pPr>
            <w:r>
              <w:rPr>
                <w:rFonts w:ascii="Arial" w:cs="Arial" w:eastAsia="Arial" w:hAnsi="Arial"/>
                <w:sz w:val="18"/>
                <w:szCs w:val="18"/>
                <w:color w:val="auto"/>
              </w:rPr>
              <w:t>Private equity</w:t>
            </w:r>
          </w:p>
        </w:tc>
        <w:tc>
          <w:tcPr>
            <w:tcW w:w="1700" w:type="dxa"/>
            <w:vAlign w:val="bottom"/>
          </w:tcPr>
          <w:p>
            <w:pPr>
              <w:spacing w:after="0"/>
              <w:rPr>
                <w:sz w:val="20"/>
                <w:szCs w:val="20"/>
                <w:color w:val="auto"/>
              </w:rPr>
            </w:pPr>
            <w:r>
              <w:rPr>
                <w:rFonts w:ascii="Arial" w:cs="Arial" w:eastAsia="Arial" w:hAnsi="Arial"/>
                <w:sz w:val="18"/>
                <w:szCs w:val="18"/>
                <w:color w:val="auto"/>
              </w:rPr>
              <w:t>Managing Director</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Lande</w:t>
            </w: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investment platform</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Our insiders, including our officers and directors, have agreed to vote any shares of common stock held by them in favor of our initial business combination. In addition, they have agreed to waive their respective rights to receive any amounts held in the trust account with respect to their insider shares if we are unable to complete our initial business combination within the required time frame. If they purchase shares of common stock in this offering or in the open market, however, they would be entitled to receive their pro rata share of the amounts held in the trust account if we are unable to complete our initial business combination within the required time frame, but have agreed not to convert such shares in connection with the consummation of our initial business combination.</w:t>
      </w:r>
    </w:p>
    <w:p>
      <w:pPr>
        <w:spacing w:after="0" w:line="124"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disinterested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111"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To further minimize conflicts of interest, we have agreed not to consummate our initial business combination with an entity that is affiliated with any of our officers, directors or other insiders, unless we have obtained (i) an opinion from an independent investment banking firm that the business combination is fair to our stockholders from a financial point of view and (ii) the approval of a majority of our disinterested and independent directors.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Our certificate of incorporation provides that our directors and officers will be indemnified by us to the fullest extent authorized by Delaware law as it now exists or may in the future be amended. In addition, our certificate of incorporation provides that our directors will not be personally liable for monetary damages resulting from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 Notwithstanding the foregoing, as set forth in our certificate of incorporation, such indemnification will not extend to any claims our insiders may make to us to cover any loss that they may sustain as a result of their agreement to pay debts and obligations to target businesses or vendors or other entities that are owed money by us for services rendered or contracted for or products sold to us as described elsewhere in this prospectus.</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7" w:name="page88"/>
    <w:bookmarkEnd w:id="8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Our bylaws also will permit us to secure insurance on behalf of any officer, director or employee for any liability arising out of his or her actions, regardless of whether Delaware law would permit indemnification. We will purchase a policy of directors’ and officers’ liability insurance that insures our directors and officers against the cost of defense, settlement or payment of a judgment in accordance with the terms of such policy and insures us against our obligations to indemnify the directors and officers.</w:t>
      </w:r>
    </w:p>
    <w:p>
      <w:pPr>
        <w:spacing w:after="0" w:line="109"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provisions. We believe that these provisions, the insurance and the indemnity agreements are necessary to attract and retain talented and experienced directors and officers.</w:t>
      </w:r>
    </w:p>
    <w:p>
      <w:pPr>
        <w:spacing w:after="0" w:line="11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8" w:name="page89"/>
    <w:bookmarkEnd w:id="8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48"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The following table sets forth information regarding the beneficial ownership of our shares of common stock as of the date of this prospectus and as adjusted to reflect the sale of our shares of common stock included in the units offered by this prospectus (assuming none of the individuals listed purchase units in this offering), by:</w:t>
      </w:r>
    </w:p>
    <w:p>
      <w:pPr>
        <w:spacing w:after="0" w:line="119" w:lineRule="exact"/>
        <w:rPr>
          <w:sz w:val="20"/>
          <w:szCs w:val="20"/>
          <w:color w:val="auto"/>
        </w:rPr>
      </w:pPr>
    </w:p>
    <w:p>
      <w:pPr>
        <w:ind w:left="1320" w:right="479" w:hanging="434"/>
        <w:spacing w:after="0" w:line="277" w:lineRule="auto"/>
        <w:tabs>
          <w:tab w:leader="none" w:pos="1338"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shares of common stock;</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of our officers and directors;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of our officers and directors as a group.</w:t>
      </w:r>
    </w:p>
    <w:p>
      <w:pPr>
        <w:spacing w:after="0" w:line="158"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Unless otherwise indicated, we believe that all persons named in the table have sole voting and investment power with respect to all shares of common stock beneficially owned by them. The following table does not reflect record of beneficial ownership of any shares of common stock issuable upon exercise of the warrants, as the warrants are not exercisable within 60 days of the date of this prospectus.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50"/>
        </w:trPr>
        <w:tc>
          <w:tcPr>
            <w:tcW w:w="2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tcPr>
          <w:p>
            <w:pPr>
              <w:ind w:left="620"/>
              <w:spacing w:after="0"/>
              <w:rPr>
                <w:sz w:val="20"/>
                <w:szCs w:val="20"/>
                <w:color w:val="auto"/>
              </w:rPr>
            </w:pPr>
            <w:r>
              <w:rPr>
                <w:rFonts w:ascii="Arial" w:cs="Arial" w:eastAsia="Arial" w:hAnsi="Arial"/>
                <w:sz w:val="16"/>
                <w:szCs w:val="16"/>
                <w:b w:val="1"/>
                <w:bCs w:val="1"/>
                <w:color w:val="auto"/>
              </w:rPr>
              <w:t>Prior to Offering</w:t>
            </w:r>
          </w:p>
        </w:tc>
        <w:tc>
          <w:tcPr>
            <w:tcW w:w="2500" w:type="dxa"/>
            <w:vAlign w:val="bottom"/>
            <w:gridSpan w:val="3"/>
          </w:tcPr>
          <w:p>
            <w:pPr>
              <w:jc w:val="right"/>
              <w:ind w:right="613"/>
              <w:spacing w:after="0"/>
              <w:rPr>
                <w:sz w:val="20"/>
                <w:szCs w:val="20"/>
                <w:color w:val="auto"/>
              </w:rPr>
            </w:pPr>
            <w:r>
              <w:rPr>
                <w:rFonts w:ascii="Arial" w:cs="Arial" w:eastAsia="Arial" w:hAnsi="Arial"/>
                <w:sz w:val="16"/>
                <w:szCs w:val="16"/>
                <w:b w:val="1"/>
                <w:bCs w:val="1"/>
                <w:color w:val="auto"/>
              </w:rPr>
              <w:t>After Offering</w:t>
            </w:r>
            <w:r>
              <w:rPr>
                <w:rFonts w:ascii="Arial" w:cs="Arial" w:eastAsia="Arial" w:hAnsi="Arial"/>
                <w:sz w:val="18"/>
                <w:szCs w:val="18"/>
                <w:b w:val="1"/>
                <w:bCs w:val="1"/>
                <w:color w:val="auto"/>
                <w:vertAlign w:val="superscript"/>
              </w:rPr>
              <w:t>(2)</w:t>
            </w:r>
          </w:p>
        </w:tc>
      </w:tr>
      <w:tr>
        <w:trPr>
          <w:trHeight w:val="189"/>
        </w:trPr>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Approximate</w:t>
            </w: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Approximate</w:t>
            </w:r>
          </w:p>
        </w:tc>
      </w:tr>
      <w:tr>
        <w:trPr>
          <w:trHeight w:val="203"/>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Amount</w:t>
            </w: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Percentage of</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Amount</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6"/>
              </w:rPr>
              <w:t>Percentage of</w:t>
            </w:r>
          </w:p>
        </w:tc>
      </w:tr>
      <w:tr>
        <w:trPr>
          <w:trHeight w:val="203"/>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and Nature of</w:t>
            </w: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Outstanding</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and Nature of</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3"/>
              </w:rPr>
              <w:t>Outstanding</w:t>
            </w:r>
          </w:p>
        </w:tc>
      </w:tr>
      <w:tr>
        <w:trPr>
          <w:trHeight w:val="203"/>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Beneficial</w:t>
            </w: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Shares of</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Beneficial</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7"/>
              </w:rPr>
              <w:t>Shares of</w:t>
            </w:r>
          </w:p>
        </w:tc>
      </w:tr>
      <w:tr>
        <w:trPr>
          <w:trHeight w:val="253"/>
        </w:trPr>
        <w:tc>
          <w:tcPr>
            <w:tcW w:w="3080" w:type="dxa"/>
            <w:vAlign w:val="bottom"/>
            <w:gridSpan w:val="2"/>
          </w:tcPr>
          <w:p>
            <w:pPr>
              <w:spacing w:after="0"/>
              <w:rPr>
                <w:sz w:val="20"/>
                <w:szCs w:val="20"/>
                <w:color w:val="auto"/>
              </w:rPr>
            </w:pPr>
            <w:r>
              <w:rPr>
                <w:rFonts w:ascii="Arial" w:cs="Arial" w:eastAsia="Arial" w:hAnsi="Arial"/>
                <w:sz w:val="16"/>
                <w:szCs w:val="16"/>
                <w:b w:val="1"/>
                <w:bCs w:val="1"/>
                <w:color w:val="auto"/>
                <w:w w:val="97"/>
              </w:rPr>
              <w:t>Name and Address of Beneficial Owner</w:t>
            </w:r>
            <w:r>
              <w:rPr>
                <w:rFonts w:ascii="Arial" w:cs="Arial" w:eastAsia="Arial" w:hAnsi="Arial"/>
                <w:sz w:val="18"/>
                <w:szCs w:val="18"/>
                <w:b w:val="1"/>
                <w:bCs w:val="1"/>
                <w:color w:val="auto"/>
                <w:w w:val="97"/>
                <w:vertAlign w:val="superscript"/>
              </w:rPr>
              <w:t>(1)</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Ownership</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Common Stock</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Ownership</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Common Stock</w:t>
            </w:r>
          </w:p>
        </w:tc>
      </w:tr>
      <w:tr>
        <w:trPr>
          <w:trHeight w:val="248"/>
        </w:trPr>
        <w:tc>
          <w:tcPr>
            <w:tcW w:w="29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Edward Scheetz</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2,728,875</w:t>
            </w:r>
            <w:r>
              <w:rPr>
                <w:rFonts w:ascii="Arial" w:cs="Arial" w:eastAsia="Arial" w:hAnsi="Arial"/>
                <w:sz w:val="10"/>
                <w:szCs w:val="10"/>
                <w:color w:val="auto"/>
              </w:rPr>
              <w:t>(3)(4)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2,365,348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43"/>
        </w:trPr>
        <w:tc>
          <w:tcPr>
            <w:tcW w:w="3080" w:type="dxa"/>
            <w:vAlign w:val="bottom"/>
            <w:gridSpan w:val="2"/>
          </w:tcPr>
          <w:p>
            <w:pPr>
              <w:spacing w:after="0"/>
              <w:rPr>
                <w:sz w:val="20"/>
                <w:szCs w:val="20"/>
                <w:color w:val="auto"/>
              </w:rPr>
            </w:pPr>
            <w:r>
              <w:rPr>
                <w:rFonts w:ascii="Arial" w:cs="Arial" w:eastAsia="Arial" w:hAnsi="Arial"/>
                <w:sz w:val="18"/>
                <w:szCs w:val="18"/>
                <w:color w:val="auto"/>
              </w:rPr>
              <w:t>Matthew MacDonald</w:t>
            </w:r>
          </w:p>
        </w:tc>
        <w:tc>
          <w:tcPr>
            <w:tcW w:w="1160" w:type="dxa"/>
            <w:vAlign w:val="bottom"/>
          </w:tcPr>
          <w:p>
            <w:pPr>
              <w:jc w:val="right"/>
              <w:spacing w:after="0"/>
              <w:rPr>
                <w:sz w:val="20"/>
                <w:szCs w:val="20"/>
                <w:color w:val="auto"/>
              </w:rPr>
            </w:pPr>
            <w:r>
              <w:rPr>
                <w:rFonts w:ascii="Arial" w:cs="Arial" w:eastAsia="Arial" w:hAnsi="Arial"/>
                <w:sz w:val="18"/>
                <w:szCs w:val="18"/>
                <w:color w:val="auto"/>
              </w:rPr>
              <w:t>2,728,875</w:t>
            </w:r>
            <w:r>
              <w:rPr>
                <w:rFonts w:ascii="Arial" w:cs="Arial" w:eastAsia="Arial" w:hAnsi="Arial"/>
                <w:sz w:val="10"/>
                <w:szCs w:val="10"/>
                <w:color w:val="auto"/>
              </w:rPr>
              <w:t>(3)(4)</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2,365,348</w:t>
            </w:r>
          </w:p>
        </w:tc>
        <w:tc>
          <w:tcPr>
            <w:tcW w:w="12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40"/>
        </w:trPr>
        <w:tc>
          <w:tcPr>
            <w:tcW w:w="2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Brock Strasbourger</w:t>
            </w: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43"/>
        </w:trPr>
        <w:tc>
          <w:tcPr>
            <w:tcW w:w="3080" w:type="dxa"/>
            <w:vAlign w:val="bottom"/>
            <w:gridSpan w:val="2"/>
          </w:tcPr>
          <w:p>
            <w:pPr>
              <w:spacing w:after="0"/>
              <w:rPr>
                <w:sz w:val="20"/>
                <w:szCs w:val="20"/>
                <w:color w:val="auto"/>
              </w:rPr>
            </w:pPr>
            <w:r>
              <w:rPr>
                <w:rFonts w:ascii="Arial" w:cs="Arial" w:eastAsia="Arial" w:hAnsi="Arial"/>
                <w:sz w:val="18"/>
                <w:szCs w:val="18"/>
                <w:color w:val="auto"/>
              </w:rPr>
              <w:t>Prasad Phatak</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40"/>
        </w:trPr>
        <w:tc>
          <w:tcPr>
            <w:tcW w:w="2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Jonas Grossman</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1,493,625</w:t>
            </w:r>
            <w:r>
              <w:rPr>
                <w:rFonts w:ascii="Arial" w:cs="Arial" w:eastAsia="Arial" w:hAnsi="Arial"/>
                <w:sz w:val="10"/>
                <w:szCs w:val="10"/>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1,294,652</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3080" w:type="dxa"/>
            <w:vAlign w:val="bottom"/>
            <w:gridSpan w:val="2"/>
          </w:tcPr>
          <w:p>
            <w:pPr>
              <w:spacing w:after="0"/>
              <w:rPr>
                <w:sz w:val="20"/>
                <w:szCs w:val="20"/>
                <w:color w:val="auto"/>
              </w:rPr>
            </w:pPr>
            <w:r>
              <w:rPr>
                <w:rFonts w:ascii="Arial" w:cs="Arial" w:eastAsia="Arial" w:hAnsi="Arial"/>
                <w:sz w:val="18"/>
                <w:szCs w:val="18"/>
                <w:color w:val="auto"/>
              </w:rPr>
              <w:t>Alex Weil</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40"/>
        </w:trPr>
        <w:tc>
          <w:tcPr>
            <w:tcW w:w="2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4"/>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Woodrow H. Levin</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22,500</w:t>
            </w:r>
            <w:r>
              <w:rPr>
                <w:rFonts w:ascii="Arial" w:cs="Arial" w:eastAsia="Arial" w:hAnsi="Arial"/>
                <w:sz w:val="20"/>
                <w:szCs w:val="20"/>
                <w:color w:val="auto"/>
                <w:vertAlign w:val="superscript"/>
              </w:rPr>
              <w:t>(4)</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22,500</w:t>
            </w: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83"/>
        </w:trPr>
        <w:tc>
          <w:tcPr>
            <w:tcW w:w="3080" w:type="dxa"/>
            <w:vAlign w:val="bottom"/>
            <w:gridSpan w:val="2"/>
          </w:tcPr>
          <w:p>
            <w:pPr>
              <w:spacing w:after="0"/>
              <w:rPr>
                <w:sz w:val="20"/>
                <w:szCs w:val="20"/>
                <w:color w:val="auto"/>
              </w:rPr>
            </w:pPr>
            <w:r>
              <w:rPr>
                <w:rFonts w:ascii="Arial" w:cs="Arial" w:eastAsia="Arial" w:hAnsi="Arial"/>
                <w:sz w:val="18"/>
                <w:szCs w:val="18"/>
                <w:color w:val="auto"/>
              </w:rPr>
              <w:t>Julie Atkinson</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22,500</w:t>
            </w:r>
            <w:r>
              <w:rPr>
                <w:rFonts w:ascii="Arial" w:cs="Arial" w:eastAsia="Arial" w:hAnsi="Arial"/>
                <w:sz w:val="20"/>
                <w:szCs w:val="20"/>
                <w:color w:val="auto"/>
                <w:vertAlign w:val="superscript"/>
              </w:rPr>
              <w:t>(4)</w:t>
            </w:r>
          </w:p>
        </w:tc>
        <w:tc>
          <w:tcPr>
            <w:tcW w:w="100" w:type="dxa"/>
            <w:vAlign w:val="bottom"/>
          </w:tcPr>
          <w:p>
            <w:pPr>
              <w:spacing w:after="0"/>
              <w:rPr>
                <w:sz w:val="24"/>
                <w:szCs w:val="24"/>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22,500</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84"/>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Ahrens</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22,500</w:t>
            </w:r>
            <w:r>
              <w:rPr>
                <w:rFonts w:ascii="Arial" w:cs="Arial" w:eastAsia="Arial" w:hAnsi="Arial"/>
                <w:sz w:val="20"/>
                <w:szCs w:val="20"/>
                <w:color w:val="auto"/>
                <w:vertAlign w:val="superscript"/>
              </w:rPr>
              <w:t>(4)</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22,500</w:t>
            </w: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43"/>
        </w:trPr>
        <w:tc>
          <w:tcPr>
            <w:tcW w:w="3080" w:type="dxa"/>
            <w:vAlign w:val="bottom"/>
            <w:gridSpan w:val="2"/>
          </w:tcPr>
          <w:p>
            <w:pPr>
              <w:spacing w:after="0"/>
              <w:rPr>
                <w:sz w:val="20"/>
                <w:szCs w:val="20"/>
                <w:color w:val="auto"/>
              </w:rPr>
            </w:pPr>
            <w:r>
              <w:rPr>
                <w:rFonts w:ascii="Arial" w:cs="Arial" w:eastAsia="Arial" w:hAnsi="Arial"/>
                <w:sz w:val="18"/>
                <w:szCs w:val="18"/>
                <w:color w:val="auto"/>
              </w:rPr>
              <w:t>Bernard Van der Lande</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40"/>
        </w:trPr>
        <w:tc>
          <w:tcPr>
            <w:tcW w:w="2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2"/>
        </w:trPr>
        <w:tc>
          <w:tcPr>
            <w:tcW w:w="3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 officers and directors as a group</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51"/>
        </w:trPr>
        <w:tc>
          <w:tcPr>
            <w:tcW w:w="3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(10 individuals)</w:t>
            </w:r>
          </w:p>
        </w:tc>
        <w:tc>
          <w:tcPr>
            <w:tcW w:w="11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4,245,000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3,727,500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83"/>
        </w:trPr>
        <w:tc>
          <w:tcPr>
            <w:tcW w:w="3080" w:type="dxa"/>
            <w:vAlign w:val="bottom"/>
            <w:gridSpan w:val="2"/>
          </w:tcPr>
          <w:p>
            <w:pPr>
              <w:spacing w:after="0"/>
              <w:rPr>
                <w:sz w:val="20"/>
                <w:szCs w:val="20"/>
                <w:color w:val="auto"/>
              </w:rPr>
            </w:pPr>
            <w:r>
              <w:rPr>
                <w:rFonts w:ascii="Arial" w:cs="Arial" w:eastAsia="Arial" w:hAnsi="Arial"/>
                <w:sz w:val="18"/>
                <w:szCs w:val="18"/>
                <w:color w:val="auto"/>
              </w:rPr>
              <w:t>Ventoux Acquisition Holdings LLC</w:t>
            </w:r>
            <w:r>
              <w:rPr>
                <w:rFonts w:ascii="Arial" w:cs="Arial" w:eastAsia="Arial" w:hAnsi="Arial"/>
                <w:sz w:val="20"/>
                <w:szCs w:val="20"/>
                <w:color w:val="auto"/>
                <w:vertAlign w:val="superscript"/>
              </w:rPr>
              <w:t>(6)</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w w:val="93"/>
              </w:rPr>
              <w:t>2,728,875</w:t>
            </w:r>
            <w:r>
              <w:rPr>
                <w:rFonts w:ascii="Arial" w:cs="Arial" w:eastAsia="Arial" w:hAnsi="Arial"/>
                <w:sz w:val="20"/>
                <w:szCs w:val="20"/>
                <w:color w:val="auto"/>
                <w:w w:val="93"/>
                <w:vertAlign w:val="superscript"/>
              </w:rPr>
              <w:t>(4)</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2,365,348</w:t>
            </w:r>
          </w:p>
        </w:tc>
        <w:tc>
          <w:tcPr>
            <w:tcW w:w="12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43"/>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Chardan International Investments, LLC</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1,493,625</w:t>
            </w:r>
            <w:r>
              <w:rPr>
                <w:rFonts w:ascii="Arial" w:cs="Arial" w:eastAsia="Arial" w:hAnsi="Arial"/>
                <w:sz w:val="10"/>
                <w:szCs w:val="10"/>
                <w:color w:val="auto"/>
              </w:rPr>
              <w:t>(5)</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1,294,652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40"/>
        </w:trPr>
        <w:tc>
          <w:tcPr>
            <w:tcW w:w="2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22" w:lineRule="exact"/>
        <w:rPr>
          <w:sz w:val="20"/>
          <w:szCs w:val="20"/>
          <w:color w:val="auto"/>
        </w:rPr>
      </w:pPr>
    </w:p>
    <w:p>
      <w:pPr>
        <w:ind w:left="880" w:right="479" w:hanging="426"/>
        <w:spacing w:after="0" w:line="264" w:lineRule="auto"/>
        <w:tabs>
          <w:tab w:leader="none" w:pos="89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business address of each of the individuals is c/o Ventoux CCM Acquisition Corp., 1 East Putnam Avenue, Floor 4, Greenwich, CT 06830.</w:t>
      </w:r>
    </w:p>
    <w:p>
      <w:pPr>
        <w:ind w:left="880" w:right="479" w:hanging="426"/>
        <w:spacing w:after="0" w:line="264" w:lineRule="auto"/>
        <w:tabs>
          <w:tab w:leader="none" w:pos="915" w:val="left"/>
        </w:tabs>
        <w:numPr>
          <w:ilvl w:val="0"/>
          <w:numId w:val="53"/>
        </w:numPr>
        <w:rPr>
          <w:rFonts w:ascii="Arial" w:cs="Arial" w:eastAsia="Arial" w:hAnsi="Arial"/>
          <w:sz w:val="16"/>
          <w:szCs w:val="16"/>
          <w:color w:val="auto"/>
        </w:rPr>
      </w:pPr>
      <w:r>
        <w:rPr>
          <w:rFonts w:ascii="Arial" w:cs="Arial" w:eastAsia="Arial" w:hAnsi="Arial"/>
          <w:sz w:val="16"/>
          <w:szCs w:val="16"/>
          <w:color w:val="auto"/>
        </w:rPr>
        <w:t>Assumes no exercise of the over-allotment option and, therefore, the forfeiture of an aggregate of 562,500 shares of common stock held by our initial stockholders.</w:t>
      </w:r>
    </w:p>
    <w:p>
      <w:pPr>
        <w:ind w:left="880" w:right="459" w:hanging="426"/>
        <w:spacing w:after="0" w:line="264" w:lineRule="auto"/>
        <w:tabs>
          <w:tab w:leader="none" w:pos="942"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Consists of shares of common stock owned by Ventoux Acquisition Holdings LLC, for which Edward Scheetz and Matthew MacDonald are the managing members.</w:t>
      </w:r>
    </w:p>
    <w:p>
      <w:pPr>
        <w:ind w:left="880" w:hanging="426"/>
        <w:spacing w:after="0"/>
        <w:tabs>
          <w:tab w:leader="none" w:pos="8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Assumes that Ventoux Acquisition Holdings LLC distributed an aggregate of 67,500 shares to certain of our directors.</w:t>
      </w:r>
    </w:p>
    <w:p>
      <w:pPr>
        <w:spacing w:after="0" w:line="41" w:lineRule="exact"/>
        <w:rPr>
          <w:rFonts w:ascii="Arial" w:cs="Arial" w:eastAsia="Arial" w:hAnsi="Arial"/>
          <w:sz w:val="14"/>
          <w:szCs w:val="14"/>
          <w:color w:val="auto"/>
        </w:rPr>
      </w:pPr>
    </w:p>
    <w:p>
      <w:pPr>
        <w:jc w:val="both"/>
        <w:ind w:left="880" w:right="479" w:hanging="426"/>
        <w:spacing w:after="0" w:line="264" w:lineRule="auto"/>
        <w:tabs>
          <w:tab w:leader="none" w:pos="887"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Consists of shares of common stock owned by Chardan International Investments, LLC, for which Jonas Grossman is the managing member. Chardan International Investments, LLC is an affiliate of Chardan Capital Markets, LLC, the representative of the underwriters in this offering.</w:t>
      </w:r>
    </w:p>
    <w:p>
      <w:pPr>
        <w:ind w:left="880" w:hanging="426"/>
        <w:spacing w:after="0"/>
        <w:tabs>
          <w:tab w:leader="none" w:pos="8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Edward Scheetz and Matthew MacDonald are the managing members of Ventoux Acquisition Holdings LLC.</w:t>
      </w:r>
    </w:p>
    <w:p>
      <w:pPr>
        <w:spacing w:after="0" w:line="159"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Immediately after this offering, our initial stockholders will beneficially own 20% of the then issued and outstanding shares of common stock (assuming none of them purchase any units offered by this prospectus). Because of the ownership block held by our initial stockholders, such individuals may be able to effectively exercise control over all matters requiring approval by our stockholders, including the election of directors and approval of significant corporate transactions other than approval of our initial business combination.</w:t>
      </w:r>
    </w:p>
    <w:p>
      <w:pPr>
        <w:sectPr>
          <w:pgSz w:w="11900" w:h="16838" w:orient="portrait"/>
          <w:cols w:equalWidth="0" w:num="1">
            <w:col w:w="9019"/>
          </w:cols>
          <w:pgMar w:left="1440" w:top="274"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9" w:name="page90"/>
    <w:bookmarkEnd w:id="8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If the underwriters do not exercise all or a portion of the over-allotment option, our initial stockholders will have up to an aggregate 562,500 shares of common stock subject to forfeiture. Only a number of shares necessary to maintain our initial stockholders’ collective 20% ownership interest in our shares of common stock after giving effect to the offering and the exercise, if any, of the underwriters’ over-allotment option will be forfeited.</w:t>
      </w:r>
    </w:p>
    <w:p>
      <w:pPr>
        <w:spacing w:after="0" w:line="120"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All of the insider shares issued and outstanding prior to the date of this prospectus will be placed in escrow with Continental Stock Transfer &amp; Trust Company, as escrow agent, until (1) with respect to 50% of the insider shares, the earlier of six months after the date of the consummation of our initial business combination and the date on which the closing price of our common stock equals or exceeds $12.50 per share (as adjusted for share splits, share capitalizations, reorganizations and recapitalizations) for any 20 trading days within any 30-trading day period commencing after our initial business combination, and (2) with respect to the remaining 50% of the insider shares, six months after the date of the consummation of our initial business combination, or earlier, in either case, if, subsequent to our initial business combination, we consummate a liquidation, merger, share exchange or other similar transaction which results in all of our stockholders having the right to exchange their shares for cash, securities or other property. Up to 562,500 of the insider shares may also be released from escrow earlier than this date for forfeiture and cancellation if the over-allotment option is not exercised in full as described above.</w:t>
      </w:r>
    </w:p>
    <w:p>
      <w:pPr>
        <w:spacing w:after="0" w:line="111"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During the escrow period, the holders of these shares will not be able to sell or transfer their securities except (1) to any persons (including their affiliates and stockholders) participating in the private placement of the private warrants, officers, directors, stockholders, employees and members of our co-sponsors and their affiliates, (2) amongst initial stockholders or to our officers, directors and employees, (3) if a holder is an entity, as a distribution to its, partners, stockholders or members upon its liquidation, (4) by bona fide gift to a member of the holder’s immediate family or to a trust, the beneficiary of which is a holder or a member of a holder’s immediate family, for estate planning purposes, (5) by virtue of the laws of descent and distribution upon death,</w:t>
      </w:r>
    </w:p>
    <w:p>
      <w:pPr>
        <w:spacing w:after="0" w:line="2" w:lineRule="exact"/>
        <w:rPr>
          <w:sz w:val="20"/>
          <w:szCs w:val="20"/>
          <w:color w:val="auto"/>
        </w:rPr>
      </w:pPr>
    </w:p>
    <w:p>
      <w:pPr>
        <w:jc w:val="both"/>
        <w:ind w:left="460" w:right="479" w:hanging="6"/>
        <w:spacing w:after="0" w:line="267" w:lineRule="auto"/>
        <w:tabs>
          <w:tab w:leader="none" w:pos="742" w:val="left"/>
        </w:tabs>
        <w:numPr>
          <w:ilvl w:val="0"/>
          <w:numId w:val="54"/>
        </w:numPr>
        <w:rPr>
          <w:rFonts w:ascii="Arial" w:cs="Arial" w:eastAsia="Arial" w:hAnsi="Arial"/>
          <w:sz w:val="17"/>
          <w:szCs w:val="17"/>
          <w:color w:val="auto"/>
        </w:rPr>
      </w:pPr>
      <w:r>
        <w:rPr>
          <w:rFonts w:ascii="Arial" w:cs="Arial" w:eastAsia="Arial" w:hAnsi="Arial"/>
          <w:sz w:val="17"/>
          <w:szCs w:val="17"/>
          <w:color w:val="auto"/>
        </w:rPr>
        <w:t>pursuant to a qualified domestic relations order, (7) by certain pledges to secure obligations incurred in connection with purchases of our securities, (8) by private sales at prices no greater than the price at which the shares were originally purchased or (9) for the cancellation of up to 562,500 shares of common stock subject to forfeiture to the extent that the underwriters’ over-allotment is not exercised in full or in part or in connection with the consummation of our initial business combination, in each case (except for clause 9 or with our prior consent) where the transferee agrees to the terms of the escrow agreement and the insider letter, but will retain all other rights as our stockholders, including, without limitation, the right to vote their shares of common stock and the right to receive cash dividends, if declared. If dividends are declared and payable in shares of common stock, such dividends will also be placed in escrow. If we are unable to effect a business combination and liquidate the trust account, none of our initial stockholders will receive any portion of the liquidation proceeds with respect to their insider shares.</w:t>
      </w:r>
    </w:p>
    <w:p>
      <w:pPr>
        <w:spacing w:after="0" w:line="105" w:lineRule="exact"/>
        <w:rPr>
          <w:sz w:val="20"/>
          <w:szCs w:val="20"/>
          <w:color w:val="auto"/>
        </w:rPr>
      </w:pPr>
    </w:p>
    <w:p>
      <w:pPr>
        <w:jc w:val="both"/>
        <w:ind w:left="460" w:right="459" w:firstLine="432"/>
        <w:spacing w:after="0" w:line="283" w:lineRule="auto"/>
        <w:rPr>
          <w:sz w:val="20"/>
          <w:szCs w:val="20"/>
          <w:color w:val="auto"/>
        </w:rPr>
      </w:pPr>
      <w:r>
        <w:rPr>
          <w:rFonts w:ascii="Arial" w:cs="Arial" w:eastAsia="Arial" w:hAnsi="Arial"/>
          <w:sz w:val="16"/>
          <w:szCs w:val="16"/>
          <w:color w:val="auto"/>
        </w:rPr>
        <w:t>The private warrants and any shares of common stock issued upon conversion or exercise thereof are subject to transfer restrictions pursuant to lock-up provisions in a letter agreement with us to be entered into by Ventoux Acquisition, Chardan Investments, officers, directors and advisors of the Company. Those lock-up provisions provide that such securities are not transferable or salable until 30 days after the completion of our initial business combination, except (a) to our officers or directors, any affiliates or family members of any of our officers or directors, any members of Ventoux Acquisition or Chardan Investments, or any affiliates of Ventoux Acquisition or Chardan Investments; (b) in the case of an individual, by gift to a member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an initial business combination at prices no greater than the price at which the shares or warrants were originally purchased; (f) in the event of our liquidation prior to the completion of our initial business combination; or (g) by virtue of the laws of Delaware or the applicable limited liability company agreement upon dissolution of Ventoux Acquisition or Chardan Investments, provided, however, that in the case of clauses</w:t>
      </w:r>
    </w:p>
    <w:p>
      <w:pPr>
        <w:jc w:val="both"/>
        <w:ind w:left="460" w:right="479" w:hanging="6"/>
        <w:spacing w:after="0" w:line="271" w:lineRule="auto"/>
        <w:tabs>
          <w:tab w:leader="none" w:pos="715"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through (e) or (g), these permitted transferees must enter into a written agreement agreeing to be bound by these transfer restrictions and the other restrictions contained in the letter agreements and by the same agreements entered into by Ventoux Acquisition, Chardan Investments, officers, directors and advisors of the Company, as the case may be, with respect to such securities (including provisions relating to voting, the trust account and liquidation distributions described elsewhere in this prospectus).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0" w:name="page91"/>
    <w:bookmarkEnd w:id="9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Ventoux Acquisition, our co-sponsor and an affiliate of certain of our directors and officers, has committed to purchase from us an aggregate of 4,000,000 warrants (or 4,450,000 warrants if the over-allotment option is exercised in full), and Chardan Investments, our co-sponsor and an affiliate of one of our directors and Chardan Capital Markets, LLC, has committed to purchase from us an aggregate of 2,000,000 warrants (or 2,225,000 warrants if the over-allotment option is exercised in full), or “private warrants,” at $1.00 per private warrant for a total purchase price of $6,000,000 (or $6,6750,000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$6,000,000 (or $6,675,000 if the over-allotment option is exercised in full) we will receive from the sale of the private warrants, $3,500,000 (or $3,950,000 if the over-allotment option is exercised in full) will be used for offering expenses and $1,000,000 will be used for working capital. If we do not complete our initial business combination within 15 months (or up to 18 months, as applicable) from the closing of this offering, the proceeds from the sale of the private warrants will be included in the liquidating distribution to the holders of our public shares. The private warrants are identical to the warrants sold as part of the public units in this offering except that (i) each private warrant is exercisable for one share of common stock at an exercise price of $11.50 per share, and (ii) the private warrants will be non-redeemable and may be exercised on a cashless basis, in each case so long as they continue to be held by the initial purchasers or their permitted transferees. The private warrants purchased by Chardan Investments will not be exercisable more than five years from the effective date of the registration statement, of which this prospectus forms a part, in accordance with FINRA Rule 5110(g)(8), as long as Chardan Capital Markets, LLC or any of its related persons beneficially own these private warrants.</w:t>
      </w:r>
    </w:p>
    <w:p>
      <w:pPr>
        <w:spacing w:after="0" w:line="330" w:lineRule="exact"/>
        <w:rPr>
          <w:sz w:val="20"/>
          <w:szCs w:val="20"/>
          <w:color w:val="auto"/>
        </w:rPr>
      </w:pPr>
    </w:p>
    <w:p>
      <w:pPr>
        <w:jc w:val="both"/>
        <w:ind w:left="460" w:right="479" w:firstLine="432"/>
        <w:spacing w:after="0" w:line="268" w:lineRule="auto"/>
        <w:rPr>
          <w:sz w:val="20"/>
          <w:szCs w:val="20"/>
          <w:color w:val="auto"/>
        </w:rPr>
      </w:pPr>
      <w:r>
        <w:rPr>
          <w:rFonts w:ascii="Arial" w:cs="Arial" w:eastAsia="Arial" w:hAnsi="Arial"/>
          <w:sz w:val="17"/>
          <w:szCs w:val="17"/>
          <w:color w:val="auto"/>
        </w:rPr>
        <w:t>In order to meet our working capital needs following the consummation of this offering, our initial stockholders, officers and directors or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$1.00 per private warrant (which, for example, would result in the holders being issued private warrants to purchase 500,000 shares of common stock if $500,000 of notes were so converted). Such private warrants will be identical to the private warrants to be issued at the closing of this offering. Our stockholders have approved the issuance of the private warrants and underlying securities upon conversion of such notes, to the extent the holder wishes to so convert them at the time of the consummation of our initial business combination. If we do not complete a business combination, the loans will not be repaid. Loans made by Chardan Capital Markets, LLC or any of its related persons will not be convertible into private warrants and Chardan Capital Markets, LLC or any of its related persons will have no recourse with respect to their ability to convert their loans into private warrants.</w:t>
      </w:r>
    </w:p>
    <w:p>
      <w:pPr>
        <w:spacing w:after="0" w:line="11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Each of Ventoux Acquisition Holdings LLC and Chardan International Investments, LLC is a “promoter,” as that term is defined under the federal securities laws.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1" w:name="page92"/>
    <w:bookmarkEnd w:id="9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TRANSACTIONS</w:t>
      </w:r>
    </w:p>
    <w:p>
      <w:pPr>
        <w:spacing w:after="0" w:line="148"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On September 19, 2019, Chardan Investments purchased 5,000,000 shares of common stock from us for $25,000. On July 23, 2020, Chardan Investments sold 3,250,000 shares of common stock back to us for</w:t>
      </w:r>
    </w:p>
    <w:p>
      <w:pPr>
        <w:jc w:val="both"/>
        <w:ind w:left="460" w:right="459"/>
        <w:spacing w:after="0" w:line="286" w:lineRule="auto"/>
        <w:rPr>
          <w:sz w:val="20"/>
          <w:szCs w:val="20"/>
          <w:color w:val="auto"/>
        </w:rPr>
      </w:pPr>
      <w:r>
        <w:rPr>
          <w:rFonts w:ascii="Arial" w:cs="Arial" w:eastAsia="Arial" w:hAnsi="Arial"/>
          <w:sz w:val="16"/>
          <w:szCs w:val="16"/>
          <w:color w:val="auto"/>
        </w:rPr>
        <w:t>$16,250. On August 25, 2020, Chardan Investments transferred 256,375 shares of common stock back to us for nominal consideration, which shares were cancelled, resulting in Chardan Investments holding a balance of 1,493,625 shares of common stock. On July 23, 2020, Ventoux Acquisition purchased 3,250,000 shares of common stock from us for $16,250. On August 25, 2020, Ventoux Acquisition transferred 431,125 shares of common stock back to us for nominal considerations, which shares were cancelled. On December 15, 2020, Ventoux Acquisition transferred 22,500 shares of common stock to Cindat. As of the date hereof, Ventoux Acquisition holds 2,796,375 shares of common stock, of which Ventoux Acquisition intends to distribute 67,500 shares to certain of our directors prior to the consummation of the offering, resulting in Ventoux Acquisition holding a balance of 2,728,875 shares. The founder shares include an aggregate of up to 562,500 shares that are subject to forfeiture to the extent that the underwriters’ over-allotment option is not exercised in full or in part.</w:t>
      </w:r>
    </w:p>
    <w:p>
      <w:pPr>
        <w:spacing w:after="0" w:line="102"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If the underwriters do not exercise all or a portion of their over-allotment option, our initial stockholders have agreed that up to an aggregate of 562,500 shares of common stock in proportion to the portion of the over-allotment option that was not exercised are subject to forfeiture and would be immediately cancelled.</w:t>
      </w:r>
    </w:p>
    <w:p>
      <w:pPr>
        <w:spacing w:after="0" w:line="81"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If the underwriters determine the size of the offering should be increased (including pursuant to Rule 462(b) under the Securities Act) or decreased, a share capitalizations or a contribution back to capital, as applicable, would be effectuated in order to maintain our initial stockholder’s ownership at 20% of the number of shares issued and outstanding after the closing of this offering.</w:t>
      </w:r>
    </w:p>
    <w:p>
      <w:pPr>
        <w:spacing w:after="0" w:line="106"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Ventoux Acquisition, our co-sponsor and an affiliate of certain of our directors and officers, has committed to purchase from us an aggregate of 4,000,000 warrants (or 4,450,000 warrants if the over-allotment option is exercised in full), and Chardan Investments, our co-sponsor and an affiliate of one of our directors and Chardan Capital Markets, LLC,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$6,000,000 (or $6,675,000 if the over-allotment option is exercised in full) we will receive from the sale of the private warrants, $3,500,000 (or $3,950,000 if the over-allotment option is exercised in full) will be used for offering expenses and $1,000,000 will be used for working capital, the remaining funds will be placed in the trust account. If we do not complete our initial business combination within 15 months (or up to 18 months, as applicable) from the closing of this offering, the proceeds from the sale of the private warrants will be included in the liquidating distribution to the holders of our public shares. The private warrants are identical to the warrants sold as part of the public units in this offering except that (i) each private warrant is exercisable for one share of common stock at an exercise price of $11.50 per share, and (ii) the private warrants will be non-redeemable and may be exercised on a cashless basis, in each case so long as they continue to be held by the initial purchasers or their permitted transferees.</w:t>
      </w:r>
    </w:p>
    <w:p>
      <w:pPr>
        <w:spacing w:after="0" w:line="104"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In order to meet our working capital needs following the consummation of this offering, our initial stockholders, officers and directors and their respective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$1.00 per private warrant (which, for example, would result in the holders being issued private warrants to purchase 500,000 shares of common stock if $500,000 of notes were so converted). Such private warrants will be identical to the private warrants to be issued at the closing of this offering. Our stockholders have approved the issuance of the private warrants and underlying securities upon conversion of such notes, to the extent the holder wishes to so convert them at the time of the consummation of our initial business combination. If we do not complete a business combination, the loans would not be repaid. Loans made by Chardan Capital Markets, LLC or any of its related persons will not be convertible into private warrants and Chardan Capital Markets, LLC or any of its related persons will have no recourse with respect to their ability to convert their loans into private warrants.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2" w:name="page93"/>
    <w:bookmarkEnd w:id="9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 xml:space="preserve">The holders of our insider shares issued and outstanding on the date of this prospectus, as well as the holders of the private warrants (and all underlying securities), will be entitled to registration and stockholder rights pursuant to an agreement to be signed prior to or on the effective date of this offering. The holders of a majority of these securities are entitled to make up to two demands that we register such securities. The holders of the majority of the insider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our consummation of a business combination. </w:t>
      </w:r>
      <w:r>
        <w:rPr>
          <w:rFonts w:ascii="Arial" w:cs="Arial" w:eastAsia="Arial" w:hAnsi="Arial"/>
          <w:sz w:val="16"/>
          <w:szCs w:val="16"/>
          <w:i w:val="1"/>
          <w:iCs w:val="1"/>
          <w:color w:val="auto"/>
        </w:rPr>
        <w:t>We will bear the expenses incurred in connection with the filing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any such registration statements. </w:t>
      </w:r>
      <w:r>
        <w:rPr>
          <w:rFonts w:ascii="Arial" w:cs="Arial" w:eastAsia="Arial" w:hAnsi="Arial"/>
          <w:sz w:val="16"/>
          <w:szCs w:val="16"/>
          <w:color w:val="auto"/>
        </w:rPr>
        <w:t>Chardan Capital Markets, LLC and its related persons may not, with respect</w:t>
      </w:r>
      <w:r>
        <w:rPr>
          <w:rFonts w:ascii="Arial" w:cs="Arial" w:eastAsia="Arial" w:hAnsi="Arial"/>
          <w:sz w:val="16"/>
          <w:szCs w:val="16"/>
          <w:i w:val="1"/>
          <w:iCs w:val="1"/>
          <w:color w:val="auto"/>
        </w:rPr>
        <w:t xml:space="preserve"> </w:t>
      </w:r>
      <w:r>
        <w:rPr>
          <w:rFonts w:ascii="Arial" w:cs="Arial" w:eastAsia="Arial" w:hAnsi="Arial"/>
          <w:sz w:val="16"/>
          <w:szCs w:val="16"/>
          <w:color w:val="auto"/>
        </w:rPr>
        <w:t>to the private warrants (and the shares that are issuable upon exercise of the private warrants) purchased by Chardan Investments, (i) have more than one demand registration right at our expense, (ii) exercise their demand registration rights more than five (5) years from the effective date of the registration statement of which this prospectus forms a part, and (iii) exercise their “piggy-back” registration rights more than seven (7) years from the effective date of the registration statement of which this prospectus forms a part, as long as Chardan Capital Markets, LLC or any of its related persons are beneficial owners of private warrants.</w:t>
      </w:r>
    </w:p>
    <w:p>
      <w:pPr>
        <w:spacing w:after="0" w:line="10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On August 20, 2020, we issued an unsecured promissory note to Ventoux Acquisition, pursuant to which the Company may borrow up to an aggregate principal amount of $250,000. The promissory note is non-interest bearing and will be payable promptly after consummation of this offering or the date on which we determine not to conduct this offering. As of September 30, 2020, there was $153,018 outstanding under the promissory note.</w:t>
      </w:r>
    </w:p>
    <w:p>
      <w:pPr>
        <w:spacing w:after="0" w:line="120"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will reimburse our officers and directors for any reasonable out-of-pocket business expenses incurred by them in connection with certain activities on our behalf such as identifying and investigating possible target businesses and business combinations.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 Our audit committee will review and approve all reimbursements and payments made to any initial stockholder or member of our management team, or our or their respective affiliates, and any reimbursements and payments made to members of our audit committee will be reviewed and approved by our Board of Directors, with any interested director abstaining from such review and approval.</w:t>
      </w:r>
    </w:p>
    <w:p>
      <w:pPr>
        <w:spacing w:after="0" w:line="10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No compensation or fees of any kind, including finder’s fees, consulting fees or other similar compensation, will be paid to any of our initial stockholders, officers or directors who owned our shares of common stock prior to this offering, or to any of their respective affiliates, prior to or with respect to the business combination (regardless of the type of transaction that it is).</w:t>
      </w:r>
    </w:p>
    <w:p>
      <w:pPr>
        <w:spacing w:after="0" w:line="119"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We will enter into indemnity agreements with each of our officers and directors. These agreements will require us to indemnify these individuals to the fullest extent permitted under Delaware law and to advance expenses incurred as a result of any proceeding against them as to which they could be indemnified to the fullest extent permitted by applicable law and our amended and restated certificate of incorporation.</w:t>
      </w:r>
    </w:p>
    <w:p>
      <w:pPr>
        <w:spacing w:after="0" w:line="90"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We will also pay to Chardan Capital Markets, LLC, the representative of the underwriters in this offering and an affiliate of one of our co-sponsors, an underwriting discount of $0.20 per unit purchased by it in this offering. We have also engaged Chardan Capital Markets, LLC as an advisor in connection with our business combination, pursuant to the Business Combination Marketing Agreement described under “Underwriting (Conflicts of Interest) — Business Combination Marketing Agreement.” We will pay Chardan Capital Markets, LLC the marketing fee for such services upon the consummation of our initial business combination in an amount equal to, in the aggregate, 3.5% of the gross proceeds of this offering, including any proceeds from the full or partial exercise of the underwriters’ over-allotment option. As a result, Chardan Capital Markets, LLC will not be entitled to such fee unless we consummate our initial business combination. The marketing fee payable to Chardan Capital Markets, LLC upon consummation of the initial business combination is $5,250,000 (or $6,037,500 if the underwriters’ over-allotment option is exercised in full). Mr. Grossman, who is one of our directors, and Mr. Weil, who has agreed to become our director as of the effective date of the registration statement of which this prospectus is a part, are affiliated with Chardan Capital Markets, LLC.</w:t>
      </w:r>
    </w:p>
    <w:p>
      <w:pPr>
        <w:spacing w:after="0" w:line="9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All ongoing and future transactions between us and any of our officers and directors or their respective affiliates will be on terms believed by us to be no less favorable to us than are available from unaffiliated third parties. Such transactions, including the payment of any compensation, will require prior approval by a majority of our disinterested independent directors or the members of our board who do not have an interest in the transaction, in either case who</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3" w:name="page94"/>
    <w:bookmarkEnd w:id="9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had access, at our expense, to our attorneys or independent legal counsel. We will not enter into any such transaction unless our disinterested independent directors (or, if there are no independent directors, our disinterested directors) determine that the terms of such transaction are no less favorable to us than those that would be available to us with respect to such a transaction from unaffiliated third parties.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Policy</w:t>
      </w:r>
    </w:p>
    <w:p>
      <w:pPr>
        <w:spacing w:after="0" w:line="162"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Our Code of Ethics, which we will adopt upon consummation of this offering, will require us to avoid, wherever possible, all related party transactions that could result in actual or potential conflicts of interests, except under guidelines approved by the board of directors (or the audit committee). Related party transactions are defined as transactions in which (1) the aggregate amount involved will or may be expected to exceed $120,000 in any calendar year, (2) we or any of our subsidiaries is a participant, and (3) any (a) executive officer, director or nominee for election as a director, (b) greater than 5% beneficial owner of our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personal benefits as a result of his or her position.</w:t>
      </w:r>
    </w:p>
    <w:p>
      <w:pPr>
        <w:spacing w:after="0" w:line="104"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Our audit committee, pursuant to its written charter, will be responsible for reviewing and approving related party transactions to the extent we enter into such transactions. 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disinterested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 Additionally, we require each of our directors and executive officers to complete a directors’ and officers’ questionnaire that elicits information about related party transactions.</w:t>
      </w:r>
    </w:p>
    <w:p>
      <w:pPr>
        <w:spacing w:after="0" w:line="91"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These procedures are intended to determine whether any such related party transaction impairs the independence of a director or presents a conflict of interest on the part of a director, employee or officer.</w:t>
      </w:r>
    </w:p>
    <w:p>
      <w:pPr>
        <w:spacing w:after="0" w:line="7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To further minimize potential conflicts of interest, we have agreed not to consummate a business combination with an entity which is affiliated with any of our initial stockholders unless we obtain an opinion from an independent investment banking firm that the business combination is fair to our stockholders from a financial point of view. Furthermore, in no event will any of our existing officers, directors or initial stockholders, or any entity with which they are affiliated, be paid any finder’s fee, consulting fee or other compensation prior to, or for any services they render in order to effectuate, the consummation of a business combination.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4" w:name="page95"/>
    <w:bookmarkEnd w:id="9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Pursuant to our amended certificate of incorporation, our authorized capital stock consists of 50,000,000 shares of common stock, par value $0.0001, and 1,000,000 shares of preferred stock, par value $0.0001. As of the date of this prospectus, 4,312,500 shares of common stock are issued and outstanding, held by our co-sponsors, our directors, and affiliates of our management team and directors. No preferred shares are issued or outstanding.</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Units</w:t>
      </w:r>
    </w:p>
    <w:p>
      <w:pPr>
        <w:spacing w:after="0" w:line="162"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Each unit consists of one share of common stock, one right and one warrant. Each right entitles the holder to receive one-twentieth (1/20) of a share of common stock. Each warrant entitles the holder thereof to purchase one-half of one share of common stock at a price of $11.50 per whole share, subject to adjustment as described in this prospectus. Each warrant will become exercisable on the later of one year after the closing of this offering or the consummation of an initial business combination, and will expire five years after the completion of an initial business combination, or earlier upon redemption. The private warrants purchased by Chardan Investments will not be exercisable more than five years from the effective date of the registration statement, of which this prospectus forms a part, in accordance with FINRA Rule 5110(g)(8), as long as Chardan Capital Markets, LLC or any of its related persons beneficially own these private warrants.</w:t>
      </w:r>
    </w:p>
    <w:p>
      <w:pPr>
        <w:spacing w:after="0" w:line="99"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shares of common stock, rights and warrants comprising the units will not be separately traded until 90 days after the effective date of this prospectus unless Chardan informs us of its decision to allow earlier separate trading, but in no event will the shares of common stock, rights and warrants be traded separately until we have filed with the SEC a Current Report on Form 8-K which includes an audited balance sheet reflecting our receipt of the gross proceeds of this offering. We will file a Current Report on Form 8-K which includes this audited balance sheet upon the consummation of this offering, which is anticipated to take place three business days after the date of this prospectus. The audited balance sheet will reflect proceeds we received from the exercise of the over-allotment option if such option is exercised prior to the filing of the Current Report on Form 8-K.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91"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We will not issue fractional shares upon conversion of the rights once the units separate, and no cash will be payable in lieu thereof. As a result, you must have 20 rights to receive one share of common stock at the closing of the initial business combination.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Our holders of record of our common stock are entitled to one vote for each share held on all matters to be voted on by stockholders. In connection with any vote held to approve our initial business combination, our insiders, officers and directors, have agreed to vote their respective shares of common stock owned by them immediately prior to this offering, including both the insider shares and any shares acquired in this offering or following this offering in the open market, in favor of the proposed business combination.</w:t>
      </w:r>
    </w:p>
    <w:p>
      <w:pPr>
        <w:spacing w:after="0" w:line="9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8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Pursuant to our certificate of incorporation, if we do not consummate our initial business combination within 15 months (or up to 18 months, as applicable) from the closing of this offering,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5" w:name="page96"/>
    <w:bookmarkEnd w:id="9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law. Our insiders have agreed to waive their rights to share in any distribution with respect to their insider shares. However, if we anticipate that we may not be able to consummate our initial business combination within 15 months, our initial stockholders or their affiliates may, but are not obligated to, extend the period of time to consummate an initial business combination one time by up to an additional three months (for a total of up to 18 months to complete an initial business combination) without the need for a separate stockholder vote.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without the need for a separate stockholder vote is for our initial stockholders or their affiliates or designees, upon five days’ advance notice prior to the applicable deadline, to deposit into the trust account $1,500,000, or $1,725,000 if the underwriters’ over-allotment option is exercised in full ($0.10 per share), if extended for the full 3 months, on or prior to the date of the applicable deadline. Pursuant to our amended and restated certificate of incorporation and the trust agreement, if such funds are not deposited, the time to complete an initial business combination cannot be extended unless our stockholders otherwise approve an extension on different terms. In the event that they elected to extend the time to complete our initial business combination and deposited the applicable amount of money into trust, the initial stockholders would receive a non-interest bearing, unsecured promissory note equal to the amount of any such deposit that will not be repaid in the event that we are unable to close a business combination unless there are funds available outside the trust account to do so. Such notes would be paid upon consummation of our initial business combination. In the event that we receive notice from our insiders five days prior to the applicable deadline of their intent to effect an extension, we intend to issue a press release announcing such intention at least three days prior to the applicable deadline.</w:t>
      </w:r>
    </w:p>
    <w:p>
      <w:pPr>
        <w:spacing w:after="0" w:line="11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Our stockholders have no conversion, preemptive or other subscription rights and there are no sinking fund or redemption provisions applicable to the shares of common stock, except that public stockholders have the right to sell their shares to us in any tender offer or have their shares of common stock converted to cash equal to their pro rata share of the trust account if they vote on the proposed business combination and the business combination is completed. 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11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taxes or for working capital purposes, divided by the number of then outstanding public shares, in connection with any such vote. In either of such events, converting stockholders would be paid their pro rata portion of the trust account promptly following consummation of the business combination or the approval of the amendment to the certificate of incorporation. If the business combination is not consummated or the amendment is not approved, stockholders will not be paid such amounts.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There are no shares of preferred stock outstanding.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which participates in any manner in the proceeds of the trust account, or which votes as a class with the common stock on our initial business combination. We may issue some or all of the preferred stock to effect our initial business combination. In addition, the preferred stock could be utilized as a method of discouraging, delaying or preventing a change in control of us. Although we do not currently intend to issue any shares of preferred stock, we reserve the right to do so in the future.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6" w:name="page97"/>
    <w:bookmarkEnd w:id="9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Warrants</w:t>
      </w:r>
    </w:p>
    <w:p>
      <w:pPr>
        <w:spacing w:after="0" w:line="14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No warrants are currently outstanding. Each public warrant entitles the registered holder to purchase one-half of one share of common stock at a price of $11.50 per whole share, subject to adjustment as described below, at any time commencing on the later of one year after the closing of this offering or the consummation of an initial business combination. However, no public warrants will be exercisable for cash unless we have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120 days from the closing of our initial business combination, warrant holders may, until such time as there is an effective registration statement and during any period when we shall have failed to maintain an effective registration statement, exercise warrants on a cashless basis pursuant to an available exemption from registration under the Securities Act. The warrants will expire five years from the closing of our initial business combination at 5:00 p.m., New York City time.</w:t>
      </w:r>
    </w:p>
    <w:p>
      <w:pPr>
        <w:spacing w:after="0" w:line="111"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The private warrants will be identical to the public warrants underlying the units being offered by this prospectus except that (i) each private warrant is exercisable for one share of common stock at an exercise price of $11.50 per share, and (ii) such private warrants will be exercisable for cash (even if a registration statement covering the shares of common stock issuable upon exercise of such warrants is not effective) or on a cashless basis, at the holder’s option, and will not be redeemable by us, in each case so long as they are still held by the initial purchasers or their affiliates. The private warrants purchased by Chardan Investments will not be exercisable more than five years from the effective date of the registration statement, of which this prospectus forms a part, in accordance with FINRA Rule 5110(g)(8), as long as Chardan Capital Markets, LLC or any of its related persons beneficially own these private warrants.</w:t>
      </w:r>
    </w:p>
    <w:p>
      <w:pPr>
        <w:spacing w:after="0" w:line="113"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We may call the outstanding warrants for redemption (excluding the private warrants but including any warrants already issued upon exercise of the unit purchase option), in whole and not in part, at a price of $0.01 per warrant:</w:t>
      </w:r>
    </w:p>
    <w:p>
      <w:pPr>
        <w:spacing w:after="0" w:line="103" w:lineRule="exact"/>
        <w:rPr>
          <w:sz w:val="20"/>
          <w:szCs w:val="20"/>
          <w:color w:val="auto"/>
        </w:rPr>
      </w:pPr>
    </w:p>
    <w:p>
      <w:pPr>
        <w:ind w:left="1300" w:hanging="41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at any time while the warrants are exercisable,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157" w:lineRule="exact"/>
        <w:rPr>
          <w:rFonts w:ascii="Arial" w:cs="Arial" w:eastAsia="Arial" w:hAnsi="Arial"/>
          <w:sz w:val="18"/>
          <w:szCs w:val="18"/>
          <w:color w:val="auto"/>
        </w:rPr>
      </w:pPr>
    </w:p>
    <w:p>
      <w:pPr>
        <w:jc w:val="both"/>
        <w:ind w:left="1320" w:right="479" w:hanging="434"/>
        <w:spacing w:after="0" w:line="263" w:lineRule="auto"/>
        <w:tabs>
          <w:tab w:leader="none" w:pos="1365"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shares of common stock equals or exceeds $16.50 per share, for any 20 trading days within a 30-day trading period ending on the third business day prior to the notice of redemption to warrant holders, and</w:t>
      </w:r>
    </w:p>
    <w:p>
      <w:pPr>
        <w:spacing w:after="0" w:line="102" w:lineRule="exact"/>
        <w:rPr>
          <w:rFonts w:ascii="Arial" w:cs="Arial" w:eastAsia="Arial" w:hAnsi="Arial"/>
          <w:sz w:val="18"/>
          <w:szCs w:val="18"/>
          <w:color w:val="auto"/>
        </w:rPr>
      </w:pPr>
    </w:p>
    <w:p>
      <w:pPr>
        <w:jc w:val="both"/>
        <w:ind w:left="1320" w:right="459" w:hanging="434"/>
        <w:spacing w:after="0" w:line="286" w:lineRule="auto"/>
        <w:tabs>
          <w:tab w:leader="none" w:pos="1311" w:val="left"/>
        </w:tabs>
        <w:numPr>
          <w:ilvl w:val="0"/>
          <w:numId w:val="56"/>
        </w:numPr>
        <w:rPr>
          <w:rFonts w:ascii="Arial" w:cs="Arial" w:eastAsia="Arial" w:hAnsi="Arial"/>
          <w:sz w:val="17"/>
          <w:szCs w:val="17"/>
          <w:color w:val="auto"/>
        </w:rPr>
      </w:pPr>
      <w:r>
        <w:rPr>
          <w:rFonts w:ascii="Arial" w:cs="Arial" w:eastAsia="Arial" w:hAnsi="Arial"/>
          <w:sz w:val="17"/>
          <w:szCs w:val="17"/>
          <w:color w:val="auto"/>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p>
      <w:pPr>
        <w:spacing w:after="0" w:line="98"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98"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76" w:lineRule="exact"/>
        <w:rPr>
          <w:sz w:val="20"/>
          <w:szCs w:val="20"/>
          <w:color w:val="auto"/>
        </w:rPr>
      </w:pPr>
    </w:p>
    <w:p>
      <w:pPr>
        <w:jc w:val="both"/>
        <w:ind w:left="460" w:right="479" w:firstLine="432"/>
        <w:spacing w:after="0" w:line="269"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by (y) the fair market value. The “fair market value” shall mean the average reported last sale price of our common stock for the 10 trading days ending on the third trading day prior to the date on which the notice of redemption is sent to the holders of warrants. Whether we will exercise our option to require all holders to exercise their warrants on a “cashless basis” will depend on a variety of factors including the price of our common shares at the time the warrants are called for redemption, our cash needs at such time and concerns regarding dilutive share issuances.</w:t>
      </w:r>
    </w:p>
    <w:p>
      <w:pPr>
        <w:sectPr>
          <w:pgSz w:w="11900" w:h="16838" w:orient="portrait"/>
          <w:cols w:equalWidth="0" w:num="1">
            <w:col w:w="9019"/>
          </w:cols>
          <w:pgMar w:left="1440" w:top="274" w:right="1440"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7" w:name="page98"/>
    <w:bookmarkEnd w:id="9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96" w:lineRule="auto"/>
        <w:rPr>
          <w:sz w:val="20"/>
          <w:szCs w:val="20"/>
          <w:color w:val="auto"/>
        </w:rPr>
      </w:pPr>
      <w:r>
        <w:rPr>
          <w:rFonts w:ascii="Arial" w:cs="Arial" w:eastAsia="Arial" w:hAnsi="Arial"/>
          <w:sz w:val="16"/>
          <w:szCs w:val="16"/>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 majority of the then outstanding warrants in order to make any change that adversely affects the interests of the registered holders.</w:t>
      </w:r>
    </w:p>
    <w:p>
      <w:pPr>
        <w:spacing w:after="0" w:line="94"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exercise price and number of shares of common stock issuable on exercise of the warrants may be adjusted in certain circumstances including in the event of a share dividend, extraordinary dividend or our recapitalization, reorganization, merger or consolidation. In addition, if we issue additional shares of common stock or equity-linked securities for capital raising purposes in connection with the closing of our initial business combination at a newly issued price of less than $9.20 per share of common stock (with such issue price or effective issue price to be determined in good faith by our board of directors and, in the case of any such issuance to our initial stockholders or their affiliates, without taking into account any founder shares or private warrants held by them, as applicable, prior to such issuance), the exercise price of the warrants will be adjusted (to the nearest cent) to be equal to 115% of the newly issued price and the $16.50 per share redemption trigger price described below under will be adjusted (to the nearest cent) to be equal to 165% of the market value (the volume weighted average trading price of the common stock during the 20 trading day period starting on the trading day prior to the consummation of an initial business combination).</w:t>
      </w:r>
    </w:p>
    <w:p>
      <w:pPr>
        <w:spacing w:after="0" w:line="10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11"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Except as described above, no public warrants will be exercisable for cash, and we will not be obligated to issue shares of common stock unless at the time a holder seeks to exercise such warrant, a prospectus relating to the shares of common stock issuable upon exercise of the warrants is current and the shares of common stock have been registered or qualified or deemed to be exempt under the securities laws of the state of residence of the holder of the warrants. Under the terms of the warrant agreement, we have agreed to use our best efforts to meet these conditions and to maintain a current prospectus relating to the shares of common stock issuable upon exercise of the warrants until the expiration of the warrants. However, we cannot assure you that we will be able to do so and, if we do not maintain a current prospectus relating to the shares of common stock issuable upon exercise of the warrants, holders will be unable to exercise their warrants, and we will not be required to settle any such warrant exercise. If the prospectus relating to the shares of common stock issuable upon the exercise of the warrants is not current or if the common stock is not qualified or exempt from qualification in the jurisdictions in which the holders of the warrants reside, we will not be required to net cash settle or cash settle the warrant exercise, the warrants may have no value, the market for the warrants may be limited, and the warrants may expire worthless.</w:t>
      </w:r>
    </w:p>
    <w:p>
      <w:pPr>
        <w:spacing w:after="0" w:line="103"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4.99% or 9.99% (or such other amount as a holder may specify) of common stock outstanding.</w:t>
      </w:r>
    </w:p>
    <w:p>
      <w:pPr>
        <w:spacing w:after="0" w:line="120"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No fractional shares will be issued upon exercise of the warrants. If, upon exercise of the warrants, a holder would be entitled to receive a fractional interest in a share, we will, upon exercise, round down to the nearest whole number the number of shares of common stock to be issued to the warrant holder.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Arrangements with respect to the Certain Warrants</w:t>
      </w:r>
    </w:p>
    <w:p>
      <w:pPr>
        <w:spacing w:after="0" w:line="144" w:lineRule="exact"/>
        <w:rPr>
          <w:sz w:val="20"/>
          <w:szCs w:val="20"/>
          <w:color w:val="auto"/>
        </w:rPr>
      </w:pPr>
    </w:p>
    <w:p>
      <w:pPr>
        <w:jc w:val="both"/>
        <w:ind w:left="460" w:right="479" w:firstLine="432"/>
        <w:spacing w:after="0" w:line="290" w:lineRule="auto"/>
        <w:rPr>
          <w:sz w:val="20"/>
          <w:szCs w:val="20"/>
          <w:color w:val="auto"/>
        </w:rPr>
      </w:pPr>
      <w:r>
        <w:rPr>
          <w:rFonts w:ascii="Arial" w:cs="Arial" w:eastAsia="Arial" w:hAnsi="Arial"/>
          <w:sz w:val="16"/>
          <w:szCs w:val="16"/>
          <w:color w:val="auto"/>
        </w:rPr>
        <w:t>We have agreed that so long as the private warrants are still held by the initial purchasers or their affiliates, we will not redeem such warrants, and we will allow the holders to exercise such warrants on a cashless basis (even if a registration statement covering the shares of common stock issuable upon exercise of such warrants is not effective). However, once any of the foregoing warrants are transferred from the initial purchasers or their affiliates, these arrangements will no longer apply. Furthermore, because the private warrants will be issued in a private transaction, the holders and their transferees will be allowed to exercise the private warrants for cash even if a registration statement covering the shares of common stock issuable upon exercise of such warrants is not effective and receive unregistered shares of common stock.</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8" w:name="page99"/>
    <w:bookmarkEnd w:id="9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Rights</w:t>
      </w:r>
    </w:p>
    <w:p>
      <w:pPr>
        <w:spacing w:after="0" w:line="14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Each right represents the right to receive one-twentieth (1/20) of one share of common stock upon the consummation of our initial business combination, so each holder of 20 rights will receive one share of common stock upon consummation of our initial business combination, whether or not we will be the surviving entity and even if the holder of such right redeemed all common stock held by him, her or it in connection with the initial business combination or an amendment to our amended and restated certificate of incorporation with respect to our pre-business combination activities. No fractional shares will be issued upon conversion of any rights, so holders must hold rights in denominations of 20 in order to receive a share of our common stock at the closing of our initial business combination. No additional consideration will be required to be paid by a holder of rights in order to receive his, her or its additional common stock upon consummation of an initial business combination as the consideration related thereto has been included in the unit purchase price paid for by investors in this offering. The shares issuable upon exchange of the rights will be freely tradable (except to the extent held by affiliates of ours).</w:t>
      </w:r>
    </w:p>
    <w:p>
      <w:pPr>
        <w:spacing w:after="0" w:line="111"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As soon as practicable upon the occurrence of our initial business combination, we will direct holders of the rights to return their rights certificates to Continental Stock Transfer &amp; Trust Company, in its capacity as rights agent. Upon receipt of the rights certificate, in a business combination in which we will be the surviving entity, we will issue to the registered holder of such rights the number of full shares of our common stock to which the holder is entitled.</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If we enter into a definitive agreement for a business combination in which we will not be the surviving entity, the definitive agreement will provide for the holders of rights to receive the same per share consideration the holders of the common stock will receive in the transaction on an as-converted into common stock basis, and each holder of a right will be required to affirmatively convert his, her or its rights in order to receive the one-twentieth (1/20) share underlying each right (without paying any additional consideration) upon consummation of the business combination. More specifically, the right holder will be required to indicate his, her or its election to convert the rights into underlying shares as well as to return the original rights certificates to us.</w:t>
      </w:r>
    </w:p>
    <w:p>
      <w:pPr>
        <w:spacing w:after="0" w:line="111"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If we are unable to complete an initial business combination within the required time period and we liquidate the funds held in the trust account, holders of rights will not receive any of such funds with respect to their rights, nor will they receive any distribution from our assets held outside of the trust account with respect to such rights, and the rights will expire worthless.</w:t>
      </w:r>
    </w:p>
    <w:p>
      <w:pPr>
        <w:spacing w:after="0" w:line="119"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Promptly upon the consummation of our initial business combination, we will direct registered holders of the rights to return their rights to our rights agent. Upon receipt of the rights, the rights agent will issue to the registered holder of such right(s) the number of full shares of common stock to which he, she or it is entitled. We will notify registered holders of the rights to deliver their rights to the rights agent promptly upon consummation of such business combination and have been informed by the rights agent that the process of exchanging their rights for common stock should take no more than a matter of days. The foregoing exchange of rights is solely ministerial in nature and is not intended to provide us with any means of avoiding our obligation to issue the shares underlying the rights upon consummation of our initial business combination. Other than confirming that the rights delivered by a registered holder are valid, we will have no ability to avoid delivery of the shares underlying the rights. Nevertheless, there are no contractual penalties for failure to deliver securities to the holders of the rights upon consummation of an initial business combination. Additionally, in no event will we be required to net cash settle the rights. Accordingly, the rights may expire worthless.</w:t>
      </w:r>
    </w:p>
    <w:p>
      <w:pPr>
        <w:spacing w:after="0" w:line="100"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We will not issue any fractional shares upon conversions of the rights once the units separate, and no cash will be payable in lieu thereof. As a result, a holder must have 20 rights to receive one share of common stock at the closing of the initial business combination. In the event that any holder would otherwise be entitled to any fractional share upon exchange of his, her or its rights, we will reserve the option, to the fullest extent permitted by applicable law, to deal with any such fractional entitlement at the relevant time as we see fit, which would include the rounding down of any entitlement to receive common stock to the nearest whole share (and in effect extinguishing any fractional entitlement), or the holder being entitled to hold any remaining fractional entitlement (without any share being issued) and to aggregate the same with any future fractional entitlement to receive shares in the company until the holder is entitled to receive a whole number. Any rounding down and extinguishment may be done with or without any in lieu cash payment or other compensation being made to the holder of the relevant rights, such that value received on exchange of the rights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9" w:name="page100"/>
    <w:bookmarkEnd w:id="9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color w:val="auto"/>
        </w:rPr>
        <w:t>may be considered less than the value that the holder would otherwise expect to receive. All holders of rights shall be treated in the same manner with respect to the issuance of shares upon conversions of the rights.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162"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have not paid any cash dividends on our shares of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Transfer Agent, Rights and Warrant Agent</w:t>
      </w:r>
    </w:p>
    <w:p>
      <w:pPr>
        <w:spacing w:after="0" w:line="162" w:lineRule="exact"/>
        <w:rPr>
          <w:sz w:val="20"/>
          <w:szCs w:val="20"/>
          <w:color w:val="auto"/>
        </w:rPr>
      </w:pPr>
    </w:p>
    <w:p>
      <w:pPr>
        <w:jc w:val="both"/>
        <w:ind w:left="460" w:right="479" w:firstLine="432"/>
        <w:spacing w:after="0" w:line="250" w:lineRule="auto"/>
        <w:rPr>
          <w:sz w:val="20"/>
          <w:szCs w:val="20"/>
          <w:color w:val="auto"/>
        </w:rPr>
      </w:pPr>
      <w:r>
        <w:rPr>
          <w:rFonts w:ascii="Arial" w:cs="Arial" w:eastAsia="Arial" w:hAnsi="Arial"/>
          <w:sz w:val="18"/>
          <w:szCs w:val="18"/>
          <w:color w:val="auto"/>
        </w:rPr>
        <w:t>The transfer agent for our shares of common stock, rights agent for our rights and warrant agent for our warrants is Continental Stock Transfer &amp; Trust Company, 1 State Street, 30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Floor, New York, New York 10004.</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Certain Anti-Takeover Provisions of Delaware Law and our Certificate of Incorporation and Bylaws</w:t>
      </w:r>
    </w:p>
    <w:p>
      <w:pPr>
        <w:spacing w:after="0" w:line="160"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We have opted out of Section 203 of the Delaware General Corporate Law, or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06" w:lineRule="exact"/>
        <w:rPr>
          <w:sz w:val="20"/>
          <w:szCs w:val="20"/>
          <w:color w:val="auto"/>
        </w:rPr>
      </w:pPr>
    </w:p>
    <w:p>
      <w:pPr>
        <w:ind w:left="1320" w:right="459" w:hanging="434"/>
        <w:spacing w:after="0" w:line="277" w:lineRule="auto"/>
        <w:tabs>
          <w:tab w:leader="none" w:pos="1608"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jc w:val="both"/>
        <w:ind w:left="1320" w:right="479" w:hanging="434"/>
        <w:spacing w:after="0" w:line="263" w:lineRule="auto"/>
        <w:tabs>
          <w:tab w:leader="none" w:pos="1513" w:val="left"/>
        </w:tabs>
        <w:numPr>
          <w:ilvl w:val="0"/>
          <w:numId w:val="57"/>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89" w:lineRule="exact"/>
        <w:rPr>
          <w:rFonts w:ascii="Arial" w:cs="Arial" w:eastAsia="Arial" w:hAnsi="Arial"/>
          <w:sz w:val="18"/>
          <w:szCs w:val="18"/>
          <w:color w:val="auto"/>
        </w:rPr>
      </w:pPr>
    </w:p>
    <w:p>
      <w:pPr>
        <w:jc w:val="both"/>
        <w:ind w:left="1320" w:right="479" w:hanging="434"/>
        <w:spacing w:after="0" w:line="263" w:lineRule="auto"/>
        <w:tabs>
          <w:tab w:leader="none" w:pos="1324"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 2/3% of the outstanding voting stock that is not owned by the interested stockholder.</w:t>
      </w:r>
    </w:p>
    <w:p>
      <w:pPr>
        <w:spacing w:after="0" w:line="10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Generally, a “business combination” includes a merger, asset or stock sale or certain other transactions resulting in a financial benefit to the interested stockholder. Subject to certain exceptions, an “interested stockholder” is a person who, together with that person’s affiliates and associates, owns, or within the previous three years owned, 20% or more of our voting stock.</w:t>
      </w:r>
    </w:p>
    <w:p>
      <w:pPr>
        <w:spacing w:after="0" w:line="9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2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amended and restated certificate of incorporation provides that our co-sponsors and their respective affiliates, any of their respective direct or indirect transferees of at least 20% of our outstanding common stock and any group as to which such persons are party to, do not constitute “interested stockholders” for purposes of this provision.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Special meeting of stockholders</w:t>
      </w:r>
    </w:p>
    <w:p>
      <w:pPr>
        <w:spacing w:after="0" w:line="14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0" w:name="page101"/>
    <w:bookmarkEnd w:id="10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Advance notice requirements for stockholder proposals and director nominations</w:t>
      </w:r>
    </w:p>
    <w:p>
      <w:pPr>
        <w:spacing w:after="0" w:line="148" w:lineRule="exact"/>
        <w:rPr>
          <w:sz w:val="20"/>
          <w:szCs w:val="20"/>
          <w:color w:val="auto"/>
        </w:rPr>
      </w:pPr>
    </w:p>
    <w:p>
      <w:pPr>
        <w:jc w:val="both"/>
        <w:ind w:left="460" w:right="459" w:firstLine="432"/>
        <w:spacing w:after="0" w:line="262" w:lineRule="auto"/>
        <w:rPr>
          <w:sz w:val="20"/>
          <w:szCs w:val="20"/>
          <w:color w:val="auto"/>
        </w:rPr>
      </w:pPr>
      <w:r>
        <w:rPr>
          <w:rFonts w:ascii="Arial" w:cs="Arial" w:eastAsia="Arial" w:hAnsi="Arial"/>
          <w:sz w:val="17"/>
          <w:szCs w:val="17"/>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90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day nor earlier than the opening of business on the 120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day prior to the scheduled date of the annual meeting of stockholders.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Authorized but unissued shares</w:t>
      </w:r>
    </w:p>
    <w:p>
      <w:pPr>
        <w:spacing w:after="0" w:line="162"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Exclusive forum for certain lawsuits</w:t>
      </w:r>
    </w:p>
    <w:p>
      <w:pPr>
        <w:spacing w:after="0" w:line="158"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shall, to the fullest extent permitted by law, be the sole and exclusive forum for any (1) derivative action or proceeding brought on behalf of our company, (2) action asserting a claim of breach of a fiduciary duty owed by any director, officer, employee or agent of our company to our company or our stockholders, or any claim for aiding and abetting any such alleged breach, (3) action asserting a claim against our company or any director or officer of our company arising pursuant to any provision of the DGCL or our amended and restated certificate of incorporation or our bylaws, or (4) action asserting a claim against us or any director or officer of our company governed by the internal affairs doctrine except for, as to each of (1) through (4)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arising under the federal securities laws, including the Securities Act as to which the Court of Chancery and the federal district court for the District of Delaware shall concurrently be the sole and exclusive forums. Notwithstanding the foregoing, the inclusion of such provision in our amended and restated certificate of incorporation will not be deemed to be a waiver by our stockholders of our obligation to comply with federal securities laws, rules and regulations, and the provisions of this paragraph will not apply to suits brought to enforce any liability or duty created by the Exchange Act or any other claim for which the federal district courts of the United States of America shall be the sole and exclusive forum. Although we believe this provision benefits us by providing increased consistency in the application of Delaware law in the types of lawsuits to which it applies, the provision may have the effect of discouraging lawsuits against our directors and officers. Furthermore, the enforceability of choice of forum provisions in other companies’ certificates of incorporation has been challenged in legal proceedings, and it is possible that a court could find these types of provisions to be inapplicable or unenforceable.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1" w:name="page102"/>
    <w:bookmarkEnd w:id="10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ELIGIBLE FOR FUTURE SALE</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Immediately after this offering, we will have 18,750,000 shares of common stock issued and outstanding, or 21,562,500 shares of common stock if the over-allotment option is exercised in full. Of these shares, the 15,000,000 shares sold in this offering, or 17,250,000 shares if the over-allotment option is exercised in full, will be freely tradable without restriction or further registration under the Securities Act, except for any shares purchased by one of our affiliates within the meaning of Rule 144 under the Securities Act. All of the remaining shares are restricted securities under Rule 144, in that they were issued in private transactions not involving a public offering. All of those shares will not be transferable except in limited circumstances described elsewhere in this prospectus.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Rule 144</w:t>
      </w:r>
    </w:p>
    <w:p>
      <w:pPr>
        <w:spacing w:after="0" w:line="15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A person who has beneficially owned restricted shares of our common stock, rights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Persons who have beneficially owned restricted shares of our common stock, rights or warrants for at least six months but who are our affiliates at the time of, or any time during the three months preceding, a sale, would be subject to additional restrictions, by which such person would be entitled to sell within any three-month period a number of shares that does not exceed the greater of either of the following:</w:t>
      </w:r>
    </w:p>
    <w:p>
      <w:pPr>
        <w:spacing w:after="0" w:line="111" w:lineRule="exact"/>
        <w:rPr>
          <w:sz w:val="20"/>
          <w:szCs w:val="20"/>
          <w:color w:val="auto"/>
        </w:rPr>
      </w:pPr>
    </w:p>
    <w:p>
      <w:pPr>
        <w:jc w:val="both"/>
        <w:ind w:left="1320" w:right="459" w:hanging="434"/>
        <w:spacing w:after="0" w:line="263" w:lineRule="auto"/>
        <w:tabs>
          <w:tab w:leader="none" w:pos="1311" w:val="left"/>
        </w:tabs>
        <w:numPr>
          <w:ilvl w:val="0"/>
          <w:numId w:val="58"/>
        </w:numPr>
        <w:rPr>
          <w:rFonts w:ascii="Arial" w:cs="Arial" w:eastAsia="Arial" w:hAnsi="Arial"/>
          <w:sz w:val="18"/>
          <w:szCs w:val="18"/>
          <w:color w:val="auto"/>
        </w:rPr>
      </w:pPr>
      <w:r>
        <w:rPr>
          <w:rFonts w:ascii="Arial" w:cs="Arial" w:eastAsia="Arial" w:hAnsi="Arial"/>
          <w:sz w:val="18"/>
          <w:szCs w:val="18"/>
          <w:color w:val="auto"/>
        </w:rPr>
        <w:t>1% of the number of shares of common stock then issued and outstanding, which will equal 187,500 shares immediately after this offering (or 215,625 if the over-allotment option is exercised in full); and</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5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average weekly trading volume of the shares of common stock during the four calendar weeks preceding the filing of a notice on Form 144 with respect to the sale.</w:t>
      </w:r>
    </w:p>
    <w:p>
      <w:pPr>
        <w:spacing w:after="0" w:line="103"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Sales under Rule 144 are also limited by manner of sale provisions and notice requirements and to the availability of current public information about us.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62"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Historically, the SEC staff had taken the position that Rule 144 is not available for the resale of securities initially issued by companies that are, or previously were, blank check companies, like us. The SEC has codified and expanded this position in the amendments discussed above by prohibiting the use of Rule 144 for resale of securities issued by any shell companies (other than business combination related shell companies) or any issuer that has been at any time previously a shell company. The SEC has provided an important exception to this prohibition, however, if the following conditions are met:</w:t>
      </w:r>
    </w:p>
    <w:p>
      <w:pPr>
        <w:spacing w:after="0" w:line="97" w:lineRule="exact"/>
        <w:rPr>
          <w:sz w:val="20"/>
          <w:szCs w:val="20"/>
          <w:color w:val="auto"/>
        </w:rPr>
      </w:pPr>
    </w:p>
    <w:p>
      <w:pPr>
        <w:ind w:left="1300" w:hanging="414"/>
        <w:spacing w:after="0"/>
        <w:tabs>
          <w:tab w:leader="none" w:pos="13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issuer of the securities that was formerly a shell company has ceased to be a shell company;</w:t>
      </w:r>
    </w:p>
    <w:p>
      <w:pPr>
        <w:spacing w:after="0" w:line="169" w:lineRule="exact"/>
        <w:rPr>
          <w:rFonts w:ascii="Arial" w:cs="Arial" w:eastAsia="Arial" w:hAnsi="Arial"/>
          <w:sz w:val="17"/>
          <w:szCs w:val="17"/>
          <w:color w:val="auto"/>
        </w:rPr>
      </w:pPr>
    </w:p>
    <w:p>
      <w:pPr>
        <w:ind w:left="1320" w:right="479" w:hanging="434"/>
        <w:spacing w:after="0" w:line="277" w:lineRule="auto"/>
        <w:tabs>
          <w:tab w:leader="none" w:pos="144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02" w:lineRule="exact"/>
        <w:rPr>
          <w:rFonts w:ascii="Arial" w:cs="Arial" w:eastAsia="Arial" w:hAnsi="Arial"/>
          <w:sz w:val="18"/>
          <w:szCs w:val="18"/>
          <w:color w:val="auto"/>
        </w:rPr>
      </w:pPr>
    </w:p>
    <w:p>
      <w:pPr>
        <w:jc w:val="both"/>
        <w:ind w:left="1320" w:right="479" w:hanging="434"/>
        <w:spacing w:after="0" w:line="263" w:lineRule="auto"/>
        <w:tabs>
          <w:tab w:leader="none" w:pos="139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405"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03"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As a result, it is likely that pursuant to Rule 144, our initial stockholders will be able to sell their insider shares freely without registration one year after we have completed our initial business combination assuming they are not an affiliate of ours at that time.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2" w:name="page103"/>
    <w:bookmarkEnd w:id="10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and Stockholder Rights</w:t>
      </w:r>
    </w:p>
    <w:p>
      <w:pPr>
        <w:spacing w:after="0" w:line="144"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 xml:space="preserve">The holders of our insider shares issued and outstanding on the date of this prospectus, as well as the holders of the private warrants (and underlying securities), will be entitled to registration and stockholder rights pursuant to an agreement to be signed prior to or on the effective date of this offering. The holders of a majority of these securities are entitled to make up to two demands that we register such securities. The holders of the majority of the insider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t>
      </w:r>
      <w:r>
        <w:rPr>
          <w:rFonts w:ascii="Arial" w:cs="Arial" w:eastAsia="Arial" w:hAnsi="Arial"/>
          <w:sz w:val="16"/>
          <w:szCs w:val="16"/>
          <w:i w:val="1"/>
          <w:iCs w:val="1"/>
          <w:color w:val="auto"/>
        </w:rPr>
        <w:t>We will bear the expenses incurred in connection with the filing of any such registration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statements. </w:t>
      </w:r>
      <w:r>
        <w:rPr>
          <w:rFonts w:ascii="Arial" w:cs="Arial" w:eastAsia="Arial" w:hAnsi="Arial"/>
          <w:sz w:val="16"/>
          <w:szCs w:val="16"/>
          <w:color w:val="auto"/>
        </w:rPr>
        <w:t>Chardan Capital Markets, LLC and its related persons may not, with respect to the private warrants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shares that are issuable upon exercise of the private warrants) purchased by Chardan Investments, (i) have more than one demand registration right at our expense, (ii) exercise their demand registration rights more than five (5) years from the effective date of the registration statement of which this prospectus forms a part, and (iii) exercise their “piggy-back” registration rights more than seven (7) years from the effective date of the registration statement of which this prospectus forms a part, as long as Chardan Capital Markets, LLC or any of its related persons are beneficial owners of private warrants.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3" w:name="page104"/>
    <w:bookmarkEnd w:id="10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(CONFLICTS OF INTEREST)</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intend to offer our securities described in this prospectus through the underwriters named below. Chardan Capital Markets, LLC is the representative for the underwriters. We have entered into an underwriting agreement with the representative. Subject to the terms and conditions of the underwriting agreement, each of the underwriters has severally agreed to purchase from us the number of units listed next to its name in the following table:</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276"/>
              <w:spacing w:after="0"/>
              <w:rPr>
                <w:sz w:val="20"/>
                <w:szCs w:val="20"/>
                <w:color w:val="auto"/>
              </w:rPr>
            </w:pPr>
            <w:r>
              <w:rPr>
                <w:rFonts w:ascii="Arial" w:cs="Arial" w:eastAsia="Arial" w:hAnsi="Arial"/>
                <w:sz w:val="16"/>
                <w:szCs w:val="16"/>
                <w:b w:val="1"/>
                <w:bCs w:val="1"/>
                <w:color w:val="auto"/>
              </w:rPr>
              <w:t>Number</w:t>
            </w:r>
          </w:p>
        </w:tc>
      </w:tr>
      <w:tr>
        <w:trPr>
          <w:trHeight w:val="210"/>
        </w:trPr>
        <w:tc>
          <w:tcPr>
            <w:tcW w:w="6840" w:type="dxa"/>
            <w:vAlign w:val="bottom"/>
            <w:gridSpan w:val="2"/>
          </w:tcPr>
          <w:p>
            <w:pPr>
              <w:spacing w:after="0"/>
              <w:rPr>
                <w:sz w:val="20"/>
                <w:szCs w:val="20"/>
                <w:color w:val="auto"/>
              </w:rPr>
            </w:pPr>
            <w:r>
              <w:rPr>
                <w:rFonts w:ascii="Arial" w:cs="Arial" w:eastAsia="Arial" w:hAnsi="Arial"/>
                <w:sz w:val="16"/>
                <w:szCs w:val="16"/>
                <w:b w:val="1"/>
                <w:bCs w:val="1"/>
                <w:color w:val="auto"/>
              </w:rPr>
              <w:t>Underwriter</w:t>
            </w:r>
          </w:p>
        </w:tc>
        <w:tc>
          <w:tcPr>
            <w:tcW w:w="1260" w:type="dxa"/>
            <w:vAlign w:val="bottom"/>
          </w:tcPr>
          <w:p>
            <w:pPr>
              <w:jc w:val="right"/>
              <w:ind w:right="276"/>
              <w:spacing w:after="0"/>
              <w:rPr>
                <w:sz w:val="20"/>
                <w:szCs w:val="20"/>
                <w:color w:val="auto"/>
              </w:rPr>
            </w:pPr>
            <w:r>
              <w:rPr>
                <w:rFonts w:ascii="Arial" w:cs="Arial" w:eastAsia="Arial" w:hAnsi="Arial"/>
                <w:sz w:val="16"/>
                <w:szCs w:val="16"/>
                <w:b w:val="1"/>
                <w:bCs w:val="1"/>
                <w:color w:val="auto"/>
              </w:rPr>
              <w:t>of Units</w:t>
            </w:r>
          </w:p>
        </w:tc>
      </w:tr>
      <w:tr>
        <w:trPr>
          <w:trHeight w:val="46"/>
        </w:trPr>
        <w:tc>
          <w:tcPr>
            <w:tcW w:w="6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57"/>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Chardan Capital Markets, LLC</w:t>
            </w: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6840" w:type="dxa"/>
            <w:vAlign w:val="bottom"/>
            <w:gridSpan w:val="2"/>
          </w:tcPr>
          <w:p>
            <w:pPr>
              <w:spacing w:after="0"/>
              <w:rPr>
                <w:sz w:val="20"/>
                <w:szCs w:val="20"/>
                <w:color w:val="auto"/>
              </w:rPr>
            </w:pPr>
            <w:r>
              <w:rPr>
                <w:rFonts w:ascii="Arial" w:cs="Arial" w:eastAsia="Arial" w:hAnsi="Arial"/>
                <w:sz w:val="18"/>
                <w:szCs w:val="18"/>
                <w:color w:val="auto"/>
              </w:rPr>
              <w:t>B. Riley Securities, Inc.</w:t>
            </w:r>
          </w:p>
        </w:tc>
        <w:tc>
          <w:tcPr>
            <w:tcW w:w="1260" w:type="dxa"/>
            <w:vAlign w:val="bottom"/>
          </w:tcPr>
          <w:p>
            <w:pPr>
              <w:spacing w:after="0"/>
              <w:rPr>
                <w:sz w:val="21"/>
                <w:szCs w:val="21"/>
                <w:color w:val="auto"/>
              </w:rPr>
            </w:pPr>
          </w:p>
        </w:tc>
      </w:tr>
      <w:tr>
        <w:trPr>
          <w:trHeight w:val="41"/>
        </w:trPr>
        <w:tc>
          <w:tcPr>
            <w:tcW w:w="67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3"/>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15,000,000</w:t>
            </w: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 copy of the form of underwriting agreement has been filed as an exhibit to the registration statement of which this prospectus forms a part.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of our Securities</w:t>
      </w:r>
    </w:p>
    <w:p>
      <w:pPr>
        <w:spacing w:after="0" w:line="162"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We intend to apply to list our units, shares of common stock, rights and warrants on Nasdaq under the symbols “VTAQU,” “VTAQ,” “VTAQR” and “VTAQW,” respectively. We expect that our units will be listed on Nasdaq on or promptly after the effective date of the registration statement. Following the date that our shares of common stock, rights and warrants are eligible to trade separately, we anticipate that our shares of common stock, rights and warrants will be listed separately and as a unit on Nasdaq. We cannot guarantee that our securities will continue to be listed on Nasdaq after this offering.</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Over-allotment Option</w:t>
      </w:r>
    </w:p>
    <w:p>
      <w:pPr>
        <w:spacing w:after="0" w:line="148"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We have granted the underwriters an option to buy up to 2,250,000 additional units. The underwriters may exercise this option solely for the purpose of covering over-allotments, if any, made in connection with this offering. The underwriters have 45 days from the date of this prospectus to exercise this option. If the underwriters exercise this option, they will each purchase additional units approximately in proportion to the amounts specified in the table above.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Commissions and Discounts</w:t>
      </w:r>
    </w:p>
    <w:p>
      <w:pPr>
        <w:spacing w:after="0" w:line="162"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Units sold by the underwriters to the public will initially be offered at the offering price set forth on the cover of this prospectus. Any units sold by the underwriters to securities dealers may be sold at a discount of up to $[•] per unit from the public offering price. Any of these securities dealers may resell any units purchased from the underwriters to other brokers or dealers at a discount of up to $[•] per unit from the public offering price. If all of the units are not sold at the initial public offering price, the representative may change the offering price and the other selling terms. Upon execution of the underwriting agreement, the underwriters will be obligated to purchase the units at the prices and upon the terms stated therein, and, as a result, will thereafter bear any risk associated with changing the offering price to the public or other selling terms.</w:t>
      </w:r>
    </w:p>
    <w:p>
      <w:pPr>
        <w:spacing w:after="0" w:line="98"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We have agreed to reimburse the underwriters for accountable out-of-pocket expenses up to an aggregate amount of $200,000, including, but not limited to, travel, due diligence expenses, reasonable fees and expenses of its legal counsel, accountable roadshow expenses, background checks on our principal shareholders, directors and officers and fees and expenses related to the review by FINRA (not to exceed $26,375).</w:t>
      </w:r>
    </w:p>
    <w:p>
      <w:pPr>
        <w:spacing w:after="0" w:line="76"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We have also agreed to provide Chardan Capital Markets, LLC with a right of first refusal to participate as lead book running manager for any public or private securities offerings for a period of eighteen (18) months following the consummation of our initial business combination, with at least 30% of the economics for any such offering. In accordance with FINRA Rule 5110(g)(6), such right of first refusal shall not have a duration of more than three years from the effective date of the registration statement of which this prospectus forms a part.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4" w:name="page105"/>
    <w:bookmarkEnd w:id="10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following table shows the per unit and total underwriting discounts and commissions we will pay to the underwriters assuming both no exercise and full exercise of the underwriters’ over-allotment option to purchase up to an additional 2,250,000 units.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Without</w:t>
            </w:r>
          </w:p>
        </w:tc>
        <w:tc>
          <w:tcPr>
            <w:tcW w:w="100" w:type="dxa"/>
            <w:vAlign w:val="bottom"/>
          </w:tcPr>
          <w:p>
            <w:pPr>
              <w:spacing w:after="0"/>
              <w:rPr>
                <w:sz w:val="17"/>
                <w:szCs w:val="17"/>
                <w:color w:val="auto"/>
              </w:rPr>
            </w:pPr>
          </w:p>
        </w:tc>
        <w:tc>
          <w:tcPr>
            <w:tcW w:w="1180" w:type="dxa"/>
            <w:vAlign w:val="bottom"/>
          </w:tcPr>
          <w:p>
            <w:pPr>
              <w:jc w:val="right"/>
              <w:ind w:right="394"/>
              <w:spacing w:after="0"/>
              <w:rPr>
                <w:sz w:val="20"/>
                <w:szCs w:val="20"/>
                <w:color w:val="auto"/>
              </w:rPr>
            </w:pPr>
            <w:r>
              <w:rPr>
                <w:rFonts w:ascii="Arial" w:cs="Arial" w:eastAsia="Arial" w:hAnsi="Arial"/>
                <w:sz w:val="16"/>
                <w:szCs w:val="16"/>
                <w:b w:val="1"/>
                <w:bCs w:val="1"/>
                <w:color w:val="auto"/>
              </w:rPr>
              <w:t>With</w:t>
            </w:r>
          </w:p>
        </w:tc>
      </w:tr>
      <w:tr>
        <w:trPr>
          <w:trHeight w:val="210"/>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Per Unit</w:t>
            </w:r>
          </w:p>
        </w:tc>
        <w:tc>
          <w:tcPr>
            <w:tcW w:w="60" w:type="dxa"/>
            <w:vAlign w:val="bottom"/>
          </w:tcPr>
          <w:p>
            <w:pPr>
              <w:spacing w:after="0"/>
              <w:rPr>
                <w:sz w:val="18"/>
                <w:szCs w:val="18"/>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Over-allotment</w:t>
            </w:r>
          </w:p>
        </w:tc>
        <w:tc>
          <w:tcPr>
            <w:tcW w:w="10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Arial" w:cs="Arial" w:eastAsia="Arial" w:hAnsi="Arial"/>
                <w:sz w:val="16"/>
                <w:szCs w:val="16"/>
                <w:b w:val="1"/>
                <w:bCs w:val="1"/>
                <w:color w:val="auto"/>
                <w:w w:val="92"/>
              </w:rPr>
              <w:t>Over-allotment</w:t>
            </w:r>
          </w:p>
        </w:tc>
      </w:tr>
      <w:tr>
        <w:trPr>
          <w:trHeight w:val="47"/>
        </w:trPr>
        <w:tc>
          <w:tcPr>
            <w:tcW w:w="43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150,000,000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172,500,000</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Discount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0.20</w:t>
            </w: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3,450,000</w:t>
            </w:r>
          </w:p>
        </w:tc>
      </w:tr>
      <w:tr>
        <w:trPr>
          <w:trHeight w:val="40"/>
        </w:trPr>
        <w:tc>
          <w:tcPr>
            <w:tcW w:w="4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8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w:t>
            </w:r>
            <w:r>
              <w:rPr>
                <w:rFonts w:ascii="Arial" w:cs="Arial" w:eastAsia="Arial" w:hAnsi="Arial"/>
                <w:sz w:val="20"/>
                <w:szCs w:val="20"/>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9.80</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147,000,000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169,050,000</w:t>
            </w: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offering expenses are estimated at $500,000.</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16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Under a business combination marketing agreement, dated as of the date of this prospectus, we have engaged Chardan Capital Markets, LLC as an advisor in connection with our initial business combination to assist us in holding meetings with our stockholders to discuss the potential business combination and the target business’s attributes, introduce us to potential investors that are interested in purchasing our securities in connection with the potential business combination, assist us in obtaining stockholder approval for the business combination and assist us with our press releases and public filings in connection with the business combination. We will pay Chardan Capital Markets, LLC a marketing fee for such services upon the consummation of our initial business combination in an amount equal to, in the aggregate, 3.5% of the gross proceeds of this offering, including any proceeds from the full or partial exercise of the underwriters’ over-allotment option. As a result, Chardan Capital Markets, LLC will not be entitled to such fee unless we consummate our initial business combination. A copy of the form of business combination marketing agreement has been filed as an exhibit to the registration statement of which this prospectus forms a part.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Pricing of Securities</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We have been advised by the representative of the underwriters that the underwriters propose to offer the units to the public at the offering price set forth on the cover page of this prospectus.</w:t>
      </w:r>
    </w:p>
    <w:p>
      <w:pPr>
        <w:spacing w:after="0" w:line="89"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rights and warrants were negotiated between us and the representative. Factors considered in determining the prices and terms of the units, including the shares of common stock, rights and warrants underlying the units, include:</w:t>
      </w:r>
    </w:p>
    <w:p>
      <w:pPr>
        <w:spacing w:after="0" w:line="119" w:lineRule="exact"/>
        <w:rPr>
          <w:sz w:val="20"/>
          <w:szCs w:val="20"/>
          <w:color w:val="auto"/>
        </w:rPr>
      </w:pPr>
    </w:p>
    <w:p>
      <w:pPr>
        <w:ind w:left="1320" w:right="479" w:hanging="434"/>
        <w:spacing w:after="0" w:line="277" w:lineRule="auto"/>
        <w:tabs>
          <w:tab w:leader="none" w:pos="158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per share amount of net proceeds being placed into the trust account;</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 assessment of our management and their experience in identifying operating companies;</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the offering;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44"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However, although these factors were considered, the determination of our offering price is more arbitrary than the pricing of securities for an operating company in a particular industry since the underwriters are unable to compare our financial results and prospects with those of public companies operating in the same industry.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5" w:name="page106"/>
    <w:bookmarkEnd w:id="10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Regulatory Restrictions on Purchase of Securities</w:t>
      </w:r>
    </w:p>
    <w:p>
      <w:pPr>
        <w:spacing w:after="0" w:line="14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Rules of the SEC may limit the ability of the underwriters to bid for or purchase our units before the distribution of the units is completed. However, the underwriters may engage in the following activities in accordance with the rules:</w:t>
      </w:r>
    </w:p>
    <w:p>
      <w:pPr>
        <w:spacing w:after="0" w:line="116" w:lineRule="exact"/>
        <w:rPr>
          <w:sz w:val="20"/>
          <w:szCs w:val="20"/>
          <w:color w:val="auto"/>
        </w:rPr>
      </w:pPr>
    </w:p>
    <w:p>
      <w:pPr>
        <w:jc w:val="both"/>
        <w:ind w:left="1320" w:right="459" w:hanging="434"/>
        <w:spacing w:after="0" w:line="286" w:lineRule="auto"/>
        <w:tabs>
          <w:tab w:leader="none" w:pos="1527"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Stabilizing Transactions</w:t>
      </w:r>
      <w:r>
        <w:rPr>
          <w:rFonts w:ascii="Arial" w:cs="Arial" w:eastAsia="Arial" w:hAnsi="Arial"/>
          <w:sz w:val="17"/>
          <w:szCs w:val="17"/>
          <w:color w:val="auto"/>
        </w:rPr>
        <w:t>. The underwriters may make bids or purchases for the purpose of preventing or retarding a decline in the price of our units, as long as stabilizing bids do not exceed the offering price of $10.00 and the underwriters comply with all other applicable rules.</w:t>
      </w:r>
    </w:p>
    <w:p>
      <w:pPr>
        <w:spacing w:after="0" w:line="97" w:lineRule="exact"/>
        <w:rPr>
          <w:rFonts w:ascii="Arial" w:cs="Arial" w:eastAsia="Arial" w:hAnsi="Arial"/>
          <w:sz w:val="17"/>
          <w:szCs w:val="17"/>
          <w:color w:val="auto"/>
        </w:rPr>
      </w:pPr>
    </w:p>
    <w:p>
      <w:pPr>
        <w:jc w:val="both"/>
        <w:ind w:left="1320" w:right="459" w:hanging="434"/>
        <w:spacing w:after="0" w:line="285" w:lineRule="auto"/>
        <w:tabs>
          <w:tab w:leader="none" w:pos="1473"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Over-Allotments and Syndicate Coverage Transactions</w:t>
      </w:r>
      <w:r>
        <w:rPr>
          <w:rFonts w:ascii="Arial" w:cs="Arial" w:eastAsia="Arial" w:hAnsi="Arial"/>
          <w:sz w:val="16"/>
          <w:szCs w:val="16"/>
          <w:color w:val="auto"/>
        </w:rPr>
        <w:t>. The underwriters may create a short position in our units by selling more of our units than are set forth on the cover page of this prospectus up to the amount of the over-allotment option. This is known as a covered short position. The underwriters may also create a short position in our units by selling more of our units than are set forth on the cover page of this prospectus and the units allowed by the over-allotment option. This is known as a naked short position. If the underwriters create a short position during the offering, the representative may engage in syndicate covering transactions by purchasing our units in the open market. The representative may also elect to reduce any short position by exercising all or part of the over-allotment option. Determining what method to use in reducing the short position depends on how the units trade in the aftermarket following the offering. If the unit price drops following the offering, the short position is usually covered with shares purchased by the underwriters in the aftermarket. However, the underwriters may cover a short position by exercising the over-allotment option even if the unit price drops following the offering. If the unit price rises after the offering, then the over-allotment option is used to cover the short position. If the short position is more than the over-allotment option, the naked short must be covered by purchases in the aftermarket, which could be at prices above the offering price.</w:t>
      </w:r>
    </w:p>
    <w:p>
      <w:pPr>
        <w:spacing w:after="0" w:line="95" w:lineRule="exact"/>
        <w:rPr>
          <w:rFonts w:ascii="Arial" w:cs="Arial" w:eastAsia="Arial" w:hAnsi="Arial"/>
          <w:sz w:val="16"/>
          <w:szCs w:val="16"/>
          <w:color w:val="auto"/>
        </w:rPr>
      </w:pPr>
    </w:p>
    <w:p>
      <w:pPr>
        <w:jc w:val="both"/>
        <w:ind w:left="1320" w:right="479" w:hanging="434"/>
        <w:spacing w:after="0" w:line="263" w:lineRule="auto"/>
        <w:tabs>
          <w:tab w:leader="none" w:pos="1311"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Penalty Bids</w:t>
      </w:r>
      <w:r>
        <w:rPr>
          <w:rFonts w:ascii="Arial" w:cs="Arial" w:eastAsia="Arial" w:hAnsi="Arial"/>
          <w:sz w:val="18"/>
          <w:szCs w:val="18"/>
          <w:color w:val="auto"/>
        </w:rPr>
        <w:t>. The representative may reclaim a selling concession from a syndicate member when the units originally sold by the syndicate member are purchased in a stabilizing or syndicate covering transaction to cover syndicate short positions.</w:t>
      </w:r>
    </w:p>
    <w:p>
      <w:pPr>
        <w:spacing w:after="0" w:line="11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Stabilization and syndicate covering transactions may cause the price of our securities to be higher than they would be in the absence of these transactions. The imposition of a penalty bid might also have an effect on the prices of our securities if it discourages resales of our securities.</w:t>
      </w:r>
    </w:p>
    <w:p>
      <w:pPr>
        <w:spacing w:after="0" w:line="11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Neither we nor the underwriters make any representation or prediction as to the effect that the transactions described above may have on the price of our securities. These transactions may occur on Nasdaq, in the over-the-counter market or on any trading market. If any of these transactions are commenced, they may be discontinued without notice at any time.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14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Chardan Investments, our co-sponsor, is an affiliate of Chardan Capital Markets, LLC, the representative of the underwriters in this offering, and Messrs. Grossman and Weil are affiliated with Chardan Capital Markets, LLC. As a result, Chardan Capital Markets, LLC is deemed to have a “conflict of interest” within the meaning of Rule 5121.</w:t>
      </w:r>
    </w:p>
    <w:p>
      <w:pPr>
        <w:spacing w:after="0" w:line="119"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Accordingly, this offering is being made in compliance with the applicable requirements of Rule 5121. Rule 5121 requires that a “qualified independent underwriter,” as defined in Rule 5121, participate in the preparation of the registration statement and prospectus and exercise the usual standards of due diligence with respect thereto. B. Riley Securities, Inc. has agreed to act as a “qualified independent underwriter” for this offering. B. Riley Securities, Inc. will receive $100,000 for acting as a qualified independent underwriter. We have agreed to indemnify B. Riley Securities, Inc. against certain liabilities incurred in connection with acting as a “qualified independent underwriter,” including liabilities under the Securities Act. In addition, no underwriter with a conflict of interest will confirm sales to any account over which it exercises discretionary authority without the specific prior written approval of the account holder.</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Terms</w:t>
      </w:r>
    </w:p>
    <w:p>
      <w:pPr>
        <w:spacing w:after="0" w:line="162"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Except as set forth above, including with respect to the business combination marketing agreement, we are not under any contractual obligation to engage any of the underwriters to provide any services for us after this offering, and have no present intent to do so. However, any of the underwriters may, among other things, introduce us to potential target businesses or assist us in raising additional capital, as needs may arise in the future. If any underwriter provides services</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6" w:name="page107"/>
    <w:bookmarkEnd w:id="10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to us after this offering, we may pay the underwriter fair and reasonable fees that would be determined at that time in an arm’s length negotiation; provided that no agreement will be entered into with the underwriter and no fees for such services will be paid to the underwriter prior to the date which is 90 days after the date of this prospectus, unless FINRA determines that such payment would not be deemed underwriter’s compensation in connection with this offering.</w:t>
      </w:r>
    </w:p>
    <w:p>
      <w:pPr>
        <w:spacing w:after="0" w:line="120" w:lineRule="exact"/>
        <w:rPr>
          <w:sz w:val="20"/>
          <w:szCs w:val="20"/>
          <w:color w:val="auto"/>
        </w:rPr>
      </w:pPr>
    </w:p>
    <w:p>
      <w:pPr>
        <w:jc w:val="both"/>
        <w:ind w:left="460" w:right="479" w:firstLine="432"/>
        <w:spacing w:after="0" w:line="273" w:lineRule="auto"/>
        <w:rPr>
          <w:sz w:val="20"/>
          <w:szCs w:val="20"/>
          <w:color w:val="auto"/>
        </w:rPr>
      </w:pPr>
      <w:r>
        <w:rPr>
          <w:rFonts w:ascii="Arial" w:cs="Arial" w:eastAsia="Arial" w:hAnsi="Arial"/>
          <w:sz w:val="17"/>
          <w:szCs w:val="17"/>
          <w:color w:val="auto"/>
        </w:rPr>
        <w:t>Chardan Investments, an entity affiliated with Jonas Grossman and Chardan Capital Markets, LLC, has committed to purchase from us an aggregate of 2,000,000 warrants (or 2,225,000 if the over-allotment option is exercised in full) at $1.00 per private warrant for a total purchase price of $2,000,000 (or $2,225,000 if the over-allotment option is exercised in full). Each private warrant is exercisable for one share of common stock at an exercise price of $11.50 per share. These purchases will take place on a private placement basis simultaneously with the consummation of this offering.</w:t>
      </w:r>
    </w:p>
    <w:p>
      <w:pPr>
        <w:spacing w:after="0" w:line="110"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private warrants and the shares that are issuable upon exercise of the private warrants have been deemed compensation by FINRA and are therefore subject to a 180-day lock-up pursuant to FINRA Rule 5110(e)(1) commencing on the effective date of the registration statement of which this prospectus forms a part. Pursuant to FINRA Rule 5110(e)(1), these securities will not be sold during the offering, or sold, transferred, assigned, pledged, or hypothecated, or be the subject of any hedging, short sale, derivative, put or call transaction that would result in the economic disposition of the securities by any person for a period of 180 days immediately following the effective date of the registration statement of which this prospectus forms a part or commencement of sales of the public offering, except to any underwriter and selected dealer participating in the offering and their bona fide officers or partners, provided that all securities so transferred remain subject to the lockup restriction above for the remainder of the time period. We have granted the holders of private warrants the registration rights as described under the section “Securities Eligible for Future Sale — Registration and Stockholder Rights.”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w:t>
      </w:r>
    </w:p>
    <w:p>
      <w:pPr>
        <w:spacing w:after="0" w:line="148"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We have agreed to indemnify the underwriters against some liabilities, including civil liabilities under the Securities Act, or to contribute to payments the underwriters may be required to make in this respect.</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Resale Restrictions</w:t>
      </w:r>
    </w:p>
    <w:p>
      <w:pPr>
        <w:spacing w:after="0" w:line="162"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We intend to distribute our securities in the Province of Ontario, Canada (the “Canadian Offering Jurisdiction”) by way of a private placement and exempt from the requirement that we prepare and file a prospectus with the securities regulatory authorities in such Canadian Offering Jurisdiction. Any resale of our securities in Canada must be made under applicable securities laws that will vary depending on the relevant jurisdiction, and which may require resales to be made under available statutory exemptions or under a discretionary exemption granted by the applicable Canadian securities regulatory authority. Canadian resale restrictions in some circumstances may apply to resales of interests made outside of Canada. Canadian purchasers are advised to seek legal advice prior to any resale of our securities. We may never be a “reporting issuer”, as such term is defined under applicable Canadian securities legislation, in any province or territory of Canada in which our securities will be offered and there currently is no public market for any of the securities in Canada, and one may never develop. Canadian investors are advised that we have no intention to file a prospectus or similar document with any securities regulatory authority in Canada qualifying the resale of the securities to the public in any province or territory in Canada.</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Representations of Purchasers</w:t>
      </w:r>
    </w:p>
    <w:p>
      <w:pPr>
        <w:spacing w:after="0" w:line="16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A Canadian purchaser will be required to represent to us and the dealer from whom the purchase confirmation is received that:</w:t>
      </w:r>
    </w:p>
    <w:p>
      <w:pPr>
        <w:spacing w:after="0" w:line="62" w:lineRule="exact"/>
        <w:rPr>
          <w:sz w:val="20"/>
          <w:szCs w:val="20"/>
          <w:color w:val="auto"/>
        </w:rPr>
      </w:pPr>
    </w:p>
    <w:p>
      <w:pPr>
        <w:ind w:left="1320" w:right="459" w:hanging="434"/>
        <w:spacing w:after="0" w:line="277" w:lineRule="auto"/>
        <w:tabs>
          <w:tab w:leader="none" w:pos="152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our securities without the benefit of a prospectus qualified under those securities laws;</w:t>
      </w:r>
    </w:p>
    <w:p>
      <w:pPr>
        <w:spacing w:after="0" w:line="62" w:lineRule="exact"/>
        <w:rPr>
          <w:rFonts w:ascii="Arial" w:cs="Arial" w:eastAsia="Arial" w:hAnsi="Arial"/>
          <w:sz w:val="18"/>
          <w:szCs w:val="18"/>
          <w:color w:val="auto"/>
        </w:rPr>
      </w:pPr>
    </w:p>
    <w:p>
      <w:pPr>
        <w:ind w:left="1300" w:hanging="41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where required by law, that the purchaser is purchasing as principal and not as agent;</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 and</w:t>
      </w:r>
    </w:p>
    <w:p>
      <w:pPr>
        <w:spacing w:after="0" w:line="117" w:lineRule="exact"/>
        <w:rPr>
          <w:rFonts w:ascii="Arial" w:cs="Arial" w:eastAsia="Arial" w:hAnsi="Arial"/>
          <w:sz w:val="18"/>
          <w:szCs w:val="18"/>
          <w:color w:val="auto"/>
        </w:rPr>
      </w:pPr>
    </w:p>
    <w:p>
      <w:pPr>
        <w:jc w:val="both"/>
        <w:ind w:left="1320" w:right="459" w:hanging="434"/>
        <w:spacing w:after="0" w:line="263" w:lineRule="auto"/>
        <w:tabs>
          <w:tab w:leader="none" w:pos="139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purchaser acknowledges and consents to the provision of specified information concerning its purchase of our securities to the regulatory authority that by law is entitled to collect the information.</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7" w:name="page108"/>
    <w:bookmarkEnd w:id="10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Rights of Action — Ontario Purchasers Only</w:t>
      </w:r>
    </w:p>
    <w:p>
      <w:pPr>
        <w:spacing w:after="0" w:line="162"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Under Ontario securities legislation, certain purchasers who purchase a security offered by this prospectus during the period of distribution will have a statutory right of action for damages, or while still the owner of our securities,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our securities. The right of action for rescission is exercisable not later than 180 days from the date on which payment is made for our securities. If a purchaser elects to exercise the right of action for rescission, the purchaser will have no right of action for damages against us. In no case will the amount recoverable in any action exceed the price at which our securities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our securities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3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Enforcement of Legal Rights</w:t>
      </w:r>
    </w:p>
    <w:p>
      <w:pPr>
        <w:spacing w:after="0" w:line="162"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All of our directors and officers as well as the experts named herein are located outside of Canada and, as a result, it may not be possible for Canadian purchasers to effect service of process within Canada upon us or those persons. All of our assets and the assets of those persons are located outside of Canada and, as a result, it may not be possible to satisfy a judgment against us or those persons in Canada or to enforce a judgment obtained in Canadian courts against us or those persons outside of Canada.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Collection of Personal Information</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Arial" w:cs="Arial" w:eastAsia="Arial" w:hAnsi="Arial"/>
          <w:sz w:val="18"/>
          <w:szCs w:val="18"/>
          <w:color w:val="auto"/>
        </w:rPr>
        <w:t>If a Canadian purchaser is resident in or otherwise subject to the securities laws of the Province of Ontario, the Purchaser authorizes the indirect collection of personal information pertaining to the Canadian purchaser by the Ontario Securities Commission (the “OSC”) and each Canadian purchaser will be required to acknowledge and agree that the Canadian purchaser has been notified by us (i) of the delivery to the OSC of personal information pertaining to the Canadian purchaser, including, without limitation, the full name, residential address and telephone number of the Canadian purchaser, the number and type of securities purchased and the total purchase price paid in respect of the securities, (ii) that this information is being collected indirectly by the OSC under the authority granted to it in securities legislation, (iii) that this information is being collected for the purposes of the administration and enforcement of the securities legislation of Ontario, and (iv) that the title, business address and business telephone number of the public official in Ontario who can answer questions about the OSC’s indirect collection of the information is the Administrative Assistant to the Director of Corporate Finance, the Ontario Securities Commission, Suite 1903, Box 5520, Queen Street West, Toronto, Ontario, M5H 3S8, Telephone: (416) 593-8086, Facsimile: (416) 593-8252.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8" w:name="page109"/>
    <w:bookmarkEnd w:id="10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Loeb &amp; Loeb LLP, is acting as United States counsel in connection with the registration of our securities under the Securities Act and will pass on the validity of the securities offered in the prospectus. Greenberg Traurig, LLP, is acting as counsel for the underwriters in this offering.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financial statements of Ventoux CCM Acquisition Corp. as of December 31, 2019, and for the period from July 10, 2019 (inception) through December 31, 2019 appearing in this prospectus have been audited by WithumSmith+Brown, PC, independent registered public accounting firm, as set forth in their report thereon, appearing elsewhere in this prospectus, and are included in reliance on such report given on the authority of such firm as an experts in auditing and accounting.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2" w:lineRule="exact"/>
        <w:rPr>
          <w:sz w:val="20"/>
          <w:szCs w:val="20"/>
          <w:color w:val="auto"/>
        </w:rPr>
      </w:pPr>
    </w:p>
    <w:p>
      <w:pPr>
        <w:jc w:val="both"/>
        <w:ind w:left="460" w:right="479" w:firstLine="432"/>
        <w:spacing w:after="0" w:line="269" w:lineRule="auto"/>
        <w:rPr>
          <w:sz w:val="20"/>
          <w:szCs w:val="20"/>
          <w:color w:val="auto"/>
        </w:rPr>
      </w:pPr>
      <w:r>
        <w:rPr>
          <w:rFonts w:ascii="Arial" w:cs="Arial" w:eastAsia="Arial" w:hAnsi="Arial"/>
          <w:sz w:val="17"/>
          <w:szCs w:val="17"/>
          <w:color w:val="auto"/>
        </w:rPr>
        <w:t xml:space="preserve">We have filed with the SEC a registration statement on Form S-1, which includes exhibits, schedules and amendments, under the Securities Act, with respect to this offering of our securities. Although this prospectus, which forms a part of the registration statement, contains all material information included in the registration statement, parts of the registration statement have been omitted as permitted by rules and regulations of the SEC. We refer you to the registration statement and its exhibits for further information about us, our securities and this offering. The registration statement and its exhibits, as well as our other reports filed with the SEC, can be inspected and copied at the SEC’s public reference room at 100 F Street, N.E., Washington, D.C. 20549. The public may obtain information about the operation of the public reference room by calling the SEC at 1-800-SEC-0330. In addition, the SEC maintains a web site at </w:t>
      </w:r>
      <w:r>
        <w:rPr>
          <w:rFonts w:ascii="Arial" w:cs="Arial" w:eastAsia="Arial" w:hAnsi="Arial"/>
          <w:sz w:val="17"/>
          <w:szCs w:val="17"/>
          <w:i w:val="1"/>
          <w:iCs w:val="1"/>
          <w:color w:val="auto"/>
        </w:rPr>
        <w:t>http://www.sec.gov</w:t>
      </w:r>
      <w:r>
        <w:rPr>
          <w:rFonts w:ascii="Arial" w:cs="Arial" w:eastAsia="Arial" w:hAnsi="Arial"/>
          <w:sz w:val="17"/>
          <w:szCs w:val="17"/>
          <w:color w:val="auto"/>
        </w:rPr>
        <w:t xml:space="preserve"> which contains the Form S-1 and other reports, proxy and information statements and information regarding issuers that file electronically with the SEC.</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9" w:name="page110"/>
    <w:bookmarkEnd w:id="10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VENTOUX CCM ACQUISITION CORP.</w:t>
      </w:r>
    </w:p>
    <w:p>
      <w:pPr>
        <w:spacing w:after="0" w:line="144"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INDEX TO FINANCIAL STATEMENTS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6"/>
        </w:trPr>
        <w:tc>
          <w:tcPr>
            <w:tcW w:w="744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244"/>
        </w:trPr>
        <w:tc>
          <w:tcPr>
            <w:tcW w:w="744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Report of Independent Registered Public Accounting Firm</w:t>
              </w:r>
            </w:hyperlink>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F-2</w:t>
            </w:r>
          </w:p>
        </w:tc>
      </w:tr>
      <w:tr>
        <w:trPr>
          <w:trHeight w:val="283"/>
        </w:trPr>
        <w:tc>
          <w:tcPr>
            <w:tcW w:w="7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63"/>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660" w:type="dxa"/>
            <w:vAlign w:val="bottom"/>
            <w:tcBorders>
              <w:bottom w:val="single" w:sz="8" w:color="CCEEFF"/>
            </w:tcBorders>
            <w:shd w:val="clear" w:color="auto" w:fill="CCEEFF"/>
          </w:tcPr>
          <w:p>
            <w:pPr>
              <w:spacing w:after="0"/>
              <w:rPr>
                <w:sz w:val="22"/>
                <w:szCs w:val="22"/>
                <w:color w:val="auto"/>
              </w:rPr>
            </w:pPr>
          </w:p>
        </w:tc>
      </w:tr>
      <w:tr>
        <w:trPr>
          <w:trHeight w:val="243"/>
        </w:trPr>
        <w:tc>
          <w:tcPr>
            <w:tcW w:w="7440" w:type="dxa"/>
            <w:vAlign w:val="bottom"/>
          </w:tcPr>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Balance Sheets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6"/>
              </w:rPr>
              <w:t>F-3</w:t>
            </w:r>
          </w:p>
        </w:tc>
      </w:tr>
      <w:tr>
        <w:trPr>
          <w:trHeight w:val="40"/>
        </w:trPr>
        <w:tc>
          <w:tcPr>
            <w:tcW w:w="74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63"/>
        </w:trPr>
        <w:tc>
          <w:tcPr>
            <w:tcW w:w="744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Statements of Operations</w:t>
              </w:r>
            </w:hyperlink>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F-4</w:t>
            </w:r>
          </w:p>
        </w:tc>
      </w:tr>
      <w:tr>
        <w:trPr>
          <w:trHeight w:val="243"/>
        </w:trPr>
        <w:tc>
          <w:tcPr>
            <w:tcW w:w="7440" w:type="dxa"/>
            <w:vAlign w:val="bottom"/>
          </w:tcPr>
          <w:p>
            <w:pPr>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Statements of Changes in Stockholder’s Equity</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6"/>
              </w:rPr>
              <w:t>F-5</w:t>
            </w:r>
          </w:p>
        </w:tc>
      </w:tr>
      <w:tr>
        <w:trPr>
          <w:trHeight w:val="40"/>
        </w:trPr>
        <w:tc>
          <w:tcPr>
            <w:tcW w:w="74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64"/>
        </w:trPr>
        <w:tc>
          <w:tcPr>
            <w:tcW w:w="744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Statements of Cash Flows</w:t>
              </w:r>
            </w:hyperlink>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F-6</w:t>
            </w:r>
          </w:p>
        </w:tc>
      </w:tr>
      <w:tr>
        <w:trPr>
          <w:trHeight w:val="243"/>
        </w:trPr>
        <w:tc>
          <w:tcPr>
            <w:tcW w:w="7440" w:type="dxa"/>
            <w:vAlign w:val="bottom"/>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Notes to Financial Statements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6"/>
              </w:rPr>
              <w:t>F-7</w:t>
            </w:r>
          </w:p>
        </w:tc>
      </w:tr>
      <w:tr>
        <w:trPr>
          <w:trHeight w:val="432"/>
        </w:trPr>
        <w:tc>
          <w:tcPr>
            <w:tcW w:w="7440" w:type="dxa"/>
            <w:vAlign w:val="bottom"/>
            <w:tcBorders>
              <w:bottom w:val="single" w:sz="8" w:color="auto"/>
            </w:tcBorders>
          </w:tcPr>
          <w:p>
            <w:pPr>
              <w:ind w:left="3920"/>
              <w:spacing w:after="0"/>
              <w:rPr>
                <w:sz w:val="20"/>
                <w:szCs w:val="20"/>
                <w:color w:val="auto"/>
              </w:rPr>
            </w:pPr>
            <w:r>
              <w:rPr>
                <w:rFonts w:ascii="Arial" w:cs="Arial" w:eastAsia="Arial" w:hAnsi="Arial"/>
                <w:sz w:val="18"/>
                <w:szCs w:val="18"/>
                <w:color w:val="auto"/>
              </w:rPr>
              <w:t>F-1</w:t>
            </w: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10" w:name="page111"/>
    <w:bookmarkEnd w:id="11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Stockholder and the Board of Directors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Ventoux CCM Acquisition Corp.</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We have audited the accompanying balance sheet of Ventoux CCM Acquisition Corp. (the “Company”) as of December 31, 2019, the related statements of operations, changes in stockholder’s equity and cash flows for the period from July 10, 2019 (inception) through December 31, 2019, and the related notes (collectively referred to as the “financial statements”). In our opinion, the financial statements present fairly, in all material respects, the financial position of the Company as of December 31, 2019, and the results of its operations and its cash flows for the period from July 10, 2019 (inception) through December 31, 2019, in conformity with accounting principles generally accepted in the United States of America.</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WithumSmith+Brown, PC</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2020.</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16,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1" w:name="page112"/>
    <w:bookmarkEnd w:id="11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(unaudited)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(audited)</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Current asset – cash</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65,640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111,843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177,483</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25,000</w:t>
            </w:r>
          </w:p>
        </w:tc>
        <w:tc>
          <w:tcPr>
            <w:tcW w:w="0" w:type="dxa"/>
            <w:vAlign w:val="bottom"/>
          </w:tcPr>
          <w:p>
            <w:pPr>
              <w:spacing w:after="0"/>
              <w:rPr>
                <w:sz w:val="1"/>
                <w:szCs w:val="1"/>
                <w:color w:val="auto"/>
              </w:rPr>
            </w:pPr>
          </w:p>
        </w:tc>
      </w:tr>
      <w:tr>
        <w:trPr>
          <w:trHeight w:val="270"/>
        </w:trPr>
        <w:tc>
          <w:tcPr>
            <w:tcW w:w="56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 – accrued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Promissory note – related party</w:t>
            </w:r>
          </w:p>
        </w:tc>
        <w:tc>
          <w:tcPr>
            <w:tcW w:w="16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153,018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154,018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1,450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179705</wp:posOffset>
            </wp:positionV>
            <wp:extent cx="5143500" cy="1797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222885</wp:posOffset>
            </wp:positionV>
            <wp:extent cx="5143500" cy="1797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Stockholder’s Equity</w:t>
      </w:r>
    </w:p>
    <w:p>
      <w:pPr>
        <w:spacing w:after="0" w:line="54" w:lineRule="exact"/>
        <w:rPr>
          <w:sz w:val="20"/>
          <w:szCs w:val="20"/>
          <w:color w:val="auto"/>
        </w:rPr>
      </w:pPr>
    </w:p>
    <w:p>
      <w:pPr>
        <w:ind w:left="820" w:right="80" w:hanging="179"/>
        <w:spacing w:after="0" w:line="274" w:lineRule="auto"/>
        <w:rPr>
          <w:sz w:val="20"/>
          <w:szCs w:val="20"/>
          <w:color w:val="auto"/>
        </w:rPr>
      </w:pPr>
      <w:r>
        <w:rPr>
          <w:rFonts w:ascii="Arial" w:cs="Arial" w:eastAsia="Arial" w:hAnsi="Arial"/>
          <w:sz w:val="18"/>
          <w:szCs w:val="18"/>
          <w:color w:val="auto"/>
        </w:rPr>
        <w:t>Common stock, $0.0001 par value; 5,000,000 shares authorized; 4,312,500 shares issued and outstanding</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-6985</wp:posOffset>
            </wp:positionV>
            <wp:extent cx="5143500" cy="1797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Additional paid-in capital</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Total Stockholder’s Equity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TOTAL LIABILITIES AND STOCKHOLDER’S EQUITY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60" w:hanging="1341"/>
        <w:spacing w:after="0"/>
        <w:tabs>
          <w:tab w:leader="none" w:pos="2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431</w:t>
      </w:r>
    </w:p>
    <w:p>
      <w:pPr>
        <w:spacing w:after="0" w:line="76"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24,569</w:t>
      </w:r>
      <w:r>
        <w:rPr>
          <w:rFonts w:ascii="Arial" w:cs="Arial" w:eastAsia="Arial" w:hAnsi="Arial"/>
          <w:sz w:val="15"/>
          <w:szCs w:val="15"/>
          <w:color w:val="auto"/>
        </w:rPr>
        <w:t>24,569</w:t>
      </w:r>
    </w:p>
    <w:p>
      <w:pPr>
        <w:spacing w:after="0" w:line="76"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(1,535)</w:t>
      </w:r>
      <w:r>
        <w:rPr>
          <w:rFonts w:ascii="Arial" w:cs="Arial" w:eastAsia="Arial" w:hAnsi="Arial"/>
          <w:sz w:val="16"/>
          <w:szCs w:val="16"/>
          <w:color w:val="auto"/>
        </w:rPr>
        <w:t>(1,450)</w:t>
      </w:r>
    </w:p>
    <w:p>
      <w:pPr>
        <w:spacing w:after="0" w:line="86" w:lineRule="exact"/>
        <w:rPr>
          <w:sz w:val="20"/>
          <w:szCs w:val="20"/>
          <w:color w:val="auto"/>
        </w:rPr>
      </w:pPr>
    </w:p>
    <w:p>
      <w:pPr>
        <w:ind w:left="500"/>
        <w:spacing w:after="0"/>
        <w:tabs>
          <w:tab w:leader="none" w:pos="1820" w:val="left"/>
        </w:tabs>
        <w:rPr>
          <w:sz w:val="20"/>
          <w:szCs w:val="20"/>
          <w:color w:val="auto"/>
        </w:rPr>
      </w:pPr>
      <w:r>
        <w:rPr>
          <w:rFonts w:ascii="Arial" w:cs="Arial" w:eastAsia="Arial" w:hAnsi="Arial"/>
          <w:sz w:val="17"/>
          <w:szCs w:val="17"/>
          <w:b w:val="1"/>
          <w:bCs w:val="1"/>
          <w:color w:val="auto"/>
        </w:rPr>
        <w:t>23,465</w:t>
      </w:r>
      <w:r>
        <w:rPr>
          <w:sz w:val="20"/>
          <w:szCs w:val="20"/>
          <w:color w:val="auto"/>
        </w:rPr>
        <w:tab/>
      </w:r>
      <w:r>
        <w:rPr>
          <w:rFonts w:ascii="Arial" w:cs="Arial" w:eastAsia="Arial" w:hAnsi="Arial"/>
          <w:sz w:val="17"/>
          <w:szCs w:val="17"/>
          <w:b w:val="1"/>
          <w:bCs w:val="1"/>
          <w:color w:val="auto"/>
        </w:rPr>
        <w:t>23,550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41910</wp:posOffset>
            </wp:positionV>
            <wp:extent cx="14827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68" w:lineRule="exact"/>
        <w:rPr>
          <w:sz w:val="20"/>
          <w:szCs w:val="20"/>
          <w:color w:val="auto"/>
        </w:rPr>
      </w:pPr>
    </w:p>
    <w:p>
      <w:pPr>
        <w:spacing w:after="0"/>
        <w:tabs>
          <w:tab w:leader="none" w:pos="380" w:val="left"/>
          <w:tab w:leader="none" w:pos="1200" w:val="left"/>
          <w:tab w:leader="none" w:pos="18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177,483</w:t>
        <w:tab/>
        <w:t>$</w:t>
      </w:r>
      <w:r>
        <w:rPr>
          <w:sz w:val="20"/>
          <w:szCs w:val="20"/>
          <w:color w:val="auto"/>
        </w:rPr>
        <w:tab/>
      </w:r>
      <w:r>
        <w:rPr>
          <w:rFonts w:ascii="Arial" w:cs="Arial" w:eastAsia="Arial" w:hAnsi="Arial"/>
          <w:sz w:val="15"/>
          <w:szCs w:val="15"/>
          <w:b w:val="1"/>
          <w:bCs w:val="1"/>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148272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82725" cy="25400"/>
                    </a:xfrm>
                    <a:prstGeom prst="rect">
                      <a:avLst/>
                    </a:prstGeom>
                    <a:noFill/>
                  </pic:spPr>
                </pic:pic>
              </a:graphicData>
            </a:graphic>
          </wp:anchor>
        </w:drawing>
      </w:r>
    </w:p>
    <w:p>
      <w:pPr>
        <w:spacing w:after="0" w:line="422" w:lineRule="exact"/>
        <w:rPr>
          <w:sz w:val="20"/>
          <w:szCs w:val="20"/>
          <w:color w:val="auto"/>
        </w:rPr>
      </w:pPr>
    </w:p>
    <w:p>
      <w:pPr>
        <w:sectPr>
          <w:pgSz w:w="11900" w:h="16838" w:orient="portrait"/>
          <w:cols w:equalWidth="0" w:num="2">
            <w:col w:w="5360" w:space="720"/>
            <w:col w:w="2939"/>
          </w:cols>
          <w:pgMar w:left="1440" w:top="274" w:right="1440" w:bottom="1440" w:gutter="0" w:footer="0" w:header="0"/>
          <w:type w:val="continuous"/>
        </w:sectPr>
      </w:pPr>
    </w:p>
    <w:p>
      <w:pPr>
        <w:jc w:val="both"/>
        <w:ind w:left="880" w:right="479" w:hanging="426"/>
        <w:spacing w:after="0" w:line="278" w:lineRule="auto"/>
        <w:tabs>
          <w:tab w:leader="none" w:pos="8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Includes up to 562,500 shares subject to forfeiture if the over-allotment option is not exercised in full or in part by the underwriters (see Note 5). See Note 5 for subsequent share transfers and cancellations, which have been retroactively reflected in these financial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2" w:name="page113"/>
    <w:bookmarkEnd w:id="11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2"/>
              </w:rPr>
              <w:t>For the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For the</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1"/>
              </w:rPr>
              <w:t>Period from</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3"/>
              </w:rPr>
              <w:t>Period from</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1"/>
              </w:rPr>
              <w:t>July 10,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July 10,</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5"/>
              </w:rPr>
              <w:t>2019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41"/>
              <w:spacing w:after="0"/>
              <w:rPr>
                <w:sz w:val="20"/>
                <w:szCs w:val="20"/>
                <w:color w:val="auto"/>
              </w:rPr>
            </w:pPr>
            <w:r>
              <w:rPr>
                <w:rFonts w:ascii="Arial" w:cs="Arial" w:eastAsia="Arial" w:hAnsi="Arial"/>
                <w:sz w:val="16"/>
                <w:szCs w:val="16"/>
                <w:b w:val="1"/>
                <w:bCs w:val="1"/>
                <w:color w:val="auto"/>
                <w:w w:val="93"/>
              </w:rPr>
              <w:t>Nine Months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0"/>
              </w:rPr>
              <w:t>(inception)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(inception)</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1"/>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5"/>
              </w:rPr>
              <w:t>Through</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5"/>
              </w:rPr>
              <w:t>Through</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100" w:type="dxa"/>
            <w:vAlign w:val="bottom"/>
          </w:tcPr>
          <w:p>
            <w:pPr>
              <w:spacing w:after="0"/>
              <w:rPr>
                <w:sz w:val="17"/>
                <w:szCs w:val="17"/>
                <w:color w:val="auto"/>
              </w:rPr>
            </w:pPr>
          </w:p>
        </w:tc>
        <w:tc>
          <w:tcPr>
            <w:tcW w:w="124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89"/>
              </w:rPr>
              <w:t>September 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5"/>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41"/>
              <w:spacing w:after="0"/>
              <w:rPr>
                <w:sz w:val="20"/>
                <w:szCs w:val="20"/>
                <w:color w:val="auto"/>
              </w:rPr>
            </w:pPr>
            <w:r>
              <w:rPr>
                <w:rFonts w:ascii="Arial" w:cs="Arial" w:eastAsia="Arial" w:hAnsi="Arial"/>
                <w:sz w:val="16"/>
                <w:szCs w:val="16"/>
                <w:color w:val="auto"/>
                <w:w w:val="91"/>
              </w:rPr>
              <w:t>(unaudited)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6"/>
                <w:szCs w:val="16"/>
                <w:color w:val="auto"/>
                <w:w w:val="91"/>
              </w:rPr>
              <w:t>(unaudited)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color w:val="auto"/>
                <w:w w:val="91"/>
              </w:rPr>
              <w:t>(audited)</w:t>
            </w: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Net Loss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83"/>
        </w:trPr>
        <w:tc>
          <w:tcPr>
            <w:tcW w:w="436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140" w:type="dxa"/>
            <w:vAlign w:val="bottom"/>
            <w:vMerge w:val="continue"/>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140" w:type="dxa"/>
            <w:vAlign w:val="bottom"/>
            <w:vMerge w:val="continue"/>
          </w:tcPr>
          <w:p>
            <w:pPr>
              <w:spacing w:after="0"/>
              <w:rPr>
                <w:sz w:val="24"/>
                <w:szCs w:val="24"/>
                <w:color w:val="auto"/>
              </w:rPr>
            </w:pPr>
          </w:p>
        </w:tc>
        <w:tc>
          <w:tcPr>
            <w:tcW w:w="100" w:type="dxa"/>
            <w:vAlign w:val="bottom"/>
            <w:vMerge w:val="continue"/>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(1,450</w:t>
            </w:r>
          </w:p>
        </w:tc>
        <w:tc>
          <w:tcPr>
            <w:tcW w:w="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Weighted average shares outstanding, basic and diluted</w:t>
            </w:r>
            <w:r>
              <w:rPr>
                <w:rFonts w:ascii="Arial" w:cs="Arial" w:eastAsia="Arial" w:hAnsi="Arial"/>
                <w:sz w:val="20"/>
                <w:szCs w:val="20"/>
                <w:color w:val="auto"/>
                <w:w w:val="93"/>
                <w:vertAlign w:val="superscript"/>
              </w:rPr>
              <w:t>(1)</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common share</w:t>
            </w: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vMerge w:val="restart"/>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9"/>
        </w:trPr>
        <w:tc>
          <w:tcPr>
            <w:tcW w:w="4360" w:type="dxa"/>
            <w:vAlign w:val="bottom"/>
            <w:vMerge w:val="continue"/>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jc w:val="both"/>
        <w:ind w:left="880" w:right="459" w:hanging="426"/>
        <w:spacing w:after="0" w:line="278" w:lineRule="auto"/>
        <w:tabs>
          <w:tab w:leader="none" w:pos="887" w:val="left"/>
        </w:tabs>
        <w:numPr>
          <w:ilvl w:val="0"/>
          <w:numId w:val="66"/>
        </w:numPr>
        <w:rPr>
          <w:rFonts w:ascii="Arial" w:cs="Arial" w:eastAsia="Arial" w:hAnsi="Arial"/>
          <w:sz w:val="16"/>
          <w:szCs w:val="16"/>
          <w:color w:val="auto"/>
        </w:rPr>
      </w:pPr>
      <w:r>
        <w:rPr>
          <w:rFonts w:ascii="Arial" w:cs="Arial" w:eastAsia="Arial" w:hAnsi="Arial"/>
          <w:sz w:val="16"/>
          <w:szCs w:val="16"/>
          <w:color w:val="auto"/>
        </w:rPr>
        <w:t>Excludes an aggregate of up to 562,500 shares subject to forfeiture if the over-allotment option is not exercised in full or in part by the underwriters (see Note 5). See Note 5 for subsequent share transfers and cancellations, which have been retroactively reflected in these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3" w:name="page114"/>
    <w:bookmarkEnd w:id="11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1760" w:type="dxa"/>
            <w:vAlign w:val="bottom"/>
            <w:gridSpan w:val="6"/>
            <w:vMerge w:val="restart"/>
          </w:tcPr>
          <w:p>
            <w:pPr>
              <w:jc w:val="right"/>
              <w:ind w:right="360"/>
              <w:spacing w:after="0"/>
              <w:rPr>
                <w:sz w:val="20"/>
                <w:szCs w:val="20"/>
                <w:color w:val="auto"/>
              </w:rPr>
            </w:pPr>
            <w:r>
              <w:rPr>
                <w:rFonts w:ascii="Arial" w:cs="Arial" w:eastAsia="Arial" w:hAnsi="Arial"/>
                <w:sz w:val="16"/>
                <w:szCs w:val="16"/>
                <w:b w:val="1"/>
                <w:bCs w:val="1"/>
                <w:color w:val="auto"/>
              </w:rPr>
              <w:t>Common Stock</w:t>
            </w:r>
          </w:p>
        </w:tc>
        <w:tc>
          <w:tcPr>
            <w:tcW w:w="40" w:type="dxa"/>
            <w:vAlign w:val="bottom"/>
          </w:tcPr>
          <w:p>
            <w:pPr>
              <w:spacing w:after="0"/>
              <w:rPr>
                <w:sz w:val="17"/>
                <w:szCs w:val="17"/>
                <w:color w:val="auto"/>
              </w:rPr>
            </w:pPr>
          </w:p>
        </w:tc>
        <w:tc>
          <w:tcPr>
            <w:tcW w:w="90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4"/>
              </w:rPr>
              <w:t>Additional</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75"/>
        </w:trPr>
        <w:tc>
          <w:tcPr>
            <w:tcW w:w="3280" w:type="dxa"/>
            <w:vAlign w:val="bottom"/>
          </w:tcPr>
          <w:p>
            <w:pPr>
              <w:spacing w:after="0"/>
              <w:rPr>
                <w:sz w:val="6"/>
                <w:szCs w:val="6"/>
                <w:color w:val="auto"/>
              </w:rPr>
            </w:pPr>
          </w:p>
        </w:tc>
        <w:tc>
          <w:tcPr>
            <w:tcW w:w="1760" w:type="dxa"/>
            <w:vAlign w:val="bottom"/>
            <w:gridSpan w:val="6"/>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3"/>
              </w:rPr>
              <w:t>Paid-in</w:t>
            </w:r>
          </w:p>
        </w:tc>
        <w:tc>
          <w:tcPr>
            <w:tcW w:w="106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w w:val="99"/>
              </w:rPr>
              <w:t>Accumulated</w:t>
            </w:r>
          </w:p>
        </w:tc>
        <w:tc>
          <w:tcPr>
            <w:tcW w:w="1060" w:type="dxa"/>
            <w:vAlign w:val="bottom"/>
            <w:gridSpan w:val="4"/>
            <w:vMerge w:val="restart"/>
          </w:tcPr>
          <w:p>
            <w:pPr>
              <w:jc w:val="center"/>
              <w:spacing w:after="0"/>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47"/>
        </w:trPr>
        <w:tc>
          <w:tcPr>
            <w:tcW w:w="32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060" w:type="dxa"/>
            <w:vAlign w:val="bottom"/>
            <w:gridSpan w:val="5"/>
            <w:vMerge w:val="continue"/>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3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60" w:type="dxa"/>
            <w:vAlign w:val="bottom"/>
            <w:gridSpan w:val="5"/>
            <w:vMerge w:val="continue"/>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Shares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2"/>
              </w:rPr>
              <w:t>Amount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Capital</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ind w:left="80"/>
              <w:spacing w:after="0"/>
              <w:rPr>
                <w:sz w:val="20"/>
                <w:szCs w:val="20"/>
                <w:color w:val="auto"/>
              </w:rPr>
            </w:pPr>
            <w:r>
              <w:rPr>
                <w:rFonts w:ascii="Arial" w:cs="Arial" w:eastAsia="Arial" w:hAnsi="Arial"/>
                <w:sz w:val="16"/>
                <w:szCs w:val="16"/>
                <w:b w:val="1"/>
                <w:bCs w:val="1"/>
                <w:color w:val="auto"/>
              </w:rPr>
              <w:t>Deficit</w:t>
            </w:r>
          </w:p>
        </w:tc>
        <w:tc>
          <w:tcPr>
            <w:tcW w:w="200" w:type="dxa"/>
            <w:vAlign w:val="bottom"/>
          </w:tcPr>
          <w:p>
            <w:pPr>
              <w:spacing w:after="0"/>
              <w:rPr>
                <w:sz w:val="18"/>
                <w:szCs w:val="18"/>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47"/>
        </w:trPr>
        <w:tc>
          <w:tcPr>
            <w:tcW w:w="328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July 10, 2019 (inception)</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3280" w:type="dxa"/>
            <w:vAlign w:val="bottom"/>
          </w:tcPr>
          <w:p>
            <w:pPr>
              <w:ind w:left="180"/>
              <w:spacing w:after="0" w:line="201" w:lineRule="exact"/>
              <w:rPr>
                <w:sz w:val="20"/>
                <w:szCs w:val="20"/>
                <w:color w:val="auto"/>
              </w:rPr>
            </w:pPr>
            <w:r>
              <w:rPr>
                <w:rFonts w:ascii="Arial" w:cs="Arial" w:eastAsia="Arial" w:hAnsi="Arial"/>
                <w:sz w:val="18"/>
                <w:szCs w:val="18"/>
                <w:color w:val="auto"/>
              </w:rPr>
              <w:t>Issuance of common stock to Initial</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280" w:type="dxa"/>
            <w:vAlign w:val="bottom"/>
          </w:tcPr>
          <w:p>
            <w:pPr>
              <w:ind w:left="360"/>
              <w:spacing w:after="0"/>
              <w:rPr>
                <w:sz w:val="20"/>
                <w:szCs w:val="20"/>
                <w:color w:val="auto"/>
              </w:rPr>
            </w:pPr>
            <w:r>
              <w:rPr>
                <w:rFonts w:ascii="Arial" w:cs="Arial" w:eastAsia="Arial" w:hAnsi="Arial"/>
                <w:sz w:val="18"/>
                <w:szCs w:val="18"/>
                <w:color w:val="auto"/>
              </w:rPr>
              <w:t>Stockholders</w:t>
            </w:r>
            <w:r>
              <w:rPr>
                <w:rFonts w:ascii="Arial" w:cs="Arial" w:eastAsia="Arial" w:hAnsi="Arial"/>
                <w:sz w:val="20"/>
                <w:szCs w:val="20"/>
                <w:color w:val="auto"/>
                <w:vertAlign w:val="superscript"/>
              </w:rPr>
              <w:t>(1)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4,312,500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431</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24,569</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28"/>
        </w:trPr>
        <w:tc>
          <w:tcPr>
            <w:tcW w:w="3280" w:type="dxa"/>
            <w:vAlign w:val="bottom"/>
          </w:tcPr>
          <w:p>
            <w:pPr>
              <w:spacing w:after="0"/>
              <w:rPr>
                <w:sz w:val="20"/>
                <w:szCs w:val="20"/>
                <w:color w:val="auto"/>
              </w:rPr>
            </w:pPr>
            <w:r>
              <w:rPr>
                <w:rFonts w:ascii="Arial" w:cs="Arial" w:eastAsia="Arial" w:hAnsi="Arial"/>
                <w:sz w:val="18"/>
                <w:szCs w:val="18"/>
                <w:b w:val="1"/>
                <w:bCs w:val="1"/>
                <w:color w:val="auto"/>
                <w:w w:val="98"/>
              </w:rPr>
              <w:t>Balance – December 31, 2019 (audited)</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4,312,500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24,569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(1,450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23,550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3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78"/>
        </w:trPr>
        <w:tc>
          <w:tcPr>
            <w:tcW w:w="3280" w:type="dxa"/>
            <w:vAlign w:val="bottom"/>
          </w:tcPr>
          <w:p>
            <w:pPr>
              <w:spacing w:after="0" w:line="177" w:lineRule="exact"/>
              <w:rPr>
                <w:sz w:val="20"/>
                <w:szCs w:val="20"/>
                <w:color w:val="auto"/>
              </w:rPr>
            </w:pPr>
            <w:r>
              <w:rPr>
                <w:rFonts w:ascii="Arial" w:cs="Arial" w:eastAsia="Arial" w:hAnsi="Arial"/>
                <w:sz w:val="18"/>
                <w:szCs w:val="18"/>
                <w:b w:val="1"/>
                <w:bCs w:val="1"/>
                <w:color w:val="auto"/>
              </w:rPr>
              <w:t>Balance – September 30, 2020</w:t>
            </w:r>
          </w:p>
        </w:tc>
        <w:tc>
          <w:tcPr>
            <w:tcW w:w="8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280" w:type="dxa"/>
            <w:vAlign w:val="bottom"/>
          </w:tcPr>
          <w:p>
            <w:pPr>
              <w:ind w:left="180"/>
              <w:spacing w:after="0"/>
              <w:rPr>
                <w:sz w:val="20"/>
                <w:szCs w:val="20"/>
                <w:color w:val="auto"/>
              </w:rPr>
            </w:pPr>
            <w:r>
              <w:rPr>
                <w:rFonts w:ascii="Arial" w:cs="Arial" w:eastAsia="Arial" w:hAnsi="Arial"/>
                <w:sz w:val="18"/>
                <w:szCs w:val="18"/>
                <w:b w:val="1"/>
                <w:bCs w:val="1"/>
                <w:color w:val="auto"/>
              </w:rPr>
              <w:t>(unaudited)</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7"/>
              </w:rPr>
              <w:t>4,312,500</w:t>
            </w: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431</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24,569</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(1,535</w:t>
            </w: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23,465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jc w:val="both"/>
        <w:ind w:left="880" w:right="459" w:hanging="426"/>
        <w:spacing w:after="0" w:line="278" w:lineRule="auto"/>
        <w:tabs>
          <w:tab w:leader="none" w:pos="972"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Includes 562,500 shares subject to forfeiture if the over-allotment option is not exercised in full or in part by the underwriters (see Note 5). See Note 5 for subsequent share transfers and cancellations, which have been retroactively reflected in these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4" w:name="page115"/>
    <w:bookmarkEnd w:id="11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For the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For the</w:t>
            </w:r>
          </w:p>
        </w:tc>
      </w:tr>
      <w:tr>
        <w:trPr>
          <w:trHeight w:val="203"/>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Period from</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Period from</w:t>
            </w:r>
          </w:p>
        </w:tc>
      </w:tr>
      <w:tr>
        <w:trPr>
          <w:trHeight w:val="203"/>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July 10,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July 10,</w:t>
            </w:r>
          </w:p>
        </w:tc>
      </w:tr>
      <w:tr>
        <w:trPr>
          <w:trHeight w:val="203"/>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74"/>
              <w:spacing w:after="0"/>
              <w:rPr>
                <w:sz w:val="20"/>
                <w:szCs w:val="20"/>
                <w:color w:val="auto"/>
              </w:rPr>
            </w:pPr>
            <w:r>
              <w:rPr>
                <w:rFonts w:ascii="Arial" w:cs="Arial" w:eastAsia="Arial" w:hAnsi="Arial"/>
                <w:sz w:val="16"/>
                <w:szCs w:val="16"/>
                <w:b w:val="1"/>
                <w:bCs w:val="1"/>
                <w:color w:val="auto"/>
                <w:w w:val="89"/>
              </w:rPr>
              <w:t>2019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40" w:type="dxa"/>
            <w:vAlign w:val="bottom"/>
          </w:tcPr>
          <w:p>
            <w:pPr>
              <w:spacing w:after="0"/>
              <w:rPr>
                <w:sz w:val="17"/>
                <w:szCs w:val="17"/>
                <w:color w:val="auto"/>
              </w:rPr>
            </w:pPr>
          </w:p>
        </w:tc>
      </w:tr>
      <w:tr>
        <w:trPr>
          <w:trHeight w:val="203"/>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Nine Months</w:t>
            </w:r>
          </w:p>
        </w:tc>
        <w:tc>
          <w:tcPr>
            <w:tcW w:w="10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(inception)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(inception)</w:t>
            </w:r>
          </w:p>
        </w:tc>
      </w:tr>
      <w:tr>
        <w:trPr>
          <w:trHeight w:val="203"/>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Through</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Through</w:t>
            </w:r>
          </w:p>
        </w:tc>
      </w:tr>
      <w:tr>
        <w:trPr>
          <w:trHeight w:val="203"/>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c>
          <w:tcPr>
            <w:tcW w:w="11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4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4"/>
              <w:spacing w:after="0"/>
              <w:rPr>
                <w:sz w:val="20"/>
                <w:szCs w:val="20"/>
                <w:color w:val="auto"/>
              </w:rPr>
            </w:pPr>
            <w:r>
              <w:rPr>
                <w:rFonts w:ascii="Arial" w:cs="Arial" w:eastAsia="Arial" w:hAnsi="Arial"/>
                <w:sz w:val="16"/>
                <w:szCs w:val="16"/>
                <w:b w:val="1"/>
                <w:bCs w:val="1"/>
                <w:color w:val="auto"/>
                <w:w w:val="89"/>
              </w:rPr>
              <w:t>2019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40" w:type="dxa"/>
            <w:vAlign w:val="bottom"/>
          </w:tcPr>
          <w:p>
            <w:pPr>
              <w:spacing w:after="0"/>
              <w:rPr>
                <w:sz w:val="18"/>
                <w:szCs w:val="18"/>
                <w:color w:val="auto"/>
              </w:rPr>
            </w:pPr>
          </w:p>
        </w:tc>
      </w:tr>
      <w:tr>
        <w:trPr>
          <w:trHeight w:val="47"/>
        </w:trPr>
        <w:tc>
          <w:tcPr>
            <w:tcW w:w="4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1"/>
        </w:trPr>
        <w:tc>
          <w:tcPr>
            <w:tcW w:w="4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6"/>
                <w:szCs w:val="16"/>
                <w:color w:val="auto"/>
                <w:w w:val="93"/>
              </w:rPr>
              <w:t>(unaudited)</w:t>
            </w:r>
          </w:p>
        </w:tc>
        <w:tc>
          <w:tcPr>
            <w:tcW w:w="100" w:type="dxa"/>
            <w:vAlign w:val="bottom"/>
          </w:tcPr>
          <w:p>
            <w:pPr>
              <w:spacing w:after="0"/>
              <w:rPr>
                <w:sz w:val="20"/>
                <w:szCs w:val="20"/>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(unaudited)</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6"/>
        </w:trPr>
        <w:tc>
          <w:tcPr>
            <w:tcW w:w="4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3"/>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418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(1,450)</w:t>
            </w:r>
          </w:p>
        </w:tc>
      </w:tr>
      <w:tr>
        <w:trPr>
          <w:trHeight w:val="40"/>
        </w:trPr>
        <w:tc>
          <w:tcPr>
            <w:tcW w:w="4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4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41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1"/>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1,450</w:t>
            </w:r>
          </w:p>
        </w:tc>
      </w:tr>
      <w:tr>
        <w:trPr>
          <w:trHeight w:val="27"/>
        </w:trPr>
        <w:tc>
          <w:tcPr>
            <w:tcW w:w="41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4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r>
      <w:tr>
        <w:trPr>
          <w:trHeight w:val="277"/>
        </w:trPr>
        <w:tc>
          <w:tcPr>
            <w:tcW w:w="4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63"/>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02"/>
        </w:trPr>
        <w:tc>
          <w:tcPr>
            <w:tcW w:w="4180" w:type="dxa"/>
            <w:vAlign w:val="bottom"/>
          </w:tcPr>
          <w:p>
            <w:pPr>
              <w:spacing w:after="0" w:line="201" w:lineRule="exact"/>
              <w:rPr>
                <w:sz w:val="20"/>
                <w:szCs w:val="20"/>
                <w:color w:val="auto"/>
              </w:rPr>
            </w:pPr>
            <w:r>
              <w:rPr>
                <w:rFonts w:ascii="Arial" w:cs="Arial" w:eastAsia="Arial" w:hAnsi="Arial"/>
                <w:sz w:val="18"/>
                <w:szCs w:val="18"/>
                <w:color w:val="auto"/>
              </w:rPr>
              <w:t>Proceeds from issuance of common stock to Initial</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418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25,000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25,000</w:t>
            </w:r>
          </w:p>
        </w:tc>
      </w:tr>
      <w:tr>
        <w:trPr>
          <w:trHeight w:val="40"/>
        </w:trPr>
        <w:tc>
          <w:tcPr>
            <w:tcW w:w="4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promissory notes – related party</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145,000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57"/>
        </w:trPr>
        <w:tc>
          <w:tcPr>
            <w:tcW w:w="418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1"/>
              <w:spacing w:after="0"/>
              <w:rPr>
                <w:sz w:val="20"/>
                <w:szCs w:val="20"/>
                <w:color w:val="auto"/>
              </w:rPr>
            </w:pPr>
            <w:r>
              <w:rPr>
                <w:rFonts w:ascii="Arial" w:cs="Arial" w:eastAsia="Arial" w:hAnsi="Arial"/>
                <w:sz w:val="18"/>
                <w:szCs w:val="18"/>
                <w:color w:val="auto"/>
              </w:rPr>
              <w:t>(103,825)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41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4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cash provided by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41,175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25,000</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25,000</w:t>
            </w:r>
          </w:p>
        </w:tc>
      </w:tr>
      <w:tr>
        <w:trPr>
          <w:trHeight w:val="228"/>
        </w:trPr>
        <w:tc>
          <w:tcPr>
            <w:tcW w:w="418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40,640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25,000</w:t>
            </w:r>
          </w:p>
        </w:tc>
        <w:tc>
          <w:tcPr>
            <w:tcW w:w="140" w:type="dxa"/>
            <w:vAlign w:val="bottom"/>
          </w:tcPr>
          <w:p>
            <w:pPr>
              <w:spacing w:after="0"/>
              <w:rPr>
                <w:sz w:val="19"/>
                <w:szCs w:val="19"/>
                <w:color w:val="auto"/>
              </w:rPr>
            </w:pPr>
          </w:p>
        </w:tc>
      </w:tr>
      <w:tr>
        <w:trPr>
          <w:trHeight w:val="36"/>
        </w:trPr>
        <w:tc>
          <w:tcPr>
            <w:tcW w:w="4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 Beginning of period</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84"/>
        </w:trPr>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 End of period</w:t>
            </w:r>
          </w:p>
        </w:tc>
        <w:tc>
          <w:tcPr>
            <w:tcW w:w="2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65,640</w:t>
            </w: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25,000</w:t>
            </w: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25,000</w:t>
            </w:r>
          </w:p>
        </w:tc>
        <w:tc>
          <w:tcPr>
            <w:tcW w:w="140" w:type="dxa"/>
            <w:vAlign w:val="bottom"/>
            <w:tcBorders>
              <w:bottom w:val="single" w:sz="8" w:color="CCEEFF"/>
            </w:tcBorders>
          </w:tcPr>
          <w:p>
            <w:pPr>
              <w:spacing w:after="0"/>
              <w:rPr>
                <w:sz w:val="24"/>
                <w:szCs w:val="24"/>
                <w:color w:val="auto"/>
              </w:rPr>
            </w:pPr>
          </w:p>
        </w:tc>
      </w:tr>
      <w:tr>
        <w:trPr>
          <w:trHeight w:val="270"/>
        </w:trPr>
        <w:tc>
          <w:tcPr>
            <w:tcW w:w="4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r>
        <w:trPr>
          <w:trHeight w:val="243"/>
        </w:trPr>
        <w:tc>
          <w:tcPr>
            <w:tcW w:w="418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4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02"/>
        </w:trPr>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Deferred offering costs paid through promissory note –</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1"/>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party</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8,018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5" w:name="page116"/>
    <w:bookmarkEnd w:id="11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Ventoux CCM Acquisition Corp. (formerly known as Chardan Global Acquisition Corp.) (the “Company”) was incorporated in Delaware on July 10, 2019. The Company was formed for the purpose of entering into a merger, share exchange, asset acquisition, stock purchase, recapitalization, reorganization or other similar business transaction with one or more businesses or entities that the Company has not yet identified (a “Business Combination”).</w:t>
      </w:r>
    </w:p>
    <w:p>
      <w:pPr>
        <w:spacing w:after="0" w:line="120"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81"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As of September 30, 2020 (unaudited) and December 31, 2019, the Company had not commenced any operations. All activity through September 30, 2020 relates to the Company’s formation and the proposed initial public offering (“Proposed Public Offering”), which is described below. The Company will not generate any operating revenues until after the completion of a Business Combination, at the earliest. The Company will generate non-operating income in the form of interest income from the proceeds derived from the Proposed Public Offering. The Company has selected December 31 as its fiscal year end.</w:t>
      </w:r>
    </w:p>
    <w:p>
      <w:pPr>
        <w:spacing w:after="0" w:line="97"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The Company’s ability to commence operations is contingent upon obtaining adequate financial resources through a Proposed Public Offering of 15,000,000 units at $10.00 per unit (or 17,250,000 units if the underwriters’ over-allotment option is exercised in full) (the “Units”), which is discussed in Note 3, and the sale of 6,000,000 warrants (or 6,675,000 warrants if the underwriters’ over-allotment option is exercised in full) (the “Private Warrants”), at a price of $1.00 per warrant, in a private placement to Ventoux Acquisition Holdings LLC (“Ventoux Acquisition”), the co-sponsor and an affiliate of certain of the Company’s directors, and Chardan International Investments, LLC (“Chardan Investments”), the co-sponsor and an affiliate of certain of the Company’s directors of Chardan Capital Markets, LLC, that will close simultaneously with the Proposed Public Offering.</w:t>
      </w:r>
    </w:p>
    <w:p>
      <w:pPr>
        <w:spacing w:after="0" w:line="129" w:lineRule="exact"/>
        <w:rPr>
          <w:sz w:val="20"/>
          <w:szCs w:val="20"/>
          <w:color w:val="auto"/>
        </w:rPr>
      </w:pPr>
    </w:p>
    <w:p>
      <w:pPr>
        <w:jc w:val="both"/>
        <w:ind w:left="460" w:right="459" w:firstLine="432"/>
        <w:spacing w:after="0" w:line="282"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Proposed Public Offering and the sale of the Private Warrants, although substantially all of the net proceeds are intended to be applied generally toward consummating a Business Combination. The Company’s initial Business Combination must be with one or more target businesses that together have a fair market value equal to at least 80% of the balance in the Trust Account (as defined below) (net of amounts previously released to the Company to pay its tax obligations) at the time of the signing an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There is no assurance that the Company will be able to successfully effect a Business Combination. Upon the closing of the Proposed Public Offering, management has agreed that $10.10 per Unit sold in the Proposed Public Offering and the proceeds from the sale of the Private Warrants will be held in a trust account (“Trust Account”) and invested in U.S. government securities, within the meaning set forth in Section 2(a)(16) of the Investment Company Act of 1940, as amended (the “Investment Company Act”), with a maturity of 183 days or less or in any open-ended investment company that holds itself out as a money market fund meeting the conditions of Rule 2a-7 of the Investment Company Act, as determined by the Company, until the earlier of:</w:t>
      </w:r>
    </w:p>
    <w:p>
      <w:pPr>
        <w:spacing w:after="0" w:line="11" w:lineRule="exact"/>
        <w:rPr>
          <w:sz w:val="20"/>
          <w:szCs w:val="20"/>
          <w:color w:val="auto"/>
        </w:rPr>
      </w:pPr>
    </w:p>
    <w:p>
      <w:pPr>
        <w:ind w:left="460" w:right="479" w:hanging="6"/>
        <w:spacing w:after="0" w:line="260" w:lineRule="auto"/>
        <w:tabs>
          <w:tab w:leader="none" w:pos="69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consummation of a Business Combination or (ii) the distribution of the funds in the Trust Account as described below.</w:t>
      </w:r>
    </w:p>
    <w:p>
      <w:pPr>
        <w:spacing w:after="0" w:line="11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Company will provide its stockholders with the opportunity to redeem all or a portion of their shares included in the Units sold in the Proposed Public Offering (the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Company may require stockholders to vote for or against the Business Combination to be able to redeem their shares, and stockholders who do not vote, or who abstain from voting, on the Business Combination will not be able to redeem their shares. The stockholders will be entitled to redeem their shares for a pro rata portion of the amount then on deposit in the Trust Account (initially approximately $10.10 per share, plus any pro rata interest earned on the funds held in the Trust Account and not previously released to the Company to pay its tax obligations). There will be no redemption rights upon the completion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6" w:name="page117"/>
    <w:bookmarkEnd w:id="11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and Business Operations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of a Business Combination with respect to the Company’s rights or warrants. The common stock subject to redemption will be recorded at a redemption value and classified as temporary equity upon the completion of the Proposed Public Offering, in accordance with Accounting Standards Codification (“ASC”) Topic 480 “Distinguishing Liabilities from Equity.”</w:t>
      </w:r>
    </w:p>
    <w:p>
      <w:pPr>
        <w:spacing w:after="0" w:line="119"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The Company will proceed with a Business Combination if the Company has net tangible assets of at least $5,000,001 upon such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(“SEC”), and file tender offer documents with the SEC prior to completing a Business Combination. If, however, a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Ventoux Acquisition, Chardan Investments and any other initial stockholders of the Company’s common stock prior to the Proposed Public Offering (collectively, the “Initial Stockholders”) have agreed to (a) vote their Founder Shares (as defined in Note 5) and any Public Shares held by them in favor of a Business Combination and (b) not to convert any shares (including Founder Shares) in connection with a stockholder vote to approve a Business Combination or sell any such shares to the Company in a tender offer in connection with a Business Combination. Additionally, each public stockholder may elect to redeem their Public Shares irrespective of whether they vote for or against the proposed transaction.</w:t>
      </w:r>
    </w:p>
    <w:p>
      <w:pPr>
        <w:spacing w:after="0" w:line="30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Notwithstanding the foregoing, if the Company seeks stockholder approval of a Business Combination and the Company does not conduct redemptions pursuant to the tender offer rules, a stockholder, together with any affiliate of such stockholder or any other person with whom such stockholder is acting in concert or as a “group” (as defined in Section 13(d)(3) of the Securities Exchange Act of 1934, as amended (the “Exchange Act”)), will be restricted from redeeming their shares with respect to more than an aggregate of 20% of the Public Shares.</w:t>
      </w:r>
    </w:p>
    <w:p>
      <w:pPr>
        <w:spacing w:after="0" w:line="125"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The Company will have until 15 months from the closing of the Proposed Public Offering to consummate a Business Combination. However, if the Company anticipates that it may not be able to consummate a Business Combination within 15 months, the Company may extend the period of time to consummate a Business Combination one time by an additional three months (for a total of 18 months to complete a Business Combination) (the “Combination Period”). In order to extend the time available for the Company to consummate a Business Combination, the Initial Stockholders or their affiliates or designees must deposit into the Trust Account $1,500,000, or $1,725,000 if the underwriters’ over-allotment option is exercised in full ($0.10 per Public Share in either case), on or prior to the date of the applicable deadline.</w:t>
      </w:r>
    </w:p>
    <w:p>
      <w:pPr>
        <w:spacing w:after="0" w:line="111"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If the Company is unable to complete a Business Combination within the Combination Period, the Company will (i) cease all operations except for the purpose of winding up, (ii) as promptly as reasonably possible but no more than five business days thereafter, redeem 100% of the outstanding Public Shares, at a per share price, payable in cash, equal to the aggregate amount then on deposit in the Trust Account, including interest earned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remaining stockholders and the Company’s board of directors, proceed to commence a voluntary liquidation and thereby a formal dissolution of the Company, subject in each case to its obligations to provide for claims of creditors and the requirements of applicable law. The proceeds deposited in the Trust Account could, however, become subject to claims of creditors.</w:t>
      </w:r>
    </w:p>
    <w:p>
      <w:pPr>
        <w:spacing w:after="0" w:line="9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Initial Stockholders have agreed to (i) waive their redemption rights with respect to Founder Shares and any Public Shares they may acquire during or after the Proposed Public Offering in connection with the consummation of a Business Combination, (ii) to waive their rights to liquidating distributions from the Trust Account with respect to their Founder Shares if the Company fails to consummate a Business Combination within the Combination Period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7" w:name="page118"/>
    <w:bookmarkEnd w:id="11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and Business Operations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hanging="6"/>
        <w:spacing w:after="0" w:line="293" w:lineRule="auto"/>
        <w:tabs>
          <w:tab w:leader="none" w:pos="794" w:val="left"/>
        </w:tabs>
        <w:numPr>
          <w:ilvl w:val="0"/>
          <w:numId w:val="69"/>
        </w:numPr>
        <w:rPr>
          <w:rFonts w:ascii="Arial" w:cs="Arial" w:eastAsia="Arial" w:hAnsi="Arial"/>
          <w:sz w:val="16"/>
          <w:szCs w:val="16"/>
          <w:color w:val="auto"/>
        </w:rPr>
      </w:pPr>
      <w:r>
        <w:rPr>
          <w:rFonts w:ascii="Arial" w:cs="Arial" w:eastAsia="Arial" w:hAnsi="Arial"/>
          <w:sz w:val="16"/>
          <w:szCs w:val="16"/>
          <w:color w:val="auto"/>
        </w:rPr>
        <w:t>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an opportunity to redeem their Public Shares in conjunction with any such amendment. However, the Initial Stockholders will be entitled to liquidating distributions with respect to any Public Shares acquired if the Company fails to consummate a Business Combination or liquidates within the Combination Period.</w:t>
      </w:r>
    </w:p>
    <w:p>
      <w:pPr>
        <w:spacing w:after="0" w:line="97"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In order to protect the amounts held in the Trust Account, certain affiliates of the Initial Stockholders (the “Insiders”) have agreed to be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$10.10 per share, except as to any claims by a third party who executed a waiver of any right, title, interest or claim of any kind in or to any monies held in the Trust Account or to any claims under the Company’s indemnity of the underwriters of the Proposed Public Offering against certain liabilities, including liabilities under the Securities Act of 1933, as amended (the “Securities Act”). Moreover, in the event that an executed waiver is deemed to be unenforceable against a third party, the Insiders will not be responsible to the extent of any liability for such third-party claims. The Company will seek to reduce the possibility that the Insiders will have to indemnify the Trust Account due to claims of creditors by endeavoring to have all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Going Concern Consideration</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Company does not have sufficient liquidity to meet its anticipated obligations over the next year from the issuance of these financial statements. In connection with the Company’s assessment of going concern considerations in accordance with FASB’s Accounting Standards Update (“ASU”) 2014-15, “Disclosures of Uncertainties about an Entity’s Ability to Continue as a Going Concern,” management has determined that the Company has access to funds from the co-sponsors that are sufficient to fund the working capital needs of the Company until the earlier of the consummation of the Proposed Public Offering or one year from the issuance of these financial statements.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of Presentation</w:t>
      </w:r>
    </w:p>
    <w:p>
      <w:pPr>
        <w:spacing w:after="0" w:line="162" w:lineRule="exact"/>
        <w:rPr>
          <w:sz w:val="20"/>
          <w:szCs w:val="20"/>
          <w:color w:val="auto"/>
        </w:rPr>
      </w:pPr>
    </w:p>
    <w:p>
      <w:pPr>
        <w:jc w:val="both"/>
        <w:ind w:left="460" w:right="479" w:firstLine="432"/>
        <w:spacing w:after="0" w:line="342" w:lineRule="auto"/>
        <w:rPr>
          <w:sz w:val="20"/>
          <w:szCs w:val="20"/>
          <w:color w:val="auto"/>
        </w:rPr>
      </w:pPr>
      <w:r>
        <w:rPr>
          <w:rFonts w:ascii="Arial" w:cs="Arial" w:eastAsia="Arial" w:hAnsi="Arial"/>
          <w:sz w:val="16"/>
          <w:szCs w:val="16"/>
          <w:color w:val="auto"/>
        </w:rPr>
        <w:t>The accompanying financial statements are presented in conformity with accounting principles generally accepted in the United States of America (“GAAP”) and pursuant to the rules and regulations of the SEC.</w:t>
      </w:r>
    </w:p>
    <w:p>
      <w:pPr>
        <w:spacing w:after="0" w:line="5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accompanying unaudited financial statements as of and for the nine months ended September 30, 2020 have been prepared in accordance with GAAP for interim financial information and Article 8 of Regulation S-X. In the opinion of management of the Company, all adjustment (consisting of normal accruals) considered for a fair presentation have been included. Operating results for the nine months ended September 30, 2020 are not necessarily indicative of the results that may be expected for the year ending December 31, 2020.</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Emerging Growth Company</w:t>
      </w:r>
    </w:p>
    <w:p>
      <w:pPr>
        <w:spacing w:after="0" w:line="148"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8" w:name="page119"/>
    <w:bookmarkEnd w:id="11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106"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September 30, 2020 and December 31, 2019.</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Deferred Offering Costs</w:t>
      </w:r>
    </w:p>
    <w:p>
      <w:pPr>
        <w:spacing w:after="0" w:line="162"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Deferred offering costs consist of legal, accounting and other costs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97"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September 30, 2020 and December 31, 2019. The Company is currently not aware of any issues under review that could result in significant payments, accruals or material deviation from its position.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9" w:name="page120"/>
    <w:bookmarkEnd w:id="11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79" w:firstLine="432"/>
        <w:spacing w:after="0" w:line="255" w:lineRule="auto"/>
        <w:rPr>
          <w:sz w:val="20"/>
          <w:szCs w:val="20"/>
          <w:color w:val="auto"/>
        </w:rPr>
      </w:pPr>
      <w:r>
        <w:rPr>
          <w:rFonts w:ascii="Arial" w:cs="Arial" w:eastAsia="Arial" w:hAnsi="Arial"/>
          <w:sz w:val="18"/>
          <w:szCs w:val="18"/>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 The Company is subject to income tax examinations by major taxing authorities since inception.</w:t>
      </w:r>
    </w:p>
    <w:p>
      <w:pPr>
        <w:spacing w:after="0" w:line="125"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provision for income taxes was deemed to be de minimis for the nine months ended September 30, 2020, for the period from July 10, 2019 (inception) through September 30, 2019 and for the period from July 10, 2019 (inception) through December 31, 2019.</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Loss Per Common Share</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Net loss per share is computed by dividing net loss by the weighted average number of shares of common stock outstanding during the period, excluding shares of common stock subject to forfeiture. Weighted average shares were reduced for the effect of an aggregate of 562,500 shares of common stock that are subject to forfeiture if the over-allotment option is not exercised by the underwriters (see Note 5). At September 30, 2020 and September 30, 2019 and December 31, 2019, the Company did not have any dilutive securities or other contracts that could, potentially, be exercised or converted into shares of common stock and then share in the earnings of the Company. As a result, diluted loss per share is the same as basic loss per share for the periods presented.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Concentration of Credit Risk</w:t>
      </w:r>
    </w:p>
    <w:p>
      <w:pPr>
        <w:spacing w:after="0" w:line="162"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of a cash account in a financial institution, which, at times, may exceed the Federal Depository Insurance Coverage of $250,000. At September 30, 2020 and December 31, 2019, the Company has not experienced losses on this account and management believes the Company is not exposed to significant risks on such account.</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62"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820, “Fair Value Measurement,” approximates the carrying amounts represented in the accompanying balance sheets, primarily due to their short-term nature.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Standards</w:t>
      </w:r>
    </w:p>
    <w:p>
      <w:pPr>
        <w:spacing w:after="0" w:line="14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financial statements.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Public Offering</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Pursuant to the Proposed Public Offering, the Company will offer for sale 15,000,000 Units (or 17,250,000 Units if the underwriters’ over-allotment option is exercised in full), at a purchase price of $10.00 per Unit. Each Unit will consist of one share of common stock, one right to receive one-twentieth (1/20) of one share of common stock upon the consummation of a Business Combination and one warrant (“Public Warrant”). Each Public Warrant entitles the holder to purchase one-half of one share of common stock at an exercise price of $11.50 per share (see Note 7).</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Private Placement</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 connection with the Proposed Public Offering, Ventoux Acquisition and Chardan Investments have to committed to an investment in the Private Warrants. Ventoux Acquisition has committed to purchase an aggregate of 4,000,000 Private Warrants (or 4,450,000 Private Warrants if the over-allotment option is exercised in full), and Chardan Investments has committed to purchase an aggregate of 2,000,000 Private Warrants (or 2,225,000 Private Warrants if the over-allotment option is exercised in full), at $1.00 per Private Warrant resulting in s combined aggregate purchase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0" w:name="page121"/>
    <w:bookmarkEnd w:id="12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4 — Private Placement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price of $6,000,000 (or $6,675,000 is the over-allotment option is exercised in full), in a private placement that will occur simultaneously with the consummation of the Proposed Public Offering. Each Private Warrant is exercisable to purchase one share of common stock at an exercise price of $11.50. If the Company does not complete a Business Combination within the Combination Period, the proceeds from the sale of the Private Warrants will be used to fund the redemption of the Public Shares (subject to the requirements of applicable law) and the Private Warrants will expire worthless. There will be no redemption rights or liquidating distributions from the Trust Account with respect to the Private Warrants.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Related Party Transactions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Founder Shares</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On September 19, 2019, Chardan Investments purchased 5,000,000 shares (the “Founder Shares”) for an aggregate price of $25,000. On July 23, 2020, Chardan Investments sold 3,250,000 Founder Shares back to the Company for an aggregate price of $16,250. On August 25, 2020, Chardan Investments transferred 256,375 Founder Shares back to the Company for nominal consideration, which shares were cancelled, resulting in Chardan Investments holding a balance of 1,493,625 Founder Shares. On July 23, 2020, Ventoux Acquisition purchased 3,250,000 Founder Shares from the Company for an aggregate price of $16,250. On August 25, 2020, Ventoux Acquisition transferred 431,125 Founder Shares back to the Company for nominal consideration, which shares were cancelled. On December 15, 2020, Ventoux Acquisition transferred 22,500 Founder Shares to Cindat USA LLC, an affiliate of one of the Company’s directors. As of the date hereof, Ventoux Acquisition holds 2,796,375 Founder Shares, of which Ventoux Acquisition intends to distribute 67,500 shares to certain of the Company’s directors prior to the consummation of the Proposed Public Offering, resulting in Ventoux Acquisition holding a balance of 2,728,875 Founder Shares. All share and per-share amounts have been retroactively restated to reflect the share cancellations.</w:t>
      </w:r>
    </w:p>
    <w:p>
      <w:pPr>
        <w:spacing w:after="0" w:line="93" w:lineRule="exact"/>
        <w:rPr>
          <w:sz w:val="20"/>
          <w:szCs w:val="20"/>
          <w:color w:val="auto"/>
        </w:rPr>
      </w:pPr>
    </w:p>
    <w:p>
      <w:pPr>
        <w:jc w:val="both"/>
        <w:ind w:left="460" w:right="479" w:firstLine="432"/>
        <w:spacing w:after="0" w:line="296" w:lineRule="auto"/>
        <w:rPr>
          <w:sz w:val="20"/>
          <w:szCs w:val="20"/>
          <w:color w:val="auto"/>
        </w:rPr>
      </w:pPr>
      <w:r>
        <w:rPr>
          <w:rFonts w:ascii="Arial" w:cs="Arial" w:eastAsia="Arial" w:hAnsi="Arial"/>
          <w:sz w:val="16"/>
          <w:szCs w:val="16"/>
          <w:color w:val="auto"/>
        </w:rPr>
        <w:t>The 4,312,500 Founder Shares include an aggregate of up to 562,500 shares subject to forfeiture by the Initial Stockholders to the extent that the underwriters’ over-allotment is not exercised in full or in part, so that the Initial Stockholders will collectively own approximately 20% of the Company’s issued and outstanding shares after the Proposed Public Offering (assuming the Initial Stockholders does not purchase any Public Shares in the Proposed Public Offering). All share and per-share amounts have been retroactively restated.</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The Initial Stockholders have agreed that, subject to certain limited exceptions, 50% of the Founder Shares will not be transferred, assigned, sold or released from escrow until the earlier of (i) six months after the date of the consummation of a Business Combination or (ii) the date on which the closing price of the Company’s shares of common stock equals or exceeds $12.50 per share (as adjusted for stock splits, stock dividends, reorganizations and recapitalizations) for any 20 trading days within any 30-trading day period commencing after a Business Combination and the remaining 50% of the Founder Shares will not be transferred, assigned, sold or released from escrow until six months after the date of the consummation of a Business Combination, or earlier,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Promissory Note — Related Party</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On August 20, 2020, the Company issued an unsecured promissory note to the Ventoux Acquisition (the “Promissory Note”), pursuant to which the Company may borrow up to an aggregate principal amount of $250,000. The Promissory Note is non-interest bearing and payable promptly after (i) the date on which the consummation of the Proposed Public Offering or (ii) the date on which it is determined not to consummate the Proposed Public offering. As of September 30, 2020, there was $153,018 outstanding under the Promissory Note.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1" w:name="page122"/>
    <w:bookmarkEnd w:id="12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5 — Related Party Transactions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Administrative Support Agreement</w:t>
      </w:r>
    </w:p>
    <w:p>
      <w:pPr>
        <w:spacing w:after="0" w:line="14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Company intends to enter into an agreement, commencing on the effective date of the Proposed Public Offering through the earlier of the Company’s consummation of a Business Combination or its liquidation, to pay Chardan Capital Markets, LLC a total of $10,000 per month for office space, utilities and secretarial support.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Loans</w:t>
      </w:r>
    </w:p>
    <w:p>
      <w:pPr>
        <w:spacing w:after="0" w:line="162"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In order to finance transaction costs in connection with a Business Combination, the Initial Stockholders, an affiliate of the Initial Stockholders, or the Company’s officers and directors may, but are not obligated to, loan the Company funds from time to time or at any time, as may be required (“Working Capital Loans”). Each Working Capital Loan would be evidenced by a promissory note. The notes may be repaid upon completion of a Business Combination, without interest, or, at the lender’s discretion, up to $500,000 of the notes may be converted upon completion of a Business Combination into warrants at a price of $1.00 per warrant. Such warrants would be identical to the Private Warrants. In the event that a Business Combination does not close, the Company may use a portion of the proceeds held outside the Trust Account to repay the Working Capital Loans, but no proceeds held in the Trust Account would be used to repay the Working Capital Loans. Working Capital Loans made by Chardan Capital Markets, LLC or any of its related persons will not be convertible into Private Warrants and Chardan Capital Markets, LLC and its related persons will have no recourse with respect to their ability to convert their Working Capital Loans into Private Warrants.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Extension Loans</w:t>
      </w:r>
    </w:p>
    <w:p>
      <w:pPr>
        <w:spacing w:after="0" w:line="162"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As discussed in Note 1, the Company may extend the period of time to consummate a Business Combination one time, for an additional three months (for a total of 18 months to complete a Business Combination). In order to extend the time available for the Company to consummate a Business Combination, the Initial Stockholders or their affiliates or designees must deposit into the Trust Account $1,500,000, or $1,725,000 if the underwriters’ over-allotment option is exercised in full, or $0.10 per Public Share, on or prior to the date of the applicable deadline. Any such payments would be made in the form of a loan. The terms of the promissory note to be issued in connection with any such loans have not yet been negotiated. If the Company completes a Business Combination, the Company would repay such loaned amounts out of the proceeds of the Trust Account released to the Company. If the Company does not complete a Business Combination, the Company will not repay such loans. The Initial Stockholders and their affiliates or designees are not obligated to fund the Trust Account to extend the time for the Company to complete a Business Combination.</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Commitments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and Uncertainties</w:t>
      </w:r>
    </w:p>
    <w:p>
      <w:pPr>
        <w:spacing w:after="0" w:line="148"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Management is currently evaluating the impact of the COVID-19 pandemic on the industry and has concluded that while it is reasonably possible that the virus could have a negative effect on the Company’s financial position, results of its operations, close of the Proposed Public Offering and/or search for a target company, the specific impact is not readily determinable as of the date of these financial statements. The financial statements do not include any adjustments that might result from the outcome of this uncertainty</w:t>
      </w:r>
      <w:r>
        <w:rPr>
          <w:rFonts w:ascii="Arial" w:cs="Arial" w:eastAsia="Arial" w:hAnsi="Arial"/>
          <w:sz w:val="17"/>
          <w:szCs w:val="17"/>
          <w:b w:val="1"/>
          <w:bCs w:val="1"/>
          <w:color w:val="auto"/>
        </w:rPr>
        <w:t>.</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and Stockholder Rights</w:t>
      </w:r>
    </w:p>
    <w:p>
      <w:pPr>
        <w:spacing w:after="0" w:line="162"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The holders of the Founder Shares and the Private Warrants and securities that may be issued upon conversion of Working Capital Loans will be entitled to registration and stockholder rights pursuant to an agreement to be signed prior to or on the effective date of the Proposed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2" w:name="page123"/>
    <w:bookmarkEnd w:id="12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 Commitments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79"/>
        <w:spacing w:after="0" w:line="269" w:lineRule="auto"/>
        <w:rPr>
          <w:sz w:val="20"/>
          <w:szCs w:val="20"/>
          <w:color w:val="auto"/>
        </w:rPr>
      </w:pPr>
      <w:r>
        <w:rPr>
          <w:rFonts w:ascii="Arial" w:cs="Arial" w:eastAsia="Arial" w:hAnsi="Arial"/>
          <w:sz w:val="17"/>
          <w:szCs w:val="17"/>
          <w:color w:val="auto"/>
        </w:rPr>
        <w:t>consummates a Business Combination. In addition, the holders have certain “piggy-back” registration rights with respect to registration statements filed subsequent to the consummation of a Business Combination. The registration rights agreement does not contain liquidating damages or other cash settlement provisions resulting from delays in registering the Company’s securities. The Company will bear the expenses incurred in connection with the filing of any such registration statements. Chardan Capital Markets, LLC and its related persons may not, with respect to the private warrants (and the shares that are issuable upon exercise of the private warrants) purchased by Chardan Investments, (i) have more than one demand registration right at our expense, (ii) exercise their demand registration rights more than five (5) years from the effective date of the registration statement of which this prospectus forms a part, and (iii) exercise their “piggy-back” registration rights more than seven (7) years from the effective date of the registration statement of which this prospectus forms a part, as long as Chardan Capital Markets, LLC or any of its related persons are beneficial owners of private warrants.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Underwriting Agreement</w:t>
      </w:r>
    </w:p>
    <w:p>
      <w:pPr>
        <w:spacing w:after="0" w:line="162"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Company will grant the underwriters a 45-day option from the date of the Proposed Public Offering to purchase up to 2,250,000 additional Units to cover over-allotments, if any, at the Proposed Public Offering price less the underwriting discounts and commissions.</w:t>
      </w:r>
    </w:p>
    <w:p>
      <w:pPr>
        <w:spacing w:after="0" w:line="103"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underwriters will be entitled to a cash underwriting discount of $0.20 per Unit, or $3,000,000 in the aggregate (or $3,450,000 if the over-allotment option is exercised in full), payable upon the closing of the Proposed Public Offering.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162"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The Company has engaged Chardan Capital Markets, LLC as an advisor in connection with a Business Combination to assist the Company in holding meetings with its stockholders to discuss the potential Business Combination and the target business’s attributes, introduce the Company to potential investors that are interested in purchasing the Company’s securities in connection with the potential Business Combination, assist the Company in obtaining stockholder approval for the Business Combination and assist the Company with its press releases and public filings in connection with the Business Combination. The Company will pay Chardan Capital Markets, LLC a marketing fee for such services upon the consummation of a Business Combination in an amount equal to, in the aggregate, 3.5% of the gross proceeds of the Proposed Public Offering, including any proceeds from the full or partial exercise of the underwriters’ over-allotment option. As a result, Chardan Capital Markets, LLC will not be entitled to such fee unless the consummates its Business Combination.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Stockholder’s Equity</w:t>
      </w:r>
    </w:p>
    <w:p>
      <w:pPr>
        <w:spacing w:after="0" w:line="162"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b w:val="1"/>
          <w:bCs w:val="1"/>
          <w:i w:val="1"/>
          <w:iCs w:val="1"/>
          <w:color w:val="auto"/>
        </w:rPr>
        <w:t xml:space="preserve">Common Stock </w:t>
      </w:r>
      <w:r>
        <w:rPr>
          <w:rFonts w:ascii="Arial" w:cs="Arial" w:eastAsia="Arial" w:hAnsi="Arial"/>
          <w:sz w:val="16"/>
          <w:szCs w:val="16"/>
          <w:color w:val="auto"/>
        </w:rPr>
        <w:t>— The Company is authorized to issue 5,000,000 shares of common stock with a par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of $0.0001 per share. The Company plans on filing an Amended and Restated Certificate of Incorporation prior to the closing date of the Proposed Public Offering such that the Company will increase the number of shares of common stock authorized to be issued to 50,000,000 shares of common stock. Holders of the Company’s common stock are entitled to one vote for each share. At September 30, 2020 and December 31, 2019, there were 4,312,500 shares of common stock issued and outstanding, of which 562,500 shares are subject to forfeiture to the extent that the underwriters’ over-allotment option is not exercised in full so that the Initial Stockholders will own 20% of the issued and outstanding shares after the Proposed Public Offering (assuming the Initial Stockholders do not purchase any Public Shares in the Proposed Public Offering).</w:t>
      </w:r>
    </w:p>
    <w:p>
      <w:pPr>
        <w:spacing w:after="0" w:line="85"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plans on filing an Amended and Restated Certificate of Incorporation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the closing date of the Proposed Public Offering such that the Company will be authorized to issue up to 1,000,000 shares of preferred stock. As of September 30, 2020, and December 31, 2019, the Company has no authorized shares of preferred stock.</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3" w:name="page124"/>
    <w:bookmarkEnd w:id="12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7 — Stockholder’s Equity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b w:val="1"/>
          <w:bCs w:val="1"/>
          <w:i w:val="1"/>
          <w:iCs w:val="1"/>
          <w:color w:val="auto"/>
        </w:rPr>
        <w:t xml:space="preserve">Warrants </w:t>
      </w:r>
      <w:r>
        <w:rPr>
          <w:rFonts w:ascii="Arial" w:cs="Arial" w:eastAsia="Arial" w:hAnsi="Arial"/>
          <w:sz w:val="16"/>
          <w:szCs w:val="16"/>
          <w:color w:val="auto"/>
        </w:rPr>
        <w:t>—The Public Warrants will become exercisable at any time commencing on the later of 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after the closing of the proposed Public Offering or the consummation of a Business Combination; provided that the Company has an effective and current registration statement covering the shares of common stock issuable upon the exercise of the Public Warrants and a current prospectus relating to such shares of common stock. Notwithstanding the foregoing, if a registration statement covering the shares of common stock issuable upon exercise of the public warrants is not effective within 120 days from the closing of a Business Combination, warrant holders may, until such time as there is an effective registration statement and during any period when we shall have failed to maintain an effective registration statement, exercise warrants on a cashless basis pursuant to an available exemption from registration under the Securities Act. The Public Warrants will expire five years after the completion of a Business Combination or earlier upon redemption or liquidation.</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may redeem the Public Warrants:</w:t>
      </w:r>
    </w:p>
    <w:p>
      <w:pPr>
        <w:spacing w:after="0" w:line="144" w:lineRule="exact"/>
        <w:rPr>
          <w:sz w:val="20"/>
          <w:szCs w:val="20"/>
          <w:color w:val="auto"/>
        </w:rPr>
      </w:pPr>
    </w:p>
    <w:p>
      <w:pPr>
        <w:ind w:left="1300" w:hanging="414"/>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at any time while the warrants are exercisable;</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157" w:lineRule="exact"/>
        <w:rPr>
          <w:rFonts w:ascii="Arial" w:cs="Arial" w:eastAsia="Arial" w:hAnsi="Arial"/>
          <w:sz w:val="18"/>
          <w:szCs w:val="18"/>
          <w:color w:val="auto"/>
        </w:rPr>
      </w:pPr>
    </w:p>
    <w:p>
      <w:pPr>
        <w:jc w:val="both"/>
        <w:ind w:left="1320" w:right="479" w:hanging="434"/>
        <w:spacing w:after="0" w:line="263" w:lineRule="auto"/>
        <w:tabs>
          <w:tab w:leader="none" w:pos="1378"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 of common stock equals or exceeds $16.50 per share, for any 20 trading days within a 30-trading day period ending on the third business day prior to the notice of redemption to the warrant holders; and</w:t>
      </w:r>
    </w:p>
    <w:p>
      <w:pPr>
        <w:spacing w:after="0" w:line="116" w:lineRule="exact"/>
        <w:rPr>
          <w:rFonts w:ascii="Arial" w:cs="Arial" w:eastAsia="Arial" w:hAnsi="Arial"/>
          <w:sz w:val="18"/>
          <w:szCs w:val="18"/>
          <w:color w:val="auto"/>
        </w:rPr>
      </w:pPr>
    </w:p>
    <w:p>
      <w:pPr>
        <w:jc w:val="both"/>
        <w:ind w:left="1320" w:right="459" w:hanging="434"/>
        <w:spacing w:after="0" w:line="286" w:lineRule="auto"/>
        <w:tabs>
          <w:tab w:leader="none" w:pos="1311" w:val="left"/>
        </w:tabs>
        <w:numPr>
          <w:ilvl w:val="0"/>
          <w:numId w:val="70"/>
        </w:numPr>
        <w:rPr>
          <w:rFonts w:ascii="Arial" w:cs="Arial" w:eastAsia="Arial" w:hAnsi="Arial"/>
          <w:sz w:val="17"/>
          <w:szCs w:val="17"/>
          <w:color w:val="auto"/>
        </w:rPr>
      </w:pPr>
      <w:r>
        <w:rPr>
          <w:rFonts w:ascii="Arial" w:cs="Arial" w:eastAsia="Arial" w:hAnsi="Arial"/>
          <w:sz w:val="17"/>
          <w:szCs w:val="17"/>
          <w:color w:val="auto"/>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p>
      <w:pPr>
        <w:spacing w:after="0" w:line="8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rights or warrants will not receive any of such funds with respect to their rights or warrants, nor will they receive any distribution from the Company’s assets held outside of the Trust Account with the respect to such rights or warrants. Accordingly, the rights and warrants may expire worthless.</w:t>
      </w:r>
    </w:p>
    <w:p>
      <w:pPr>
        <w:spacing w:after="0" w:line="114"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In addition, if the Company issues additional common stock or equity-linked securities for capital raising purposes in connection with the closing of a Business Combination at an issue price or effective issue price of less than $9.20 per common stock (with such issue price or effective issue price to be determined in good faith by the Company’s board of directors and, in the case of any such issuance to the co-sponsors or their affiliates, without taking into account any Founder Shares held by the co-sponsors or such affiliates, as applicable, prior to such issuance) (the “Newly Issued Price”), the exercise price of the warrants will be adjusted (to the nearest cent) to be equal to 115% of the Newly Issued Price, and the $16.50 per share redemption trigger price will be adjusted (to the nearest cent) to be equal to 165% of the market value (the volume weighted average trading price of its common stock during the 20 trading day period starting on the trading day prior to the day on which the Company consummates its Business Combination).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4" w:name="page125"/>
    <w:bookmarkEnd w:id="12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7 — Stockholder’s Equity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Private Warrants will be identical to the Public Warrants underlying the Units being sold in the Proposed Public Offering except that the Private Warrants will be exercisable for cash (even if a registration statement covering the shares of common stock issuable upon exercise of such warrants is not effective) or on a cashless basis, at the holder’s option, and will not be non-redeemable by the Company, in each case, so long as they are held by the initial purchasers or their affiliates.</w:t>
      </w:r>
    </w:p>
    <w:p>
      <w:pPr>
        <w:spacing w:after="0" w:line="120"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b w:val="1"/>
          <w:bCs w:val="1"/>
          <w:i w:val="1"/>
          <w:iCs w:val="1"/>
          <w:color w:val="auto"/>
        </w:rPr>
        <w:t xml:space="preserve">Rights </w:t>
      </w:r>
      <w:r>
        <w:rPr>
          <w:rFonts w:ascii="Arial" w:cs="Arial" w:eastAsia="Arial" w:hAnsi="Arial"/>
          <w:sz w:val="16"/>
          <w:szCs w:val="16"/>
          <w:color w:val="auto"/>
        </w:rPr>
        <w:t>— Except in cases where the Company is not the surviving company in a Business Combination,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holder of a right will automatically receive one-twentieth (1/20) of a share of common stock upon consummation of the Business Combination, even if the holder of a right converted all shares held by him, her or it in connection with the Business Combination or an amendment to the Company’s Certificate of Incorporation with respect to its pre-business combination activities. In the event that the Company will not be the surviving company upon completion of the Business Combination, each holder of a right will be required to affirmatively convert his, her or its rights in order to receive the one-twentieth (1/20) of a share of common stock underlying each right upon consummation of the Business Combination. No additional consideration will be required to be paid by a holder of rights in order to receive his, her or its additional share of common stock upon consummation of the Business Combination. The shares issuable upon exchange of the rights will be freely tradable (except to the extent held by affiliates of the Company). If the Company enters into a definitive agreement for a Business Combination in which the Company will not be the surviving entity, the definitive agreement will provide for the holders of rights to receive the same per share consideration the holders of shares of common stock will receive in the transaction on an as-converted into common stock basis.</w:t>
      </w:r>
    </w:p>
    <w:p>
      <w:pPr>
        <w:spacing w:after="0" w:line="9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Company will not issue fractional shares in connection with an exchange of rights. As a result, the holders of the rights must hold rights in multiples of 20 in order to receive shares for all of the holders’ rights upon closing of a Business Combination. If the Company is unable to complete an initial Business Combination within the required time period and the Company liquidates the funds held in the Trust Account, holders of rights will not receive any of such funds with respect to their rights, nor will they receive any distribution from the Company’s assets held outside of the Trust Account with respect to such rights, and the rights will expire worthless. Additionally, in no event will the Company be required to net cash settle the rights. Accordingly, the rights may expire worthless.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Subsequent Events</w:t>
      </w:r>
    </w:p>
    <w:p>
      <w:pPr>
        <w:spacing w:after="0" w:line="162"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December 16, 2020, the date that the financial statements were available to be issued. Based upon this review, the Company did not identify any subsequent events that would have required adjustment or disclosure in the financial statements.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5" w:name="page126"/>
    <w:bookmarkEnd w:id="125"/>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72390</wp:posOffset>
            </wp:positionV>
            <wp:extent cx="514350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114935</wp:posOffset>
            </wp:positionV>
            <wp:extent cx="514350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$150,000,000</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6"/>
          <w:szCs w:val="26"/>
          <w:b w:val="1"/>
          <w:bCs w:val="1"/>
          <w:color w:val="auto"/>
        </w:rPr>
        <w:t>Ventoux CCM Acquisition Corp.</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15,000,000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__________________________________</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PRELIMINARY PROSPECTUS</w:t>
      </w:r>
    </w:p>
    <w:p>
      <w:pPr>
        <w:spacing w:after="0" w:line="13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Chardan</w:t>
      </w:r>
    </w:p>
    <w:p>
      <w:pPr>
        <w:spacing w:after="0" w:line="230"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[_______],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1089025</wp:posOffset>
            </wp:positionV>
            <wp:extent cx="514350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1131570</wp:posOffset>
            </wp:positionV>
            <wp:extent cx="514350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1405890</wp:posOffset>
            </wp:positionV>
            <wp:extent cx="51435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6" w:name="page127"/>
    <w:bookmarkEnd w:id="12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4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Trustee fee</w:t>
            </w:r>
          </w:p>
        </w:tc>
        <w:tc>
          <w:tcPr>
            <w:tcW w:w="360" w:type="dxa"/>
            <w:vAlign w:val="bottom"/>
            <w:tcBorders>
              <w:bottom w:val="single" w:sz="8" w:color="CCEEFF"/>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SEC Registration Fee</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18,820</w:t>
            </w:r>
          </w:p>
        </w:tc>
      </w:tr>
      <w:tr>
        <w:trPr>
          <w:trHeight w:val="40"/>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26,375</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40"/>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Nasdaq listing fees</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Printing and filing expenses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41"/>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225,000</w:t>
            </w:r>
          </w:p>
        </w:tc>
      </w:tr>
      <w:tr>
        <w:trPr>
          <w:trHeight w:val="257"/>
        </w:trPr>
        <w:tc>
          <w:tcPr>
            <w:tcW w:w="6860" w:type="dxa"/>
            <w:vAlign w:val="bottom"/>
          </w:tcPr>
          <w:p>
            <w:pPr>
              <w:spacing w:after="0"/>
              <w:rPr>
                <w:sz w:val="20"/>
                <w:szCs w:val="20"/>
                <w:color w:val="auto"/>
              </w:rPr>
            </w:pPr>
            <w:r>
              <w:rPr>
                <w:rFonts w:ascii="Arial" w:cs="Arial" w:eastAsia="Arial" w:hAnsi="Arial"/>
                <w:sz w:val="18"/>
                <w:szCs w:val="18"/>
                <w:color w:val="auto"/>
              </w:rPr>
              <w:t>Miscellaneous</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78,305</w:t>
            </w: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0"/>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4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Our certificate of incorporation provides that all directors, officers, employees and agents of the registrant shall be entitled to be indemnified by us to the fullest extent permitted by Section 145 of the Delaware General Corporation Law, or the DGCL.</w:t>
      </w:r>
    </w:p>
    <w:p>
      <w:pPr>
        <w:spacing w:after="0" w:line="116"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Section 145 of the Delaware General Corporation Law concerning indemnification of officers, directors, employees and agents is set forth below.</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144" w:lineRule="exact"/>
        <w:rPr>
          <w:sz w:val="20"/>
          <w:szCs w:val="20"/>
          <w:color w:val="auto"/>
        </w:rPr>
      </w:pPr>
    </w:p>
    <w:p>
      <w:pPr>
        <w:jc w:val="both"/>
        <w:ind w:left="1320" w:right="459" w:hanging="434"/>
        <w:spacing w:after="0" w:line="268" w:lineRule="auto"/>
        <w:tabs>
          <w:tab w:leader="none" w:pos="1311" w:val="left"/>
        </w:tabs>
        <w:numPr>
          <w:ilvl w:val="0"/>
          <w:numId w:val="71"/>
        </w:numPr>
        <w:rPr>
          <w:rFonts w:ascii="Arial" w:cs="Arial" w:eastAsia="Arial" w:hAnsi="Arial"/>
          <w:sz w:val="17"/>
          <w:szCs w:val="17"/>
          <w:color w:val="auto"/>
        </w:rPr>
      </w:pPr>
      <w:r>
        <w:rPr>
          <w:rFonts w:ascii="Arial" w:cs="Arial" w:eastAsia="Arial" w:hAnsi="Arial"/>
          <w:sz w:val="17"/>
          <w:szCs w:val="17"/>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12" w:lineRule="exact"/>
        <w:rPr>
          <w:rFonts w:ascii="Arial" w:cs="Arial" w:eastAsia="Arial" w:hAnsi="Arial"/>
          <w:sz w:val="17"/>
          <w:szCs w:val="17"/>
          <w:color w:val="auto"/>
        </w:rPr>
      </w:pPr>
    </w:p>
    <w:p>
      <w:pPr>
        <w:jc w:val="both"/>
        <w:ind w:left="1320" w:right="459" w:hanging="434"/>
        <w:spacing w:after="0" w:line="268" w:lineRule="auto"/>
        <w:tabs>
          <w:tab w:leader="none" w:pos="1282" w:val="left"/>
        </w:tabs>
        <w:numPr>
          <w:ilvl w:val="0"/>
          <w:numId w:val="71"/>
        </w:numPr>
        <w:rPr>
          <w:rFonts w:ascii="Arial" w:cs="Arial" w:eastAsia="Arial" w:hAnsi="Arial"/>
          <w:sz w:val="17"/>
          <w:szCs w:val="17"/>
          <w:color w:val="auto"/>
        </w:rPr>
      </w:pPr>
      <w:r>
        <w:rPr>
          <w:rFonts w:ascii="Arial" w:cs="Arial" w:eastAsia="Arial" w:hAnsi="Arial"/>
          <w:sz w:val="17"/>
          <w:szCs w:val="17"/>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7" w:name="page128"/>
    <w:bookmarkEnd w:id="12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459"/>
        <w:spacing w:after="0" w:line="342" w:lineRule="auto"/>
        <w:rPr>
          <w:sz w:val="20"/>
          <w:szCs w:val="20"/>
          <w:color w:val="auto"/>
        </w:rPr>
      </w:pPr>
      <w:r>
        <w:rPr>
          <w:rFonts w:ascii="Arial" w:cs="Arial" w:eastAsia="Arial" w:hAnsi="Arial"/>
          <w:sz w:val="16"/>
          <w:szCs w:val="16"/>
          <w:color w:val="auto"/>
        </w:rPr>
        <w:t>but in view of all the circumstances of the case, such person is fairly and reasonably entitled to indemnity for such expenses which the Court of Chancery or such other court shall deem proper.</w:t>
      </w:r>
    </w:p>
    <w:p>
      <w:pPr>
        <w:spacing w:after="0" w:line="56" w:lineRule="exact"/>
        <w:rPr>
          <w:sz w:val="20"/>
          <w:szCs w:val="20"/>
          <w:color w:val="auto"/>
        </w:rPr>
      </w:pPr>
    </w:p>
    <w:p>
      <w:pPr>
        <w:jc w:val="both"/>
        <w:ind w:left="1320" w:right="459" w:hanging="434"/>
        <w:spacing w:after="0" w:line="257" w:lineRule="auto"/>
        <w:tabs>
          <w:tab w:leader="none" w:pos="1333"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20" w:lineRule="exact"/>
        <w:rPr>
          <w:rFonts w:ascii="Arial" w:cs="Arial" w:eastAsia="Arial" w:hAnsi="Arial"/>
          <w:sz w:val="18"/>
          <w:szCs w:val="18"/>
          <w:color w:val="auto"/>
        </w:rPr>
      </w:pPr>
    </w:p>
    <w:p>
      <w:pPr>
        <w:jc w:val="both"/>
        <w:ind w:left="1320" w:right="459" w:hanging="434"/>
        <w:spacing w:after="0" w:line="305" w:lineRule="auto"/>
        <w:tabs>
          <w:tab w:leader="none" w:pos="1273" w:val="left"/>
        </w:tabs>
        <w:numPr>
          <w:ilvl w:val="0"/>
          <w:numId w:val="72"/>
        </w:numPr>
        <w:rPr>
          <w:rFonts w:ascii="Arial" w:cs="Arial" w:eastAsia="Arial" w:hAnsi="Arial"/>
          <w:sz w:val="15"/>
          <w:szCs w:val="15"/>
          <w:color w:val="auto"/>
        </w:rPr>
      </w:pPr>
      <w:r>
        <w:rPr>
          <w:rFonts w:ascii="Arial" w:cs="Arial" w:eastAsia="Arial" w:hAnsi="Arial"/>
          <w:sz w:val="15"/>
          <w:szCs w:val="15"/>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w:t>
      </w:r>
    </w:p>
    <w:p>
      <w:pPr>
        <w:spacing w:after="0" w:line="1" w:lineRule="exact"/>
        <w:rPr>
          <w:rFonts w:ascii="Arial" w:cs="Arial" w:eastAsia="Arial" w:hAnsi="Arial"/>
          <w:sz w:val="15"/>
          <w:szCs w:val="15"/>
          <w:color w:val="auto"/>
        </w:rPr>
      </w:pPr>
    </w:p>
    <w:p>
      <w:pPr>
        <w:jc w:val="both"/>
        <w:ind w:left="1320" w:right="459" w:hanging="2"/>
        <w:spacing w:after="0" w:line="281" w:lineRule="auto"/>
        <w:tabs>
          <w:tab w:leader="none" w:pos="1589" w:val="left"/>
        </w:tabs>
        <w:numPr>
          <w:ilvl w:val="1"/>
          <w:numId w:val="72"/>
        </w:numPr>
        <w:rPr>
          <w:rFonts w:ascii="Arial" w:cs="Arial" w:eastAsia="Arial" w:hAnsi="Arial"/>
          <w:sz w:val="16"/>
          <w:szCs w:val="16"/>
          <w:color w:val="auto"/>
        </w:rPr>
      </w:pPr>
      <w:r>
        <w:rPr>
          <w:rFonts w:ascii="Arial" w:cs="Arial" w:eastAsia="Arial" w:hAnsi="Arial"/>
          <w:sz w:val="16"/>
          <w:szCs w:val="16"/>
          <w:color w:val="auto"/>
        </w:rPr>
        <w:t>and (b) of this section. Such determination shall be made, with respect to a person who is a director or officer of the corporation at the time of such determination: (1) by a majority vote of the directors who are not parties to such action, suit or proceeding, even though less than a quorum, or</w:t>
      </w:r>
    </w:p>
    <w:p>
      <w:pPr>
        <w:spacing w:after="0" w:line="1" w:lineRule="exact"/>
        <w:rPr>
          <w:rFonts w:ascii="Arial" w:cs="Arial" w:eastAsia="Arial" w:hAnsi="Arial"/>
          <w:sz w:val="16"/>
          <w:szCs w:val="16"/>
          <w:color w:val="auto"/>
        </w:rPr>
      </w:pPr>
    </w:p>
    <w:p>
      <w:pPr>
        <w:jc w:val="both"/>
        <w:ind w:left="1320" w:right="479"/>
        <w:spacing w:after="0" w:line="255" w:lineRule="auto"/>
        <w:rPr>
          <w:rFonts w:ascii="Arial" w:cs="Arial" w:eastAsia="Arial" w:hAnsi="Arial"/>
          <w:sz w:val="16"/>
          <w:szCs w:val="16"/>
          <w:color w:val="auto"/>
        </w:rPr>
      </w:pPr>
      <w:r>
        <w:rPr>
          <w:rFonts w:ascii="Arial" w:cs="Arial" w:eastAsia="Arial" w:hAnsi="Arial"/>
          <w:sz w:val="18"/>
          <w:szCs w:val="18"/>
          <w:color w:val="auto"/>
        </w:rPr>
        <w:t>(2)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08" w:lineRule="exact"/>
        <w:rPr>
          <w:rFonts w:ascii="Arial" w:cs="Arial" w:eastAsia="Arial" w:hAnsi="Arial"/>
          <w:sz w:val="16"/>
          <w:szCs w:val="16"/>
          <w:color w:val="auto"/>
        </w:rPr>
      </w:pPr>
    </w:p>
    <w:p>
      <w:pPr>
        <w:jc w:val="both"/>
        <w:ind w:left="1320" w:right="459" w:hanging="434"/>
        <w:spacing w:after="0" w:line="254" w:lineRule="auto"/>
        <w:tabs>
          <w:tab w:leader="none" w:pos="1463"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24" w:lineRule="exact"/>
        <w:rPr>
          <w:rFonts w:ascii="Arial" w:cs="Arial" w:eastAsia="Arial" w:hAnsi="Arial"/>
          <w:sz w:val="18"/>
          <w:szCs w:val="18"/>
          <w:color w:val="auto"/>
        </w:rPr>
      </w:pPr>
    </w:p>
    <w:p>
      <w:pPr>
        <w:jc w:val="both"/>
        <w:ind w:left="1320" w:right="459" w:hanging="434"/>
        <w:spacing w:after="0" w:line="287" w:lineRule="auto"/>
        <w:tabs>
          <w:tab w:leader="none" w:pos="1376"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the certificate of incorporation or the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04" w:lineRule="exact"/>
        <w:rPr>
          <w:rFonts w:ascii="Arial" w:cs="Arial" w:eastAsia="Arial" w:hAnsi="Arial"/>
          <w:sz w:val="16"/>
          <w:szCs w:val="16"/>
          <w:color w:val="auto"/>
        </w:rPr>
      </w:pPr>
    </w:p>
    <w:p>
      <w:pPr>
        <w:jc w:val="both"/>
        <w:ind w:left="1320" w:right="459" w:hanging="434"/>
        <w:spacing w:after="0" w:line="293" w:lineRule="auto"/>
        <w:tabs>
          <w:tab w:leader="none" w:pos="13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83" w:lineRule="exact"/>
        <w:rPr>
          <w:rFonts w:ascii="Arial" w:cs="Arial" w:eastAsia="Arial" w:hAnsi="Arial"/>
          <w:sz w:val="16"/>
          <w:szCs w:val="16"/>
          <w:color w:val="auto"/>
        </w:rPr>
      </w:pPr>
    </w:p>
    <w:p>
      <w:pPr>
        <w:jc w:val="both"/>
        <w:ind w:left="1320" w:right="459" w:hanging="434"/>
        <w:spacing w:after="0" w:line="289" w:lineRule="auto"/>
        <w:tabs>
          <w:tab w:leader="none" w:pos="1283" w:val="left"/>
        </w:tabs>
        <w:numPr>
          <w:ilvl w:val="0"/>
          <w:numId w:val="72"/>
        </w:numPr>
        <w:rPr>
          <w:rFonts w:ascii="Arial" w:cs="Arial" w:eastAsia="Arial" w:hAnsi="Arial"/>
          <w:sz w:val="16"/>
          <w:szCs w:val="16"/>
          <w:color w:val="auto"/>
        </w:rPr>
      </w:pPr>
      <w:r>
        <w:rPr>
          <w:rFonts w:ascii="Arial" w:cs="Arial" w:eastAsia="Arial" w:hAnsi="Arial"/>
          <w:sz w:val="16"/>
          <w:szCs w:val="16"/>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98" w:lineRule="exact"/>
        <w:rPr>
          <w:rFonts w:ascii="Arial" w:cs="Arial" w:eastAsia="Arial" w:hAnsi="Arial"/>
          <w:sz w:val="16"/>
          <w:szCs w:val="16"/>
          <w:color w:val="auto"/>
        </w:rPr>
      </w:pPr>
    </w:p>
    <w:p>
      <w:pPr>
        <w:jc w:val="both"/>
        <w:ind w:left="1320" w:right="459" w:hanging="434"/>
        <w:spacing w:after="0" w:line="259" w:lineRule="auto"/>
        <w:tabs>
          <w:tab w:leader="none" w:pos="1324"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8" w:name="page129"/>
    <w:bookmarkEnd w:id="12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spacing w:after="0" w:line="255" w:lineRule="auto"/>
        <w:rPr>
          <w:sz w:val="20"/>
          <w:szCs w:val="20"/>
          <w:color w:val="auto"/>
        </w:rPr>
      </w:pPr>
      <w:r>
        <w:rPr>
          <w:rFonts w:ascii="Arial" w:cs="Arial" w:eastAsia="Arial" w:hAnsi="Arial"/>
          <w:sz w:val="18"/>
          <w:szCs w:val="18"/>
          <w:color w:val="auto"/>
        </w:rPr>
        <w:t>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25" w:lineRule="exact"/>
        <w:rPr>
          <w:sz w:val="20"/>
          <w:szCs w:val="20"/>
          <w:color w:val="auto"/>
        </w:rPr>
      </w:pPr>
    </w:p>
    <w:p>
      <w:pPr>
        <w:jc w:val="both"/>
        <w:ind w:left="1320" w:right="479" w:hanging="434"/>
        <w:spacing w:after="0" w:line="259" w:lineRule="auto"/>
        <w:tabs>
          <w:tab w:leader="none" w:pos="1317"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19" w:lineRule="exact"/>
        <w:rPr>
          <w:rFonts w:ascii="Arial" w:cs="Arial" w:eastAsia="Arial" w:hAnsi="Arial"/>
          <w:sz w:val="18"/>
          <w:szCs w:val="18"/>
          <w:color w:val="auto"/>
        </w:rPr>
      </w:pPr>
    </w:p>
    <w:p>
      <w:pPr>
        <w:jc w:val="both"/>
        <w:ind w:left="1320" w:right="459" w:hanging="434"/>
        <w:spacing w:after="0" w:line="301" w:lineRule="auto"/>
        <w:tabs>
          <w:tab w:leader="none" w:pos="1289"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76"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1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In accordance with Section 102(b)(7) of the DGCL, our certificate of incorporation provides that our directors will not be personally liable for monetary damages resulting from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 The effect of this provision of our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14"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If the DGCL is amended to authorize corporate action further eliminating or limiting the liability of directors, then, in accordance with our certificate of incorporation, the liability of our directors to us or our stockholders will be eliminated or limited to the fullest extent authorized by the DGCL, as so amended.</w:t>
      </w:r>
    </w:p>
    <w:p>
      <w:pPr>
        <w:spacing w:after="0" w:line="8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Our certificate of incorporation also provides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 Notwithstanding the foregoing, a person eligible for indemnification pursuant to our certificate of incorporation will be indemnified by us in connection with a proceeding initiated by such person only if such proceeding was authorized by our board of directors, except for proceedings to enforce rights to indemnification.</w:t>
      </w:r>
    </w:p>
    <w:p>
      <w:pPr>
        <w:spacing w:after="0" w:line="11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The right to indemnification conferred by our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certificate of incorporation or otherwise.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9" w:name="page130"/>
    <w:bookmarkEnd w:id="12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certificate of incorporation may have or hereafter acquire under law, our certificate of incorporation, our bylaws, an agreement, vote of stockholders or disinterested directors, or otherwise.</w:t>
      </w:r>
    </w:p>
    <w:p>
      <w:pPr>
        <w:spacing w:after="0" w:line="119"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Any repeal or amendment of provisions of our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certificate of incorporation will also permit us, to the extent and in the manner authorized or permitted by law, to indemnify and to advance expenses to persons other that those specifically covered by our certificate of incorporation.</w:t>
      </w:r>
    </w:p>
    <w:p>
      <w:pPr>
        <w:spacing w:after="0" w:line="113"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Our bylaws, which we intend to adopt immediately prior to the closing of this offering, include the provisions relating to advancement of expenses and indemnification rights consistent with those set forth in our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11"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97"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We will enter into indemnity agreements with each of our officers and directors, a form of which is filed as Exhibit 10.6 to this Registration Statement. These agreements will require us to indemnify these individuals to the fullest extent permitted under Delaware law and to advance expenses incurred as a result of any proceeding against them as to which they could be indemnified.</w:t>
      </w:r>
    </w:p>
    <w:p>
      <w:pPr>
        <w:spacing w:after="0" w:line="11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Pursuant to the Underwriting Agreement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48" w:lineRule="exact"/>
        <w:rPr>
          <w:sz w:val="20"/>
          <w:szCs w:val="20"/>
          <w:color w:val="auto"/>
        </w:rPr>
      </w:pPr>
    </w:p>
    <w:p>
      <w:pPr>
        <w:jc w:val="both"/>
        <w:ind w:left="1320" w:right="459" w:hanging="434"/>
        <w:spacing w:after="0" w:line="285" w:lineRule="auto"/>
        <w:tabs>
          <w:tab w:leader="none" w:pos="1432" w:val="left"/>
        </w:tabs>
        <w:numPr>
          <w:ilvl w:val="0"/>
          <w:numId w:val="74"/>
        </w:numPr>
        <w:rPr>
          <w:rFonts w:ascii="Arial" w:cs="Arial" w:eastAsia="Arial" w:hAnsi="Arial"/>
          <w:sz w:val="16"/>
          <w:szCs w:val="16"/>
          <w:color w:val="auto"/>
        </w:rPr>
      </w:pPr>
      <w:r>
        <w:rPr>
          <w:rFonts w:ascii="Arial" w:cs="Arial" w:eastAsia="Arial" w:hAnsi="Arial"/>
          <w:sz w:val="16"/>
          <w:szCs w:val="16"/>
          <w:color w:val="auto"/>
        </w:rPr>
        <w:t>On September 19, 2019, Chardan International Investments, LLC purchased 5,000,000 shares of common stock from us for $25,000. On July 23, 2020, Chardan International Investments, LLC sold 3,250,000 shares of common stock back to us for $16,250. On August 25, 2020, Chardan International Investments, LLC transferred 256,375 shares of common stock back to us for nominal consideration, which shares were cancelled, resulting in Chardan International Investments, LLC holding a balance of 1,493,625 shares of common stock. On July 23, 2020, Ventoux Acquisition Holdings LLC purchased 3,250,000 shares of common stock from us for $16,250. On August 25, 2020, Ventoux Acquisition Holdings LLC transferred 431,125 shares of common stock back to us for nominal considerations, which shares were cancelled. On December 15, 2020, Ventoux Acquisition Holdings LLC transferred 22,500 shares of common stock to Cindat USA LLC, an affiliate of one of our directors. As of the date hereof, Ventoux Acquisition Holdings LLC holds 2,796,375 shares of common stock, of which Ventoux Acquisition Holdings LLC intends to distribute 67,500 shares to certain of our directors prior to the consummation of the offering, resulting in Ventoux Acquisition Holdings LLC holding a balance of 2,728,875 shares. We refer to the shares held by our co-sponsors, officers and directors as “founder” shares or “insider shares. The founder shares include an aggregate of up to 562,500 shares that are subject to forfeiture to the extent that the underwriters’ over-allotment option is not exercised in full or in part. Because these offers and sales were made in transactions not involving a public offering, the shares were issued in reliance on the exemption from registration contained in Section 4(a)(2) of the Securities Act.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0" w:name="page131"/>
    <w:bookmarkEnd w:id="13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88" w:lineRule="auto"/>
        <w:tabs>
          <w:tab w:leader="none" w:pos="1378" w:val="left"/>
        </w:tabs>
        <w:numPr>
          <w:ilvl w:val="0"/>
          <w:numId w:val="75"/>
        </w:numPr>
        <w:rPr>
          <w:rFonts w:ascii="Arial" w:cs="Arial" w:eastAsia="Arial" w:hAnsi="Arial"/>
          <w:sz w:val="16"/>
          <w:szCs w:val="16"/>
          <w:color w:val="auto"/>
        </w:rPr>
      </w:pPr>
      <w:r>
        <w:rPr>
          <w:rFonts w:ascii="Arial" w:cs="Arial" w:eastAsia="Arial" w:hAnsi="Arial"/>
          <w:sz w:val="16"/>
          <w:szCs w:val="16"/>
          <w:color w:val="auto"/>
        </w:rPr>
        <w:t>Ventoux Acquisition Holdings LLC has committed to purchase from us an aggregate of 4,000,000 warrants (or 4,450,000 warrants if the over-allotment option is exercised in full), and Chardan International Investments, LLC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Each private warrant is exercisable for one (1) share of common stock at an exercise price of $11.50 per share. These purchases will take place on a private placement basis simultaneously with the consummation of this offering. Because this offer and sale is being made to existing stockholders, the sale does not involve a public offering and is being made in reliance on the exemption from registration contained in Section 4(a)(2) of the Securities Act.</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62" w:lineRule="exact"/>
        <w:rPr>
          <w:sz w:val="20"/>
          <w:szCs w:val="20"/>
          <w:color w:val="auto"/>
        </w:rPr>
      </w:pPr>
    </w:p>
    <w:p>
      <w:pPr>
        <w:ind w:left="1300" w:hanging="41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following exhibits are filed as part of this Registration Statement: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Exhibit</w:t>
      </w:r>
    </w:p>
    <w:p>
      <w:pPr>
        <w:spacing w:after="0" w:line="26" w:lineRule="exact"/>
        <w:rPr>
          <w:sz w:val="20"/>
          <w:szCs w:val="20"/>
          <w:color w:val="auto"/>
        </w:rPr>
      </w:pPr>
    </w:p>
    <w:p>
      <w:pPr>
        <w:ind w:left="460"/>
        <w:spacing w:after="0"/>
        <w:tabs>
          <w:tab w:leader="none" w:pos="4420" w:val="left"/>
        </w:tabs>
        <w:rPr>
          <w:sz w:val="20"/>
          <w:szCs w:val="20"/>
          <w:color w:val="auto"/>
        </w:rPr>
      </w:pPr>
      <w:r>
        <w:rPr>
          <w:rFonts w:ascii="Arial" w:cs="Arial" w:eastAsia="Arial" w:hAnsi="Arial"/>
          <w:sz w:val="16"/>
          <w:szCs w:val="16"/>
          <w:b w:val="1"/>
          <w:bCs w:val="1"/>
          <w:color w:val="auto"/>
        </w:rPr>
        <w:t>No.</w:t>
      </w:r>
      <w:r>
        <w:rPr>
          <w:sz w:val="20"/>
          <w:szCs w:val="20"/>
          <w:color w:val="auto"/>
        </w:rPr>
        <w:tab/>
      </w:r>
      <w:r>
        <w:rPr>
          <w:rFonts w:ascii="Arial" w:cs="Arial" w:eastAsia="Arial" w:hAnsi="Arial"/>
          <w:sz w:val="16"/>
          <w:szCs w:val="16"/>
          <w:b w:val="1"/>
          <w:bCs w:val="1"/>
          <w:color w:val="auto"/>
        </w:rPr>
        <w:t>Description</w:t>
      </w:r>
    </w:p>
    <w:p>
      <w:pPr>
        <w:sectPr>
          <w:pgSz w:w="11900" w:h="16838" w:orient="portrait"/>
          <w:cols w:equalWidth="0" w:num="1">
            <w:col w:w="9019"/>
          </w:cols>
          <w:pgMar w:left="1440" w:top="274" w:right="1440" w:bottom="848" w:gutter="0" w:footer="0" w:header="0"/>
        </w:sectPr>
      </w:pPr>
    </w:p>
    <w:p>
      <w:pPr>
        <w:spacing w:after="0" w:line="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1.1*</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1.2*</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3.1*</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3.2*</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3.3*</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3.4*</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3.5*</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4.1*</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4.2*</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rFonts w:ascii="Arial" w:cs="Arial" w:eastAsia="Arial" w:hAnsi="Arial"/>
          <w:sz w:val="18"/>
          <w:szCs w:val="18"/>
          <w:u w:val="single" w:color="auto"/>
          <w:color w:val="0000EE"/>
        </w:rPr>
      </w:pPr>
      <w:hyperlink r:id="rId170">
        <w:r>
          <w:rPr>
            <w:rFonts w:ascii="Arial" w:cs="Arial" w:eastAsia="Arial" w:hAnsi="Arial"/>
            <w:sz w:val="18"/>
            <w:szCs w:val="18"/>
            <w:u w:val="single" w:color="auto"/>
            <w:color w:val="0000EE"/>
          </w:rPr>
          <w:t>Form of Underwriting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-139065</wp:posOffset>
            </wp:positionV>
            <wp:extent cx="5143500" cy="1797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0000EE"/>
        </w:rPr>
      </w:pPr>
      <w:hyperlink r:id="rId172">
        <w:r>
          <w:rPr>
            <w:rFonts w:ascii="Arial" w:cs="Arial" w:eastAsia="Arial" w:hAnsi="Arial"/>
            <w:sz w:val="18"/>
            <w:szCs w:val="18"/>
            <w:u w:val="single" w:color="auto"/>
            <w:color w:val="0000EE"/>
          </w:rPr>
          <w:t>Form of Business Combination Marketing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40640</wp:posOffset>
            </wp:positionV>
            <wp:extent cx="5143500" cy="179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0000EE"/>
        </w:rPr>
      </w:pPr>
      <w:hyperlink r:id="rId174">
        <w:r>
          <w:rPr>
            <w:rFonts w:ascii="Arial" w:cs="Arial" w:eastAsia="Arial" w:hAnsi="Arial"/>
            <w:sz w:val="18"/>
            <w:szCs w:val="18"/>
            <w:u w:val="single" w:color="auto"/>
            <w:color w:val="0000EE"/>
          </w:rPr>
          <w:t>Certificate of Incorporation.</w:t>
        </w:r>
      </w:hyperlink>
    </w:p>
    <w:p>
      <w:pPr>
        <w:spacing w:after="0" w:line="77" w:lineRule="exact"/>
        <w:rPr>
          <w:sz w:val="20"/>
          <w:szCs w:val="20"/>
          <w:color w:val="auto"/>
        </w:rPr>
      </w:pPr>
    </w:p>
    <w:p>
      <w:pPr>
        <w:spacing w:after="0"/>
        <w:rPr>
          <w:rFonts w:ascii="Arial" w:cs="Arial" w:eastAsia="Arial" w:hAnsi="Arial"/>
          <w:sz w:val="17"/>
          <w:szCs w:val="17"/>
          <w:u w:val="single" w:color="auto"/>
          <w:color w:val="0000EE"/>
        </w:rPr>
      </w:pPr>
      <w:hyperlink r:id="rId175">
        <w:r>
          <w:rPr>
            <w:rFonts w:ascii="Arial" w:cs="Arial" w:eastAsia="Arial" w:hAnsi="Arial"/>
            <w:sz w:val="17"/>
            <w:szCs w:val="17"/>
            <w:u w:val="single" w:color="auto"/>
            <w:color w:val="0000EE"/>
          </w:rPr>
          <w:t>Certificate of Amendment to Certificate of Incorporation.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47625</wp:posOffset>
            </wp:positionV>
            <wp:extent cx="5143500" cy="1803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68" w:lineRule="exact"/>
        <w:rPr>
          <w:sz w:val="20"/>
          <w:szCs w:val="20"/>
          <w:color w:val="auto"/>
        </w:rPr>
      </w:pPr>
    </w:p>
    <w:p>
      <w:pPr>
        <w:spacing w:after="0"/>
        <w:rPr>
          <w:rFonts w:ascii="Arial" w:cs="Arial" w:eastAsia="Arial" w:hAnsi="Arial"/>
          <w:sz w:val="17"/>
          <w:szCs w:val="17"/>
          <w:u w:val="single" w:color="auto"/>
          <w:color w:val="0000EE"/>
        </w:rPr>
      </w:pPr>
      <w:hyperlink r:id="rId177">
        <w:r>
          <w:rPr>
            <w:rFonts w:ascii="Arial" w:cs="Arial" w:eastAsia="Arial" w:hAnsi="Arial"/>
            <w:sz w:val="17"/>
            <w:szCs w:val="17"/>
            <w:u w:val="single" w:color="auto"/>
            <w:color w:val="0000EE"/>
          </w:rPr>
          <w:t>Certificate of Amendment to Certificate of Incorporation.</w:t>
        </w:r>
      </w:hyperlink>
    </w:p>
    <w:p>
      <w:pPr>
        <w:spacing w:after="0" w:line="88" w:lineRule="exact"/>
        <w:rPr>
          <w:sz w:val="20"/>
          <w:szCs w:val="20"/>
          <w:color w:val="auto"/>
        </w:rPr>
      </w:pPr>
    </w:p>
    <w:p>
      <w:pPr>
        <w:spacing w:after="0"/>
        <w:rPr>
          <w:rFonts w:ascii="Arial" w:cs="Arial" w:eastAsia="Arial" w:hAnsi="Arial"/>
          <w:sz w:val="16"/>
          <w:szCs w:val="16"/>
          <w:color w:val="0000EE"/>
        </w:rPr>
      </w:pPr>
      <w:hyperlink r:id="rId178">
        <w:r>
          <w:rPr>
            <w:rFonts w:ascii="Arial" w:cs="Arial" w:eastAsia="Arial" w:hAnsi="Arial"/>
            <w:sz w:val="16"/>
            <w:szCs w:val="16"/>
            <w:u w:val="single" w:color="auto"/>
            <w:color w:val="0000EE"/>
          </w:rPr>
          <w:t>Form of Amended and Restated Certificate of Incorporation</w:t>
        </w:r>
        <w:r>
          <w:rPr>
            <w:rFonts w:ascii="Arial" w:cs="Arial" w:eastAsia="Arial" w:hAnsi="Arial"/>
            <w:sz w:val="16"/>
            <w:szCs w:val="16"/>
            <w:color w:val="0000EE"/>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55245</wp:posOffset>
            </wp:positionV>
            <wp:extent cx="5143500" cy="1797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80" w:lineRule="exact"/>
        <w:rPr>
          <w:sz w:val="20"/>
          <w:szCs w:val="20"/>
          <w:color w:val="auto"/>
        </w:rPr>
      </w:pPr>
    </w:p>
    <w:p>
      <w:pPr>
        <w:spacing w:after="0"/>
        <w:rPr>
          <w:rFonts w:ascii="Arial" w:cs="Arial" w:eastAsia="Arial" w:hAnsi="Arial"/>
          <w:sz w:val="18"/>
          <w:szCs w:val="18"/>
          <w:u w:val="single" w:color="auto"/>
          <w:color w:val="0000EE"/>
        </w:rPr>
      </w:pPr>
      <w:hyperlink r:id="rId180">
        <w:r>
          <w:rPr>
            <w:rFonts w:ascii="Arial" w:cs="Arial" w:eastAsia="Arial" w:hAnsi="Arial"/>
            <w:sz w:val="18"/>
            <w:szCs w:val="18"/>
            <w:u w:val="single" w:color="auto"/>
            <w:color w:val="0000EE"/>
          </w:rPr>
          <w:t>Bylaws.</w:t>
        </w:r>
      </w:hyperlink>
    </w:p>
    <w:p>
      <w:pPr>
        <w:spacing w:after="0" w:line="77" w:lineRule="exact"/>
        <w:rPr>
          <w:sz w:val="20"/>
          <w:szCs w:val="20"/>
          <w:color w:val="auto"/>
        </w:rPr>
      </w:pPr>
    </w:p>
    <w:p>
      <w:pPr>
        <w:spacing w:after="0"/>
        <w:rPr>
          <w:rFonts w:ascii="Arial" w:cs="Arial" w:eastAsia="Arial" w:hAnsi="Arial"/>
          <w:sz w:val="18"/>
          <w:szCs w:val="18"/>
          <w:color w:val="0000EE"/>
        </w:rPr>
      </w:pPr>
      <w:hyperlink r:id="rId181">
        <w:r>
          <w:rPr>
            <w:rFonts w:ascii="Arial" w:cs="Arial" w:eastAsia="Arial" w:hAnsi="Arial"/>
            <w:sz w:val="18"/>
            <w:szCs w:val="18"/>
            <w:u w:val="single" w:color="auto"/>
            <w:color w:val="0000EE"/>
          </w:rPr>
          <w:t>Specimen Unit Certificate</w:t>
        </w:r>
        <w:r>
          <w:rPr>
            <w:rFonts w:ascii="Arial" w:cs="Arial" w:eastAsia="Arial" w:hAnsi="Arial"/>
            <w:sz w:val="18"/>
            <w:szCs w:val="18"/>
            <w:color w:val="0000EE"/>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40640</wp:posOffset>
            </wp:positionV>
            <wp:extent cx="5143500" cy="1797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0000EE"/>
        </w:rPr>
      </w:pPr>
      <w:hyperlink r:id="rId183">
        <w:r>
          <w:rPr>
            <w:rFonts w:ascii="Arial" w:cs="Arial" w:eastAsia="Arial" w:hAnsi="Arial"/>
            <w:sz w:val="18"/>
            <w:szCs w:val="18"/>
            <w:u w:val="single" w:color="auto"/>
            <w:color w:val="0000EE"/>
          </w:rPr>
          <w:t>Specimen Common Stock Certificate.</w:t>
        </w:r>
      </w:hyperlink>
    </w:p>
    <w:p>
      <w:pPr>
        <w:spacing w:after="0" w:line="77" w:lineRule="exact"/>
        <w:rPr>
          <w:sz w:val="20"/>
          <w:szCs w:val="20"/>
          <w:color w:val="auto"/>
        </w:rPr>
      </w:pPr>
    </w:p>
    <w:p>
      <w:pPr>
        <w:spacing w:after="0"/>
        <w:rPr>
          <w:rFonts w:ascii="Arial" w:cs="Arial" w:eastAsia="Arial" w:hAnsi="Arial"/>
          <w:sz w:val="18"/>
          <w:szCs w:val="18"/>
          <w:color w:val="0000EE"/>
        </w:rPr>
      </w:pPr>
      <w:hyperlink r:id="rId184">
        <w:r>
          <w:rPr>
            <w:rFonts w:ascii="Arial" w:cs="Arial" w:eastAsia="Arial" w:hAnsi="Arial"/>
            <w:sz w:val="18"/>
            <w:szCs w:val="18"/>
            <w:u w:val="single" w:color="auto"/>
            <w:color w:val="0000EE"/>
          </w:rPr>
          <w:t>Specimen Warrant Certificate</w:t>
        </w:r>
        <w:r>
          <w:rPr>
            <w:rFonts w:ascii="Arial" w:cs="Arial" w:eastAsia="Arial" w:hAnsi="Arial"/>
            <w:sz w:val="18"/>
            <w:szCs w:val="18"/>
            <w:color w:val="0000EE"/>
          </w:rPr>
          <w:t>.</w:t>
        </w:r>
      </w:hyperlink>
    </w:p>
    <w:p>
      <w:pPr>
        <w:spacing w:after="0" w:line="32" w:lineRule="exact"/>
        <w:rPr>
          <w:sz w:val="20"/>
          <w:szCs w:val="20"/>
          <w:color w:val="auto"/>
        </w:rPr>
      </w:pPr>
    </w:p>
    <w:p>
      <w:pPr>
        <w:sectPr>
          <w:pgSz w:w="11900" w:h="16838" w:orient="portrait"/>
          <w:cols w:equalWidth="0" w:num="2">
            <w:col w:w="760" w:space="360"/>
            <w:col w:w="7899"/>
          </w:cols>
          <w:pgMar w:left="1440" w:top="274" w:right="1440" w:bottom="848" w:gutter="0" w:footer="0" w:header="0"/>
          <w:type w:val="continuous"/>
        </w:sectPr>
      </w:pPr>
    </w:p>
    <w:tbl>
      <w:tblPr>
        <w:tblLayout w:type="fixed"/>
        <w:tblInd w:w="460" w:type="dxa"/>
        <w:tblCellMar>
          <w:top w:w="0" w:type="dxa"/>
          <w:left w:w="0" w:type="dxa"/>
          <w:bottom w:w="0" w:type="dxa"/>
          <w:right w:w="0" w:type="dxa"/>
        </w:tblCellMar>
      </w:tblPr>
      <w:tr>
        <w:trPr>
          <w:trHeight w:val="207"/>
        </w:trPr>
        <w:tc>
          <w:tcPr>
            <w:tcW w:w="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4.4</w:t>
            </w:r>
          </w:p>
        </w:tc>
        <w:tc>
          <w:tcPr>
            <w:tcW w:w="7440" w:type="dxa"/>
            <w:vAlign w:val="bottom"/>
            <w:tcBorders>
              <w:bottom w:val="single" w:sz="8" w:color="215E9E"/>
            </w:tcBorders>
            <w:gridSpan w:val="8"/>
            <w:shd w:val="clear" w:color="auto" w:fill="CCEEFF"/>
          </w:tcPr>
          <w:p>
            <w:pPr>
              <w:spacing w:after="0"/>
              <w:rPr>
                <w:rFonts w:ascii="Arial" w:cs="Arial" w:eastAsia="Arial" w:hAnsi="Arial"/>
                <w:sz w:val="18"/>
                <w:szCs w:val="18"/>
                <w:color w:val="215E9E"/>
              </w:rPr>
            </w:pPr>
            <w:hyperlink w:anchor="page135">
              <w:r>
                <w:rPr>
                  <w:rFonts w:ascii="Arial" w:cs="Arial" w:eastAsia="Arial" w:hAnsi="Arial"/>
                  <w:sz w:val="18"/>
                  <w:szCs w:val="18"/>
                  <w:color w:val="215E9E"/>
                </w:rPr>
                <w:t>Form of Warrant Agreement between Continental Stock Transfer &amp; Trust Company and the</w:t>
              </w:r>
            </w:hyperlink>
          </w:p>
        </w:tc>
      </w:tr>
      <w:tr>
        <w:trPr>
          <w:trHeight w:val="196"/>
        </w:trPr>
        <w:tc>
          <w:tcPr>
            <w:tcW w:w="660" w:type="dxa"/>
            <w:vAlign w:val="bottom"/>
            <w:shd w:val="clear" w:color="auto" w:fill="CCEEFF"/>
          </w:tcPr>
          <w:p>
            <w:pPr>
              <w:spacing w:after="0"/>
              <w:rPr>
                <w:sz w:val="17"/>
                <w:szCs w:val="17"/>
                <w:color w:val="auto"/>
              </w:rPr>
            </w:pPr>
          </w:p>
        </w:tc>
        <w:tc>
          <w:tcPr>
            <w:tcW w:w="7440" w:type="dxa"/>
            <w:vAlign w:val="bottom"/>
            <w:gridSpan w:val="8"/>
            <w:shd w:val="clear" w:color="auto" w:fill="CCEEFF"/>
          </w:tcPr>
          <w:p>
            <w:pPr>
              <w:spacing w:after="0" w:line="196" w:lineRule="exact"/>
              <w:rPr>
                <w:rFonts w:ascii="Arial" w:cs="Arial" w:eastAsia="Arial" w:hAnsi="Arial"/>
                <w:sz w:val="18"/>
                <w:szCs w:val="18"/>
                <w:color w:val="215E9E"/>
              </w:rPr>
            </w:pPr>
            <w:hyperlink w:anchor="page135">
              <w:r>
                <w:rPr>
                  <w:rFonts w:ascii="Arial" w:cs="Arial" w:eastAsia="Arial" w:hAnsi="Arial"/>
                  <w:sz w:val="18"/>
                  <w:szCs w:val="18"/>
                  <w:color w:val="215E9E"/>
                </w:rPr>
                <w:t>Registrant.</w:t>
              </w:r>
            </w:hyperlink>
          </w:p>
        </w:tc>
      </w:tr>
      <w:tr>
        <w:trPr>
          <w:trHeight w:val="61"/>
        </w:trPr>
        <w:tc>
          <w:tcPr>
            <w:tcW w:w="6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215E9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8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43"/>
        </w:trPr>
        <w:tc>
          <w:tcPr>
            <w:tcW w:w="660" w:type="dxa"/>
            <w:vAlign w:val="bottom"/>
          </w:tcPr>
          <w:p>
            <w:pPr>
              <w:spacing w:after="0"/>
              <w:rPr>
                <w:sz w:val="20"/>
                <w:szCs w:val="20"/>
                <w:color w:val="auto"/>
              </w:rPr>
            </w:pPr>
            <w:r>
              <w:rPr>
                <w:rFonts w:ascii="Arial" w:cs="Arial" w:eastAsia="Arial" w:hAnsi="Arial"/>
                <w:sz w:val="18"/>
                <w:szCs w:val="18"/>
                <w:color w:val="auto"/>
              </w:rPr>
              <w:t>4.5</w:t>
            </w:r>
          </w:p>
        </w:tc>
        <w:tc>
          <w:tcPr>
            <w:tcW w:w="7440" w:type="dxa"/>
            <w:vAlign w:val="bottom"/>
            <w:gridSpan w:val="8"/>
          </w:tcPr>
          <w:p>
            <w:pPr>
              <w:spacing w:after="0"/>
              <w:rPr>
                <w:rFonts w:ascii="Arial" w:cs="Arial" w:eastAsia="Arial" w:hAnsi="Arial"/>
                <w:sz w:val="18"/>
                <w:szCs w:val="18"/>
                <w:color w:val="215E9E"/>
                <w:w w:val="92"/>
              </w:rPr>
            </w:pPr>
            <w:hyperlink w:anchor="page149">
              <w:r>
                <w:rPr>
                  <w:rFonts w:ascii="Arial" w:cs="Arial" w:eastAsia="Arial" w:hAnsi="Arial"/>
                  <w:sz w:val="18"/>
                  <w:szCs w:val="18"/>
                  <w:u w:val="single" w:color="auto"/>
                  <w:color w:val="215E9E"/>
                  <w:w w:val="92"/>
                </w:rPr>
                <w:t>Form of Rights Agreement between Continental Stock Transfer &amp; Trust Company and the Registrant</w:t>
              </w:r>
              <w:r>
                <w:rPr>
                  <w:rFonts w:ascii="Arial" w:cs="Arial" w:eastAsia="Arial" w:hAnsi="Arial"/>
                  <w:sz w:val="18"/>
                  <w:szCs w:val="18"/>
                  <w:color w:val="215E9E"/>
                  <w:w w:val="92"/>
                </w:rPr>
                <w:t>.</w:t>
              </w:r>
            </w:hyperlink>
          </w:p>
        </w:tc>
      </w:tr>
      <w:tr>
        <w:trPr>
          <w:trHeight w:val="40"/>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3"/>
        </w:trPr>
        <w:tc>
          <w:tcPr>
            <w:tcW w:w="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5.1*</w:t>
            </w:r>
          </w:p>
        </w:tc>
        <w:tc>
          <w:tcPr>
            <w:tcW w:w="7440" w:type="dxa"/>
            <w:vAlign w:val="bottom"/>
            <w:tcBorders>
              <w:bottom w:val="single" w:sz="8" w:color="CCEEFF"/>
            </w:tcBorders>
            <w:gridSpan w:val="8"/>
            <w:shd w:val="clear" w:color="auto" w:fill="CCEEFF"/>
          </w:tcPr>
          <w:p>
            <w:pPr>
              <w:spacing w:after="0"/>
              <w:rPr>
                <w:rFonts w:ascii="Arial" w:cs="Arial" w:eastAsia="Arial" w:hAnsi="Arial"/>
                <w:sz w:val="18"/>
                <w:szCs w:val="18"/>
                <w:u w:val="single" w:color="auto"/>
                <w:color w:val="0000EE"/>
              </w:rPr>
            </w:pPr>
            <w:hyperlink r:id="rId185">
              <w:r>
                <w:rPr>
                  <w:rFonts w:ascii="Arial" w:cs="Arial" w:eastAsia="Arial" w:hAnsi="Arial"/>
                  <w:sz w:val="18"/>
                  <w:szCs w:val="18"/>
                  <w:u w:val="single" w:color="auto"/>
                  <w:color w:val="0000EE"/>
                </w:rPr>
                <w:t>Form of Opinion of Loeb &amp; Loeb LLP.</w:t>
              </w:r>
            </w:hyperlink>
          </w:p>
        </w:tc>
      </w:tr>
      <w:tr>
        <w:trPr>
          <w:trHeight w:val="176"/>
        </w:trPr>
        <w:tc>
          <w:tcPr>
            <w:tcW w:w="660" w:type="dxa"/>
            <w:vAlign w:val="bottom"/>
          </w:tcPr>
          <w:p>
            <w:pPr>
              <w:spacing w:after="0" w:line="176" w:lineRule="exact"/>
              <w:rPr>
                <w:sz w:val="20"/>
                <w:szCs w:val="20"/>
                <w:color w:val="auto"/>
              </w:rPr>
            </w:pPr>
            <w:r>
              <w:rPr>
                <w:rFonts w:ascii="Arial" w:cs="Arial" w:eastAsia="Arial" w:hAnsi="Arial"/>
                <w:sz w:val="18"/>
                <w:szCs w:val="18"/>
                <w:color w:val="auto"/>
              </w:rPr>
              <w:t>10.1*</w:t>
            </w:r>
          </w:p>
        </w:tc>
        <w:tc>
          <w:tcPr>
            <w:tcW w:w="7440" w:type="dxa"/>
            <w:vAlign w:val="bottom"/>
            <w:gridSpan w:val="8"/>
          </w:tcPr>
          <w:p>
            <w:pPr>
              <w:spacing w:after="0" w:line="176" w:lineRule="exact"/>
              <w:rPr>
                <w:rFonts w:ascii="Arial" w:cs="Arial" w:eastAsia="Arial" w:hAnsi="Arial"/>
                <w:sz w:val="18"/>
                <w:szCs w:val="18"/>
                <w:color w:val="0000EE"/>
                <w:w w:val="93"/>
              </w:rPr>
            </w:pPr>
            <w:hyperlink r:id="rId186">
              <w:r>
                <w:rPr>
                  <w:rFonts w:ascii="Arial" w:cs="Arial" w:eastAsia="Arial" w:hAnsi="Arial"/>
                  <w:sz w:val="18"/>
                  <w:szCs w:val="18"/>
                  <w:color w:val="0000EE"/>
                  <w:w w:val="93"/>
                </w:rPr>
                <w:t>Form of Letter Agreement among the Registrant, Chardan Capital Markets, LLC and the Company’s</w:t>
              </w:r>
            </w:hyperlink>
          </w:p>
        </w:tc>
      </w:tr>
      <w:tr>
        <w:trPr>
          <w:trHeight w:val="196"/>
        </w:trPr>
        <w:tc>
          <w:tcPr>
            <w:tcW w:w="660" w:type="dxa"/>
            <w:vAlign w:val="bottom"/>
          </w:tcPr>
          <w:p>
            <w:pPr>
              <w:spacing w:after="0"/>
              <w:rPr>
                <w:sz w:val="17"/>
                <w:szCs w:val="17"/>
                <w:color w:val="auto"/>
              </w:rPr>
            </w:pPr>
          </w:p>
        </w:tc>
        <w:tc>
          <w:tcPr>
            <w:tcW w:w="74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186">
              <w:r>
                <w:rPr>
                  <w:rFonts w:ascii="Arial" w:cs="Arial" w:eastAsia="Arial" w:hAnsi="Arial"/>
                  <w:sz w:val="18"/>
                  <w:szCs w:val="18"/>
                  <w:color w:val="0000EE"/>
                </w:rPr>
                <w:t>officers, directors and stockholders.</w:t>
              </w:r>
            </w:hyperlink>
          </w:p>
        </w:tc>
        <w:tc>
          <w:tcPr>
            <w:tcW w:w="20" w:type="dxa"/>
            <w:vAlign w:val="bottom"/>
          </w:tcPr>
          <w:p>
            <w:pPr>
              <w:spacing w:after="0"/>
              <w:rPr>
                <w:sz w:val="17"/>
                <w:szCs w:val="17"/>
                <w:color w:val="auto"/>
              </w:rPr>
            </w:pPr>
          </w:p>
        </w:tc>
      </w:tr>
      <w:tr>
        <w:trPr>
          <w:trHeight w:val="61"/>
        </w:trPr>
        <w:tc>
          <w:tcPr>
            <w:tcW w:w="66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8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744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7"/>
              </w:rPr>
            </w:pPr>
            <w:hyperlink r:id="rId187">
              <w:r>
                <w:rPr>
                  <w:rFonts w:ascii="Arial" w:cs="Arial" w:eastAsia="Arial" w:hAnsi="Arial"/>
                  <w:sz w:val="18"/>
                  <w:szCs w:val="18"/>
                  <w:color w:val="0000EE"/>
                  <w:w w:val="97"/>
                </w:rPr>
                <w:t>Form of Investment Management Trust Agreement between Continental Stock Transfer &amp; Trust</w:t>
              </w:r>
            </w:hyperlink>
          </w:p>
        </w:tc>
      </w:tr>
      <w:tr>
        <w:trPr>
          <w:trHeight w:val="196"/>
        </w:trPr>
        <w:tc>
          <w:tcPr>
            <w:tcW w:w="660" w:type="dxa"/>
            <w:vAlign w:val="bottom"/>
            <w:shd w:val="clear" w:color="auto" w:fill="CCEEFF"/>
          </w:tcPr>
          <w:p>
            <w:pPr>
              <w:spacing w:after="0"/>
              <w:rPr>
                <w:sz w:val="17"/>
                <w:szCs w:val="17"/>
                <w:color w:val="auto"/>
              </w:rPr>
            </w:pPr>
          </w:p>
        </w:tc>
        <w:tc>
          <w:tcPr>
            <w:tcW w:w="7440" w:type="dxa"/>
            <w:vAlign w:val="bottom"/>
            <w:gridSpan w:val="8"/>
            <w:shd w:val="clear" w:color="auto" w:fill="CCEEFF"/>
          </w:tcPr>
          <w:p>
            <w:pPr>
              <w:spacing w:after="0" w:line="196" w:lineRule="exact"/>
              <w:rPr>
                <w:rFonts w:ascii="Arial" w:cs="Arial" w:eastAsia="Arial" w:hAnsi="Arial"/>
                <w:sz w:val="18"/>
                <w:szCs w:val="18"/>
                <w:color w:val="0000EE"/>
              </w:rPr>
            </w:pPr>
            <w:hyperlink r:id="rId187">
              <w:r>
                <w:rPr>
                  <w:rFonts w:ascii="Arial" w:cs="Arial" w:eastAsia="Arial" w:hAnsi="Arial"/>
                  <w:sz w:val="18"/>
                  <w:szCs w:val="18"/>
                  <w:color w:val="0000EE"/>
                </w:rPr>
                <w:t>Company and the Registrant.</w:t>
              </w:r>
            </w:hyperlink>
          </w:p>
        </w:tc>
      </w:tr>
      <w:tr>
        <w:trPr>
          <w:trHeight w:val="61"/>
        </w:trPr>
        <w:tc>
          <w:tcPr>
            <w:tcW w:w="6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8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660" w:type="dxa"/>
            <w:vAlign w:val="bottom"/>
          </w:tcPr>
          <w:p>
            <w:pPr>
              <w:spacing w:after="0" w:line="176" w:lineRule="exact"/>
              <w:rPr>
                <w:sz w:val="20"/>
                <w:szCs w:val="20"/>
                <w:color w:val="auto"/>
              </w:rPr>
            </w:pPr>
            <w:r>
              <w:rPr>
                <w:rFonts w:ascii="Arial" w:cs="Arial" w:eastAsia="Arial" w:hAnsi="Arial"/>
                <w:sz w:val="18"/>
                <w:szCs w:val="18"/>
                <w:color w:val="auto"/>
              </w:rPr>
              <w:t>10.3*</w:t>
            </w:r>
          </w:p>
        </w:tc>
        <w:tc>
          <w:tcPr>
            <w:tcW w:w="7440" w:type="dxa"/>
            <w:vAlign w:val="bottom"/>
            <w:gridSpan w:val="8"/>
          </w:tcPr>
          <w:p>
            <w:pPr>
              <w:spacing w:after="0" w:line="176" w:lineRule="exact"/>
              <w:rPr>
                <w:rFonts w:ascii="Arial" w:cs="Arial" w:eastAsia="Arial" w:hAnsi="Arial"/>
                <w:sz w:val="18"/>
                <w:szCs w:val="18"/>
                <w:color w:val="215E9E"/>
                <w:w w:val="91"/>
              </w:rPr>
            </w:pPr>
            <w:hyperlink r:id="rId188">
              <w:r>
                <w:rPr>
                  <w:rFonts w:ascii="Arial" w:cs="Arial" w:eastAsia="Arial" w:hAnsi="Arial"/>
                  <w:sz w:val="18"/>
                  <w:szCs w:val="18"/>
                  <w:color w:val="215E9E"/>
                  <w:w w:val="91"/>
                </w:rPr>
                <w:t>Form of Escrow Agreement between the Registrant, Continental Stock Transfer &amp; Trust Company and</w:t>
              </w:r>
            </w:hyperlink>
          </w:p>
        </w:tc>
      </w:tr>
      <w:tr>
        <w:trPr>
          <w:trHeight w:val="196"/>
        </w:trPr>
        <w:tc>
          <w:tcPr>
            <w:tcW w:w="660" w:type="dxa"/>
            <w:vAlign w:val="bottom"/>
          </w:tcPr>
          <w:p>
            <w:pPr>
              <w:spacing w:after="0"/>
              <w:rPr>
                <w:sz w:val="17"/>
                <w:szCs w:val="17"/>
                <w:color w:val="auto"/>
              </w:rPr>
            </w:pPr>
          </w:p>
        </w:tc>
        <w:tc>
          <w:tcPr>
            <w:tcW w:w="7420" w:type="dxa"/>
            <w:vAlign w:val="bottom"/>
            <w:tcBorders>
              <w:top w:val="single" w:sz="8" w:color="215E9E"/>
            </w:tcBorders>
            <w:gridSpan w:val="7"/>
          </w:tcPr>
          <w:p>
            <w:pPr>
              <w:spacing w:after="0" w:line="196" w:lineRule="exact"/>
              <w:rPr>
                <w:rFonts w:ascii="Arial" w:cs="Arial" w:eastAsia="Arial" w:hAnsi="Arial"/>
                <w:sz w:val="18"/>
                <w:szCs w:val="18"/>
                <w:color w:val="215E9E"/>
              </w:rPr>
            </w:pPr>
            <w:hyperlink r:id="rId188">
              <w:r>
                <w:rPr>
                  <w:rFonts w:ascii="Arial" w:cs="Arial" w:eastAsia="Arial" w:hAnsi="Arial"/>
                  <w:sz w:val="18"/>
                  <w:szCs w:val="18"/>
                  <w:color w:val="215E9E"/>
                </w:rPr>
                <w:t>the Initial Stockholders.</w:t>
              </w:r>
            </w:hyperlink>
          </w:p>
        </w:tc>
        <w:tc>
          <w:tcPr>
            <w:tcW w:w="20" w:type="dxa"/>
            <w:vAlign w:val="bottom"/>
          </w:tcPr>
          <w:p>
            <w:pPr>
              <w:spacing w:after="0"/>
              <w:rPr>
                <w:sz w:val="17"/>
                <w:szCs w:val="17"/>
                <w:color w:val="auto"/>
              </w:rPr>
            </w:pPr>
          </w:p>
        </w:tc>
      </w:tr>
      <w:tr>
        <w:trPr>
          <w:trHeight w:val="61"/>
        </w:trPr>
        <w:tc>
          <w:tcPr>
            <w:tcW w:w="660" w:type="dxa"/>
            <w:vAlign w:val="bottom"/>
          </w:tcPr>
          <w:p>
            <w:pPr>
              <w:spacing w:after="0"/>
              <w:rPr>
                <w:sz w:val="5"/>
                <w:szCs w:val="5"/>
                <w:color w:val="auto"/>
              </w:rPr>
            </w:pPr>
          </w:p>
        </w:tc>
        <w:tc>
          <w:tcPr>
            <w:tcW w:w="800" w:type="dxa"/>
            <w:vAlign w:val="bottom"/>
            <w:tcBorders>
              <w:top w:val="single" w:sz="8" w:color="215E9E"/>
            </w:tcBorders>
          </w:tcPr>
          <w:p>
            <w:pPr>
              <w:spacing w:after="0"/>
              <w:rPr>
                <w:sz w:val="5"/>
                <w:szCs w:val="5"/>
                <w:color w:val="auto"/>
              </w:rPr>
            </w:pPr>
          </w:p>
        </w:tc>
        <w:tc>
          <w:tcPr>
            <w:tcW w:w="280" w:type="dxa"/>
            <w:vAlign w:val="bottom"/>
            <w:tcBorders>
              <w:top w:val="single" w:sz="8" w:color="215E9E"/>
            </w:tcBorders>
          </w:tcPr>
          <w:p>
            <w:pPr>
              <w:spacing w:after="0"/>
              <w:rPr>
                <w:sz w:val="5"/>
                <w:szCs w:val="5"/>
                <w:color w:val="auto"/>
              </w:rPr>
            </w:pPr>
          </w:p>
        </w:tc>
        <w:tc>
          <w:tcPr>
            <w:tcW w:w="660" w:type="dxa"/>
            <w:vAlign w:val="bottom"/>
            <w:tcBorders>
              <w:top w:val="single" w:sz="8" w:color="215E9E"/>
            </w:tcBorders>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744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1"/>
              </w:rPr>
            </w:pPr>
            <w:hyperlink r:id="rId189">
              <w:r>
                <w:rPr>
                  <w:rFonts w:ascii="Arial" w:cs="Arial" w:eastAsia="Arial" w:hAnsi="Arial"/>
                  <w:sz w:val="18"/>
                  <w:szCs w:val="18"/>
                  <w:color w:val="0000EE"/>
                  <w:w w:val="91"/>
                </w:rPr>
                <w:t>Form of Registration Rights Agreement among the Registrant, the Initial Stockholders and Continental</w:t>
              </w:r>
            </w:hyperlink>
          </w:p>
        </w:tc>
      </w:tr>
      <w:tr>
        <w:trPr>
          <w:trHeight w:val="196"/>
        </w:trPr>
        <w:tc>
          <w:tcPr>
            <w:tcW w:w="660" w:type="dxa"/>
            <w:vAlign w:val="bottom"/>
            <w:shd w:val="clear" w:color="auto" w:fill="CCEEFF"/>
          </w:tcPr>
          <w:p>
            <w:pPr>
              <w:spacing w:after="0"/>
              <w:rPr>
                <w:sz w:val="17"/>
                <w:szCs w:val="17"/>
                <w:color w:val="auto"/>
              </w:rPr>
            </w:pPr>
          </w:p>
        </w:tc>
        <w:tc>
          <w:tcPr>
            <w:tcW w:w="7440" w:type="dxa"/>
            <w:vAlign w:val="bottom"/>
            <w:gridSpan w:val="8"/>
            <w:shd w:val="clear" w:color="auto" w:fill="CCEEFF"/>
          </w:tcPr>
          <w:p>
            <w:pPr>
              <w:spacing w:after="0" w:line="196" w:lineRule="exact"/>
              <w:rPr>
                <w:rFonts w:ascii="Arial" w:cs="Arial" w:eastAsia="Arial" w:hAnsi="Arial"/>
                <w:sz w:val="18"/>
                <w:szCs w:val="18"/>
                <w:color w:val="0000EE"/>
              </w:rPr>
            </w:pPr>
            <w:hyperlink r:id="rId189">
              <w:r>
                <w:rPr>
                  <w:rFonts w:ascii="Arial" w:cs="Arial" w:eastAsia="Arial" w:hAnsi="Arial"/>
                  <w:sz w:val="18"/>
                  <w:szCs w:val="18"/>
                  <w:color w:val="0000EE"/>
                </w:rPr>
                <w:t>Stock Transfer &amp; Trust Company.</w:t>
              </w:r>
            </w:hyperlink>
          </w:p>
        </w:tc>
      </w:tr>
      <w:tr>
        <w:trPr>
          <w:trHeight w:val="61"/>
        </w:trPr>
        <w:tc>
          <w:tcPr>
            <w:tcW w:w="6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8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660" w:type="dxa"/>
            <w:vAlign w:val="bottom"/>
          </w:tcPr>
          <w:p>
            <w:pPr>
              <w:spacing w:after="0" w:line="176" w:lineRule="exact"/>
              <w:rPr>
                <w:sz w:val="20"/>
                <w:szCs w:val="20"/>
                <w:color w:val="auto"/>
              </w:rPr>
            </w:pPr>
            <w:r>
              <w:rPr>
                <w:rFonts w:ascii="Arial" w:cs="Arial" w:eastAsia="Arial" w:hAnsi="Arial"/>
                <w:sz w:val="18"/>
                <w:szCs w:val="18"/>
                <w:color w:val="auto"/>
              </w:rPr>
              <w:t>10.5*</w:t>
            </w:r>
          </w:p>
        </w:tc>
        <w:tc>
          <w:tcPr>
            <w:tcW w:w="7440" w:type="dxa"/>
            <w:vAlign w:val="bottom"/>
            <w:tcBorders>
              <w:bottom w:val="single" w:sz="8" w:color="0000EE"/>
            </w:tcBorders>
            <w:gridSpan w:val="8"/>
          </w:tcPr>
          <w:p>
            <w:pPr>
              <w:spacing w:after="0" w:line="176" w:lineRule="exact"/>
              <w:rPr>
                <w:rFonts w:ascii="Arial" w:cs="Arial" w:eastAsia="Arial" w:hAnsi="Arial"/>
                <w:sz w:val="18"/>
                <w:szCs w:val="18"/>
                <w:color w:val="0000EE"/>
                <w:w w:val="93"/>
              </w:rPr>
            </w:pPr>
            <w:hyperlink r:id="rId190">
              <w:r>
                <w:rPr>
                  <w:rFonts w:ascii="Arial" w:cs="Arial" w:eastAsia="Arial" w:hAnsi="Arial"/>
                  <w:sz w:val="18"/>
                  <w:szCs w:val="18"/>
                  <w:color w:val="0000EE"/>
                  <w:w w:val="93"/>
                </w:rPr>
                <w:t>Form of Subscription Agreement among the Registrant, the Initial Stockholders and Chardan Capital</w:t>
              </w:r>
            </w:hyperlink>
          </w:p>
        </w:tc>
      </w:tr>
      <w:tr>
        <w:trPr>
          <w:trHeight w:val="196"/>
        </w:trPr>
        <w:tc>
          <w:tcPr>
            <w:tcW w:w="660" w:type="dxa"/>
            <w:vAlign w:val="bottom"/>
          </w:tcPr>
          <w:p>
            <w:pPr>
              <w:spacing w:after="0"/>
              <w:rPr>
                <w:sz w:val="17"/>
                <w:szCs w:val="17"/>
                <w:color w:val="auto"/>
              </w:rPr>
            </w:pPr>
          </w:p>
        </w:tc>
        <w:tc>
          <w:tcPr>
            <w:tcW w:w="7440" w:type="dxa"/>
            <w:vAlign w:val="bottom"/>
            <w:gridSpan w:val="8"/>
          </w:tcPr>
          <w:p>
            <w:pPr>
              <w:spacing w:after="0" w:line="196" w:lineRule="exact"/>
              <w:rPr>
                <w:rFonts w:ascii="Arial" w:cs="Arial" w:eastAsia="Arial" w:hAnsi="Arial"/>
                <w:sz w:val="18"/>
                <w:szCs w:val="18"/>
                <w:color w:val="0000EE"/>
              </w:rPr>
            </w:pPr>
            <w:hyperlink r:id="rId190">
              <w:r>
                <w:rPr>
                  <w:rFonts w:ascii="Arial" w:cs="Arial" w:eastAsia="Arial" w:hAnsi="Arial"/>
                  <w:sz w:val="18"/>
                  <w:szCs w:val="18"/>
                  <w:color w:val="0000EE"/>
                </w:rPr>
                <w:t>Markets, LLC.</w:t>
              </w:r>
            </w:hyperlink>
          </w:p>
        </w:tc>
      </w:tr>
      <w:tr>
        <w:trPr>
          <w:trHeight w:val="61"/>
        </w:trPr>
        <w:tc>
          <w:tcPr>
            <w:tcW w:w="66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63"/>
        </w:trPr>
        <w:tc>
          <w:tcPr>
            <w:tcW w:w="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10.6*</w:t>
            </w:r>
          </w:p>
        </w:tc>
        <w:tc>
          <w:tcPr>
            <w:tcW w:w="7440" w:type="dxa"/>
            <w:vAlign w:val="bottom"/>
            <w:tcBorders>
              <w:bottom w:val="single" w:sz="8" w:color="CCEEFF"/>
            </w:tcBorders>
            <w:gridSpan w:val="8"/>
            <w:shd w:val="clear" w:color="auto" w:fill="CCEEFF"/>
          </w:tcPr>
          <w:p>
            <w:pPr>
              <w:spacing w:after="0"/>
              <w:rPr>
                <w:rFonts w:ascii="Arial" w:cs="Arial" w:eastAsia="Arial" w:hAnsi="Arial"/>
                <w:sz w:val="18"/>
                <w:szCs w:val="18"/>
                <w:u w:val="single" w:color="auto"/>
                <w:color w:val="0000EE"/>
              </w:rPr>
            </w:pPr>
            <w:hyperlink r:id="rId191">
              <w:r>
                <w:rPr>
                  <w:rFonts w:ascii="Arial" w:cs="Arial" w:eastAsia="Arial" w:hAnsi="Arial"/>
                  <w:sz w:val="18"/>
                  <w:szCs w:val="18"/>
                  <w:u w:val="single" w:color="auto"/>
                  <w:color w:val="0000EE"/>
                </w:rPr>
                <w:t>Form of Indemnity Agreement.</w:t>
              </w:r>
            </w:hyperlink>
          </w:p>
        </w:tc>
      </w:tr>
      <w:tr>
        <w:trPr>
          <w:trHeight w:val="243"/>
        </w:trPr>
        <w:tc>
          <w:tcPr>
            <w:tcW w:w="660" w:type="dxa"/>
            <w:vAlign w:val="bottom"/>
          </w:tcPr>
          <w:p>
            <w:pPr>
              <w:spacing w:after="0"/>
              <w:rPr>
                <w:sz w:val="20"/>
                <w:szCs w:val="20"/>
                <w:color w:val="auto"/>
              </w:rPr>
            </w:pPr>
            <w:r>
              <w:rPr>
                <w:rFonts w:ascii="Arial" w:cs="Arial" w:eastAsia="Arial" w:hAnsi="Arial"/>
                <w:sz w:val="18"/>
                <w:szCs w:val="18"/>
                <w:color w:val="auto"/>
              </w:rPr>
              <w:t>10.7*</w:t>
            </w:r>
          </w:p>
        </w:tc>
        <w:tc>
          <w:tcPr>
            <w:tcW w:w="7440" w:type="dxa"/>
            <w:vAlign w:val="bottom"/>
            <w:gridSpan w:val="8"/>
          </w:tcPr>
          <w:p>
            <w:pPr>
              <w:spacing w:after="0"/>
              <w:rPr>
                <w:rFonts w:ascii="Arial" w:cs="Arial" w:eastAsia="Arial" w:hAnsi="Arial"/>
                <w:sz w:val="18"/>
                <w:szCs w:val="18"/>
                <w:u w:val="single" w:color="auto"/>
                <w:color w:val="0000EE"/>
              </w:rPr>
            </w:pPr>
            <w:hyperlink r:id="rId192">
              <w:r>
                <w:rPr>
                  <w:rFonts w:ascii="Arial" w:cs="Arial" w:eastAsia="Arial" w:hAnsi="Arial"/>
                  <w:sz w:val="18"/>
                  <w:szCs w:val="18"/>
                  <w:u w:val="single" w:color="auto"/>
                  <w:color w:val="0000EE"/>
                </w:rPr>
                <w:t>Form of Administrative Services Agreement.</w:t>
              </w:r>
            </w:hyperlink>
          </w:p>
        </w:tc>
      </w:tr>
      <w:tr>
        <w:trPr>
          <w:trHeight w:val="40"/>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3"/>
        </w:trPr>
        <w:tc>
          <w:tcPr>
            <w:tcW w:w="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14.1*</w:t>
            </w:r>
          </w:p>
        </w:tc>
        <w:tc>
          <w:tcPr>
            <w:tcW w:w="7440" w:type="dxa"/>
            <w:vAlign w:val="bottom"/>
            <w:tcBorders>
              <w:bottom w:val="single" w:sz="8" w:color="CCEEFF"/>
            </w:tcBorders>
            <w:gridSpan w:val="8"/>
            <w:shd w:val="clear" w:color="auto" w:fill="CCEEFF"/>
          </w:tcPr>
          <w:p>
            <w:pPr>
              <w:spacing w:after="0"/>
              <w:rPr>
                <w:rFonts w:ascii="Arial" w:cs="Arial" w:eastAsia="Arial" w:hAnsi="Arial"/>
                <w:sz w:val="18"/>
                <w:szCs w:val="18"/>
                <w:u w:val="single" w:color="auto"/>
                <w:color w:val="0000EE"/>
              </w:rPr>
            </w:pPr>
            <w:hyperlink r:id="rId193">
              <w:r>
                <w:rPr>
                  <w:rFonts w:ascii="Arial" w:cs="Arial" w:eastAsia="Arial" w:hAnsi="Arial"/>
                  <w:sz w:val="18"/>
                  <w:szCs w:val="18"/>
                  <w:u w:val="single" w:color="auto"/>
                  <w:color w:val="0000EE"/>
                </w:rPr>
                <w:t>Form of Code of Ethics.</w:t>
              </w:r>
            </w:hyperlink>
          </w:p>
        </w:tc>
      </w:tr>
      <w:tr>
        <w:trPr>
          <w:trHeight w:val="243"/>
        </w:trPr>
        <w:tc>
          <w:tcPr>
            <w:tcW w:w="660" w:type="dxa"/>
            <w:vAlign w:val="bottom"/>
          </w:tcPr>
          <w:p>
            <w:pPr>
              <w:spacing w:after="0"/>
              <w:rPr>
                <w:sz w:val="20"/>
                <w:szCs w:val="20"/>
                <w:color w:val="auto"/>
              </w:rPr>
            </w:pPr>
            <w:r>
              <w:rPr>
                <w:rFonts w:ascii="Arial" w:cs="Arial" w:eastAsia="Arial" w:hAnsi="Arial"/>
                <w:sz w:val="18"/>
                <w:szCs w:val="18"/>
                <w:color w:val="auto"/>
              </w:rPr>
              <w:t>23.1</w:t>
            </w:r>
          </w:p>
        </w:tc>
        <w:tc>
          <w:tcPr>
            <w:tcW w:w="7440" w:type="dxa"/>
            <w:vAlign w:val="bottom"/>
            <w:gridSpan w:val="8"/>
          </w:tcPr>
          <w:p>
            <w:pPr>
              <w:spacing w:after="0"/>
              <w:rPr>
                <w:rFonts w:ascii="Arial" w:cs="Arial" w:eastAsia="Arial" w:hAnsi="Arial"/>
                <w:sz w:val="18"/>
                <w:szCs w:val="18"/>
                <w:color w:val="215E9E"/>
              </w:rPr>
            </w:pPr>
            <w:hyperlink w:anchor="page159">
              <w:r>
                <w:rPr>
                  <w:rFonts w:ascii="Arial" w:cs="Arial" w:eastAsia="Arial" w:hAnsi="Arial"/>
                  <w:sz w:val="18"/>
                  <w:szCs w:val="18"/>
                  <w:u w:val="single" w:color="auto"/>
                  <w:color w:val="215E9E"/>
                </w:rPr>
                <w:t>Consent of WithumSmith+Brown, P.C</w:t>
              </w:r>
              <w:r>
                <w:rPr>
                  <w:rFonts w:ascii="Arial" w:cs="Arial" w:eastAsia="Arial" w:hAnsi="Arial"/>
                  <w:sz w:val="18"/>
                  <w:szCs w:val="18"/>
                  <w:color w:val="215E9E"/>
                </w:rPr>
                <w:t>.</w:t>
              </w:r>
            </w:hyperlink>
          </w:p>
        </w:tc>
      </w:tr>
    </w:tbl>
    <w:p>
      <w:pPr>
        <w:spacing w:after="0" w:line="26" w:lineRule="exact"/>
        <w:rPr>
          <w:sz w:val="20"/>
          <w:szCs w:val="20"/>
          <w:color w:val="auto"/>
        </w:rPr>
      </w:pPr>
    </w:p>
    <w:p>
      <w:pPr>
        <w:sectPr>
          <w:pgSz w:w="11900" w:h="16838" w:orient="portrait"/>
          <w:cols w:equalWidth="0" w:num="1">
            <w:col w:w="9019"/>
          </w:cols>
          <w:pgMar w:left="1440" w:top="274" w:right="1440" w:bottom="848" w:gutter="0" w:footer="0" w:header="0"/>
          <w:type w:val="continuous"/>
        </w:sectPr>
      </w:pPr>
    </w:p>
    <w:p>
      <w:pPr>
        <w:ind w:left="460"/>
        <w:spacing w:after="0"/>
        <w:rPr>
          <w:sz w:val="20"/>
          <w:szCs w:val="20"/>
          <w:color w:val="auto"/>
        </w:rPr>
      </w:pPr>
      <w:r>
        <w:rPr>
          <w:rFonts w:ascii="Arial" w:cs="Arial" w:eastAsia="Arial" w:hAnsi="Arial"/>
          <w:sz w:val="17"/>
          <w:szCs w:val="17"/>
          <w:color w:val="auto"/>
        </w:rPr>
        <w:t>23.2*</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99.1*</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99.2*</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99.3*</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99.4*</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99.5*</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99.6*</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99.7*</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99.8*</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rFonts w:ascii="Arial" w:cs="Arial" w:eastAsia="Arial" w:hAnsi="Arial"/>
          <w:sz w:val="18"/>
          <w:szCs w:val="18"/>
          <w:u w:val="single" w:color="auto"/>
          <w:color w:val="0000EE"/>
        </w:rPr>
      </w:pPr>
      <w:hyperlink r:id="rId185">
        <w:r>
          <w:rPr>
            <w:rFonts w:ascii="Arial" w:cs="Arial" w:eastAsia="Arial" w:hAnsi="Arial"/>
            <w:sz w:val="18"/>
            <w:szCs w:val="18"/>
            <w:u w:val="single" w:color="auto"/>
            <w:color w:val="0000EE"/>
          </w:rPr>
          <w:t>Consent of Loeb &amp; Loeb LLP (included in Exhibit 5.1).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-139065</wp:posOffset>
            </wp:positionV>
            <wp:extent cx="5143500" cy="1797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6"/>
          <w:szCs w:val="16"/>
          <w:u w:val="single" w:color="auto"/>
          <w:color w:val="0000EE"/>
        </w:rPr>
      </w:pPr>
      <w:hyperlink r:id="rId195">
        <w:r>
          <w:rPr>
            <w:rFonts w:ascii="Arial" w:cs="Arial" w:eastAsia="Arial" w:hAnsi="Arial"/>
            <w:sz w:val="16"/>
            <w:szCs w:val="16"/>
            <w:u w:val="single" w:color="auto"/>
            <w:color w:val="0000EE"/>
          </w:rPr>
          <w:t>Form of Nominating and Corporate Governance Committee Charter.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55245</wp:posOffset>
            </wp:positionV>
            <wp:extent cx="5143500" cy="1803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80" w:lineRule="exact"/>
        <w:rPr>
          <w:sz w:val="20"/>
          <w:szCs w:val="20"/>
          <w:color w:val="auto"/>
        </w:rPr>
      </w:pPr>
    </w:p>
    <w:p>
      <w:pPr>
        <w:spacing w:after="0"/>
        <w:rPr>
          <w:rFonts w:ascii="Arial" w:cs="Arial" w:eastAsia="Arial" w:hAnsi="Arial"/>
          <w:sz w:val="18"/>
          <w:szCs w:val="18"/>
          <w:color w:val="0000EE"/>
        </w:rPr>
      </w:pPr>
      <w:hyperlink r:id="rId197">
        <w:r>
          <w:rPr>
            <w:rFonts w:ascii="Arial" w:cs="Arial" w:eastAsia="Arial" w:hAnsi="Arial"/>
            <w:sz w:val="18"/>
            <w:szCs w:val="18"/>
            <w:u w:val="single" w:color="auto"/>
            <w:color w:val="0000EE"/>
          </w:rPr>
          <w:t>Form of Audit Committee Charter</w:t>
        </w:r>
        <w:r>
          <w:rPr>
            <w:rFonts w:ascii="Arial" w:cs="Arial" w:eastAsia="Arial" w:hAnsi="Arial"/>
            <w:sz w:val="18"/>
            <w:szCs w:val="18"/>
            <w:color w:val="0000EE"/>
          </w:rPr>
          <w:t>.</w:t>
        </w:r>
      </w:hyperlink>
    </w:p>
    <w:p>
      <w:pPr>
        <w:spacing w:after="0" w:line="77" w:lineRule="exact"/>
        <w:rPr>
          <w:sz w:val="20"/>
          <w:szCs w:val="20"/>
          <w:color w:val="auto"/>
        </w:rPr>
      </w:pPr>
    </w:p>
    <w:p>
      <w:pPr>
        <w:spacing w:after="0"/>
        <w:rPr>
          <w:rFonts w:ascii="Arial" w:cs="Arial" w:eastAsia="Arial" w:hAnsi="Arial"/>
          <w:sz w:val="18"/>
          <w:szCs w:val="18"/>
          <w:u w:val="single" w:color="auto"/>
          <w:color w:val="0000EE"/>
        </w:rPr>
      </w:pPr>
      <w:hyperlink r:id="rId198">
        <w:r>
          <w:rPr>
            <w:rFonts w:ascii="Arial" w:cs="Arial" w:eastAsia="Arial" w:hAnsi="Arial"/>
            <w:sz w:val="18"/>
            <w:szCs w:val="18"/>
            <w:u w:val="single" w:color="auto"/>
            <w:color w:val="0000EE"/>
          </w:rPr>
          <w:t>Form of Compensation Committee Charter.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40640</wp:posOffset>
            </wp:positionV>
            <wp:extent cx="5143500" cy="1803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0000EE"/>
        </w:rPr>
      </w:pPr>
      <w:hyperlink r:id="rId200">
        <w:r>
          <w:rPr>
            <w:rFonts w:ascii="Arial" w:cs="Arial" w:eastAsia="Arial" w:hAnsi="Arial"/>
            <w:sz w:val="18"/>
            <w:szCs w:val="18"/>
            <w:u w:val="single" w:color="auto"/>
            <w:color w:val="0000EE"/>
          </w:rPr>
          <w:t>Consent of Alex Weil.</w:t>
        </w:r>
      </w:hyperlink>
    </w:p>
    <w:p>
      <w:pPr>
        <w:spacing w:after="0" w:line="77" w:lineRule="exact"/>
        <w:rPr>
          <w:sz w:val="20"/>
          <w:szCs w:val="20"/>
          <w:color w:val="auto"/>
        </w:rPr>
      </w:pPr>
    </w:p>
    <w:p>
      <w:pPr>
        <w:spacing w:after="0"/>
        <w:rPr>
          <w:rFonts w:ascii="Arial" w:cs="Arial" w:eastAsia="Arial" w:hAnsi="Arial"/>
          <w:sz w:val="18"/>
          <w:szCs w:val="18"/>
          <w:u w:val="single" w:color="auto"/>
          <w:color w:val="0000EE"/>
        </w:rPr>
      </w:pPr>
      <w:hyperlink r:id="rId201">
        <w:r>
          <w:rPr>
            <w:rFonts w:ascii="Arial" w:cs="Arial" w:eastAsia="Arial" w:hAnsi="Arial"/>
            <w:sz w:val="18"/>
            <w:szCs w:val="18"/>
            <w:u w:val="single" w:color="auto"/>
            <w:color w:val="0000EE"/>
          </w:rPr>
          <w:t>Consent of Woodrow H. Levin.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40640</wp:posOffset>
            </wp:positionV>
            <wp:extent cx="5143500" cy="1797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0000EE"/>
        </w:rPr>
      </w:pPr>
      <w:hyperlink r:id="rId203">
        <w:r>
          <w:rPr>
            <w:rFonts w:ascii="Arial" w:cs="Arial" w:eastAsia="Arial" w:hAnsi="Arial"/>
            <w:sz w:val="18"/>
            <w:szCs w:val="18"/>
            <w:u w:val="single" w:color="auto"/>
            <w:color w:val="0000EE"/>
          </w:rPr>
          <w:t>Consent of Julie Atkinson.</w:t>
        </w:r>
      </w:hyperlink>
    </w:p>
    <w:p>
      <w:pPr>
        <w:spacing w:after="0" w:line="77" w:lineRule="exact"/>
        <w:rPr>
          <w:sz w:val="20"/>
          <w:szCs w:val="20"/>
          <w:color w:val="auto"/>
        </w:rPr>
      </w:pPr>
    </w:p>
    <w:p>
      <w:pPr>
        <w:spacing w:after="0"/>
        <w:rPr>
          <w:rFonts w:ascii="Arial" w:cs="Arial" w:eastAsia="Arial" w:hAnsi="Arial"/>
          <w:sz w:val="18"/>
          <w:szCs w:val="18"/>
          <w:color w:val="0000EE"/>
        </w:rPr>
      </w:pPr>
      <w:hyperlink r:id="rId204">
        <w:r>
          <w:rPr>
            <w:rFonts w:ascii="Arial" w:cs="Arial" w:eastAsia="Arial" w:hAnsi="Arial"/>
            <w:sz w:val="18"/>
            <w:szCs w:val="18"/>
            <w:u w:val="single" w:color="auto"/>
            <w:color w:val="0000EE"/>
          </w:rPr>
          <w:t>Consent of Christian Ahrens</w:t>
        </w:r>
        <w:r>
          <w:rPr>
            <w:rFonts w:ascii="Arial" w:cs="Arial" w:eastAsia="Arial" w:hAnsi="Arial"/>
            <w:sz w:val="18"/>
            <w:szCs w:val="18"/>
            <w:color w:val="0000EE"/>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40640</wp:posOffset>
            </wp:positionV>
            <wp:extent cx="5143500" cy="1803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215E9E"/>
        </w:rPr>
      </w:pPr>
      <w:hyperlink r:id="rId206">
        <w:r>
          <w:rPr>
            <w:rFonts w:ascii="Arial" w:cs="Arial" w:eastAsia="Arial" w:hAnsi="Arial"/>
            <w:sz w:val="18"/>
            <w:szCs w:val="18"/>
            <w:u w:val="single" w:color="auto"/>
            <w:color w:val="215E9E"/>
          </w:rPr>
          <w:t>Consent of Bernard Van der Lande.</w:t>
        </w:r>
      </w:hyperlink>
    </w:p>
    <w:p>
      <w:pPr>
        <w:spacing w:after="0" w:line="108" w:lineRule="exact"/>
        <w:rPr>
          <w:sz w:val="20"/>
          <w:szCs w:val="20"/>
          <w:color w:val="auto"/>
        </w:rPr>
      </w:pPr>
    </w:p>
    <w:p>
      <w:pPr>
        <w:sectPr>
          <w:pgSz w:w="11900" w:h="16838" w:orient="portrait"/>
          <w:cols w:equalWidth="0" w:num="2">
            <w:col w:w="860" w:space="260"/>
            <w:col w:w="7899"/>
          </w:cols>
          <w:pgMar w:left="1440" w:top="274" w:right="1440" w:bottom="848" w:gutter="0" w:footer="0" w:header="0"/>
          <w:type w:val="continuous"/>
        </w:sect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77"/>
        </w:numPr>
        <w:rPr>
          <w:rFonts w:ascii="Arial" w:cs="Arial" w:eastAsia="Arial" w:hAnsi="Arial"/>
          <w:sz w:val="15"/>
          <w:szCs w:val="15"/>
          <w:color w:val="auto"/>
        </w:rPr>
      </w:pPr>
      <w:r>
        <w:rPr>
          <w:rFonts w:ascii="Arial" w:cs="Arial" w:eastAsia="Arial" w:hAnsi="Arial"/>
          <w:sz w:val="15"/>
          <w:szCs w:val="15"/>
          <w:color w:val="auto"/>
        </w:rPr>
        <w:t>Previously filed.</w:t>
      </w:r>
    </w:p>
    <w:p>
      <w:pPr>
        <w:sectPr>
          <w:pgSz w:w="11900" w:h="16838" w:orient="portrait"/>
          <w:cols w:equalWidth="0" w:num="1">
            <w:col w:w="9019"/>
          </w:cols>
          <w:pgMar w:left="1440" w:top="274" w:right="1440" w:bottom="848" w:gutter="0" w:footer="0" w:header="0"/>
          <w:type w:val="continuous"/>
        </w:sect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848" w:gutter="0" w:footer="0" w:header="0"/>
          <w:type w:val="continuous"/>
        </w:sectPr>
      </w:pPr>
    </w:p>
    <w:bookmarkStart w:id="131" w:name="page132"/>
    <w:bookmarkEnd w:id="13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17. Undertakings.</w:t>
      </w:r>
    </w:p>
    <w:p>
      <w:pPr>
        <w:spacing w:after="0" w:line="148" w:lineRule="exact"/>
        <w:rPr>
          <w:sz w:val="20"/>
          <w:szCs w:val="20"/>
          <w:color w:val="auto"/>
        </w:rPr>
      </w:pPr>
    </w:p>
    <w:p>
      <w:pPr>
        <w:jc w:val="both"/>
        <w:ind w:left="1320" w:right="479" w:hanging="434"/>
        <w:spacing w:after="0" w:line="286" w:lineRule="auto"/>
        <w:tabs>
          <w:tab w:leader="none" w:pos="1328"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 to permit prompt delivery to each purchaser.</w:t>
      </w:r>
    </w:p>
    <w:p>
      <w:pPr>
        <w:spacing w:after="0" w:line="97" w:lineRule="exact"/>
        <w:rPr>
          <w:rFonts w:ascii="Arial" w:cs="Arial" w:eastAsia="Arial" w:hAnsi="Arial"/>
          <w:sz w:val="17"/>
          <w:szCs w:val="17"/>
          <w:color w:val="auto"/>
        </w:rPr>
      </w:pPr>
    </w:p>
    <w:p>
      <w:pPr>
        <w:jc w:val="both"/>
        <w:ind w:left="1320" w:right="459" w:hanging="434"/>
        <w:spacing w:after="0" w:line="269" w:lineRule="auto"/>
        <w:tabs>
          <w:tab w:leader="none" w:pos="1281"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11" w:lineRule="exact"/>
        <w:rPr>
          <w:rFonts w:ascii="Arial" w:cs="Arial" w:eastAsia="Arial" w:hAnsi="Arial"/>
          <w:sz w:val="17"/>
          <w:szCs w:val="17"/>
          <w:color w:val="auto"/>
        </w:rPr>
      </w:pPr>
    </w:p>
    <w:p>
      <w:pPr>
        <w:ind w:left="1300" w:hanging="41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44" w:lineRule="exact"/>
        <w:rPr>
          <w:rFonts w:ascii="Arial" w:cs="Arial" w:eastAsia="Arial" w:hAnsi="Arial"/>
          <w:sz w:val="18"/>
          <w:szCs w:val="18"/>
          <w:color w:val="auto"/>
        </w:rPr>
      </w:pPr>
    </w:p>
    <w:p>
      <w:pPr>
        <w:jc w:val="both"/>
        <w:ind w:left="1760" w:right="459" w:hanging="442"/>
        <w:spacing w:after="0" w:line="269" w:lineRule="auto"/>
        <w:tabs>
          <w:tab w:leader="none" w:pos="1758" w:val="left"/>
        </w:tabs>
        <w:numPr>
          <w:ilvl w:val="1"/>
          <w:numId w:val="78"/>
        </w:numPr>
        <w:rPr>
          <w:rFonts w:ascii="Arial" w:cs="Arial" w:eastAsia="Arial" w:hAnsi="Arial"/>
          <w:sz w:val="17"/>
          <w:szCs w:val="17"/>
          <w:color w:val="auto"/>
        </w:rPr>
      </w:pPr>
      <w:r>
        <w:rPr>
          <w:rFonts w:ascii="Arial" w:cs="Arial" w:eastAsia="Arial" w:hAnsi="Arial"/>
          <w:sz w:val="17"/>
          <w:szCs w:val="17"/>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11" w:lineRule="exact"/>
        <w:rPr>
          <w:rFonts w:ascii="Arial" w:cs="Arial" w:eastAsia="Arial" w:hAnsi="Arial"/>
          <w:sz w:val="17"/>
          <w:szCs w:val="17"/>
          <w:color w:val="auto"/>
        </w:rPr>
      </w:pPr>
    </w:p>
    <w:p>
      <w:pPr>
        <w:jc w:val="both"/>
        <w:ind w:left="1760" w:right="459" w:hanging="442"/>
        <w:spacing w:after="0" w:line="272" w:lineRule="auto"/>
        <w:tabs>
          <w:tab w:leader="none" w:pos="1734" w:val="left"/>
        </w:tabs>
        <w:numPr>
          <w:ilvl w:val="1"/>
          <w:numId w:val="78"/>
        </w:numPr>
        <w:rPr>
          <w:rFonts w:ascii="Arial" w:cs="Arial" w:eastAsia="Arial" w:hAnsi="Arial"/>
          <w:sz w:val="17"/>
          <w:szCs w:val="17"/>
          <w:color w:val="auto"/>
        </w:rPr>
      </w:pPr>
      <w:r>
        <w:rPr>
          <w:rFonts w:ascii="Arial" w:cs="Arial" w:eastAsia="Arial" w:hAnsi="Arial"/>
          <w:sz w:val="17"/>
          <w:szCs w:val="17"/>
          <w:color w:val="auto"/>
        </w:rPr>
        <w:t>For the purpose of determining liability of a registrant under the Securities Act of 1933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9" w:lineRule="exact"/>
        <w:rPr>
          <w:rFonts w:ascii="Arial" w:cs="Arial" w:eastAsia="Arial" w:hAnsi="Arial"/>
          <w:sz w:val="17"/>
          <w:szCs w:val="17"/>
          <w:color w:val="auto"/>
        </w:rPr>
      </w:pPr>
    </w:p>
    <w:p>
      <w:pPr>
        <w:ind w:left="2180" w:right="479" w:hanging="430"/>
        <w:spacing w:after="0" w:line="277" w:lineRule="auto"/>
        <w:tabs>
          <w:tab w:leader="none" w:pos="2209" w:val="left"/>
        </w:tabs>
        <w:numPr>
          <w:ilvl w:val="2"/>
          <w:numId w:val="78"/>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89" w:lineRule="exact"/>
        <w:rPr>
          <w:rFonts w:ascii="Arial" w:cs="Arial" w:eastAsia="Arial" w:hAnsi="Arial"/>
          <w:sz w:val="18"/>
          <w:szCs w:val="18"/>
          <w:color w:val="auto"/>
        </w:rPr>
      </w:pPr>
    </w:p>
    <w:p>
      <w:pPr>
        <w:ind w:left="2180" w:right="459" w:hanging="430"/>
        <w:spacing w:after="0" w:line="277" w:lineRule="auto"/>
        <w:tabs>
          <w:tab w:leader="none" w:pos="2240" w:val="left"/>
        </w:tabs>
        <w:numPr>
          <w:ilvl w:val="2"/>
          <w:numId w:val="7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an undersigned registrant;</w:t>
      </w:r>
    </w:p>
    <w:p>
      <w:pPr>
        <w:spacing w:after="0" w:line="102" w:lineRule="exact"/>
        <w:rPr>
          <w:rFonts w:ascii="Arial" w:cs="Arial" w:eastAsia="Arial" w:hAnsi="Arial"/>
          <w:sz w:val="18"/>
          <w:szCs w:val="18"/>
          <w:color w:val="auto"/>
        </w:rPr>
      </w:pPr>
    </w:p>
    <w:p>
      <w:pPr>
        <w:jc w:val="both"/>
        <w:ind w:left="2180" w:right="479" w:hanging="430"/>
        <w:spacing w:after="0" w:line="263" w:lineRule="auto"/>
        <w:tabs>
          <w:tab w:leader="none" w:pos="2241" w:val="left"/>
        </w:tabs>
        <w:numPr>
          <w:ilvl w:val="2"/>
          <w:numId w:val="7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6" w:lineRule="exact"/>
        <w:rPr>
          <w:rFonts w:ascii="Arial" w:cs="Arial" w:eastAsia="Arial" w:hAnsi="Arial"/>
          <w:sz w:val="18"/>
          <w:szCs w:val="18"/>
          <w:color w:val="auto"/>
        </w:rPr>
      </w:pPr>
    </w:p>
    <w:p>
      <w:pPr>
        <w:ind w:left="2180" w:right="479" w:hanging="430"/>
        <w:spacing w:after="0" w:line="277" w:lineRule="auto"/>
        <w:tabs>
          <w:tab w:leader="none" w:pos="2229" w:val="left"/>
        </w:tabs>
        <w:numPr>
          <w:ilvl w:val="2"/>
          <w:numId w:val="7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2" w:name="page133"/>
    <w:bookmarkEnd w:id="13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280" w:hanging="394"/>
        <w:spacing w:after="0"/>
        <w:tabs>
          <w:tab w:leader="none" w:pos="12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57" w:lineRule="exact"/>
        <w:rPr>
          <w:rFonts w:ascii="Arial" w:cs="Arial" w:eastAsia="Arial" w:hAnsi="Arial"/>
          <w:sz w:val="18"/>
          <w:szCs w:val="18"/>
          <w:color w:val="auto"/>
        </w:rPr>
      </w:pPr>
    </w:p>
    <w:p>
      <w:pPr>
        <w:jc w:val="both"/>
        <w:ind w:left="1760" w:right="459" w:hanging="442"/>
        <w:spacing w:after="0" w:line="275" w:lineRule="auto"/>
        <w:tabs>
          <w:tab w:leader="none" w:pos="1788" w:val="left"/>
        </w:tabs>
        <w:numPr>
          <w:ilvl w:val="1"/>
          <w:numId w:val="79"/>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8" w:lineRule="exact"/>
        <w:rPr>
          <w:rFonts w:ascii="Arial" w:cs="Arial" w:eastAsia="Arial" w:hAnsi="Arial"/>
          <w:sz w:val="17"/>
          <w:szCs w:val="17"/>
          <w:color w:val="auto"/>
        </w:rPr>
      </w:pPr>
    </w:p>
    <w:p>
      <w:pPr>
        <w:jc w:val="both"/>
        <w:ind w:left="1760" w:right="459" w:hanging="442"/>
        <w:spacing w:after="0" w:line="279" w:lineRule="auto"/>
        <w:tabs>
          <w:tab w:leader="none" w:pos="1826" w:val="left"/>
        </w:tabs>
        <w:numPr>
          <w:ilvl w:val="1"/>
          <w:numId w:val="79"/>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3" w:name="page134"/>
    <w:bookmarkEnd w:id="13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New York, on the 16</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of December, 2020.</w:t>
      </w:r>
    </w:p>
    <w:p>
      <w:pPr>
        <w:spacing w:after="0" w:line="11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VENTOUX CCM ACQUISITION CORP.</w:t>
      </w:r>
    </w:p>
    <w:p>
      <w:pPr>
        <w:spacing w:after="0" w:line="189" w:lineRule="exact"/>
        <w:rPr>
          <w:sz w:val="20"/>
          <w:szCs w:val="20"/>
          <w:color w:val="auto"/>
        </w:rPr>
      </w:pPr>
    </w:p>
    <w:p>
      <w:pPr>
        <w:ind w:left="43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48895</wp:posOffset>
            </wp:positionV>
            <wp:extent cx="227203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0">
                      <a:extLst>
                        <a:ext uri="{28A0092B-C50C-407E-A947-70E740481C1C}"/>
                      </a:extLst>
                    </a:blip>
                    <a:srcRect/>
                    <a:stretch>
                      <a:fillRect/>
                    </a:stretch>
                  </pic:blipFill>
                  <pic:spPr bwMode="auto">
                    <a:xfrm>
                      <a:off x="0" y="0"/>
                      <a:ext cx="2272030" cy="8255"/>
                    </a:xfrm>
                    <a:prstGeom prst="rect">
                      <a:avLst/>
                    </a:prstGeom>
                    <a:noFill/>
                  </pic:spPr>
                </pic:pic>
              </a:graphicData>
            </a:graphic>
          </wp:anchor>
        </w:drawing>
      </w:r>
    </w:p>
    <w:p>
      <w:pPr>
        <w:spacing w:after="0" w:line="70" w:lineRule="exact"/>
        <w:rPr>
          <w:sz w:val="20"/>
          <w:szCs w:val="20"/>
          <w:color w:val="auto"/>
        </w:rPr>
      </w:pPr>
    </w:p>
    <w:p>
      <w:pPr>
        <w:ind w:left="4340"/>
        <w:spacing w:after="0"/>
        <w:tabs>
          <w:tab w:leader="none" w:pos="49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Edward Scheetz</w:t>
      </w:r>
    </w:p>
    <w:p>
      <w:pPr>
        <w:spacing w:after="0" w:line="77" w:lineRule="exact"/>
        <w:rPr>
          <w:sz w:val="20"/>
          <w:szCs w:val="20"/>
          <w:color w:val="auto"/>
        </w:rPr>
      </w:pPr>
    </w:p>
    <w:p>
      <w:pPr>
        <w:ind w:left="4340"/>
        <w:spacing w:after="0"/>
        <w:tabs>
          <w:tab w:leader="none" w:pos="4960" w:val="left"/>
        </w:tabs>
        <w:rPr>
          <w:sz w:val="20"/>
          <w:szCs w:val="20"/>
          <w:color w:val="auto"/>
        </w:rPr>
      </w:pPr>
      <w:r>
        <w:rPr>
          <w:rFonts w:ascii="Arial" w:cs="Arial" w:eastAsia="Arial" w:hAnsi="Arial"/>
          <w:sz w:val="18"/>
          <w:szCs w:val="18"/>
          <w:color w:val="auto"/>
        </w:rPr>
        <w:t>Title:</w:t>
        <w:tab/>
        <w:t>Chairman and Chief Executive Officer</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12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100" w:type="dxa"/>
            <w:vAlign w:val="bottom"/>
          </w:tcPr>
          <w:p>
            <w:pPr>
              <w:spacing w:after="0"/>
              <w:rPr>
                <w:sz w:val="18"/>
                <w:szCs w:val="18"/>
                <w:color w:val="auto"/>
              </w:rPr>
            </w:pPr>
          </w:p>
        </w:tc>
        <w:tc>
          <w:tcPr>
            <w:tcW w:w="4240" w:type="dxa"/>
            <w:vAlign w:val="bottom"/>
            <w:gridSpan w:val="2"/>
          </w:tcPr>
          <w:p>
            <w:pPr>
              <w:ind w:left="1800"/>
              <w:spacing w:after="0"/>
              <w:rPr>
                <w:sz w:val="20"/>
                <w:szCs w:val="20"/>
                <w:color w:val="auto"/>
              </w:rPr>
            </w:pPr>
            <w:r>
              <w:rPr>
                <w:rFonts w:ascii="Arial" w:cs="Arial" w:eastAsia="Arial" w:hAnsi="Arial"/>
                <w:sz w:val="16"/>
                <w:szCs w:val="16"/>
                <w:b w:val="1"/>
                <w:bCs w:val="1"/>
                <w:color w:val="auto"/>
              </w:rPr>
              <w:t>Position</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47"/>
        </w:trPr>
        <w:tc>
          <w:tcPr>
            <w:tcW w:w="2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2120" w:type="dxa"/>
            <w:vAlign w:val="bottom"/>
          </w:tcPr>
          <w:p>
            <w:pPr>
              <w:spacing w:after="0"/>
              <w:rPr>
                <w:sz w:val="20"/>
                <w:szCs w:val="20"/>
                <w:color w:val="auto"/>
              </w:rPr>
            </w:pPr>
            <w:r>
              <w:rPr>
                <w:rFonts w:ascii="Arial" w:cs="Arial" w:eastAsia="Arial" w:hAnsi="Arial"/>
                <w:sz w:val="18"/>
                <w:szCs w:val="18"/>
                <w:color w:val="auto"/>
              </w:rPr>
              <w:t>/s/ Edward Scheetz</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Chairman, Chief Executive Officer</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December 16, 2020</w:t>
            </w:r>
          </w:p>
        </w:tc>
        <w:tc>
          <w:tcPr>
            <w:tcW w:w="0" w:type="dxa"/>
            <w:vAlign w:val="bottom"/>
          </w:tcPr>
          <w:p>
            <w:pPr>
              <w:spacing w:after="0"/>
              <w:rPr>
                <w:sz w:val="1"/>
                <w:szCs w:val="1"/>
                <w:color w:val="auto"/>
              </w:rPr>
            </w:pPr>
          </w:p>
        </w:tc>
      </w:tr>
      <w:tr>
        <w:trPr>
          <w:trHeight w:val="54"/>
        </w:trPr>
        <w:tc>
          <w:tcPr>
            <w:tcW w:w="2120" w:type="dxa"/>
            <w:vAlign w:val="bottom"/>
            <w:tcBorders>
              <w:bottom w:val="single" w:sz="8" w:color="auto"/>
            </w:tcBorders>
          </w:tcPr>
          <w:p>
            <w:pPr>
              <w:spacing w:after="0"/>
              <w:rPr>
                <w:sz w:val="4"/>
                <w:szCs w:val="4"/>
                <w:color w:val="auto"/>
              </w:rPr>
            </w:pPr>
          </w:p>
        </w:tc>
        <w:tc>
          <w:tcPr>
            <w:tcW w:w="4340" w:type="dxa"/>
            <w:vAlign w:val="bottom"/>
            <w:gridSpan w:val="3"/>
            <w:vMerge w:val="restart"/>
          </w:tcPr>
          <w:p>
            <w:pPr>
              <w:ind w:left="100"/>
              <w:spacing w:after="0"/>
              <w:rPr>
                <w:sz w:val="20"/>
                <w:szCs w:val="20"/>
                <w:color w:val="auto"/>
              </w:rPr>
            </w:pPr>
            <w:r>
              <w:rPr>
                <w:rFonts w:ascii="Arial" w:cs="Arial" w:eastAsia="Arial" w:hAnsi="Arial"/>
                <w:sz w:val="18"/>
                <w:szCs w:val="18"/>
                <w:color w:val="auto"/>
              </w:rPr>
              <w:t>(Principal Executive Officer) and Director</w:t>
            </w: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120" w:type="dxa"/>
            <w:vAlign w:val="bottom"/>
          </w:tcPr>
          <w:p>
            <w:pPr>
              <w:spacing w:after="0"/>
              <w:rPr>
                <w:sz w:val="20"/>
                <w:szCs w:val="20"/>
                <w:color w:val="auto"/>
              </w:rPr>
            </w:pPr>
            <w:r>
              <w:rPr>
                <w:rFonts w:ascii="Arial" w:cs="Arial" w:eastAsia="Arial" w:hAnsi="Arial"/>
                <w:sz w:val="18"/>
                <w:szCs w:val="18"/>
                <w:color w:val="auto"/>
              </w:rPr>
              <w:t>Edward Scheetz</w:t>
            </w:r>
          </w:p>
        </w:tc>
        <w:tc>
          <w:tcPr>
            <w:tcW w:w="4340" w:type="dxa"/>
            <w:vAlign w:val="bottom"/>
            <w:gridSpan w:val="3"/>
            <w:vMerge w:val="continue"/>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2120" w:type="dxa"/>
            <w:vAlign w:val="bottom"/>
          </w:tcPr>
          <w:p>
            <w:pPr>
              <w:spacing w:after="0"/>
              <w:rPr>
                <w:sz w:val="20"/>
                <w:szCs w:val="20"/>
                <w:color w:val="auto"/>
              </w:rPr>
            </w:pPr>
            <w:r>
              <w:rPr>
                <w:rFonts w:ascii="Arial" w:cs="Arial" w:eastAsia="Arial" w:hAnsi="Arial"/>
                <w:sz w:val="18"/>
                <w:szCs w:val="18"/>
                <w:color w:val="auto"/>
              </w:rPr>
              <w:t>/s/ Matthew MacDonald</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December 16, 2020</w:t>
            </w:r>
          </w:p>
        </w:tc>
        <w:tc>
          <w:tcPr>
            <w:tcW w:w="0" w:type="dxa"/>
            <w:vAlign w:val="bottom"/>
          </w:tcPr>
          <w:p>
            <w:pPr>
              <w:spacing w:after="0"/>
              <w:rPr>
                <w:sz w:val="1"/>
                <w:szCs w:val="1"/>
                <w:color w:val="auto"/>
              </w:rPr>
            </w:pPr>
          </w:p>
        </w:tc>
      </w:tr>
      <w:tr>
        <w:trPr>
          <w:trHeight w:val="54"/>
        </w:trPr>
        <w:tc>
          <w:tcPr>
            <w:tcW w:w="2120" w:type="dxa"/>
            <w:vAlign w:val="bottom"/>
            <w:tcBorders>
              <w:bottom w:val="single" w:sz="8" w:color="auto"/>
            </w:tcBorders>
          </w:tcPr>
          <w:p>
            <w:pPr>
              <w:spacing w:after="0"/>
              <w:rPr>
                <w:sz w:val="4"/>
                <w:szCs w:val="4"/>
                <w:color w:val="auto"/>
              </w:rPr>
            </w:pPr>
          </w:p>
        </w:tc>
        <w:tc>
          <w:tcPr>
            <w:tcW w:w="4340" w:type="dxa"/>
            <w:vAlign w:val="bottom"/>
            <w:gridSpan w:val="3"/>
            <w:vMerge w:val="restart"/>
          </w:tcPr>
          <w:p>
            <w:pPr>
              <w:ind w:left="100"/>
              <w:spacing w:after="0"/>
              <w:rPr>
                <w:sz w:val="20"/>
                <w:szCs w:val="20"/>
                <w:color w:val="auto"/>
              </w:rPr>
            </w:pPr>
            <w:r>
              <w:rPr>
                <w:rFonts w:ascii="Arial" w:cs="Arial" w:eastAsia="Arial" w:hAnsi="Arial"/>
                <w:sz w:val="18"/>
                <w:szCs w:val="18"/>
                <w:color w:val="auto"/>
                <w:w w:val="97"/>
              </w:rPr>
              <w:t>(Principal Financial and Accounting Officer), Secretary</w:t>
            </w: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120" w:type="dxa"/>
            <w:vAlign w:val="bottom"/>
          </w:tcPr>
          <w:p>
            <w:pPr>
              <w:spacing w:after="0" w:line="182" w:lineRule="exact"/>
              <w:rPr>
                <w:sz w:val="20"/>
                <w:szCs w:val="20"/>
                <w:color w:val="auto"/>
              </w:rPr>
            </w:pPr>
            <w:r>
              <w:rPr>
                <w:rFonts w:ascii="Arial" w:cs="Arial" w:eastAsia="Arial" w:hAnsi="Arial"/>
                <w:sz w:val="18"/>
                <w:szCs w:val="18"/>
                <w:color w:val="auto"/>
              </w:rPr>
              <w:t>Matthew MacDonald</w:t>
            </w:r>
          </w:p>
        </w:tc>
        <w:tc>
          <w:tcPr>
            <w:tcW w:w="4340" w:type="dxa"/>
            <w:vAlign w:val="bottom"/>
            <w:gridSpan w:val="3"/>
            <w:vMerge w:val="continue"/>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and Director</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120" w:type="dxa"/>
            <w:vAlign w:val="bottom"/>
          </w:tcPr>
          <w:p>
            <w:pPr>
              <w:spacing w:after="0"/>
              <w:rPr>
                <w:sz w:val="20"/>
                <w:szCs w:val="20"/>
                <w:color w:val="auto"/>
              </w:rPr>
            </w:pPr>
            <w:r>
              <w:rPr>
                <w:rFonts w:ascii="Arial" w:cs="Arial" w:eastAsia="Arial" w:hAnsi="Arial"/>
                <w:sz w:val="18"/>
                <w:szCs w:val="18"/>
                <w:color w:val="auto"/>
              </w:rPr>
              <w:t>/s/ Jonas Grossman</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December 16, 2020</w:t>
            </w:r>
          </w:p>
        </w:tc>
        <w:tc>
          <w:tcPr>
            <w:tcW w:w="0" w:type="dxa"/>
            <w:vAlign w:val="bottom"/>
          </w:tcPr>
          <w:p>
            <w:pPr>
              <w:spacing w:after="0"/>
              <w:rPr>
                <w:sz w:val="1"/>
                <w:szCs w:val="1"/>
                <w:color w:val="auto"/>
              </w:rPr>
            </w:pPr>
          </w:p>
        </w:tc>
      </w:tr>
      <w:tr>
        <w:trPr>
          <w:trHeight w:val="54"/>
        </w:trPr>
        <w:tc>
          <w:tcPr>
            <w:tcW w:w="2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120" w:type="dxa"/>
            <w:vAlign w:val="bottom"/>
          </w:tcPr>
          <w:p>
            <w:pPr>
              <w:spacing w:after="0"/>
              <w:rPr>
                <w:sz w:val="20"/>
                <w:szCs w:val="20"/>
                <w:color w:val="auto"/>
              </w:rPr>
            </w:pPr>
            <w:r>
              <w:rPr>
                <w:rFonts w:ascii="Arial" w:cs="Arial" w:eastAsia="Arial" w:hAnsi="Arial"/>
                <w:sz w:val="18"/>
                <w:szCs w:val="18"/>
                <w:color w:val="auto"/>
              </w:rPr>
              <w:t>Jonas Grossman</w:t>
            </w:r>
          </w:p>
        </w:tc>
        <w:tc>
          <w:tcPr>
            <w:tcW w:w="1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2"/>
          </w:tcPr>
          <w:p>
            <w:pPr>
              <w:ind w:left="1680"/>
              <w:spacing w:after="0"/>
              <w:rPr>
                <w:sz w:val="20"/>
                <w:szCs w:val="20"/>
                <w:color w:val="auto"/>
              </w:rPr>
            </w:pPr>
            <w:r>
              <w:rPr>
                <w:rFonts w:ascii="Arial" w:cs="Arial" w:eastAsia="Arial" w:hAnsi="Arial"/>
                <w:sz w:val="18"/>
                <w:szCs w:val="18"/>
                <w:color w:val="auto"/>
              </w:rPr>
              <w:t>II-8</w:t>
            </w: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This Warrant Agreement (“</w:t>
      </w:r>
      <w:r>
        <w:rPr>
          <w:rFonts w:ascii="Arial" w:cs="Arial" w:eastAsia="Arial" w:hAnsi="Arial"/>
          <w:sz w:val="17"/>
          <w:szCs w:val="17"/>
          <w:b w:val="1"/>
          <w:bCs w:val="1"/>
          <w:color w:val="auto"/>
        </w:rPr>
        <w:t>Warrant Agreement</w:t>
      </w:r>
      <w:r>
        <w:rPr>
          <w:rFonts w:ascii="Arial" w:cs="Arial" w:eastAsia="Arial" w:hAnsi="Arial"/>
          <w:sz w:val="17"/>
          <w:szCs w:val="17"/>
          <w:color w:val="auto"/>
        </w:rPr>
        <w:t>”) is made as of _________, 2020, by and between Ventoux CCM Acquisition Corp., a Delaware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Continental Stock Transfer &amp; Trust Company (the “</w:t>
      </w:r>
      <w:r>
        <w:rPr>
          <w:rFonts w:ascii="Arial" w:cs="Arial" w:eastAsia="Arial" w:hAnsi="Arial"/>
          <w:sz w:val="18"/>
          <w:szCs w:val="18"/>
          <w:b w:val="1"/>
          <w:bCs w:val="1"/>
          <w:color w:val="auto"/>
        </w:rPr>
        <w:t>Warrant Agent</w:t>
      </w:r>
      <w:r>
        <w:rPr>
          <w:rFonts w:ascii="Arial" w:cs="Arial" w:eastAsia="Arial" w:hAnsi="Arial"/>
          <w:sz w:val="18"/>
          <w:szCs w:val="18"/>
          <w:color w:val="auto"/>
        </w:rPr>
        <w:t>”).</w:t>
      </w:r>
    </w:p>
    <w:p>
      <w:pPr>
        <w:spacing w:after="0" w:line="20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WHEREAS, the Company is engaged in a public offering (the “</w:t>
      </w:r>
      <w:r>
        <w:rPr>
          <w:rFonts w:ascii="Arial" w:cs="Arial" w:eastAsia="Arial" w:hAnsi="Arial"/>
          <w:sz w:val="16"/>
          <w:szCs w:val="16"/>
          <w:b w:val="1"/>
          <w:bCs w:val="1"/>
          <w:color w:val="auto"/>
        </w:rPr>
        <w:t>Public Offering</w:t>
      </w:r>
      <w:r>
        <w:rPr>
          <w:rFonts w:ascii="Arial" w:cs="Arial" w:eastAsia="Arial" w:hAnsi="Arial"/>
          <w:sz w:val="16"/>
          <w:szCs w:val="16"/>
          <w:color w:val="auto"/>
        </w:rPr>
        <w:t>”) of 15,000,000 units (the “</w:t>
      </w:r>
      <w:r>
        <w:rPr>
          <w:rFonts w:ascii="Arial" w:cs="Arial" w:eastAsia="Arial" w:hAnsi="Arial"/>
          <w:sz w:val="16"/>
          <w:szCs w:val="16"/>
          <w:b w:val="1"/>
          <w:bCs w:val="1"/>
          <w:color w:val="auto"/>
        </w:rPr>
        <w:t>Units</w:t>
      </w:r>
      <w:r>
        <w:rPr>
          <w:rFonts w:ascii="Arial" w:cs="Arial" w:eastAsia="Arial" w:hAnsi="Arial"/>
          <w:sz w:val="16"/>
          <w:szCs w:val="16"/>
          <w:color w:val="auto"/>
        </w:rPr>
        <w:t>”) of the Company (and up to 2,250,000 additional Units if the underwriters’ over-allotment option is exercised in full), each Unit consisting of one share of common stock, par value $0.0001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one right to receive one-twentieth of one share of Common Stock, and one warrant (the “</w:t>
      </w:r>
      <w:r>
        <w:rPr>
          <w:rFonts w:ascii="Arial" w:cs="Arial" w:eastAsia="Arial" w:hAnsi="Arial"/>
          <w:sz w:val="16"/>
          <w:szCs w:val="16"/>
          <w:b w:val="1"/>
          <w:bCs w:val="1"/>
          <w:color w:val="auto"/>
        </w:rPr>
        <w:t>Public Warrant</w:t>
      </w:r>
      <w:r>
        <w:rPr>
          <w:rFonts w:ascii="Arial" w:cs="Arial" w:eastAsia="Arial" w:hAnsi="Arial"/>
          <w:sz w:val="16"/>
          <w:szCs w:val="16"/>
          <w:color w:val="auto"/>
        </w:rPr>
        <w:t>” or “</w:t>
      </w:r>
      <w:r>
        <w:rPr>
          <w:rFonts w:ascii="Arial" w:cs="Arial" w:eastAsia="Arial" w:hAnsi="Arial"/>
          <w:sz w:val="16"/>
          <w:szCs w:val="16"/>
          <w:b w:val="1"/>
          <w:bCs w:val="1"/>
          <w:color w:val="auto"/>
        </w:rPr>
        <w:t>Public</w:t>
      </w:r>
      <w:r>
        <w:rPr>
          <w:rFonts w:ascii="Arial" w:cs="Arial" w:eastAsia="Arial" w:hAnsi="Arial"/>
          <w:sz w:val="16"/>
          <w:szCs w:val="16"/>
          <w:color w:val="auto"/>
        </w:rPr>
        <w:t xml:space="preserve"> </w:t>
      </w:r>
      <w:r>
        <w:rPr>
          <w:rFonts w:ascii="Arial" w:cs="Arial" w:eastAsia="Arial" w:hAnsi="Arial"/>
          <w:sz w:val="16"/>
          <w:szCs w:val="16"/>
          <w:b w:val="1"/>
          <w:bCs w:val="1"/>
          <w:color w:val="auto"/>
        </w:rPr>
        <w:t>Warrants</w:t>
      </w:r>
      <w:r>
        <w:rPr>
          <w:rFonts w:ascii="Arial" w:cs="Arial" w:eastAsia="Arial" w:hAnsi="Arial"/>
          <w:sz w:val="16"/>
          <w:szCs w:val="16"/>
          <w:color w:val="auto"/>
        </w:rPr>
        <w:t>”), each whole Public Warrant entitling its holder to purchase one-half of one share of Common Stock (the “</w:t>
      </w:r>
      <w:r>
        <w:rPr>
          <w:rFonts w:ascii="Arial" w:cs="Arial" w:eastAsia="Arial" w:hAnsi="Arial"/>
          <w:sz w:val="16"/>
          <w:szCs w:val="16"/>
          <w:b w:val="1"/>
          <w:bCs w:val="1"/>
          <w:color w:val="auto"/>
        </w:rPr>
        <w:t>Public Warrant Shares</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15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WHEREAS, the Company has received a binding commitment from Ventoux Acquisition Holdings LLC to purchase up to 4,450,000 warrants and Chardan International Investments, LLC to purchase up to 2,225,000 warrants, each for a purchase price of $1.00 per warrant, pursuant to the Subscription Agreements, dated as of _________, 2020 (collectively, the “</w:t>
      </w:r>
      <w:r>
        <w:rPr>
          <w:rFonts w:ascii="Arial" w:cs="Arial" w:eastAsia="Arial" w:hAnsi="Arial"/>
          <w:sz w:val="16"/>
          <w:szCs w:val="16"/>
          <w:b w:val="1"/>
          <w:bCs w:val="1"/>
          <w:color w:val="auto"/>
        </w:rPr>
        <w:t>Subscription Agreements</w:t>
      </w:r>
      <w:r>
        <w:rPr>
          <w:rFonts w:ascii="Arial" w:cs="Arial" w:eastAsia="Arial" w:hAnsi="Arial"/>
          <w:sz w:val="16"/>
          <w:szCs w:val="16"/>
          <w:color w:val="auto"/>
        </w:rPr>
        <w:t>”), and in connection therewith, will issue and deliver up to</w:t>
      </w:r>
    </w:p>
    <w:p>
      <w:pPr>
        <w:spacing w:after="0" w:line="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6,675,000 warrants (the “</w:t>
      </w:r>
      <w:r>
        <w:rPr>
          <w:rFonts w:ascii="Arial" w:cs="Arial" w:eastAsia="Arial" w:hAnsi="Arial"/>
          <w:sz w:val="17"/>
          <w:szCs w:val="17"/>
          <w:b w:val="1"/>
          <w:bCs w:val="1"/>
          <w:color w:val="auto"/>
        </w:rPr>
        <w:t>Private Warrants</w:t>
      </w:r>
      <w:r>
        <w:rPr>
          <w:rFonts w:ascii="Arial" w:cs="Arial" w:eastAsia="Arial" w:hAnsi="Arial"/>
          <w:sz w:val="17"/>
          <w:szCs w:val="17"/>
          <w:color w:val="auto"/>
        </w:rPr>
        <w:t>”, together with the Public Warrants, the “</w:t>
      </w:r>
      <w:r>
        <w:rPr>
          <w:rFonts w:ascii="Arial" w:cs="Arial" w:eastAsia="Arial" w:hAnsi="Arial"/>
          <w:sz w:val="17"/>
          <w:szCs w:val="17"/>
          <w:b w:val="1"/>
          <w:bCs w:val="1"/>
          <w:color w:val="auto"/>
        </w:rPr>
        <w:t>Warrants</w:t>
      </w:r>
      <w:r>
        <w:rPr>
          <w:rFonts w:ascii="Arial" w:cs="Arial" w:eastAsia="Arial" w:hAnsi="Arial"/>
          <w:sz w:val="17"/>
          <w:szCs w:val="17"/>
          <w:color w:val="auto"/>
        </w:rPr>
        <w:t>”), each whole Private Warrant entitling its holder to purchase one share of Common Stock (“</w:t>
      </w:r>
      <w:r>
        <w:rPr>
          <w:rFonts w:ascii="Arial" w:cs="Arial" w:eastAsia="Arial" w:hAnsi="Arial"/>
          <w:sz w:val="17"/>
          <w:szCs w:val="17"/>
          <w:b w:val="1"/>
          <w:bCs w:val="1"/>
          <w:color w:val="auto"/>
        </w:rPr>
        <w:t>Private Warrant Shares</w:t>
      </w:r>
      <w:r>
        <w:rPr>
          <w:rFonts w:ascii="Arial" w:cs="Arial" w:eastAsia="Arial" w:hAnsi="Arial"/>
          <w:sz w:val="17"/>
          <w:szCs w:val="17"/>
          <w:color w:val="auto"/>
        </w:rPr>
        <w:t>”, and together with the Public Warrant Shares, the “</w:t>
      </w:r>
      <w:r>
        <w:rPr>
          <w:rFonts w:ascii="Arial" w:cs="Arial" w:eastAsia="Arial" w:hAnsi="Arial"/>
          <w:sz w:val="17"/>
          <w:szCs w:val="17"/>
          <w:b w:val="1"/>
          <w:bCs w:val="1"/>
          <w:color w:val="auto"/>
        </w:rPr>
        <w:t>Warrant Shares</w:t>
      </w:r>
      <w:r>
        <w:rPr>
          <w:rFonts w:ascii="Arial" w:cs="Arial" w:eastAsia="Arial" w:hAnsi="Arial"/>
          <w:sz w:val="17"/>
          <w:szCs w:val="17"/>
          <w:color w:val="auto"/>
        </w:rPr>
        <w:t>”);</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Company may issue such additional warrants to purchase shares of Common Stock hereunder from time to time (together with the Public Warrants and the Private Warrants, the “</w:t>
      </w:r>
      <w:r>
        <w:rPr>
          <w:rFonts w:ascii="Arial" w:cs="Arial" w:eastAsia="Arial" w:hAnsi="Arial"/>
          <w:sz w:val="18"/>
          <w:szCs w:val="18"/>
          <w:b w:val="1"/>
          <w:bCs w:val="1"/>
          <w:color w:val="auto"/>
        </w:rPr>
        <w:t>Warrants</w:t>
      </w:r>
      <w:r>
        <w:rPr>
          <w:rFonts w:ascii="Arial" w:cs="Arial" w:eastAsia="Arial" w:hAnsi="Arial"/>
          <w:sz w:val="18"/>
          <w:szCs w:val="18"/>
          <w:color w:val="auto"/>
        </w:rPr>
        <w:t>”);</w:t>
      </w:r>
    </w:p>
    <w:p>
      <w:pPr>
        <w:spacing w:after="0" w:line="166" w:lineRule="exact"/>
        <w:rPr>
          <w:sz w:val="20"/>
          <w:szCs w:val="20"/>
          <w:color w:val="auto"/>
        </w:rPr>
      </w:pPr>
    </w:p>
    <w:p>
      <w:pPr>
        <w:jc w:val="both"/>
        <w:spacing w:after="0" w:line="347" w:lineRule="auto"/>
        <w:rPr>
          <w:sz w:val="20"/>
          <w:szCs w:val="20"/>
          <w:color w:val="auto"/>
        </w:rPr>
      </w:pPr>
      <w:r>
        <w:rPr>
          <w:rFonts w:ascii="Arial" w:cs="Arial" w:eastAsia="Arial" w:hAnsi="Arial"/>
          <w:sz w:val="16"/>
          <w:szCs w:val="16"/>
          <w:color w:val="auto"/>
        </w:rPr>
        <w:t>WHEREAS, the Company has filed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 Registration Statement on Form S-1, No. 333-251048 (“</w:t>
      </w:r>
      <w:r>
        <w:rPr>
          <w:rFonts w:ascii="Arial" w:cs="Arial" w:eastAsia="Arial" w:hAnsi="Arial"/>
          <w:sz w:val="16"/>
          <w:szCs w:val="16"/>
          <w:b w:val="1"/>
          <w:bCs w:val="1"/>
          <w:color w:val="auto"/>
        </w:rPr>
        <w:t>Registration Statement</w:t>
      </w:r>
      <w:r>
        <w:rPr>
          <w:rFonts w:ascii="Arial" w:cs="Arial" w:eastAsia="Arial" w:hAnsi="Arial"/>
          <w:sz w:val="16"/>
          <w:szCs w:val="16"/>
          <w:color w:val="auto"/>
        </w:rPr>
        <w:t>”), for the registration,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of, among other securities, the Public Warrants;</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redemption and exercise of the Warrants;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WHEREAS, the Company desires to provide for the form, terms and provisions of the Warrants, including the terms upon which they shall be issued and exercised, and the respective rights, limitation of rights and immunities of the Company, the Warrant Agent and the holders of the Warrants; and</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WHEREAS, all acts and things have been done and performed which are necessary to make the Warrants, when executed on behalf of the Company and countersigned by or on behalf of the Warrant Agent, as provided herein, the legally valid and binding obligations of the Company, and to authorize the execution and delivery of this Warrant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ind w:firstLine="8"/>
        <w:spacing w:after="0" w:line="342" w:lineRule="auto"/>
        <w:tabs>
          <w:tab w:leader="none" w:pos="193"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Appointment of Warrant Agent</w:t>
      </w:r>
      <w:r>
        <w:rPr>
          <w:rFonts w:ascii="Arial" w:cs="Arial" w:eastAsia="Arial" w:hAnsi="Arial"/>
          <w:sz w:val="16"/>
          <w:szCs w:val="16"/>
          <w:color w:val="auto"/>
        </w:rPr>
        <w:t>. The Company hereby appoints the Warrant Agent to act as agent for the Company for the Warrants, and the Warrant Agent hereby accepts such appointment and agrees to perform the same in accordance with the terms and conditions set forth in this Warrant Agreement.</w:t>
      </w:r>
    </w:p>
    <w:p>
      <w:pPr>
        <w:spacing w:after="0" w:line="123" w:lineRule="exact"/>
        <w:rPr>
          <w:rFonts w:ascii="Arial" w:cs="Arial" w:eastAsia="Arial" w:hAnsi="Arial"/>
          <w:sz w:val="16"/>
          <w:szCs w:val="16"/>
          <w:color w:val="auto"/>
        </w:rPr>
      </w:pPr>
    </w:p>
    <w:p>
      <w:pPr>
        <w:ind w:left="180" w:hanging="172"/>
        <w:spacing w:after="0"/>
        <w:tabs>
          <w:tab w:leader="none" w:pos="18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 of Warrant</w:t>
      </w:r>
      <w:r>
        <w:rPr>
          <w:rFonts w:ascii="Arial" w:cs="Arial" w:eastAsia="Arial" w:hAnsi="Arial"/>
          <w:sz w:val="18"/>
          <w:szCs w:val="18"/>
          <w:color w:val="auto"/>
        </w:rPr>
        <w:t xml:space="preserve">. Each Warrant other than a Private Warrant shall be: (a) issued in registered form only, (b) in substantially the form of </w:t>
      </w:r>
      <w:r>
        <w:rPr>
          <w:rFonts w:ascii="Arial" w:cs="Arial" w:eastAsia="Arial" w:hAnsi="Arial"/>
          <w:sz w:val="18"/>
          <w:szCs w:val="18"/>
          <w:b w:val="1"/>
          <w:bCs w:val="1"/>
          <w:color w:val="auto"/>
        </w:rPr>
        <w:t xml:space="preserve">Exhibit A </w:t>
      </w:r>
      <w:r>
        <w:rPr>
          <w:rFonts w:ascii="Arial" w:cs="Arial" w:eastAsia="Arial" w:hAnsi="Arial"/>
          <w:sz w:val="18"/>
          <w:szCs w:val="18"/>
          <w:color w:val="auto"/>
        </w:rPr>
        <w:t>hereto, the provisions of which are incorporated herein and (c) signed by, or bear the facsimile signature of, the Chairman of the Board,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or the Chief Financial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Effect of Countersignature</w:t>
      </w:r>
      <w:r>
        <w:rPr>
          <w:rFonts w:ascii="Arial" w:cs="Arial" w:eastAsia="Arial" w:hAnsi="Arial"/>
          <w:sz w:val="18"/>
          <w:szCs w:val="18"/>
          <w:color w:val="auto"/>
        </w:rPr>
        <w:t>. Unless and until countersigned by the Warrant Agent pursuant to this Warrant Agreement, a Warrant shall be invalid and of no effect and may not be exercised by the holder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21" w:lineRule="exact"/>
        <w:rPr>
          <w:sz w:val="20"/>
          <w:szCs w:val="20"/>
          <w:color w:val="auto"/>
        </w:rPr>
      </w:pPr>
    </w:p>
    <w:p>
      <w:pPr>
        <w:jc w:val="both"/>
        <w:ind w:firstLine="1296"/>
        <w:spacing w:after="0" w:line="314"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Warrant Register</w:t>
      </w:r>
      <w:r>
        <w:rPr>
          <w:rFonts w:ascii="Arial" w:cs="Arial" w:eastAsia="Arial" w:hAnsi="Arial"/>
          <w:sz w:val="16"/>
          <w:szCs w:val="16"/>
          <w:color w:val="auto"/>
        </w:rPr>
        <w:t>. The Warrant Agent shall maintain books (the “</w:t>
      </w:r>
      <w:r>
        <w:rPr>
          <w:rFonts w:ascii="Arial" w:cs="Arial" w:eastAsia="Arial" w:hAnsi="Arial"/>
          <w:sz w:val="16"/>
          <w:szCs w:val="16"/>
          <w:b w:val="1"/>
          <w:bCs w:val="1"/>
          <w:color w:val="auto"/>
        </w:rPr>
        <w:t>Warrant Register</w:t>
      </w:r>
      <w:r>
        <w:rPr>
          <w:rFonts w:ascii="Arial" w:cs="Arial" w:eastAsia="Arial" w:hAnsi="Arial"/>
          <w:sz w:val="16"/>
          <w:szCs w:val="16"/>
          <w:color w:val="auto"/>
        </w:rPr>
        <w:t>”), for the registration of the original issuance and transfers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5" w:name="page136"/>
    <w:bookmarkEnd w:id="135"/>
    <w:p>
      <w:pPr>
        <w:jc w:val="both"/>
        <w:ind w:firstLine="1296"/>
        <w:spacing w:after="0" w:line="257"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Registered Holder</w:t>
      </w:r>
      <w:r>
        <w:rPr>
          <w:rFonts w:ascii="Arial" w:cs="Arial" w:eastAsia="Arial" w:hAnsi="Arial"/>
          <w:sz w:val="18"/>
          <w:szCs w:val="18"/>
          <w:color w:val="auto"/>
        </w:rPr>
        <w:t>. Prior to due presentment for registration of transfer of any Warrant, the Company and the Warrant Agent may deem and treat the person in whose name such Warrant shall be registered upon the Warrant Register (“</w:t>
      </w:r>
      <w:r>
        <w:rPr>
          <w:rFonts w:ascii="Arial" w:cs="Arial" w:eastAsia="Arial" w:hAnsi="Arial"/>
          <w:sz w:val="18"/>
          <w:szCs w:val="18"/>
          <w:b w:val="1"/>
          <w:bCs w:val="1"/>
          <w:color w:val="auto"/>
        </w:rPr>
        <w:t>Registered Holder</w:t>
      </w:r>
      <w:r>
        <w:rPr>
          <w:rFonts w:ascii="Arial" w:cs="Arial" w:eastAsia="Arial" w:hAnsi="Arial"/>
          <w:sz w:val="18"/>
          <w:szCs w:val="18"/>
          <w:color w:val="auto"/>
        </w:rPr>
        <w:t>”)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Detachability of Warrants</w:t>
      </w:r>
      <w:r>
        <w:rPr>
          <w:rFonts w:ascii="Arial" w:cs="Arial" w:eastAsia="Arial" w:hAnsi="Arial"/>
          <w:sz w:val="17"/>
          <w:szCs w:val="17"/>
          <w:color w:val="auto"/>
        </w:rPr>
        <w:t>. Each of the securities comprising the Units will begin to trade separately on (i) the 90th day after the effectiveness of the Registration Statement, or (ii) such earlier date as Chardan Capital Markets, LLC, as representative of the underwriters (the “</w:t>
      </w:r>
      <w:r>
        <w:rPr>
          <w:rFonts w:ascii="Arial" w:cs="Arial" w:eastAsia="Arial" w:hAnsi="Arial"/>
          <w:sz w:val="17"/>
          <w:szCs w:val="17"/>
          <w:b w:val="1"/>
          <w:bCs w:val="1"/>
          <w:color w:val="auto"/>
        </w:rPr>
        <w:t>Representative</w:t>
      </w:r>
      <w:r>
        <w:rPr>
          <w:rFonts w:ascii="Arial" w:cs="Arial" w:eastAsia="Arial" w:hAnsi="Arial"/>
          <w:sz w:val="17"/>
          <w:szCs w:val="17"/>
          <w:color w:val="auto"/>
        </w:rPr>
        <w:t>”), shall determine is acceptable (such date, the “</w:t>
      </w:r>
      <w:r>
        <w:rPr>
          <w:rFonts w:ascii="Arial" w:cs="Arial" w:eastAsia="Arial" w:hAnsi="Arial"/>
          <w:sz w:val="17"/>
          <w:szCs w:val="17"/>
          <w:b w:val="1"/>
          <w:bCs w:val="1"/>
          <w:color w:val="auto"/>
        </w:rPr>
        <w:t>Detachment Date</w:t>
      </w:r>
      <w:r>
        <w:rPr>
          <w:rFonts w:ascii="Arial" w:cs="Arial" w:eastAsia="Arial" w:hAnsi="Arial"/>
          <w:sz w:val="17"/>
          <w:szCs w:val="17"/>
          <w:color w:val="auto"/>
        </w:rPr>
        <w:t>”). In no event will separate trading of the securities comprising the Units commence until the Company (i) files a Current Report on Form 8-K with the SEC including audited balance sheet reflecting the Company’s receipt of the gross proceeds of the Public Offering and (ii) issues a press release announcing when such separate trading will begin.</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Private Warrants</w:t>
      </w:r>
      <w:r>
        <w:rPr>
          <w:rFonts w:ascii="Arial" w:cs="Arial" w:eastAsia="Arial" w:hAnsi="Arial"/>
          <w:sz w:val="17"/>
          <w:szCs w:val="17"/>
          <w:color w:val="auto"/>
        </w:rPr>
        <w:t xml:space="preserve">. The Private Warrants (i) will be exercisable either for cash or on a cashless basis at the holder’s option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3.3</w:t>
      </w:r>
      <w:r>
        <w:rPr>
          <w:rFonts w:ascii="Arial" w:cs="Arial" w:eastAsia="Arial" w:hAnsi="Arial"/>
          <w:sz w:val="17"/>
          <w:szCs w:val="17"/>
          <w:color w:val="auto"/>
        </w:rPr>
        <w:t xml:space="preserve"> hereof and (ii) will not be redeemable by the Company, in either case as long as the Private Warrants are held by the initial purchasers or any of their permitted transferees (as prescribed in the Subscription Agreements).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three hundred sixty (360) days following the effective date of the Registration Statement to anyone other than any member participating in the Public Offering and the officers or partners thereof, if all securities so transferred remain subject to the lock-up restriction set forth above for the remainder of the time period.</w:t>
      </w:r>
    </w:p>
    <w:p>
      <w:pPr>
        <w:spacing w:after="0" w:line="177" w:lineRule="exact"/>
        <w:rPr>
          <w:sz w:val="20"/>
          <w:szCs w:val="20"/>
          <w:color w:val="auto"/>
        </w:rPr>
      </w:pPr>
    </w:p>
    <w:p>
      <w:pPr>
        <w:ind w:left="180" w:hanging="172"/>
        <w:spacing w:after="0"/>
        <w:tabs>
          <w:tab w:leader="none" w:pos="18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Warrant Price</w:t>
      </w:r>
      <w:r>
        <w:rPr>
          <w:rFonts w:ascii="Arial" w:cs="Arial" w:eastAsia="Arial" w:hAnsi="Arial"/>
          <w:sz w:val="18"/>
          <w:szCs w:val="18"/>
          <w:color w:val="auto"/>
        </w:rPr>
        <w:t>. Each Warrant shall, when countersigned by the Warrant Agent, entitle the Registered Holder thereof, subject to the provisions of such Warrant and of this Warrant Agreement, to purchase from the Company the number of shares of Common Stock stated therein, at $11.50 per full share, subject to the adjustments provided in Section 4 hereof. The term “</w:t>
      </w:r>
      <w:r>
        <w:rPr>
          <w:rFonts w:ascii="Arial" w:cs="Arial" w:eastAsia="Arial" w:hAnsi="Arial"/>
          <w:sz w:val="18"/>
          <w:szCs w:val="18"/>
          <w:b w:val="1"/>
          <w:bCs w:val="1"/>
          <w:color w:val="auto"/>
        </w:rPr>
        <w:t>Warrant Price</w:t>
      </w:r>
      <w:r>
        <w:rPr>
          <w:rFonts w:ascii="Arial" w:cs="Arial" w:eastAsia="Arial" w:hAnsi="Arial"/>
          <w:sz w:val="18"/>
          <w:szCs w:val="18"/>
          <w:color w:val="auto"/>
        </w:rPr>
        <w:t>” as used in this Warrant Agreement refers to the price per whole share at which shares of Common Stock may be purchased at the time such Warrant is exercised. The Public Warrants may only be exercised for a whole number of Warrant Shares by a Registered Holder.</w:t>
      </w:r>
    </w:p>
    <w:p>
      <w:pPr>
        <w:spacing w:after="0" w:line="184"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Duration of Warrants</w:t>
      </w:r>
      <w:r>
        <w:rPr>
          <w:rFonts w:ascii="Arial" w:cs="Arial" w:eastAsia="Arial" w:hAnsi="Arial"/>
          <w:sz w:val="16"/>
          <w:szCs w:val="16"/>
          <w:color w:val="auto"/>
        </w:rPr>
        <w:t>. A Warrant may be exercised only during the period (“</w:t>
      </w:r>
      <w:r>
        <w:rPr>
          <w:rFonts w:ascii="Arial" w:cs="Arial" w:eastAsia="Arial" w:hAnsi="Arial"/>
          <w:sz w:val="16"/>
          <w:szCs w:val="16"/>
          <w:b w:val="1"/>
          <w:bCs w:val="1"/>
          <w:color w:val="auto"/>
        </w:rPr>
        <w:t>Exercise Period</w:t>
      </w:r>
      <w:r>
        <w:rPr>
          <w:rFonts w:ascii="Arial" w:cs="Arial" w:eastAsia="Arial" w:hAnsi="Arial"/>
          <w:sz w:val="16"/>
          <w:szCs w:val="16"/>
          <w:color w:val="auto"/>
        </w:rPr>
        <w:t xml:space="preserve">”) commencing on the later to occur of (i) the completion of the Company’s initial business combination and (ii) 12 months following the closing of the Public Offering, and terminating at 5:00 p.m., New York City time, on the earlier to occur of (i) (A) five years following the completion of the Company’s initial business combination with respect to the Public Warrants, and (B) five years from the effective date of the Registration Statement with respect to the Private Warrants purchased by Chardan International Investments, LLC,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once the Private Warrants are not beneficially owned by Chardan Capital Markets, LLC or any of its related persons anymore, the Private Warrants may not be exercised five years following the completion of the Company's initial business combination, and (ii) the date fixed for redemption of the Warrants as provided in Section 6 of this Warrant Agreement (“</w:t>
      </w:r>
      <w:r>
        <w:rPr>
          <w:rFonts w:ascii="Arial" w:cs="Arial" w:eastAsia="Arial" w:hAnsi="Arial"/>
          <w:sz w:val="16"/>
          <w:szCs w:val="16"/>
          <w:b w:val="1"/>
          <w:bCs w:val="1"/>
          <w:color w:val="auto"/>
        </w:rPr>
        <w:t>Expiration Date</w:t>
      </w:r>
      <w:r>
        <w:rPr>
          <w:rFonts w:ascii="Arial" w:cs="Arial" w:eastAsia="Arial" w:hAnsi="Arial"/>
          <w:sz w:val="16"/>
          <w:szCs w:val="16"/>
          <w:color w:val="auto"/>
        </w:rPr>
        <w:t>”). Except with respect to the right to receive the Redemption Price (as set forth in Section 6 hereunder), each Warrant not exercised on or before the Expiration Date shall become void, and all rights thereunder and all rights in respect thereof under this Warrant Agreement shall cease at the close of business on the Expiration Date. The Company may extend the duration of the Warrants by delaying the Expiration Date; provided, however, that the Company will provide written notice of not less than 10 days to Registered Holders of such extension and that such extension shall be identical in duration among all of the then outstanding Warrants. Notwithstanding the above, the Private Warrants (and the Private Warrant Shares that are issuable upon exercise of the Private Warrants) to be purchased by Chardan International Investments, LLC have been deemed compensation by Financial Industry Regulatory Authority, Inc. (“FINRA”) and are therefore subject to a 180-day lock-up described in the following sentence pursuant to FINRA Rule 5110(e)(1) commencing on the effective date of the Registration Statement as long as Chardan Capital Markets, LLC or any of its related persons beneficially own these Private Warrants. Pursuant to FINRA Rule 5110(e)</w:t>
      </w:r>
    </w:p>
    <w:p>
      <w:pPr>
        <w:spacing w:after="0" w:line="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(1), the Private Warrants (and the Private Warrant Shares that are issuable upon exercise of the Private Warrants) purchased by Chardan International Investments, LLC will not be sold during the offering, or sold, transferred, assigned, pledged, or hypothecated, or be the subject of any hedging, short sale, derivative, put or call transaction that would result in the economic disposition of such securities by any person for a period of 180 days immediately following the effective date of the Registration Statement, except to any underwriter and selected dealer participating in the initial public offering made pursuant to the Registration Statement and their bona fide officers or partners, provided that all such securities so transferred remain subject to the lockup restriction above for the remainder of the time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6" w:name="page137"/>
    <w:bookmarkEnd w:id="136"/>
    <w:p>
      <w:pPr>
        <w:ind w:left="6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Exercise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Cash Exercise</w:t>
      </w:r>
      <w:r>
        <w:rPr>
          <w:rFonts w:ascii="Arial" w:cs="Arial" w:eastAsia="Arial" w:hAnsi="Arial"/>
          <w:sz w:val="18"/>
          <w:szCs w:val="18"/>
          <w:color w:val="auto"/>
        </w:rPr>
        <w:t>. Subject to the provisions of the Warrant and this Warrant Agreement, a Warrant, when countersigned by the Company, may be exercised by the Registered Holder thereof by surrendering it at the office of the Warrant Agent, or at the office of its successor as Warrant Agent, currently being:</w:t>
      </w:r>
    </w:p>
    <w:p>
      <w:pPr>
        <w:spacing w:after="0" w:line="18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Continental Stock Transfer &amp; Trust Company</w:t>
      </w:r>
    </w:p>
    <w:p>
      <w:pPr>
        <w:ind w:left="1960"/>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Compliance Department</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 the subscription form, as set forth in the Warrant, duly executed, and by paying in full, in lawful money of the United States, by certified or bank cashier’s check payable to the order of the Warrant Agent or by wire transfer to the Warrant Agent’s bank account, the Warrant Price for each whole Warrant Share as to which the Warrant is exercised and any and all applicable taxes due in connection with the exercise of the Warrant, the exchange of the Warrant for the Warrant Shares, and the issuance of the Warrant Shares (such exercise, a “</w:t>
      </w:r>
      <w:r>
        <w:rPr>
          <w:rFonts w:ascii="Arial" w:cs="Arial" w:eastAsia="Arial" w:hAnsi="Arial"/>
          <w:sz w:val="17"/>
          <w:szCs w:val="17"/>
          <w:b w:val="1"/>
          <w:bCs w:val="1"/>
          <w:color w:val="auto"/>
        </w:rPr>
        <w:t>Cash Exercise</w:t>
      </w:r>
      <w:r>
        <w:rPr>
          <w:rFonts w:ascii="Arial" w:cs="Arial" w:eastAsia="Arial" w:hAnsi="Arial"/>
          <w:sz w:val="17"/>
          <w:szCs w:val="17"/>
          <w:color w:val="auto"/>
        </w:rPr>
        <w:t>”). A Cash Exercise in accordance with this Section 3.3.1 is available to the Registered Holder only during such times that there is an effective registration statement registering the Warrant Shares, with the prospectus contained therein being available for the resale of the Warrant Shares.</w:t>
      </w:r>
    </w:p>
    <w:p>
      <w:pPr>
        <w:spacing w:after="0" w:line="178"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3.3.2 </w:t>
      </w:r>
      <w:r>
        <w:rPr>
          <w:rFonts w:ascii="Arial" w:cs="Arial" w:eastAsia="Arial" w:hAnsi="Arial"/>
          <w:sz w:val="16"/>
          <w:szCs w:val="16"/>
          <w:u w:val="single" w:color="auto"/>
          <w:color w:val="auto"/>
        </w:rPr>
        <w:t>Cashless Exercise</w:t>
      </w:r>
      <w:r>
        <w:rPr>
          <w:rFonts w:ascii="Arial" w:cs="Arial" w:eastAsia="Arial" w:hAnsi="Arial"/>
          <w:sz w:val="16"/>
          <w:szCs w:val="16"/>
          <w:color w:val="auto"/>
        </w:rPr>
        <w:t>. Subject to Section 2.4, notwithstanding anything contained herein to the contrary, if there is no effective registration statement registering the Warrant Shares on any day the Registered Holder desires to exercise the Warrants and more than 120 days have passed since the Company complete its initial business combination, the Registered Holder may exercise the Warrants in whole or in part in lieu of making a cash payment for whole numbers of Warrant Shares, by providing notice to the Chief Financial Officer of the Company in a subscription form of its election to utilize cashless exercise, in which event the Company shall issue to the Holder the number of Warrant Shares determined as follows:</w:t>
      </w:r>
    </w:p>
    <w:p>
      <w:pPr>
        <w:spacing w:after="0" w:line="16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 = Y [(A-B)/A]</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 = the number of Warrant Shares to be issued to the Holder.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Y = the number of Warrant Shares with respect to which this Warrant is being exercised.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 the fair market value of one share of Common Stock.</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 = the Warrant Price.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Registered Holder may not exercise any Warrants in the absence of a registration statement except pursuant to this </w:t>
      </w:r>
      <w:r>
        <w:rPr>
          <w:rFonts w:ascii="Arial" w:cs="Arial" w:eastAsia="Arial" w:hAnsi="Arial"/>
          <w:sz w:val="16"/>
          <w:szCs w:val="16"/>
          <w:u w:val="single" w:color="auto"/>
          <w:color w:val="auto"/>
        </w:rPr>
        <w:t>Section 3.3.2</w:t>
      </w:r>
      <w:r>
        <w:rPr>
          <w:rFonts w:ascii="Arial" w:cs="Arial" w:eastAsia="Arial" w:hAnsi="Arial"/>
          <w:sz w:val="16"/>
          <w:szCs w:val="16"/>
          <w:color w:val="auto"/>
        </w:rPr>
        <w:t>. For purposes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3.3.2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4.1</w:t>
      </w:r>
      <w:r>
        <w:rPr>
          <w:rFonts w:ascii="Arial" w:cs="Arial" w:eastAsia="Arial" w:hAnsi="Arial"/>
          <w:sz w:val="18"/>
          <w:szCs w:val="18"/>
          <w:color w:val="auto"/>
        </w:rPr>
        <w:t>, the fair market value of one share of Common Stock is defined as follows:</w:t>
      </w:r>
    </w:p>
    <w:p>
      <w:pPr>
        <w:spacing w:after="0" w:line="211" w:lineRule="exact"/>
        <w:rPr>
          <w:sz w:val="20"/>
          <w:szCs w:val="20"/>
          <w:color w:val="auto"/>
        </w:rPr>
      </w:pPr>
    </w:p>
    <w:p>
      <w:pPr>
        <w:jc w:val="both"/>
        <w:ind w:left="1960" w:hanging="8"/>
        <w:spacing w:after="0" w:line="257" w:lineRule="auto"/>
        <w:tabs>
          <w:tab w:leader="none" w:pos="2179"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the Company’s shares of Common Stock are listed and traded on the New York Stock Exchange, the NYSE American, the NASDAQ Global Select Market, the NASDAQ Global Market or the NASDAQ Capital Market (each, a “</w:t>
      </w:r>
      <w:r>
        <w:rPr>
          <w:rFonts w:ascii="Arial" w:cs="Arial" w:eastAsia="Arial" w:hAnsi="Arial"/>
          <w:sz w:val="18"/>
          <w:szCs w:val="18"/>
          <w:b w:val="1"/>
          <w:bCs w:val="1"/>
          <w:color w:val="auto"/>
        </w:rPr>
        <w:t>Trading Market</w:t>
      </w:r>
      <w:r>
        <w:rPr>
          <w:rFonts w:ascii="Arial" w:cs="Arial" w:eastAsia="Arial" w:hAnsi="Arial"/>
          <w:sz w:val="18"/>
          <w:szCs w:val="18"/>
          <w:color w:val="auto"/>
        </w:rPr>
        <w:t>”), the fair market value shall be deemed the average of the closing price on such Trading Market for the 10 trading days ending on the third trading day immediately prior to the date the subscription form is submitted to the Company in connection with the exercise of the Warrant; or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7" w:name="page138"/>
    <w:bookmarkEnd w:id="137"/>
    <w:p>
      <w:pPr>
        <w:jc w:val="both"/>
        <w:ind w:left="1960" w:hanging="8"/>
        <w:spacing w:after="0" w:line="259" w:lineRule="auto"/>
        <w:tabs>
          <w:tab w:leader="none" w:pos="2233"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the Company’s shares of Common Stock are not listed on a Trading Market, but is traded in the over-the-counter market, the fair market value shall be deemed to be the average of the bid price on such Trading Market for the 10 trading days ending on the third trading day immediately prior to the date the subscription form is submitted in connection with the exercise of the Warrant; or</w:t>
      </w:r>
    </w:p>
    <w:p>
      <w:pPr>
        <w:spacing w:after="0" w:line="186" w:lineRule="exact"/>
        <w:rPr>
          <w:rFonts w:ascii="Arial" w:cs="Arial" w:eastAsia="Arial" w:hAnsi="Arial"/>
          <w:sz w:val="18"/>
          <w:szCs w:val="18"/>
          <w:color w:val="auto"/>
        </w:rPr>
      </w:pPr>
    </w:p>
    <w:p>
      <w:pPr>
        <w:ind w:left="1960" w:right="20" w:hanging="8"/>
        <w:spacing w:after="0" w:line="277" w:lineRule="auto"/>
        <w:tabs>
          <w:tab w:leader="none" w:pos="2301"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there is no active public market for the Company’s shares of Common Stock, the fair market value of the shares of Common Stock shall be determined in good faith by the Company’s board of directors.</w:t>
      </w:r>
    </w:p>
    <w:p>
      <w:pPr>
        <w:spacing w:after="0" w:line="170"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Notwithstanding any provision to the contrary contained in this Warrant Agreement, the Company shall not be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9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3.3.4 </w:t>
      </w:r>
      <w:r>
        <w:rPr>
          <w:rFonts w:ascii="Arial" w:cs="Arial" w:eastAsia="Arial" w:hAnsi="Arial"/>
          <w:sz w:val="16"/>
          <w:szCs w:val="16"/>
          <w:u w:val="single" w:color="auto"/>
          <w:color w:val="auto"/>
        </w:rPr>
        <w:t>Issuance of Certificates</w:t>
      </w:r>
      <w:r>
        <w:rPr>
          <w:rFonts w:ascii="Arial" w:cs="Arial" w:eastAsia="Arial" w:hAnsi="Arial"/>
          <w:sz w:val="16"/>
          <w:szCs w:val="16"/>
          <w:color w:val="auto"/>
        </w:rPr>
        <w:t>. No later than three (3) business days following the exercise of any Warrant and the clearance of the funds in payment of the Warrant Price pursuant to Section 3.3.1 or cashless exercise pursuant to Section 3.3.2, the Company shall issue, or cause to be issued, to the Registered Holder of such Warrant a certificate or certificates representing (or at the option of the Registered Holder, deliver electronically through the facilities of the Depository Trust Corporation) the number of full shares of Common Stock to which he, she or it is entitled, registered in such name or names as may be directed by him, her or it, and, if such Warrant shall not have been exercised or surrendered in full, a new countersigned Warrant for the number of shares as to which such Warrant shall not have been exercised or surrendered. Notwithstanding the foregoing, the Company shall not deliver, or cause to be delivered, any securities without applicable restrictive legend pursuant to the exercise of a Warrant unless (a) a registration statement under the Act with respect to the shares of Common Stock issuable upon exercise of such Warrants is effective and a current prospectus relating to the shares of Common Stock issuable upon exercise of the Warrants is available for delivery to the Registered Holder of the Warrant or (b) in the opinion of counsel to the Company, the exercise of the Warrants is exempt from the registration requirements of the Act and such securities are qualified for sale or exempt from qualification under applicable securities laws of the states or other jurisdictions in which the Registered Holder resides. Warrants may not be exercised by, or securities issued to, any Registered Holder in any state in which such exercise or issuance would be unlawful. In addition, in no event will the Company be obligated to pay such Registered Holder any cash consideration upon exercise or otherwise “net cash settle” the Warrant.</w:t>
      </w:r>
    </w:p>
    <w:p>
      <w:pPr>
        <w:spacing w:after="0" w:line="17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3.3.5 </w:t>
      </w:r>
      <w:r>
        <w:rPr>
          <w:rFonts w:ascii="Arial" w:cs="Arial" w:eastAsia="Arial" w:hAnsi="Arial"/>
          <w:sz w:val="18"/>
          <w:szCs w:val="18"/>
          <w:u w:val="single" w:color="auto"/>
          <w:color w:val="auto"/>
        </w:rPr>
        <w:t>Valid Issuance</w:t>
      </w:r>
      <w:r>
        <w:rPr>
          <w:rFonts w:ascii="Arial" w:cs="Arial" w:eastAsia="Arial" w:hAnsi="Arial"/>
          <w:sz w:val="18"/>
          <w:szCs w:val="18"/>
          <w:color w:val="auto"/>
        </w:rPr>
        <w:t>. All shares of Common Stock issued upon the proper exercise or surrender of a Warrant in conformity with this Warrant Agreement shall be validly issued, fully paid and non-assessable.</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3.3.6 </w:t>
      </w:r>
      <w:r>
        <w:rPr>
          <w:rFonts w:ascii="Arial" w:cs="Arial" w:eastAsia="Arial" w:hAnsi="Arial"/>
          <w:sz w:val="18"/>
          <w:szCs w:val="18"/>
          <w:u w:val="single" w:color="auto"/>
          <w:color w:val="auto"/>
        </w:rPr>
        <w:t>Date of Issuance</w:t>
      </w:r>
      <w:r>
        <w:rPr>
          <w:rFonts w:ascii="Arial" w:cs="Arial" w:eastAsia="Arial" w:hAnsi="Arial"/>
          <w:sz w:val="18"/>
          <w:szCs w:val="18"/>
          <w:color w:val="auto"/>
        </w:rPr>
        <w:t>. Each person or entity in whose name any such certificate for shares of Common Stock is issued shall, for all purposes, be deemed to have become the holder of record of such shares on the date on which the Warrant was surrendered and payment of the Warrant Price was made, irrespective of the date of delivery of such certificate, except that, if the date of such surrender and payment is a date when the stock transfer books of the Company are closed, such person shall be deemed to have become the holder of such shares at the close of business on the next succeeding date on which the stock transfer books are open.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8" w:name="page139"/>
    <w:bookmarkEnd w:id="138"/>
    <w:p>
      <w:pPr>
        <w:jc w:val="both"/>
        <w:ind w:firstLine="1296"/>
        <w:spacing w:after="0" w:line="283" w:lineRule="auto"/>
        <w:rPr>
          <w:sz w:val="20"/>
          <w:szCs w:val="20"/>
          <w:color w:val="auto"/>
        </w:rPr>
      </w:pPr>
      <w:r>
        <w:rPr>
          <w:rFonts w:ascii="Arial" w:cs="Arial" w:eastAsia="Arial" w:hAnsi="Arial"/>
          <w:sz w:val="16"/>
          <w:szCs w:val="16"/>
          <w:color w:val="auto"/>
        </w:rPr>
        <w:t xml:space="preserve">3.3.7 </w:t>
      </w:r>
      <w:r>
        <w:rPr>
          <w:rFonts w:ascii="Arial" w:cs="Arial" w:eastAsia="Arial" w:hAnsi="Arial"/>
          <w:sz w:val="16"/>
          <w:szCs w:val="16"/>
          <w:u w:val="single" w:color="auto"/>
          <w:color w:val="auto"/>
        </w:rPr>
        <w:t>Maximum Percentage</w:t>
      </w:r>
      <w:r>
        <w:rPr>
          <w:rFonts w:ascii="Arial" w:cs="Arial" w:eastAsia="Arial" w:hAnsi="Arial"/>
          <w:sz w:val="16"/>
          <w:szCs w:val="16"/>
          <w:color w:val="auto"/>
        </w:rPr>
        <w:t>. A holder of a Warrant may notify the Company in writing in the event it elects to be subject to the provisions contained in this subsection 3.3.7; however, no holder of a Warrant shall be subject to this subsection 3.3.7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the Warrant with respect to which the determination of such sentence is being made, but shall exclude the shares of Common Stock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For purposes of the Warrant, in determining the number of outstanding shares of Common Stock, the holder may rely on the number of outstanding shares of Common Stock as reflected in (1) the Company’s most recent annual report on Form 10-K, quarterly report on Form 10-Q, current report on Form 8-K or other public filing with the SEC as the case may be, (2) a more recent public announcement by the Company, or</w:t>
      </w:r>
    </w:p>
    <w:p>
      <w:pPr>
        <w:jc w:val="both"/>
        <w:ind w:firstLine="8"/>
        <w:spacing w:after="0" w:line="269" w:lineRule="auto"/>
        <w:tabs>
          <w:tab w:leader="none" w:pos="264"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any other notice by the Company or the Warrant Agent setting forth the number of shares of Common Stock outstanding. For any reason at any time, upon the written request of the holder of the Warrant, the Company shall, within two (2) business days, confirm orally and in writing to such holder the number of shares of Common Stock then outstanding. In any case, the number of outstanding shares of Common Stock shall be determined after giving effect to the conversion or exercise of equity securities of the Company by the holder and its affiliates since the date as of which such number of outstanding shares of Common Stock was reported. By written notice to the Company, the holder of a Warrant may from time to time increase or decrease the Maximum Percentage applicable to such holder to any other percentage specified in such notice; provided, however, that any such increase shall not be effective until the sixty-first (61st) day after such notice is delivered to the Company.</w:t>
      </w:r>
    </w:p>
    <w:p>
      <w:pPr>
        <w:spacing w:after="0" w:line="180" w:lineRule="exact"/>
        <w:rPr>
          <w:sz w:val="20"/>
          <w:szCs w:val="20"/>
          <w:color w:val="auto"/>
        </w:rPr>
      </w:pPr>
    </w:p>
    <w:p>
      <w:pPr>
        <w:ind w:left="180" w:hanging="172"/>
        <w:spacing w:after="0"/>
        <w:tabs>
          <w:tab w:leader="none" w:pos="18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Stock Dividends, Splits</w:t>
      </w:r>
      <w:r>
        <w:rPr>
          <w:rFonts w:ascii="Arial" w:cs="Arial" w:eastAsia="Arial" w:hAnsi="Arial"/>
          <w:sz w:val="17"/>
          <w:szCs w:val="17"/>
          <w:color w:val="auto"/>
        </w:rPr>
        <w:t>. If, after the date hereof, and subject to the provisions of Section 4.5 below, the number of outstanding shares of Common Stock is increased by a stock dividend payable in shares of Common Stock, or by a forward or reverse split of shares of Common Stock, or other similar event, then, on the effective date of such stock dividend, split or similar event, the number of shares of Common Stock issuable on exercise of each Warrant shall be increased or decreased in proportion to such increase or decrease in outstanding shares of Common Stock. A rights offering to all holders of the shares of Common Stock entitling holders to purchase shares of Common Stock at a price less than the Fair Market Value shall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the shares of Common Stock) multiplied by (ii) one (1) minus the quotient of (x) the price per share of Common Stock paid in such rights offering divided by (y) the Fair Market Value. For purposes of this subsection 4.1, if the rights offering is for securities convertible into or exercisable for shares of Common Stock, in determining the price payable for the shares of Common Stock, there shall be taken into account any consideration received for such rights, as well as any additional amount payable upon exercise or conversion.</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If, after the date hereof, and subject to the provisions of Section 4.6, the number of outstanding shares of Common Stock is decreased by a consolidation, combination or reclassification of shares of Common Stock or other similar event, then, on the effective date of such consolidation, combination, reclassification or similar event, the number of shares of Common Stock issuable on exercise of each Warrant shall be decreased in proportion to such decrease in outstanding shares of Common Stock.</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9" w:name="page140"/>
    <w:bookmarkEnd w:id="139"/>
    <w:p>
      <w:pPr>
        <w:jc w:val="both"/>
        <w:ind w:firstLine="648"/>
        <w:spacing w:after="0" w:line="285"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Extraordinary Dividends</w:t>
      </w:r>
      <w:r>
        <w:rPr>
          <w:rFonts w:ascii="Arial" w:cs="Arial" w:eastAsia="Arial" w:hAnsi="Arial"/>
          <w:sz w:val="16"/>
          <w:szCs w:val="16"/>
          <w:color w:val="auto"/>
        </w:rPr>
        <w:t>. If the Company, at any time while the Warrants (or rights to purchase the Warrants) are outstanding and unexpired, shall pay a dividend or make a distribution in cash, securities or other assets to the holders of the shares of Common Stock on account of such shares of Common Stock (or other shares of the Company’s capital stock into which the Warrants are convertible), other than (a) as described in subsection 4.1 above, (b) Ordinary Cash Dividends (as defined below), (c) to satisfy the conversion rights of the holders of the shares of Common Stock in connection with a proposed initial Business Combination or vote to extend the time period to complete an initial Business Combination, (d) as a result of the repurchase of shares of Common Stock by the Company in connection with an initial Business Combination or as otherwise permitted by the Investment Management Trust Agreement between the Company and the Warrant Agent dated of even date herewith or (e) in connection with the Company’s liquidation and the distribution of its assets upon its failure to consummate a Business Combination (any such non-excluded event being referred to herein as an “Extraordinary Dividend”), then the Warrant Price shall be decreased, effective immediately after the effective date of such Extraordinary Dividend, by the amount of cash and the fair market value (as determined by the Company’s board of directors, in good faith) of any securities or other assets paid on each share of Common Stock in respect of such Extraordinary Dividend. For purposes of this subsection 4.3, “Ordinary Cash Dividends” means any cash dividend or cash distribution which, when combined on a per share basis with the per share amounts of all other cash dividends and cash distributions paid on the shares of Common Stock during the 365-day period ending on the date of declaration of such dividend or distribution (as adjusted to appropriately reflect any of the events referred to in other subsections of this Section 4 and excluding cash dividends or cash distributions that resulted in an adjustment to the Warrant Price or to the number of shares of Common Stock issuable on exercise of each Warrant) does not exceed $0.50 (being 5% of the offering price of the Units in the Offering). The foregoing adjustment shall not apply to the Private Warrants.</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Adjustments in Exercise Price</w:t>
      </w:r>
      <w:r>
        <w:rPr>
          <w:rFonts w:ascii="Arial" w:cs="Arial" w:eastAsia="Arial" w:hAnsi="Arial"/>
          <w:sz w:val="18"/>
          <w:szCs w:val="18"/>
          <w:color w:val="auto"/>
        </w:rPr>
        <w:t>. Whenever the number of shares of Common Stock purchasable upon the exercise of the Warrants is adjusted, as provided in Sections 4.1 and 4.2 above, the Warrant Price shall be adjusted (to the nearest cent) by multiplying such Warrant Price, immediately prior to such adjustment, by a fraction, (a) the numerator of which shall be the number of shares of Common Stock purchasable upon the exercise of the Warrants immediately prior to such adjustment, and (b) the denominator of which shall be the number of shares of Common Stock so purchasable immediately thereafter.</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Replacement of Securities upon Reorganization, etc.</w:t>
      </w:r>
      <w:r>
        <w:rPr>
          <w:rFonts w:ascii="Arial" w:cs="Arial" w:eastAsia="Arial" w:hAnsi="Arial"/>
          <w:sz w:val="17"/>
          <w:szCs w:val="17"/>
          <w:color w:val="auto"/>
        </w:rPr>
        <w:t xml:space="preserve"> In case of any reclassification or reorganization of the outstanding shares of Common Stock (other than a change covered by Sections 4.1, 4.2 or 4.3 hereof or one that solely affects the par value of such shares of Common Stock), or, in the case of any merger or consolidation of the Company with or into another corporation (other than a consolidation or merger in which the Company is the continuing corporation and that does not result in any reclassification or reorganization of the outstanding shares of Common Stock), or, in the case of any sale or conveyance to another corporation or entity of the assets or other property of the Company as an entirety or substantially as an entirety, in connection with which the Company is dissolved, the Registered Holders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Registered Holder would have received if such Registered Holder had exercised his, her or its Warrant(s) immediately prior to such event; and if any reclassification also results in a change in shares of Common Stock covered by Sections 4.1, 4.2 or 4.3, then such adjustment shall be made pursuant to Sections 4.1, 4.2, 4.3 and this Section 4.5. The provisions of this Section 4.5 shall similarly apply to successive reclassifications, reorganizations, mergers or consolidations, sales or other transfers.</w:t>
      </w:r>
    </w:p>
    <w:p>
      <w:pPr>
        <w:spacing w:after="0" w:line="18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xml:space="preserve">.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w:t>
      </w:r>
      <w:r>
        <w:rPr>
          <w:rFonts w:ascii="Arial" w:cs="Arial" w:eastAsia="Arial" w:hAnsi="Arial"/>
          <w:sz w:val="16"/>
          <w:szCs w:val="16"/>
          <w:u w:val="single" w:color="auto"/>
          <w:color w:val="auto"/>
        </w:rPr>
        <w:t>Sections 4.1 – 4.5</w:t>
      </w:r>
      <w:r>
        <w:rPr>
          <w:rFonts w:ascii="Arial" w:cs="Arial" w:eastAsia="Arial" w:hAnsi="Arial"/>
          <w:sz w:val="16"/>
          <w:szCs w:val="16"/>
          <w:color w:val="auto"/>
        </w:rPr>
        <w:t xml:space="preserve"> the Company shall give written notice to each Registered Holder, at the last address set forth for such Registered Holder in the Warrant Register, of the record date or the effective date of the event. Failure to give such notice, or any defect therein, shall not affect the legality or validity of such event.</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Form of Warrant</w:t>
      </w:r>
      <w:r>
        <w:rPr>
          <w:rFonts w:ascii="Arial" w:cs="Arial" w:eastAsia="Arial" w:hAnsi="Arial"/>
          <w:sz w:val="18"/>
          <w:szCs w:val="18"/>
          <w:color w:val="auto"/>
        </w:rPr>
        <w:t>. The form of Warrant need not be changed because of any adjustment pursuant to this Section 4, and Warrants issued after such adjustment may state the same Warrant Price and the same number of shares as is stated in the Warrants initially issued pursuant to this Warrant Agreement. However,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0" w:name="page141"/>
    <w:bookmarkEnd w:id="140"/>
    <w:p>
      <w:pPr>
        <w:jc w:val="both"/>
        <w:ind w:firstLine="648"/>
        <w:spacing w:after="0" w:line="288"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Notice of Certain Transactions</w:t>
      </w:r>
      <w:r>
        <w:rPr>
          <w:rFonts w:ascii="Arial" w:cs="Arial" w:eastAsia="Arial" w:hAnsi="Arial"/>
          <w:sz w:val="16"/>
          <w:szCs w:val="16"/>
          <w:color w:val="auto"/>
        </w:rPr>
        <w:t>. In the event that the Company shall (a) offer to holders of all its shares of Common Stock rights to subscribe for or to purchase any securities convertible into shares of Common Stock or shares of stock of any class or any other securities, rights or options, (b) issue any rights, options or warrants entitling all the holders of shares of Common Stock to subscribe for shares of Common Stock, or (c) make a tender offer, redemption offer or exchange offer with respect to the shares of Common Stock, the Company shall send to the Registered Holders a notice of such action or offer. Such notice shall be mailed to the Registered Holders at their addresses as they appear in the Warrant Register, which shall specify the record date for the purposes of such dividend, distribution or rights, or the date such issuance or event is to take place and the date of participation therein by the holders of shares of Common Stock, if any such date is to be fixed, and shall briefly indicate the effect of such action on the shares of Common Stock and on the number and kind of any other shares of stock and on other property, if any, and the number of shares of Common Stock and other property, if any, issuable upon exercise of each Warrant and the Warrant Price after giving effect to any adjustment pursuant to this Section 4 which would be required as a result of such action. Such notice shall be given as promptly as practicable after the Company has taken any such action.</w:t>
      </w:r>
    </w:p>
    <w:p>
      <w:pPr>
        <w:spacing w:after="0" w:line="168" w:lineRule="exact"/>
        <w:rPr>
          <w:sz w:val="20"/>
          <w:szCs w:val="20"/>
          <w:color w:val="auto"/>
        </w:rPr>
      </w:pPr>
    </w:p>
    <w:p>
      <w:pPr>
        <w:ind w:left="180" w:hanging="172"/>
        <w:spacing w:after="0"/>
        <w:tabs>
          <w:tab w:leader="none" w:pos="18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Transfer of Warrants</w:t>
      </w:r>
      <w:r>
        <w:rPr>
          <w:rFonts w:ascii="Arial" w:cs="Arial" w:eastAsia="Arial" w:hAnsi="Arial"/>
          <w:sz w:val="18"/>
          <w:szCs w:val="18"/>
          <w:color w:val="auto"/>
        </w:rPr>
        <w:t>. Prior to the Detachment Date, the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From and after the Detachment Date, this Section 5.1 will have no further force and effect.</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Registration of Transfer</w:t>
      </w:r>
      <w:r>
        <w:rPr>
          <w:rFonts w:ascii="Arial" w:cs="Arial" w:eastAsia="Arial" w:hAnsi="Arial"/>
          <w:sz w:val="16"/>
          <w:szCs w:val="16"/>
          <w:color w:val="auto"/>
        </w:rPr>
        <w:t>. The Warrant Agent shall register the transfer, from time to time, of any outstanding Warrant into the Warrant Register, upon surrender of such Warrant for transfer, properly endorsed with signatures properly guaranteed and accompanied by appropriate instructions for transfer. Upon any such transfer, a new Warrant representing an equal aggregate number of Warrants shall be issued and the old Warrant shall be cancelled by the Warrant Agent. The Warrants so cancelled shall be delivered by the Warrant Agent to the Company from time to time upon the Company’s request.</w:t>
      </w:r>
    </w:p>
    <w:p>
      <w:pPr>
        <w:spacing w:after="0" w:line="1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Procedure for Surrender of Warrants</w:t>
      </w:r>
      <w:r>
        <w:rPr>
          <w:rFonts w:ascii="Arial" w:cs="Arial" w:eastAsia="Arial" w:hAnsi="Arial"/>
          <w:sz w:val="18"/>
          <w:szCs w:val="18"/>
          <w:color w:val="auto"/>
        </w:rPr>
        <w:t>.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provided, however, that, in the event a Warrant surrendered for transfer bears a restrictive legend, the Warrant Agent shall not cancel such Warrant and shall issue new Warrants in exchange therefor until the Warrant Agent has received an opinion of counsel for the Company stating that such transfer may be made and indicating whether the new Warrants must also bear a restrictive legend.</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The Warrant Agent shall not be required to effect any registration of transfer or exchange which will result in the issuance of a warrant certificate for a fraction of a warrant.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Service Charges</w:t>
      </w:r>
      <w:r>
        <w:rPr>
          <w:rFonts w:ascii="Arial" w:cs="Arial" w:eastAsia="Arial" w:hAnsi="Arial"/>
          <w:sz w:val="18"/>
          <w:szCs w:val="18"/>
          <w:color w:val="auto"/>
        </w:rPr>
        <w:t>. No service charge shall be made for any exchange or registration of transfer of Warrants.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Warrant Execution and Countersignature</w:t>
      </w:r>
      <w:r>
        <w:rPr>
          <w:rFonts w:ascii="Arial" w:cs="Arial" w:eastAsia="Arial" w:hAnsi="Arial"/>
          <w:sz w:val="17"/>
          <w:szCs w:val="17"/>
          <w:color w:val="auto"/>
        </w:rPr>
        <w:t>. The Warrant Agent is hereby authorized to countersign and to deliver, in accordance with the terms of this Warrant Agreement, the Warrants required to be issued pursuant to the provisions of this Section 5, and the Company, whenever required by the Warrant Agent, will supply the Warrant Agent with Warrants duly executed on behalf of the Company for such purpose.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1" w:name="page142"/>
    <w:bookmarkEnd w:id="141"/>
    <w:p>
      <w:pPr>
        <w:ind w:left="180" w:hanging="172"/>
        <w:spacing w:after="0"/>
        <w:tabs>
          <w:tab w:leader="none" w:pos="18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Redemption</w:t>
      </w:r>
      <w:r>
        <w:rPr>
          <w:rFonts w:ascii="Arial" w:cs="Arial" w:eastAsia="Arial" w:hAnsi="Arial"/>
          <w:sz w:val="16"/>
          <w:szCs w:val="16"/>
          <w:color w:val="auto"/>
        </w:rPr>
        <w:t>. Subject to the second sentence of this Section 6.1, all (and not less than all) of the outstanding Warrants may be redeemed, in whole and not in part, at the option of the Company, at any time from and after the Warrants become exercisable, and prior to their expiration, at the office of the Warrant Agent, upon the notice referred to in Section 6.2, at the price of $0.01 per Warrant (“</w:t>
      </w:r>
      <w:r>
        <w:rPr>
          <w:rFonts w:ascii="Arial" w:cs="Arial" w:eastAsia="Arial" w:hAnsi="Arial"/>
          <w:sz w:val="16"/>
          <w:szCs w:val="16"/>
          <w:b w:val="1"/>
          <w:bCs w:val="1"/>
          <w:color w:val="auto"/>
        </w:rPr>
        <w:t>Redemption Price</w:t>
      </w:r>
      <w:r>
        <w:rPr>
          <w:rFonts w:ascii="Arial" w:cs="Arial" w:eastAsia="Arial" w:hAnsi="Arial"/>
          <w:sz w:val="16"/>
          <w:szCs w:val="16"/>
          <w:color w:val="auto"/>
        </w:rPr>
        <w:t>”); provided that the last sales price of the shares of Common Stock has been equal to or greater than $16.50 per share (subject to adjustment for splits, dividends, recapitalizations and other similar events), for any twenty (20)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30-day trading period and continuing each day thereafter until the Redemption Date (defined below). For avoidance of doubt, if and when the warrants become redeemable by the Company under this Section, the Company may exercise its redemption right, even if it is unable to register or qualify the Warrant Shares for sale under all applicable state securities laws.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Date Fixed for, and Notice of, Redemption</w:t>
      </w:r>
      <w:r>
        <w:rPr>
          <w:rFonts w:ascii="Arial" w:cs="Arial" w:eastAsia="Arial" w:hAnsi="Arial"/>
          <w:sz w:val="18"/>
          <w:szCs w:val="18"/>
          <w:color w:val="auto"/>
        </w:rPr>
        <w:t>. In the event the Company shall elect to redeem all of the Warrants, the Company shall fix a date for the redemption (the “</w:t>
      </w:r>
      <w:r>
        <w:rPr>
          <w:rFonts w:ascii="Arial" w:cs="Arial" w:eastAsia="Arial" w:hAnsi="Arial"/>
          <w:sz w:val="18"/>
          <w:szCs w:val="18"/>
          <w:b w:val="1"/>
          <w:bCs w:val="1"/>
          <w:color w:val="auto"/>
        </w:rPr>
        <w:t>Redemption Date</w:t>
      </w:r>
      <w:r>
        <w:rPr>
          <w:rFonts w:ascii="Arial" w:cs="Arial" w:eastAsia="Arial" w:hAnsi="Arial"/>
          <w:sz w:val="18"/>
          <w:szCs w:val="18"/>
          <w:color w:val="auto"/>
        </w:rPr>
        <w:t>”). Notice of redemption shall be mailed by first class mail, postage prepaid, by the Company not less than 30 days prior to the date fixed for redemption to the Registered Holders of the Warrants to be redeemed at their last addresses as they shall appear on the Warrant Register. Any notice mailed in the manner herein provided shall be conclusively presumed to have been duly given, whether or not the Registered Holder received such notice.</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Exercise After Notice of Redemption</w:t>
      </w:r>
      <w:r>
        <w:rPr>
          <w:rFonts w:ascii="Arial" w:cs="Arial" w:eastAsia="Arial" w:hAnsi="Arial"/>
          <w:sz w:val="17"/>
          <w:szCs w:val="17"/>
          <w:color w:val="auto"/>
        </w:rPr>
        <w:t>. The Warrants may be exercised in accordance with Section 3 of this Warrant Agreement at any time after notice of redemption shall have been given by the Company pursuant to Section 6.2 hereof and prior to the Redemption Date; provided that the Company may require the Registered Holder who desires to exercise the Warrant to elect cashless exercise as set forth under Section 3.3.2, and such Registered Holder must exercise the Warrants on a cashless basis if the Company so requires. On and after the Redemption Date, the Registered Holder of the Warrants shall have no further rights except to receive, upon surrender of the Warrants, the Redemption Price.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 Other Rights to Cash Payment</w:t>
      </w:r>
      <w:r>
        <w:rPr>
          <w:rFonts w:ascii="Arial" w:cs="Arial" w:eastAsia="Arial" w:hAnsi="Arial"/>
          <w:sz w:val="18"/>
          <w:szCs w:val="18"/>
          <w:color w:val="auto"/>
        </w:rPr>
        <w:t>. Except for a redemption in accordance with this Section 6, no Registered Holder of any Warrant shall be entitled to any cash payment whatsoever from the Company in connection with the ownership, exercise or surrender of any Warrant under this Warrant Agreement.</w:t>
      </w:r>
    </w:p>
    <w:p>
      <w:pPr>
        <w:spacing w:after="0" w:line="184" w:lineRule="exact"/>
        <w:rPr>
          <w:sz w:val="20"/>
          <w:szCs w:val="20"/>
          <w:color w:val="auto"/>
        </w:rPr>
      </w:pPr>
    </w:p>
    <w:p>
      <w:pPr>
        <w:ind w:left="180" w:hanging="172"/>
        <w:spacing w:after="0"/>
        <w:tabs>
          <w:tab w:leader="none" w:pos="18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Registered Holders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No Rights as Stockholder</w:t>
      </w:r>
      <w:r>
        <w:rPr>
          <w:rFonts w:ascii="Arial" w:cs="Arial" w:eastAsia="Arial" w:hAnsi="Arial"/>
          <w:sz w:val="17"/>
          <w:szCs w:val="17"/>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Lost, Stolen Mutilated or Destroyed Warrants</w:t>
      </w:r>
      <w:r>
        <w:rPr>
          <w:rFonts w:ascii="Arial" w:cs="Arial" w:eastAsia="Arial" w:hAnsi="Arial"/>
          <w:sz w:val="18"/>
          <w:szCs w:val="18"/>
          <w:color w:val="auto"/>
        </w:rPr>
        <w:t>. If any Warrant is lost, stolen, mutilated or destroyed, the Company and the Warrant Agent may, on such terms as to indemnity or otherwise as they may in their discretion impose (which terms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Reservation of shares of Common Stock</w:t>
      </w:r>
      <w:r>
        <w:rPr>
          <w:rFonts w:ascii="Arial" w:cs="Arial" w:eastAsia="Arial" w:hAnsi="Arial"/>
          <w:sz w:val="16"/>
          <w:szCs w:val="16"/>
          <w:color w:val="auto"/>
        </w:rPr>
        <w:t>. The Company shall at all times reserve and keep available a number of its authorized but unissued shares of Common Stock that will be sufficient to permit the exercise in full of all outstanding Warrants issued pursuant to this Warrant Agreement.</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Registration of shares of Common Stock</w:t>
      </w:r>
      <w:r>
        <w:rPr>
          <w:rFonts w:ascii="Arial" w:cs="Arial" w:eastAsia="Arial" w:hAnsi="Arial"/>
          <w:sz w:val="18"/>
          <w:szCs w:val="18"/>
          <w:color w:val="auto"/>
        </w:rPr>
        <w:t>. The Company agrees that as soon as practicable, but in no event later than thirty (30) business days after the closing of a Business Combination, it shall use its best efforts to file with the SEC a registration statement for the registration under the Act of the shares of Common Stock issuable upon exercise of the Warrants, and to cause the same to become effective and to maintain the effectiveness of such registration statement, and a current prospectus relating thereto, until the expiration of the Warrants in accordance with the provisions of this Warrant Agreement. In addition, the Company agrees to use its best efforts to register the shares of Common Stock issuable upon exercise of the Warrants under state blue sky laws, to the extent an exemption is not available.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2" w:name="page143"/>
    <w:bookmarkEnd w:id="142"/>
    <w:p>
      <w:pPr>
        <w:ind w:left="180" w:hanging="172"/>
        <w:spacing w:after="0"/>
        <w:tabs>
          <w:tab w:leader="none" w:pos="18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Concerning the Warrant Agent and Other Matters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will, from time to time, promptly pay all taxes and charges that may be imposed upon the Company or the Warrant Agent in respect of the issuance or delivery of shares of Common Stock upon the exercise of Warrants, but the Company shall not be obligated to pay any transfer taxes in respect of the Warrants or such shares.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Resignation, Consolidation, or Merger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u w:val="single" w:color="auto"/>
          <w:color w:val="auto"/>
        </w:rPr>
        <w:t>Appointment of Successor Warrant Agent</w:t>
      </w:r>
      <w:r>
        <w:rPr>
          <w:rFonts w:ascii="Arial" w:cs="Arial" w:eastAsia="Arial" w:hAnsi="Arial"/>
          <w:sz w:val="16"/>
          <w:szCs w:val="16"/>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30 days after it has been notified in writing of such resignation or incapacity by the Warrant Agent or by the Registered Holder of the Warrant (who shall, with such notice, submit his, her or its Warrant for inspection by the Company), then the Registered Holder of any Warrant may apply to the Supreme Court of the State of New York for the County of New York for the appointment of a successor Warrant Agent. Any successor Warrant Agent, whether appointed by the Company or by such court, shall be a corporation organized and existing under the laws of the State of New York, in good standing and having its principal office in the Borough of Manhattan, City and State of New York, and be authorized under such laws to exercise corporate trust powers and subject to supervision or examination by federal or state authorities.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67"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 xml:space="preserve">8.2.2 </w:t>
      </w:r>
      <w:r>
        <w:rPr>
          <w:rFonts w:ascii="Arial" w:cs="Arial" w:eastAsia="Arial" w:hAnsi="Arial"/>
          <w:sz w:val="16"/>
          <w:szCs w:val="16"/>
          <w:u w:val="single" w:color="auto"/>
          <w:color w:val="auto"/>
        </w:rPr>
        <w:t>Notice of Successor Warrant Agent</w:t>
      </w:r>
      <w:r>
        <w:rPr>
          <w:rFonts w:ascii="Arial" w:cs="Arial" w:eastAsia="Arial" w:hAnsi="Arial"/>
          <w:sz w:val="16"/>
          <w:szCs w:val="16"/>
          <w:color w:val="auto"/>
        </w:rPr>
        <w:t>. In the event a successor Warrant Agent shall be appointed, the Company shall give notice thereof to the predecessor Warrant Agent and the transfer agent for the shares of Common Stock not later than the effective date of any such appointment.</w:t>
      </w:r>
    </w:p>
    <w:p>
      <w:pPr>
        <w:spacing w:after="0" w:line="124"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 xml:space="preserve">8.2.3 </w:t>
      </w:r>
      <w:r>
        <w:rPr>
          <w:rFonts w:ascii="Arial" w:cs="Arial" w:eastAsia="Arial" w:hAnsi="Arial"/>
          <w:sz w:val="18"/>
          <w:szCs w:val="18"/>
          <w:u w:val="single" w:color="auto"/>
          <w:color w:val="auto"/>
        </w:rPr>
        <w:t>Merger or Consolidation of Warrant Agent</w:t>
      </w:r>
      <w:r>
        <w:rPr>
          <w:rFonts w:ascii="Arial" w:cs="Arial" w:eastAsia="Arial" w:hAnsi="Arial"/>
          <w:sz w:val="18"/>
          <w:szCs w:val="18"/>
          <w:color w:val="auto"/>
        </w:rPr>
        <w:t>. Any corporation into which the Warrant Agent may be merged or with which it may be consolidated or any corporation resulting from any merger or consolidation to which the Warrant Agent shall be a party shall be the successor Warrant Agent under this Warrant Agreement without any further act on the part of the Company or the Warrant Agent.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Fees and Expenses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8.3.1 </w:t>
      </w:r>
      <w:r>
        <w:rPr>
          <w:rFonts w:ascii="Arial" w:cs="Arial" w:eastAsia="Arial" w:hAnsi="Arial"/>
          <w:sz w:val="18"/>
          <w:szCs w:val="18"/>
          <w:u w:val="single" w:color="auto"/>
          <w:color w:val="auto"/>
        </w:rPr>
        <w:t>Remuneration</w:t>
      </w:r>
      <w:r>
        <w:rPr>
          <w:rFonts w:ascii="Arial" w:cs="Arial" w:eastAsia="Arial" w:hAnsi="Arial"/>
          <w:sz w:val="18"/>
          <w:szCs w:val="18"/>
          <w:color w:val="auto"/>
        </w:rPr>
        <w:t>. The Company agrees to pay the Warrant Agent reasonable remuneration for its services as Warrant Agent hereunder and will reimburse the Warrant Agent upon demand for all expenditures that the Warrant Agent may reasonably incur in the execution of its duties hereunder.</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Warrant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Liability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8.4.1 </w:t>
      </w:r>
      <w:r>
        <w:rPr>
          <w:rFonts w:ascii="Arial" w:cs="Arial" w:eastAsia="Arial" w:hAnsi="Arial"/>
          <w:sz w:val="16"/>
          <w:szCs w:val="16"/>
          <w:u w:val="single" w:color="auto"/>
          <w:color w:val="auto"/>
        </w:rPr>
        <w:t>Reliance on Company Statement</w:t>
      </w:r>
      <w:r>
        <w:rPr>
          <w:rFonts w:ascii="Arial" w:cs="Arial" w:eastAsia="Arial" w:hAnsi="Arial"/>
          <w:sz w:val="16"/>
          <w:szCs w:val="16"/>
          <w:color w:val="auto"/>
        </w:rPr>
        <w:t>. Whenever, in the performance of its duties under this Warrant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or Chairman of the Board of the Company and delivered to the Warrant Agent. The Warrant Agent may rely upon such statement for any action taken or suffered in good faith by it pursuant to the provisions of this Warrant Agreement.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3" w:name="page144"/>
    <w:bookmarkEnd w:id="143"/>
    <w:p>
      <w:pPr>
        <w:jc w:val="both"/>
        <w:ind w:firstLine="1296"/>
        <w:spacing w:after="0" w:line="259"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Indemnity</w:t>
      </w:r>
      <w:r>
        <w:rPr>
          <w:rFonts w:ascii="Arial" w:cs="Arial" w:eastAsia="Arial" w:hAnsi="Arial"/>
          <w:sz w:val="18"/>
          <w:szCs w:val="18"/>
          <w:color w:val="auto"/>
        </w:rPr>
        <w:t>. The Warrant Agent shall be liable hereunder only for its own gross negligence, willful misconduct or bad faith. The Company agrees to indemnify the Warrant Agent and hold it harmless against any and all liabilities, including judgments, costs and reasonable counsel fees, for anything done or omitted by the Warrant Agent in the execution of this Warrant Agreement, except as a result of the Warrant Agent’s gross negligence, willful misconduct or bad faith.</w:t>
      </w:r>
    </w:p>
    <w:p>
      <w:pPr>
        <w:spacing w:after="0" w:line="187"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8.4.3 </w:t>
      </w:r>
      <w:r>
        <w:rPr>
          <w:rFonts w:ascii="Arial" w:cs="Arial" w:eastAsia="Arial" w:hAnsi="Arial"/>
          <w:sz w:val="18"/>
          <w:szCs w:val="18"/>
          <w:u w:val="single" w:color="auto"/>
          <w:color w:val="auto"/>
        </w:rPr>
        <w:t>Exclusions</w:t>
      </w:r>
      <w:r>
        <w:rPr>
          <w:rFonts w:ascii="Arial" w:cs="Arial" w:eastAsia="Arial" w:hAnsi="Arial"/>
          <w:sz w:val="18"/>
          <w:szCs w:val="18"/>
          <w:color w:val="auto"/>
        </w:rPr>
        <w:t>. The Warrant Agent shall have no responsibility with respect to the validity of this Warrant Agreement or with respect to the validity or execution of any Warrant (except its countersignature thereof); nor shall it be responsible for any breach by the Company of any covenant or condition contained in this Warrant Agreement or in any Warrant; nor shall it be responsible to make any adjustments required under the provisions of Section 4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Warrant Agreement or any Warrant or as to whether any shares of Common Stock will when issued be valid and fully paid and non-assessable.</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Acceptance of Agency</w:t>
      </w:r>
      <w:r>
        <w:rPr>
          <w:rFonts w:ascii="Arial" w:cs="Arial" w:eastAsia="Arial" w:hAnsi="Arial"/>
          <w:sz w:val="18"/>
          <w:szCs w:val="18"/>
          <w:color w:val="auto"/>
        </w:rPr>
        <w:t>. The Warrant Agent hereby accepts the agency established by this Warrant Agreement and agrees to perform the same upon the terms and conditions herein set forth and, among other things, shall account promptly to the Company with respect to Warrants exercised and concurrently account for, and pay to the Company, all moneys received by the Warrant Agent for the purchase of shares of the Company’s shares of Common Stock through the exercise of Warrants.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Waiver</w:t>
      </w:r>
      <w:r>
        <w:rPr>
          <w:rFonts w:ascii="Arial" w:cs="Arial" w:eastAsia="Arial" w:hAnsi="Arial"/>
          <w:sz w:val="18"/>
          <w:szCs w:val="18"/>
          <w:color w:val="auto"/>
        </w:rPr>
        <w:t>. The Warrant Agent hereby waives any right of set-off or any other right, title, interest or claim of any kind (“Claim”) in or to any distribution of the Trust Account (as defined in that certain Investment Management Trust Agreement, dated as of the date hereof, by and between the Company and the Warrant Agent as trustee thereunder) and hereby agrees not to seek recourse, reimbursement, payment or satisfaction for any Claim against the Trust Account for any reason whatsoever.</w:t>
      </w:r>
    </w:p>
    <w:p>
      <w:pPr>
        <w:spacing w:after="0" w:line="187" w:lineRule="exact"/>
        <w:rPr>
          <w:sz w:val="20"/>
          <w:szCs w:val="20"/>
          <w:color w:val="auto"/>
        </w:rPr>
      </w:pPr>
    </w:p>
    <w:p>
      <w:pPr>
        <w:ind w:left="180" w:hanging="172"/>
        <w:spacing w:after="0"/>
        <w:tabs>
          <w:tab w:leader="none" w:pos="18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Warrant Agreement by or for the benefit of the Company or the Warrant Agent shall bind and inure to the benefit of their respective successors and assigns.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statement or demand authorized by this Warrant Agreement to be given or made by the Warrant Agent or by the Registered Holder of any Warrant to or on the Company shall be delivered by hand or sent by registered or certified mail or overnight courier service, addressed (until another address is filed in writing by the Company with the Warrant Agent) as follows: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Ventoux CCM Acquisition Corp.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 East Putnam Avenue, Floor 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Loeb &amp; Loeb LLP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Giovanni Caruso</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4" w:name="page145"/>
    <w:bookmarkEnd w:id="144"/>
    <w:p>
      <w:pPr>
        <w:jc w:val="both"/>
        <w:spacing w:after="0" w:line="255" w:lineRule="auto"/>
        <w:rPr>
          <w:sz w:val="20"/>
          <w:szCs w:val="20"/>
          <w:color w:val="auto"/>
        </w:rPr>
      </w:pPr>
      <w:r>
        <w:rPr>
          <w:rFonts w:ascii="Arial" w:cs="Arial" w:eastAsia="Arial" w:hAnsi="Arial"/>
          <w:sz w:val="18"/>
          <w:szCs w:val="18"/>
          <w:color w:val="auto"/>
        </w:rPr>
        <w:t>Any notice, statement or demand authorized by this Warrant Agreement to be given or made by the Registered Holder of any Warrant or by the Company to or on the Warrant Agent shall be delivered by hand or sent by registered or certified mail or overnight courier service, addressed (until another address is filed in writing by the Warrant Agent with the Company), as follows:</w:t>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Continental Stock Transfer &amp; Trust Company</w:t>
      </w:r>
    </w:p>
    <w:p>
      <w:pPr>
        <w:ind w:left="1300"/>
        <w:spacing w:after="0" w:line="19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ind w:left="1300"/>
        <w:spacing w:after="0"/>
        <w:rPr>
          <w:sz w:val="20"/>
          <w:szCs w:val="20"/>
          <w:color w:val="auto"/>
        </w:rPr>
      </w:pPr>
      <w:r>
        <w:rPr>
          <w:rFonts w:ascii="Arial" w:cs="Arial" w:eastAsia="Arial" w:hAnsi="Arial"/>
          <w:sz w:val="18"/>
          <w:szCs w:val="18"/>
          <w:color w:val="auto"/>
        </w:rPr>
        <w:t>New York, New York 10004</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notice, sent pursuant to this Warrant Agreement shall be effective, if delivered by hand, upon receipt thereof by the party to whom it is addressed, if sent by overnight courier, on the next business day of the delivery to the courier, and if sent by registered or certified mail on the third day after registration or certification thereof.</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Applicable Law</w:t>
      </w:r>
      <w:r>
        <w:rPr>
          <w:rFonts w:ascii="Arial" w:cs="Arial" w:eastAsia="Arial" w:hAnsi="Arial"/>
          <w:sz w:val="17"/>
          <w:szCs w:val="17"/>
          <w:color w:val="auto"/>
        </w:rPr>
        <w:t>. The validity, interpretation, and performance of this Warrant Agreement and of the Warrants shall be governed in all respects by the laws of the State of New York, without giving effect to conflict of laws. Subject to applicable law, the Company and the Warrant Agent hereby agree that any action, proceeding or claim against either of them arising out of or relating in any way to this Warrant Agreement shall be brought and enforced in the courts of the State of New York or the United States District Court for the Southern District of New York, and irrevocably submits to such jurisdiction, which jurisdiction shall be exclusive forum for any such action, proceeding or claim. The Company and the Warrant Agent hereby waive any objection to such exclusive jurisdiction and that such courts represent an inconvenient forum. Notwithstanding the foregoing, the provisions of this paragraph will not apply to suits brought to enforce any liability or duty created by the Exchange Act or any other claim for which the federal district courts of the United States of America are the sole and exclusive forum.</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Any person or entity purchasing or otherwise acquiring any interest in the Warrants shall be deemed to have notice of and to have consented to the forum provisions in this </w:t>
      </w:r>
      <w:r>
        <w:rPr>
          <w:rFonts w:ascii="Arial" w:cs="Arial" w:eastAsia="Arial" w:hAnsi="Arial"/>
          <w:sz w:val="17"/>
          <w:szCs w:val="17"/>
          <w:u w:val="single" w:color="auto"/>
          <w:color w:val="auto"/>
        </w:rPr>
        <w:t>Section 9.3</w:t>
      </w:r>
      <w:r>
        <w:rPr>
          <w:rFonts w:ascii="Arial" w:cs="Arial" w:eastAsia="Arial" w:hAnsi="Arial"/>
          <w:sz w:val="17"/>
          <w:szCs w:val="17"/>
          <w:color w:val="auto"/>
        </w:rPr>
        <w:t>. If any action, the subject matter of which is within the scope the forum provisions above, is filed in a court other than a court located within the State of New York or the United States District Court for the Southern District of New York (a “</w:t>
      </w:r>
      <w:r>
        <w:rPr>
          <w:rFonts w:ascii="Arial" w:cs="Arial" w:eastAsia="Arial" w:hAnsi="Arial"/>
          <w:sz w:val="17"/>
          <w:szCs w:val="17"/>
          <w:b w:val="1"/>
          <w:bCs w:val="1"/>
          <w:color w:val="auto"/>
        </w:rPr>
        <w:t>foreign action</w:t>
      </w:r>
      <w:r>
        <w:rPr>
          <w:rFonts w:ascii="Arial" w:cs="Arial" w:eastAsia="Arial" w:hAnsi="Arial"/>
          <w:sz w:val="17"/>
          <w:szCs w:val="17"/>
          <w:color w:val="auto"/>
        </w:rPr>
        <w:t>”) in the name of any Warrant holder, such Warrant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w:t>
      </w:r>
      <w:r>
        <w:rPr>
          <w:rFonts w:ascii="Arial" w:cs="Arial" w:eastAsia="Arial" w:hAnsi="Arial"/>
          <w:sz w:val="17"/>
          <w:szCs w:val="17"/>
          <w:b w:val="1"/>
          <w:bCs w:val="1"/>
          <w:color w:val="auto"/>
        </w:rPr>
        <w:t>enforcement action</w:t>
      </w:r>
      <w:r>
        <w:rPr>
          <w:rFonts w:ascii="Arial" w:cs="Arial" w:eastAsia="Arial" w:hAnsi="Arial"/>
          <w:sz w:val="17"/>
          <w:szCs w:val="17"/>
          <w:color w:val="auto"/>
        </w:rPr>
        <w:t>”), and (y) having service of process made upon such Warrant holder in any such enforcement action by service upon such Warrant holder's counsel in the foreign action as agent for such Warrant holder.</w:t>
      </w:r>
    </w:p>
    <w:p>
      <w:pPr>
        <w:spacing w:after="0" w:line="17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Any such process or summons to be served upon the Company or the Warrant Agent may be served by transmitting a copy thereof by registered or certified mail, return receipt requested, postage prepaid, addressed to it at the address set forth in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hereof. Such mailing shall be deemed personal service and shall be legal and binding upon the party receiving such service in any action, proceeding or claim.</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Persons Having Rights under this Warrant Agreement</w:t>
      </w:r>
      <w:r>
        <w:rPr>
          <w:rFonts w:ascii="Arial" w:cs="Arial" w:eastAsia="Arial" w:hAnsi="Arial"/>
          <w:sz w:val="18"/>
          <w:szCs w:val="18"/>
          <w:color w:val="auto"/>
        </w:rPr>
        <w:t xml:space="preserve">. Nothing in this Warrant Agreement expressed and nothing that may be implied from any of the provisions hereof is intended, or shall be construed, to confer upon, or give to, any person or corporation other than the parties hereto and the Registered Holders of the Warrants and, for the purposes of </w:t>
      </w:r>
      <w:r>
        <w:rPr>
          <w:rFonts w:ascii="Arial" w:cs="Arial" w:eastAsia="Arial" w:hAnsi="Arial"/>
          <w:sz w:val="18"/>
          <w:szCs w:val="18"/>
          <w:u w:val="single" w:color="auto"/>
          <w:color w:val="auto"/>
        </w:rPr>
        <w:t>Sections 2.5</w:t>
      </w:r>
      <w:r>
        <w:rPr>
          <w:rFonts w:ascii="Arial" w:cs="Arial" w:eastAsia="Arial" w:hAnsi="Arial"/>
          <w:sz w:val="18"/>
          <w:szCs w:val="18"/>
          <w:color w:val="auto"/>
        </w:rPr>
        <w:t xml:space="preserve"> hereof, the Representative and the underwriters, any right, remedy, or claim under or by reason of this Warrant Agreement or of any covenant, condition, stipulation, promise, or agreement hereof. All covenants, conditions, stipulations, promises, and agreements contained in this Warrant Agreement shall be for the sole and exclusive benefit of the parties hereto and their successors and assigns and of the Registered Holders of the Warrants.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Examination of the Warrant Agreement</w:t>
      </w:r>
      <w:r>
        <w:rPr>
          <w:rFonts w:ascii="Arial" w:cs="Arial" w:eastAsia="Arial" w:hAnsi="Arial"/>
          <w:sz w:val="18"/>
          <w:szCs w:val="18"/>
          <w:color w:val="auto"/>
        </w:rPr>
        <w:t>. A copy of this Warrant Agreement shall be available at all reasonable times at the office of the Warrant Agent in the Borough of Manhattan, City and State of New York, for inspection by the Registered Holder of any Warrant. The Warrant Agent may require any such Registered Holder to submit his, her or its Warrant for inspection.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Counterparts- Facsimile Signatures</w:t>
      </w:r>
      <w:r>
        <w:rPr>
          <w:rFonts w:ascii="Arial" w:cs="Arial" w:eastAsia="Arial" w:hAnsi="Arial"/>
          <w:sz w:val="18"/>
          <w:szCs w:val="18"/>
          <w:color w:val="auto"/>
        </w:rPr>
        <w:t>. This Warrant Agreement may be executed in any number of counterparts, and each of such counterparts shall, for all purposes, be deemed to be an original, and all such counterparts shall together constitute one and the same instrument. Facsimile signatures shall constitute original signatures for all purposes of this Warrant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5" w:name="page146"/>
    <w:bookmarkEnd w:id="145"/>
    <w:p>
      <w:pPr>
        <w:jc w:val="both"/>
        <w:ind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Warrant Agreement and shall not affect the interpretation thereof</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Amendments</w:t>
      </w:r>
      <w:r>
        <w:rPr>
          <w:rFonts w:ascii="Arial" w:cs="Arial" w:eastAsia="Arial" w:hAnsi="Arial"/>
          <w:sz w:val="17"/>
          <w:szCs w:val="17"/>
          <w:color w:val="auto"/>
        </w:rPr>
        <w:t>. This Warrant Agreement and any Warrant certificate may be amended by the parties hereto by executing a supplemental warrant agreement (a “</w:t>
      </w:r>
      <w:r>
        <w:rPr>
          <w:rFonts w:ascii="Arial" w:cs="Arial" w:eastAsia="Arial" w:hAnsi="Arial"/>
          <w:sz w:val="17"/>
          <w:szCs w:val="17"/>
          <w:b w:val="1"/>
          <w:bCs w:val="1"/>
          <w:color w:val="auto"/>
        </w:rPr>
        <w:t>Supplemental Agreement</w:t>
      </w:r>
      <w:r>
        <w:rPr>
          <w:rFonts w:ascii="Arial" w:cs="Arial" w:eastAsia="Arial" w:hAnsi="Arial"/>
          <w:sz w:val="17"/>
          <w:szCs w:val="17"/>
          <w:color w:val="auto"/>
        </w:rPr>
        <w:t>”), without the consent of any of the Warrant holders, for the purpose of (i) curing any ambiguity, or curing, correcting or supplementing any defective provision contained herein, or making any other provisions with respect to matters or questions arising under this Warrant Agreement that is not inconsistent with the provisions of this Warrant Agreement or the Warrant certificates, (ii) evidencing the succession of another corporation to the Company and the assumption by any such successor of the covenants of the Company contained in this Warrant Agreement and the Warrants, (iii) evidencing and providing for the acceptance of appointment by a successor Warrant Agent with respect to the Warrants, (iv) adding to the covenants of the Company for the benefit of the Registered Holders or surrendering any right or power conferred upon the Company under this Warrant Agreement, or (viii) amending this Warrant Agreement and the Warrants in any manner that the Company may deem to be necessary or desirable and that will not adversely affect the interests of the Registered Holders in any material respect. All other modifications or amendments to this Warrant Agreement, including any amendment to increase the Warrant Price or shorten the Exercise Period, shall require the written consent of the Registered Holders of a majority of the then outstanding Warrants. Notwithstanding the foregoing, the Company may extend the duration of the Exercise Period in accordance with Section 3.2 without such consent.</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Severability</w:t>
      </w:r>
      <w:r>
        <w:rPr>
          <w:rFonts w:ascii="Arial" w:cs="Arial" w:eastAsia="Arial" w:hAnsi="Arial"/>
          <w:sz w:val="18"/>
          <w:szCs w:val="18"/>
          <w:color w:val="auto"/>
        </w:rPr>
        <w:t>. This Warrant Agreement shall be deemed severable, and the invalidity or unenforceability of any term or provision hereof shall not affect the validity or enforceability of this Warrant Agreement or of any other term or provision hereof. Furthermore, in lieu of any such invalid or unenforceable term or provision, the parties hereto intend that there shall be added as a part of this Warrant Agreement a provision as similar in terms to such invalid or unenforceable provision as may be possible and be valid and enforceable.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6" w:name="page147"/>
    <w:bookmarkEnd w:id="146"/>
    <w:p>
      <w:pPr>
        <w:spacing w:after="0"/>
        <w:rPr>
          <w:sz w:val="20"/>
          <w:szCs w:val="20"/>
          <w:color w:val="auto"/>
        </w:rPr>
      </w:pPr>
      <w:r>
        <w:rPr>
          <w:rFonts w:ascii="Arial" w:cs="Arial" w:eastAsia="Arial" w:hAnsi="Arial"/>
          <w:sz w:val="17"/>
          <w:szCs w:val="17"/>
          <w:color w:val="auto"/>
        </w:rPr>
        <w:t>IN WITNESS WHEREOF, this Warrant Agreement has been duly executed by the parties hereto as of the day and year first above written.</w:t>
      </w:r>
    </w:p>
    <w:p>
      <w:pPr>
        <w:spacing w:after="0" w:line="233"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VENTOUX CCM ACQUISITION CORP.</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255460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Edward Scheetz</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CONTINENTAL STOCK TRANSFER &amp; TRUST</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COMPANY</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255460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180"/>
        <w:spacing w:after="0"/>
        <w:rPr>
          <w:sz w:val="20"/>
          <w:szCs w:val="20"/>
          <w:color w:val="auto"/>
        </w:rPr>
      </w:pPr>
      <w:r>
        <w:rPr>
          <w:rFonts w:ascii="Arial" w:cs="Arial" w:eastAsia="Arial" w:hAnsi="Arial"/>
          <w:sz w:val="18"/>
          <w:szCs w:val="18"/>
          <w:i w:val="1"/>
          <w:iCs w:val="1"/>
          <w:color w:val="auto"/>
        </w:rPr>
        <w:t>[Signature Page to Warrant Agreement]</w:t>
      </w:r>
    </w:p>
    <w:p>
      <w:pPr>
        <w:spacing w:after="0" w:line="200" w:lineRule="exact"/>
        <w:rPr>
          <w:sz w:val="20"/>
          <w:szCs w:val="20"/>
          <w:color w:val="auto"/>
        </w:rPr>
      </w:pPr>
    </w:p>
    <w:p>
      <w:pPr>
        <w:spacing w:after="0" w:line="234"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908" w:right="959"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Form of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294640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48" w:name="page149"/>
    <w:bookmarkEnd w:id="148"/>
    <w:p>
      <w:pPr>
        <w:jc w:val="right"/>
        <w:spacing w:after="0"/>
        <w:rPr>
          <w:sz w:val="20"/>
          <w:szCs w:val="20"/>
          <w:color w:val="auto"/>
        </w:rPr>
      </w:pPr>
      <w:r>
        <w:rPr>
          <w:rFonts w:ascii="Arial" w:cs="Arial" w:eastAsia="Arial" w:hAnsi="Arial"/>
          <w:sz w:val="22"/>
          <w:szCs w:val="22"/>
          <w:b w:val="1"/>
          <w:bCs w:val="1"/>
          <w:color w:val="auto"/>
        </w:rPr>
        <w:t>Exhibit 4.5</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Rights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made as of __________, 2020, by and between Ventoux CCM Acquisition Corp., a Delaware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Continental Stock Transfer &amp; Trust Company, a New York corporation (the “</w:t>
      </w:r>
      <w:r>
        <w:rPr>
          <w:rFonts w:ascii="Arial" w:cs="Arial" w:eastAsia="Arial" w:hAnsi="Arial"/>
          <w:sz w:val="18"/>
          <w:szCs w:val="18"/>
          <w:b w:val="1"/>
          <w:bCs w:val="1"/>
          <w:color w:val="auto"/>
        </w:rPr>
        <w:t>Rights Agent</w:t>
      </w:r>
      <w:r>
        <w:rPr>
          <w:rFonts w:ascii="Arial" w:cs="Arial" w:eastAsia="Arial" w:hAnsi="Arial"/>
          <w:sz w:val="18"/>
          <w:szCs w:val="18"/>
          <w:color w:val="auto"/>
        </w:rPr>
        <w:t>”).</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WHEREAS, the Company is engaged in a public offering (the “</w:t>
      </w:r>
      <w:r>
        <w:rPr>
          <w:rFonts w:ascii="Arial" w:cs="Arial" w:eastAsia="Arial" w:hAnsi="Arial"/>
          <w:sz w:val="18"/>
          <w:szCs w:val="18"/>
          <w:b w:val="1"/>
          <w:bCs w:val="1"/>
          <w:color w:val="auto"/>
        </w:rPr>
        <w:t>Public Offering</w:t>
      </w:r>
      <w:r>
        <w:rPr>
          <w:rFonts w:ascii="Arial" w:cs="Arial" w:eastAsia="Arial" w:hAnsi="Arial"/>
          <w:sz w:val="18"/>
          <w:szCs w:val="18"/>
          <w:color w:val="auto"/>
        </w:rPr>
        <w:t>”) of 15,000,000 units (the “</w:t>
      </w:r>
      <w:r>
        <w:rPr>
          <w:rFonts w:ascii="Arial" w:cs="Arial" w:eastAsia="Arial" w:hAnsi="Arial"/>
          <w:sz w:val="18"/>
          <w:szCs w:val="18"/>
          <w:b w:val="1"/>
          <w:bCs w:val="1"/>
          <w:color w:val="auto"/>
        </w:rPr>
        <w:t>Units</w:t>
      </w:r>
      <w:r>
        <w:rPr>
          <w:rFonts w:ascii="Arial" w:cs="Arial" w:eastAsia="Arial" w:hAnsi="Arial"/>
          <w:sz w:val="18"/>
          <w:szCs w:val="18"/>
          <w:color w:val="auto"/>
        </w:rPr>
        <w:t>”) of the Company (and up to 2,250,000 additional Units if the underwriters’ over-allotment option is exercised in full), each Unit consisting of one share of common stock, par value $0.0001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one right to receive one-twentieth of one share of Common Stock upon the happening of the triggering event described herein (the “</w:t>
      </w:r>
      <w:r>
        <w:rPr>
          <w:rFonts w:ascii="Arial" w:cs="Arial" w:eastAsia="Arial" w:hAnsi="Arial"/>
          <w:sz w:val="18"/>
          <w:szCs w:val="18"/>
          <w:b w:val="1"/>
          <w:bCs w:val="1"/>
          <w:color w:val="auto"/>
        </w:rPr>
        <w:t>Right</w:t>
      </w:r>
      <w:r>
        <w:rPr>
          <w:rFonts w:ascii="Arial" w:cs="Arial" w:eastAsia="Arial" w:hAnsi="Arial"/>
          <w:sz w:val="18"/>
          <w:szCs w:val="18"/>
          <w:color w:val="auto"/>
        </w:rPr>
        <w:t>”), and one warrant to purchase one-half of one share of Common Stock (the “</w:t>
      </w:r>
      <w:r>
        <w:rPr>
          <w:rFonts w:ascii="Arial" w:cs="Arial" w:eastAsia="Arial" w:hAnsi="Arial"/>
          <w:sz w:val="18"/>
          <w:szCs w:val="18"/>
          <w:b w:val="1"/>
          <w:bCs w:val="1"/>
          <w:color w:val="auto"/>
        </w:rPr>
        <w:t>Warrant</w:t>
      </w:r>
      <w:r>
        <w:rPr>
          <w:rFonts w:ascii="Arial" w:cs="Arial" w:eastAsia="Arial" w:hAnsi="Arial"/>
          <w:sz w:val="18"/>
          <w:szCs w:val="18"/>
          <w:color w:val="auto"/>
        </w:rPr>
        <w:t>”);</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WHEREAS, the Company has filed with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 Registration Statement on Form S-1, File No. 333-251048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and related Prospectus (the “</w:t>
      </w:r>
      <w:r>
        <w:rPr>
          <w:rFonts w:ascii="Arial" w:cs="Arial" w:eastAsia="Arial" w:hAnsi="Arial"/>
          <w:sz w:val="18"/>
          <w:szCs w:val="18"/>
          <w:b w:val="1"/>
          <w:bCs w:val="1"/>
          <w:color w:val="auto"/>
        </w:rPr>
        <w:t>Prospectus</w:t>
      </w:r>
      <w:r>
        <w:rPr>
          <w:rFonts w:ascii="Arial" w:cs="Arial" w:eastAsia="Arial" w:hAnsi="Arial"/>
          <w:sz w:val="18"/>
          <w:szCs w:val="18"/>
          <w:color w:val="auto"/>
        </w:rPr>
        <w:t>”) for the registration,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of, among other securities, the Rights and the shares of Common Stock issuable to the holders of the Rights;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Company desires the Rights Agent to act on behalf of the Company, and the Rights Agent is willing to so act, in connection with the issuance, registration, transfer and exchange of the Rights;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Company desires to provide for the form and provisions of the Rights, the terms upon which they shall be issued, and the respective rights, limitation of rights, and immunities of the Company, the Rights Agent, and the holders of the Rights; and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WHEREAS, all acts and things have been done and performed which are necessary to make the Rights, when executed on behalf of the Company and countersigned by or on behalf of the Rights Agent, as provided herein, the valid, binding and legal obligations of the Company, and to authorize the execution and delivery of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ind w:right="20" w:firstLine="8"/>
        <w:spacing w:after="0" w:line="308" w:lineRule="auto"/>
        <w:tabs>
          <w:tab w:leader="none" w:pos="193"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Appointment of Rights Agent</w:t>
      </w:r>
      <w:r>
        <w:rPr>
          <w:rFonts w:ascii="Arial" w:cs="Arial" w:eastAsia="Arial" w:hAnsi="Arial"/>
          <w:sz w:val="17"/>
          <w:szCs w:val="17"/>
          <w:color w:val="auto"/>
        </w:rPr>
        <w:t>. The Company hereby appoints the Rights Agent to act as agent for the Company for the Rights, and the Rights Agent hereby accepts such appointment and agrees to perform the same in accordance with the terms and conditions set forth in this Agreement.</w:t>
      </w:r>
    </w:p>
    <w:p>
      <w:pPr>
        <w:spacing w:after="0" w:line="146" w:lineRule="exact"/>
        <w:rPr>
          <w:rFonts w:ascii="Arial" w:cs="Arial" w:eastAsia="Arial" w:hAnsi="Arial"/>
          <w:sz w:val="17"/>
          <w:szCs w:val="17"/>
          <w:color w:val="auto"/>
        </w:rPr>
      </w:pPr>
    </w:p>
    <w:p>
      <w:pPr>
        <w:ind w:left="180" w:hanging="172"/>
        <w:spacing w:after="0"/>
        <w:tabs>
          <w:tab w:leader="none" w:pos="18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Rights</w:t>
      </w:r>
      <w:r>
        <w:rPr>
          <w:rFonts w:ascii="Arial" w:cs="Arial" w:eastAsia="Arial" w:hAnsi="Arial"/>
          <w:sz w:val="18"/>
          <w:szCs w:val="18"/>
          <w:color w:val="auto"/>
        </w:rPr>
        <w: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 of Right</w:t>
      </w:r>
      <w:r>
        <w:rPr>
          <w:rFonts w:ascii="Arial" w:cs="Arial" w:eastAsia="Arial" w:hAnsi="Arial"/>
          <w:sz w:val="18"/>
          <w:szCs w:val="18"/>
          <w:color w:val="auto"/>
        </w:rPr>
        <w:t xml:space="preserve">. Each Right shall be issued in registered form only, shall be in substantially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provisions of which are incorporated herein and shall be signed by, or bear the facsimile signature of, the Chairman of the Board, the Chief Executive Officer or the Chief Financial Officer of the Company. In the event the person whose facsimile signature has been placed upon any Right shall have ceased to serve in the capacity in which such person signed the Right before such Right is issued, it may be issued with the same effect as if he or she had not ceased to be such at the date of issuance.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Effect of Countersignature</w:t>
      </w:r>
      <w:r>
        <w:rPr>
          <w:rFonts w:ascii="Arial" w:cs="Arial" w:eastAsia="Arial" w:hAnsi="Arial"/>
          <w:sz w:val="18"/>
          <w:szCs w:val="18"/>
          <w:color w:val="auto"/>
        </w:rPr>
        <w:t>. Unless and until countersigned by the Rights Agent pursuant to this Agreement, a Right shall be invalid and of no effect and may not be exchanged for shares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2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2.3.1. </w:t>
      </w:r>
      <w:r>
        <w:rPr>
          <w:rFonts w:ascii="Arial" w:cs="Arial" w:eastAsia="Arial" w:hAnsi="Arial"/>
          <w:sz w:val="17"/>
          <w:szCs w:val="17"/>
          <w:u w:val="single" w:color="auto"/>
          <w:color w:val="auto"/>
        </w:rPr>
        <w:t>Right Register</w:t>
      </w:r>
      <w:r>
        <w:rPr>
          <w:rFonts w:ascii="Arial" w:cs="Arial" w:eastAsia="Arial" w:hAnsi="Arial"/>
          <w:sz w:val="17"/>
          <w:szCs w:val="17"/>
          <w:color w:val="auto"/>
        </w:rPr>
        <w:t>. The Rights Agent shall maintain books (the “</w:t>
      </w:r>
      <w:r>
        <w:rPr>
          <w:rFonts w:ascii="Arial" w:cs="Arial" w:eastAsia="Arial" w:hAnsi="Arial"/>
          <w:sz w:val="17"/>
          <w:szCs w:val="17"/>
          <w:b w:val="1"/>
          <w:bCs w:val="1"/>
          <w:color w:val="auto"/>
        </w:rPr>
        <w:t>Right Register</w:t>
      </w:r>
      <w:r>
        <w:rPr>
          <w:rFonts w:ascii="Arial" w:cs="Arial" w:eastAsia="Arial" w:hAnsi="Arial"/>
          <w:sz w:val="17"/>
          <w:szCs w:val="17"/>
          <w:color w:val="auto"/>
        </w:rPr>
        <w:t>”) for the registration of original issuance and the registration of transfer of the Rights. Upon the initial issuance of the Rights, the Rights Agent shall issue and register the Rights in the names of the respective holders thereof in such denominations and otherwise in accordance with instructions delivered to the Rights Agent by the Company.</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Registered Holder</w:t>
      </w:r>
      <w:r>
        <w:rPr>
          <w:rFonts w:ascii="Arial" w:cs="Arial" w:eastAsia="Arial" w:hAnsi="Arial"/>
          <w:sz w:val="18"/>
          <w:szCs w:val="18"/>
          <w:color w:val="auto"/>
        </w:rPr>
        <w:t>. Prior to due presentment for registration of transfer of any Right, the Company and the Rights Agent may deem and treat the person in whose name such Right shall be registered upon the Right Register (the “</w:t>
      </w:r>
      <w:r>
        <w:rPr>
          <w:rFonts w:ascii="Arial" w:cs="Arial" w:eastAsia="Arial" w:hAnsi="Arial"/>
          <w:sz w:val="18"/>
          <w:szCs w:val="18"/>
          <w:b w:val="1"/>
          <w:bCs w:val="1"/>
          <w:color w:val="auto"/>
        </w:rPr>
        <w:t>registered holder</w:t>
      </w:r>
      <w:r>
        <w:rPr>
          <w:rFonts w:ascii="Arial" w:cs="Arial" w:eastAsia="Arial" w:hAnsi="Arial"/>
          <w:sz w:val="18"/>
          <w:szCs w:val="18"/>
          <w:color w:val="auto"/>
        </w:rPr>
        <w:t>”) as the absolute owner of such Right and of each Right represented thereby (notwithstanding any notation of ownership or other writing on the Right Certificate made by anyone other than the Company or the Rights Agent), for the purpose of the exchange thereof, and for all other purposes, and neither the Company nor the Rights Agent shall be affected by any notice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9" w:name="page150"/>
    <w:bookmarkEnd w:id="149"/>
    <w:p>
      <w:pPr>
        <w:jc w:val="both"/>
        <w:spacing w:after="0" w:line="254"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Detachability of Rights</w:t>
      </w:r>
      <w:r>
        <w:rPr>
          <w:rFonts w:ascii="Arial" w:cs="Arial" w:eastAsia="Arial" w:hAnsi="Arial"/>
          <w:sz w:val="18"/>
          <w:szCs w:val="18"/>
          <w:color w:val="auto"/>
        </w:rPr>
        <w:t>. Each of the securities comprising the Units will begin to trade separately on (i) the 90th day after the effectiveness of the Registration Statement, or (ii) such earlier date as Chardan Capital Markets, LLC, as representative of the underwriters, shall determine is acceptable (such date, the “</w:t>
      </w:r>
      <w:r>
        <w:rPr>
          <w:rFonts w:ascii="Arial" w:cs="Arial" w:eastAsia="Arial" w:hAnsi="Arial"/>
          <w:sz w:val="18"/>
          <w:szCs w:val="18"/>
          <w:b w:val="1"/>
          <w:bCs w:val="1"/>
          <w:color w:val="auto"/>
        </w:rPr>
        <w:t>Detachment Date</w:t>
      </w:r>
      <w:r>
        <w:rPr>
          <w:rFonts w:ascii="Arial" w:cs="Arial" w:eastAsia="Arial" w:hAnsi="Arial"/>
          <w:sz w:val="18"/>
          <w:szCs w:val="18"/>
          <w:color w:val="auto"/>
        </w:rPr>
        <w:t>”). In no event will separate trading of the securities comprising the Units commence until the Company (i) files a Current Report on Form 8-K with the SEC including audited balance sheet reflecting the Company’s receipt of the gross proceeds of the Public Offering and (ii) issues a press release announcing when such separate trading will begin. Upon the Detachment Date, the Units will no longer trade, and each holder of Units will become, without any action by such holder, the holder of that number of shares of Common Stock, Warrants and Rights comprising the Units held by such holder.</w:t>
      </w:r>
    </w:p>
    <w:p>
      <w:pPr>
        <w:spacing w:after="0" w:line="195" w:lineRule="exact"/>
        <w:rPr>
          <w:sz w:val="20"/>
          <w:szCs w:val="20"/>
          <w:color w:val="auto"/>
        </w:rPr>
      </w:pPr>
    </w:p>
    <w:p>
      <w:pPr>
        <w:ind w:left="180" w:hanging="172"/>
        <w:spacing w:after="0"/>
        <w:tabs>
          <w:tab w:leader="none" w:pos="18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Terms and Exchange of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Rights</w:t>
      </w:r>
      <w:r>
        <w:rPr>
          <w:rFonts w:ascii="Arial" w:cs="Arial" w:eastAsia="Arial" w:hAnsi="Arial"/>
          <w:sz w:val="18"/>
          <w:szCs w:val="18"/>
          <w:color w:val="auto"/>
        </w:rPr>
        <w:t>. Each Right shall entitle the holder thereof to receive one-twentieth of one share of Common Stock upon the happening of an Exchange Event (defined below). No additional consideration shall be paid by a holder of Rights in order to receive his, her or its shares of Common Stock upon an Exchange Event as the purchase price for such shares of Common Stock has been included in the purchase price for the Units. In no event will the Company be required to net cash settle the Rights or issue fractional shares of Common Stock.</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Exchange Event</w:t>
      </w:r>
      <w:r>
        <w:rPr>
          <w:rFonts w:ascii="Arial" w:cs="Arial" w:eastAsia="Arial" w:hAnsi="Arial"/>
          <w:sz w:val="18"/>
          <w:szCs w:val="18"/>
          <w:color w:val="auto"/>
        </w:rPr>
        <w:t>. An “</w:t>
      </w:r>
      <w:r>
        <w:rPr>
          <w:rFonts w:ascii="Arial" w:cs="Arial" w:eastAsia="Arial" w:hAnsi="Arial"/>
          <w:sz w:val="18"/>
          <w:szCs w:val="18"/>
          <w:b w:val="1"/>
          <w:bCs w:val="1"/>
          <w:color w:val="auto"/>
        </w:rPr>
        <w:t>Exchange Event</w:t>
      </w:r>
      <w:r>
        <w:rPr>
          <w:rFonts w:ascii="Arial" w:cs="Arial" w:eastAsia="Arial" w:hAnsi="Arial"/>
          <w:sz w:val="18"/>
          <w:szCs w:val="18"/>
          <w:color w:val="auto"/>
        </w:rPr>
        <w:t>” shall occur upon the Company’s consummation of an initial Business Combination (as defined in the Company’s Amended and Restated Certificate of Incorporation).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Exchange of Rights</w:t>
      </w:r>
      <w:r>
        <w:rPr>
          <w:rFonts w:ascii="Arial" w:cs="Arial" w:eastAsia="Arial" w:hAnsi="Arial"/>
          <w:sz w:val="18"/>
          <w:szCs w:val="18"/>
          <w:color w:val="auto"/>
        </w:rPr>
        <w: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3.3.1. </w:t>
      </w:r>
      <w:r>
        <w:rPr>
          <w:rFonts w:ascii="Arial" w:cs="Arial" w:eastAsia="Arial" w:hAnsi="Arial"/>
          <w:sz w:val="17"/>
          <w:szCs w:val="17"/>
          <w:u w:val="single" w:color="auto"/>
          <w:color w:val="auto"/>
        </w:rPr>
        <w:t>Issuance of Shares of Common Stock</w:t>
      </w:r>
      <w:r>
        <w:rPr>
          <w:rFonts w:ascii="Arial" w:cs="Arial" w:eastAsia="Arial" w:hAnsi="Arial"/>
          <w:sz w:val="17"/>
          <w:szCs w:val="17"/>
          <w:color w:val="auto"/>
        </w:rPr>
        <w:t>. As soon as practicable upon the occurrence of an Exchange Event, the Company shall direct holders of the Rights to return their Rights Certificates to the Rights Agent. Upon receipt of a valid Rights Certificate, the Company shall issue to the registered holder of such Right(s) the number of full shares of Common Stock to which he, she or it is entitled, registered in such name or names as may be directed by him, her or it and issue to such registered holder(s) a certificate or book-entry position for the such shares. Notwithstanding the foregoing, or any provision contained in this Agreement to the contrary, in no event will the Company be required to net cash settle the Rights. The Company shall not issue fractional shares upon exchange of Rights. In the event that any holder would otherwise be entitled to any fractional share upon exchange of Rights, at the time of an Exchange Event, the Company will instruct the Right Agent how any such entitlement will be addressed. To the fullest extent permitted by the Company’s Amended and Restated Certificate of Incorporation the Company reserves the right to deal with any such fractional entitlement at the relevant time in any manner permitted by the Act and the Amended and Restated Certificate of Incorporation, which would include the rounding down of any entitlement to receive shares of Common Stock to the nearest whole share (and in effect extinguishing any fractional entitlement), or the holder being entitled to hold any remaining fractional entitlement (without any share being issued) and to aggregate the same with any future fractional entitlement to receive shares in the Company until the holder is entitled to receive a whole number. Any rounding down and extinguishment may be done with or without any in lieu cash payment or other compensation being made to the holder of the relevant Rights, such that value received on exchange of the Rights may be considered less than the value that the holder would otherwise expect to receive.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3.3.2. </w:t>
      </w:r>
      <w:r>
        <w:rPr>
          <w:rFonts w:ascii="Arial" w:cs="Arial" w:eastAsia="Arial" w:hAnsi="Arial"/>
          <w:sz w:val="18"/>
          <w:szCs w:val="18"/>
          <w:u w:val="single" w:color="auto"/>
          <w:color w:val="auto"/>
        </w:rPr>
        <w:t>Valid Issuance</w:t>
      </w:r>
      <w:r>
        <w:rPr>
          <w:rFonts w:ascii="Arial" w:cs="Arial" w:eastAsia="Arial" w:hAnsi="Arial"/>
          <w:sz w:val="18"/>
          <w:szCs w:val="18"/>
          <w:color w:val="auto"/>
        </w:rPr>
        <w:t>. All shares of Common Stock issued upon an Exchange Event in conformity with this Agreement shall be validly issued, fully paid and nonassessable.</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Date of Issuance</w:t>
      </w:r>
      <w:r>
        <w:rPr>
          <w:rFonts w:ascii="Arial" w:cs="Arial" w:eastAsia="Arial" w:hAnsi="Arial"/>
          <w:sz w:val="18"/>
          <w:szCs w:val="18"/>
          <w:color w:val="auto"/>
        </w:rPr>
        <w:t>. Each person in whose name any such certificate or book-entry position for shares of Common Stock is issued shall for all purposes be deemed to have become the holder of record of such shares on the date of the Exchange Event, irrespective of the date of delivery of such certificate or entry of position.</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3.3.4 </w:t>
      </w:r>
      <w:r>
        <w:rPr>
          <w:rFonts w:ascii="Arial" w:cs="Arial" w:eastAsia="Arial" w:hAnsi="Arial"/>
          <w:sz w:val="17"/>
          <w:szCs w:val="17"/>
          <w:u w:val="single" w:color="auto"/>
          <w:color w:val="auto"/>
        </w:rPr>
        <w:t>Company Not Surviving Following Exchange Event</w:t>
      </w:r>
      <w:r>
        <w:rPr>
          <w:rFonts w:ascii="Arial" w:cs="Arial" w:eastAsia="Arial" w:hAnsi="Arial"/>
          <w:sz w:val="17"/>
          <w:szCs w:val="17"/>
          <w:color w:val="auto"/>
        </w:rPr>
        <w:t>. Upon an Exchange Event in which the Company does not continue as the publicly held reporting entity, the definitive agreement will provide for the holders of Rights to receive the same per share consideration the holders of the shares of Common Stock will receive in such transaction, for the number of shares such holder is entitled to pursuant to Section 3.3.1 above. If the Company does not continue as the publicly held reporting entity upon an Exchange Event, each holder of a Right will be required to affirmatively convert his/her or its rights in order to receive the one-twentieth of one share underlying each right (without paying any additional consideration) upon consummation of the Exchange Event. In such a case, each holder of a Right will be required to indicate his, her or its election to convert the Rights into underlying shares of Common Stock as well as to return the original certificates evidencing the Rights to the Company.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0" w:name="page151"/>
    <w:bookmarkEnd w:id="150"/>
    <w:p>
      <w:pPr>
        <w:spacing w:after="0" w:line="27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Duration of Rights</w:t>
      </w:r>
      <w:r>
        <w:rPr>
          <w:rFonts w:ascii="Arial" w:cs="Arial" w:eastAsia="Arial" w:hAnsi="Arial"/>
          <w:sz w:val="18"/>
          <w:szCs w:val="18"/>
          <w:color w:val="auto"/>
        </w:rPr>
        <w:t>. If an Exchange Event does not occur within the time period set forth in the Company’s Amended and Restated Certificate of Incorporation, as the same may be amended from time to time, the Rights shall expire and shall be worthless.</w:t>
      </w:r>
    </w:p>
    <w:p>
      <w:pPr>
        <w:spacing w:after="0" w:line="170" w:lineRule="exact"/>
        <w:rPr>
          <w:sz w:val="20"/>
          <w:szCs w:val="20"/>
          <w:color w:val="auto"/>
        </w:rPr>
      </w:pPr>
    </w:p>
    <w:p>
      <w:pPr>
        <w:ind w:left="180" w:hanging="172"/>
        <w:spacing w:after="0"/>
        <w:tabs>
          <w:tab w:leader="none" w:pos="18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Rights</w:t>
      </w:r>
      <w:r>
        <w:rPr>
          <w:rFonts w:ascii="Arial" w:cs="Arial" w:eastAsia="Arial" w:hAnsi="Arial"/>
          <w:sz w:val="18"/>
          <w:szCs w:val="18"/>
          <w:color w:val="auto"/>
        </w:rPr>
        <w: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Registration of Transfer</w:t>
      </w:r>
      <w:r>
        <w:rPr>
          <w:rFonts w:ascii="Arial" w:cs="Arial" w:eastAsia="Arial" w:hAnsi="Arial"/>
          <w:sz w:val="17"/>
          <w:szCs w:val="17"/>
          <w:color w:val="auto"/>
        </w:rPr>
        <w:t>. The Rights Agent shall register the transfer, from time to time, of any outstanding Right upon the Right Register, upon surrender of such Right for transfer, properly endorsed with signatures properly guaranteed and accompanied by appropriate instructions for transfer. Upon any such transfer, a new Right representing an equal aggregate number of Rights shall be issued and the old Right shall be cancelled by the Rights Agent. The Rights so cancelled shall be delivered by the Rights Agent to the Company from time to time upon request.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Procedure for Surrender of Rights</w:t>
      </w:r>
      <w:r>
        <w:rPr>
          <w:rFonts w:ascii="Arial" w:cs="Arial" w:eastAsia="Arial" w:hAnsi="Arial"/>
          <w:sz w:val="18"/>
          <w:szCs w:val="18"/>
          <w:color w:val="auto"/>
        </w:rPr>
        <w:t>. Rights may be surrendered to the Rights Agent, together with a written request for exchange or transfer, and thereupon the Rights Agent shall issue in exchange therefor one or more new Rights as requested by the registered holder of the Rights so surrendered, representing an equal aggregate number of Rights; provided, however, that in the event that a Right surrendered for transfer bears a restrictive legend and the new Rights to be issued will not bear a restrictive legend, the Rights Agent shall not cancel such Right and issue new Rights in exchange therefor until the Rights Agent has received an opinion of counsel for the Company stating that such transfer may be made and indicating no restrictive legend is required.</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Fractional Rights</w:t>
      </w:r>
      <w:r>
        <w:rPr>
          <w:rFonts w:ascii="Arial" w:cs="Arial" w:eastAsia="Arial" w:hAnsi="Arial"/>
          <w:sz w:val="18"/>
          <w:szCs w:val="18"/>
          <w:color w:val="auto"/>
        </w:rPr>
        <w:t>. The Rights Agent shall not be required to effect any registration of transfer or exchange which will result in the issuance of a Right Certificate for a fraction of a Right.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Service Charges</w:t>
      </w:r>
      <w:r>
        <w:rPr>
          <w:rFonts w:ascii="Arial" w:cs="Arial" w:eastAsia="Arial" w:hAnsi="Arial"/>
          <w:sz w:val="18"/>
          <w:szCs w:val="18"/>
          <w:color w:val="auto"/>
        </w:rPr>
        <w:t>. No service charge shall be made for any exchange or registration of transfer of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Adjustments to Conversion Ratios</w:t>
      </w:r>
      <w:r>
        <w:rPr>
          <w:rFonts w:ascii="Arial" w:cs="Arial" w:eastAsia="Arial" w:hAnsi="Arial"/>
          <w:sz w:val="18"/>
          <w:szCs w:val="18"/>
          <w:color w:val="auto"/>
        </w:rPr>
        <w:t>. The number of shares of Common Stock that the holders of Rights are entitled to receive as a result of the occurrence of an Exchange Event shall be equitably adjusted to reflect appropriately the effect of any share split, reverse share split, share dividend, reorganization, recapitalization, reclassification, combination, exchange of shares or other like change with respect to the shares of Common Stock occurring on or after the date hereof and prior to the Exchange Event.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Right Execution and Countersignature</w:t>
      </w:r>
      <w:r>
        <w:rPr>
          <w:rFonts w:ascii="Arial" w:cs="Arial" w:eastAsia="Arial" w:hAnsi="Arial"/>
          <w:sz w:val="18"/>
          <w:szCs w:val="18"/>
          <w:color w:val="auto"/>
        </w:rPr>
        <w:t>. The Rights Agent is hereby authorized to countersign and to deliver, in accordance with the terms of this Agreement, the Rights required to be issued pursuant to the provisions of this Section 4, and the Company, whenever required by the Rights Agent, will supply the Rights Agent with Rights duly executed on behalf of the Company for such purpose.</w:t>
      </w:r>
    </w:p>
    <w:p>
      <w:pPr>
        <w:spacing w:after="0" w:line="184" w:lineRule="exact"/>
        <w:rPr>
          <w:sz w:val="20"/>
          <w:szCs w:val="20"/>
          <w:color w:val="auto"/>
        </w:rPr>
      </w:pPr>
    </w:p>
    <w:p>
      <w:pPr>
        <w:ind w:left="180" w:hanging="172"/>
        <w:spacing w:after="0"/>
        <w:tabs>
          <w:tab w:leader="none" w:pos="18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Holders of Rights</w:t>
      </w:r>
      <w:r>
        <w:rPr>
          <w:rFonts w:ascii="Arial" w:cs="Arial" w:eastAsia="Arial" w:hAnsi="Arial"/>
          <w:sz w:val="18"/>
          <w:szCs w:val="18"/>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Until the exchange of a Right for shares of Common Stock as provided for herein, a Right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Lost, Stolen, Mutilated, or Destroyed Rights</w:t>
      </w:r>
      <w:r>
        <w:rPr>
          <w:rFonts w:ascii="Arial" w:cs="Arial" w:eastAsia="Arial" w:hAnsi="Arial"/>
          <w:sz w:val="16"/>
          <w:szCs w:val="16"/>
          <w:color w:val="auto"/>
        </w:rPr>
        <w:t>. If any Right is lost, stolen, mutilated, or destroyed, the Company and the Rights Agent may on such terms as to indemnity or otherwise as they may in their discretion impose (which shall, in the case of a mutilated Right, include the surrender thereof), issue a new Right of like denomination, tenor, and date as the Right so lost, stolen, mutilated, or destroyed. Any such new Right shall constitute a substitute contractual obligation of the Company, whether or not the allegedly lost, stolen, mutilated, or destroyed Right shall be at any time enforceable by anyone.</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Reservation of Shares of Common Stock</w:t>
      </w:r>
      <w:r>
        <w:rPr>
          <w:rFonts w:ascii="Arial" w:cs="Arial" w:eastAsia="Arial" w:hAnsi="Arial"/>
          <w:sz w:val="18"/>
          <w:szCs w:val="18"/>
          <w:color w:val="auto"/>
        </w:rPr>
        <w:t>. The Company shall at all times reserve and keep available a number of its authorized but unissued shares of Common Stock that will be sufficient to permit the exchange of all outstanding Rights issued pursuant to this Agreement.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1" w:name="page152"/>
    <w:bookmarkEnd w:id="151"/>
    <w:p>
      <w:pPr>
        <w:ind w:left="180" w:hanging="172"/>
        <w:spacing w:after="0"/>
        <w:tabs>
          <w:tab w:leader="none" w:pos="18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Concerning the Rights Agent and Other Matters</w:t>
      </w:r>
      <w:r>
        <w:rPr>
          <w:rFonts w:ascii="Arial" w:cs="Arial" w:eastAsia="Arial" w:hAnsi="Arial"/>
          <w:sz w:val="18"/>
          <w:szCs w:val="18"/>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will from time to time promptly pay all taxes and charges that may be imposed upon the Company or the Rights Agent in respect of the issuance or delivery of shares of Common Stock upon the exchange of Rights, but the Company shall not be obligated to pay any transfer taxes in respect of the Rights or such shares of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Resignation, Consolidation, or Merger of Rights Agent</w:t>
      </w:r>
      <w:r>
        <w:rPr>
          <w:rFonts w:ascii="Arial" w:cs="Arial" w:eastAsia="Arial" w:hAnsi="Arial"/>
          <w:sz w:val="18"/>
          <w:szCs w:val="18"/>
          <w:color w:val="auto"/>
        </w:rPr>
        <w: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6.2.1. </w:t>
      </w:r>
      <w:r>
        <w:rPr>
          <w:rFonts w:ascii="Arial" w:cs="Arial" w:eastAsia="Arial" w:hAnsi="Arial"/>
          <w:sz w:val="17"/>
          <w:szCs w:val="17"/>
          <w:u w:val="single" w:color="auto"/>
          <w:color w:val="auto"/>
        </w:rPr>
        <w:t>Appointment of Successor Rights Agent</w:t>
      </w:r>
      <w:r>
        <w:rPr>
          <w:rFonts w:ascii="Arial" w:cs="Arial" w:eastAsia="Arial" w:hAnsi="Arial"/>
          <w:sz w:val="17"/>
          <w:szCs w:val="17"/>
          <w:color w:val="auto"/>
        </w:rPr>
        <w:t>. The Rights Agent, or any successor to it hereafter appointed, may resign its duties and be discharged from all further duties and liabilities hereunder after giving sixty (60) days’ notice in writing to the Company. If the office of the Rights Agent becomes vacant by resignation or incapacity to act or otherwise, the Company shall appoint in writing a successor Rights Agent in place of the Rights Agent. If the Company shall fail to make such appointment within a period of 30 days after it has been notified in writing of such resignation or incapacity by the Rights Agent or by the holder of the Right (who shall, with such notice, submit his, her or its Right for inspection by the Company), then the holder of any Right may apply to the Supreme Court of the State of New York for the County of New York for the appointment of a successor Rights Agent at the Company’s cost. Any successor Rights Agent, whether appointed by the Company or by such court, shall be a corporation organized and existing under the laws of the State of New York, in good standing and having its principal office in the Borough of Manhattan, City and State of New York, and authorized under such laws to exercise corporate trust powers and subject to supervision or examination by federal or state authority. After appointment, any successor Rights Agent shall be vested with all the authority, powers, rights, immunities, duties, and obligations of its predecessor Rights Agent with like effect as if originally named as Rights Agent hereunder, without any further act or deed; but if for any reason it becomes necessary or appropriate, the predecessor Rights Agent shall execute and deliver, at the expense of the Company, an instrument transferring to such successor Rights Agent all the authority, powers, and rights of such predecessor Rights Agent hereunder; and upon request of any successor Rights Agent the Company shall make, execute, acknowledge, and deliver any and all instruments in writing for more fully and effectually vesting in and confirming to such successor Rights Agent all such authority, powers, rights, immunities, duties, and obligations.</w:t>
      </w:r>
    </w:p>
    <w:p>
      <w:pPr>
        <w:spacing w:after="0" w:line="18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6.2.2. </w:t>
      </w:r>
      <w:r>
        <w:rPr>
          <w:rFonts w:ascii="Arial" w:cs="Arial" w:eastAsia="Arial" w:hAnsi="Arial"/>
          <w:sz w:val="17"/>
          <w:szCs w:val="17"/>
          <w:u w:val="single" w:color="auto"/>
          <w:color w:val="auto"/>
        </w:rPr>
        <w:t>Notice of Successor Rights Agent</w:t>
      </w:r>
      <w:r>
        <w:rPr>
          <w:rFonts w:ascii="Arial" w:cs="Arial" w:eastAsia="Arial" w:hAnsi="Arial"/>
          <w:sz w:val="17"/>
          <w:szCs w:val="17"/>
          <w:color w:val="auto"/>
        </w:rPr>
        <w:t>. In the event a successor Rights Agent shall be appointed, the Company shall give notice thereof to the predecessor Rights Agent and the transfer agent for the shares of Common Stock not later than the effective date of any such appointment.</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6.2.3. </w:t>
      </w:r>
      <w:r>
        <w:rPr>
          <w:rFonts w:ascii="Arial" w:cs="Arial" w:eastAsia="Arial" w:hAnsi="Arial"/>
          <w:sz w:val="18"/>
          <w:szCs w:val="18"/>
          <w:u w:val="single" w:color="auto"/>
          <w:color w:val="auto"/>
        </w:rPr>
        <w:t>Merger or Consolidation of Rights Agent</w:t>
      </w:r>
      <w:r>
        <w:rPr>
          <w:rFonts w:ascii="Arial" w:cs="Arial" w:eastAsia="Arial" w:hAnsi="Arial"/>
          <w:sz w:val="18"/>
          <w:szCs w:val="18"/>
          <w:color w:val="auto"/>
        </w:rPr>
        <w:t>. Any corporation into which the Rights Agent may be merged or with which it may be consolidated or any corporation resulting from any merger or consolidation to which the Rights Agent shall be a party shall be the successor Rights Agent under this Agreement without any further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Fees and Expenses of Rights Agent</w:t>
      </w:r>
      <w:r>
        <w:rPr>
          <w:rFonts w:ascii="Arial" w:cs="Arial" w:eastAsia="Arial" w:hAnsi="Arial"/>
          <w:sz w:val="18"/>
          <w:szCs w:val="18"/>
          <w:color w:val="auto"/>
        </w:rPr>
        <w:t>.</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 xml:space="preserve">6.3.1. </w:t>
      </w:r>
      <w:r>
        <w:rPr>
          <w:rFonts w:ascii="Arial" w:cs="Arial" w:eastAsia="Arial" w:hAnsi="Arial"/>
          <w:sz w:val="16"/>
          <w:szCs w:val="16"/>
          <w:u w:val="single" w:color="auto"/>
          <w:color w:val="auto"/>
        </w:rPr>
        <w:t>Remuneration</w:t>
      </w:r>
      <w:r>
        <w:rPr>
          <w:rFonts w:ascii="Arial" w:cs="Arial" w:eastAsia="Arial" w:hAnsi="Arial"/>
          <w:sz w:val="16"/>
          <w:szCs w:val="16"/>
          <w:color w:val="auto"/>
        </w:rPr>
        <w:t>. The Company agrees to pay the Rights Agent reasonable remuneration for its services as such Rights Agent hereunder and will reimburse the Rights Agent upon demand for all expenditures that the Rights Agent may reasonably incur in the execution of its duties hereunder.</w:t>
      </w:r>
    </w:p>
    <w:p>
      <w:pPr>
        <w:spacing w:after="0" w:line="12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6.3.2.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Rights Agent for the carrying out or performing of the provisions of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Liability of Rights Agent</w:t>
      </w:r>
      <w:r>
        <w:rPr>
          <w:rFonts w:ascii="Arial" w:cs="Arial" w:eastAsia="Arial" w:hAnsi="Arial"/>
          <w:sz w:val="18"/>
          <w:szCs w:val="18"/>
          <w:color w:val="auto"/>
        </w:rPr>
        <w: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6.4.1. </w:t>
      </w:r>
      <w:r>
        <w:rPr>
          <w:rFonts w:ascii="Arial" w:cs="Arial" w:eastAsia="Arial" w:hAnsi="Arial"/>
          <w:sz w:val="18"/>
          <w:szCs w:val="18"/>
          <w:u w:val="single" w:color="auto"/>
          <w:color w:val="auto"/>
        </w:rPr>
        <w:t>Reliance on Company Statement</w:t>
      </w:r>
      <w:r>
        <w:rPr>
          <w:rFonts w:ascii="Arial" w:cs="Arial" w:eastAsia="Arial" w:hAnsi="Arial"/>
          <w:sz w:val="18"/>
          <w:szCs w:val="18"/>
          <w:color w:val="auto"/>
        </w:rPr>
        <w:t>. Whenever in the performance of its duties under this Agreement, the Rights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or Chief Financial Officer and delivered to the Rights Agent. The Rights Agent may rely upon such statement for any action taken or suffered in good faith by it pursuant to the provisions of this Agreement.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6.4.2. </w:t>
      </w:r>
      <w:r>
        <w:rPr>
          <w:rFonts w:ascii="Arial" w:cs="Arial" w:eastAsia="Arial" w:hAnsi="Arial"/>
          <w:sz w:val="18"/>
          <w:szCs w:val="18"/>
          <w:u w:val="single" w:color="auto"/>
          <w:color w:val="auto"/>
        </w:rPr>
        <w:t>Indemnity</w:t>
      </w:r>
      <w:r>
        <w:rPr>
          <w:rFonts w:ascii="Arial" w:cs="Arial" w:eastAsia="Arial" w:hAnsi="Arial"/>
          <w:sz w:val="18"/>
          <w:szCs w:val="18"/>
          <w:color w:val="auto"/>
        </w:rPr>
        <w:t>. The Rights Agent shall be liable hereunder only for its own gross negligence, willful misconduct or bad faith. Subject to Section 6.6 below, the Company agrees to indemnify the Rights Agent and save it harmless against any and all liabilities, including judgments, costs and reasonable counsel fees, for anything done or omitted by the Rights Agent in the execution of this Agreement except as a result of the Rights Agent’s gross negligence, willful misconduct, or bad faith.</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2" w:name="page153"/>
    <w:bookmarkEnd w:id="152"/>
    <w:p>
      <w:pPr>
        <w:jc w:val="both"/>
        <w:spacing w:after="0" w:line="257" w:lineRule="auto"/>
        <w:rPr>
          <w:sz w:val="20"/>
          <w:szCs w:val="20"/>
          <w:color w:val="auto"/>
        </w:rPr>
      </w:pPr>
      <w:r>
        <w:rPr>
          <w:rFonts w:ascii="Arial" w:cs="Arial" w:eastAsia="Arial" w:hAnsi="Arial"/>
          <w:sz w:val="18"/>
          <w:szCs w:val="18"/>
          <w:color w:val="auto"/>
        </w:rPr>
        <w:t xml:space="preserve">6.4.3. </w:t>
      </w:r>
      <w:r>
        <w:rPr>
          <w:rFonts w:ascii="Arial" w:cs="Arial" w:eastAsia="Arial" w:hAnsi="Arial"/>
          <w:sz w:val="18"/>
          <w:szCs w:val="18"/>
          <w:u w:val="single" w:color="auto"/>
          <w:color w:val="auto"/>
        </w:rPr>
        <w:t>Exclusions</w:t>
      </w:r>
      <w:r>
        <w:rPr>
          <w:rFonts w:ascii="Arial" w:cs="Arial" w:eastAsia="Arial" w:hAnsi="Arial"/>
          <w:sz w:val="18"/>
          <w:szCs w:val="18"/>
          <w:color w:val="auto"/>
        </w:rPr>
        <w:t>. The Rights Agent shall have no responsibility with respect to the validity of this Agreement or with respect to the validity or execution of any Right (except its countersignature thereof); nor shall it be responsible for any breach by the Company of any covenant or condition contained in this Agreement or in any Right; nor shall it by any act hereunder be deemed to make any representation or warranty as to the authorization or reservation of any shares of Common Stock to be issued pursuant to this Agreement or any Right or as to whether any shares of Common Stock will when issued be valid and fully paid and nonassessable.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Acceptance of Agency</w:t>
      </w:r>
      <w:r>
        <w:rPr>
          <w:rFonts w:ascii="Arial" w:cs="Arial" w:eastAsia="Arial" w:hAnsi="Arial"/>
          <w:sz w:val="18"/>
          <w:szCs w:val="18"/>
          <w:color w:val="auto"/>
        </w:rPr>
        <w:t>. The Rights Agent hereby accepts the agency established by this Agreement and agrees to perform the same upon the terms and conditions herein set forth.</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Waiver</w:t>
      </w:r>
      <w:r>
        <w:rPr>
          <w:rFonts w:ascii="Arial" w:cs="Arial" w:eastAsia="Arial" w:hAnsi="Arial"/>
          <w:sz w:val="18"/>
          <w:szCs w:val="18"/>
          <w:color w:val="auto"/>
        </w:rPr>
        <w:t>. The Rights Agent hereby waives any right of set-off or any other right, title, interest or claim of any kind (“</w:t>
      </w:r>
      <w:r>
        <w:rPr>
          <w:rFonts w:ascii="Arial" w:cs="Arial" w:eastAsia="Arial" w:hAnsi="Arial"/>
          <w:sz w:val="18"/>
          <w:szCs w:val="18"/>
          <w:b w:val="1"/>
          <w:bCs w:val="1"/>
          <w:color w:val="auto"/>
        </w:rPr>
        <w:t>Claim</w:t>
      </w:r>
      <w:r>
        <w:rPr>
          <w:rFonts w:ascii="Arial" w:cs="Arial" w:eastAsia="Arial" w:hAnsi="Arial"/>
          <w:sz w:val="18"/>
          <w:szCs w:val="18"/>
          <w:color w:val="auto"/>
        </w:rPr>
        <w:t>”) in, or to any distribution of, the Trust Account (as defined in that certain Investment Management Trust Agreement, dated as of the date hereof, by and between the Company and the Rights Agent as trustee thereunder) and hereby agrees not to seek recourse, reimbursement, payment or satisfaction for any Claim against the Trust Account for any reason whatsoever.</w:t>
      </w:r>
    </w:p>
    <w:p>
      <w:pPr>
        <w:spacing w:after="0" w:line="184" w:lineRule="exact"/>
        <w:rPr>
          <w:sz w:val="20"/>
          <w:szCs w:val="20"/>
          <w:color w:val="auto"/>
        </w:rPr>
      </w:pPr>
    </w:p>
    <w:p>
      <w:pPr>
        <w:ind w:left="180" w:hanging="172"/>
        <w:spacing w:after="0"/>
        <w:tabs>
          <w:tab w:leader="none" w:pos="18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Agreement by or for the benefit of the Company or the Rights Agent shall bind and inure to the benefit of their respective successors and assigns.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Notices</w:t>
      </w:r>
      <w:r>
        <w:rPr>
          <w:rFonts w:ascii="Arial" w:cs="Arial" w:eastAsia="Arial" w:hAnsi="Arial"/>
          <w:sz w:val="16"/>
          <w:szCs w:val="16"/>
          <w:color w:val="auto"/>
        </w:rPr>
        <w:t>. Any notice, statement or demand authorized by this Agreement to be given or made by the Rights Agent or by the holder of any Right to or on the Company shall be sufficiently given when so delivered if by hand or overnight delivery or if sent by certified mail or private courier service within five days after deposit of such notice, postage prepaid, addressed (until another address is filed in writing by the Company with the Rights Agent), as follows: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Ventoux CCM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Greenwich, CT 06830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Giovanni Caruso</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Any notice, statement or demand authorized by this Agreement to be given or made by the holder of any Right or by the Company to or on the Rights Agent shall be sufficiently given when so delivered if by hand or overnight delivery or if sent by certified mail or private courier service within five days after deposit of such notice, postage prepaid, addressed (until another address is filed in writing by the Rights Agent with the Company), as follows: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Compliance Department</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Applicable Law and Exclusive Forum</w:t>
      </w:r>
      <w:r>
        <w:rPr>
          <w:rFonts w:ascii="Arial" w:cs="Arial" w:eastAsia="Arial" w:hAnsi="Arial"/>
          <w:sz w:val="17"/>
          <w:szCs w:val="17"/>
          <w:color w:val="auto"/>
        </w:rPr>
        <w:t>. The validity, interpretation, and performance of this Agreement and of the Rights shall be governed in all respects by the laws of the State of New York, without giving effect to conflict of laws. Subject to applicable law, the Company and the Rights Agent hereby agree that any action, proceeding or claim against either of them arising out of or relating in any way to this Agreement shall be brought and enforced in the courts of the State of New York or the United States District Court for the Southern District of New York, and irrevocably submits to such jurisdiction, which jurisdiction shall be exclusive forum for any such action, proceeding or claim. The Company and the Rights Agent hereby waive any objection to such exclusive jurisdiction and that such courts represent an inconvenient forum. Notwithstanding the foregoing, the provisions of this paragraph will not apply to suits brought to enforce any liability or duty created by the Securities Exchange Act of 1934, as amended, or any other claim for which the federal district courts of the United States of America are the sole and exclusive forum.</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3" w:name="page154"/>
    <w:bookmarkEnd w:id="153"/>
    <w:p>
      <w:pPr>
        <w:jc w:val="both"/>
        <w:ind w:firstLine="648"/>
        <w:spacing w:after="0" w:line="272" w:lineRule="auto"/>
        <w:rPr>
          <w:sz w:val="20"/>
          <w:szCs w:val="20"/>
          <w:color w:val="auto"/>
        </w:rPr>
      </w:pPr>
      <w:r>
        <w:rPr>
          <w:rFonts w:ascii="Arial" w:cs="Arial" w:eastAsia="Arial" w:hAnsi="Arial"/>
          <w:sz w:val="17"/>
          <w:szCs w:val="17"/>
          <w:color w:val="auto"/>
        </w:rPr>
        <w:t>Any person or entity purchasing or otherwise acquiring any interest in the Rights shall be deemed to have notice of and to have consented to the forum provisions in this Section 7.3. If any action, the subject matter of which is within the scope the forum provisions above, is filed in a court other than a court located within the State of New York or the United States District Court for the Southern District of New York (a “</w:t>
      </w:r>
      <w:r>
        <w:rPr>
          <w:rFonts w:ascii="Arial" w:cs="Arial" w:eastAsia="Arial" w:hAnsi="Arial"/>
          <w:sz w:val="17"/>
          <w:szCs w:val="17"/>
          <w:b w:val="1"/>
          <w:bCs w:val="1"/>
          <w:color w:val="auto"/>
        </w:rPr>
        <w:t>foreign action</w:t>
      </w:r>
      <w:r>
        <w:rPr>
          <w:rFonts w:ascii="Arial" w:cs="Arial" w:eastAsia="Arial" w:hAnsi="Arial"/>
          <w:sz w:val="17"/>
          <w:szCs w:val="17"/>
          <w:color w:val="auto"/>
        </w:rPr>
        <w:t>”) in the name of any Rights holder, such Rights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w:t>
      </w:r>
      <w:r>
        <w:rPr>
          <w:rFonts w:ascii="Arial" w:cs="Arial" w:eastAsia="Arial" w:hAnsi="Arial"/>
          <w:sz w:val="17"/>
          <w:szCs w:val="17"/>
          <w:b w:val="1"/>
          <w:bCs w:val="1"/>
          <w:color w:val="auto"/>
        </w:rPr>
        <w:t>enforcement action</w:t>
      </w:r>
      <w:r>
        <w:rPr>
          <w:rFonts w:ascii="Arial" w:cs="Arial" w:eastAsia="Arial" w:hAnsi="Arial"/>
          <w:sz w:val="17"/>
          <w:szCs w:val="17"/>
          <w:color w:val="auto"/>
        </w:rPr>
        <w:t>”), and (y) having service of process made upon such Rights holder in any such enforcement action by service upon such Rights holder’s counsel in the foreign action as agent for such Rights holder.</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Persons Having Rights under this Agreement</w:t>
      </w:r>
      <w:r>
        <w:rPr>
          <w:rFonts w:ascii="Arial" w:cs="Arial" w:eastAsia="Arial" w:hAnsi="Arial"/>
          <w:sz w:val="18"/>
          <w:szCs w:val="18"/>
          <w:color w:val="auto"/>
        </w:rPr>
        <w:t>. Nothing in this Agreement expressed and nothing that may be implied from any of the provisions hereof is intended, or shall be construed, to confer upon, or give to, any person or corporation other than the parties hereto and the registered holders of the Rights and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 of the Rights.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Examination of the Right Agreement</w:t>
      </w:r>
      <w:r>
        <w:rPr>
          <w:rFonts w:ascii="Arial" w:cs="Arial" w:eastAsia="Arial" w:hAnsi="Arial"/>
          <w:sz w:val="18"/>
          <w:szCs w:val="18"/>
          <w:color w:val="auto"/>
        </w:rPr>
        <w:t>. A copy of this Agreement shall be available at all reasonable times at the office of the Rights Agent in the Borough of Manhattan, City and State of New York, for inspection by the registered holder of any Right. The Rights Agent may require any such holder to submit his, her or its Right for inspection by it.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Agreement and shall not affect the interpretation thereof.</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be amended by the parties hereto without the consent of any registered holder for the purpose of curing any ambiguity, or of curing, correcting or supplementing any defective provision contained herein or adding or changing any other provisions with respect to matters or questions arising under this Agreement as the parties may deem necessary or desirable and that the parties deem shall not adversely affect the interest of the registered holders. All other modifications or amendments shall require the written consent or vote of the registered holders of a majority of the then outstanding Rights.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t>IN WITNESS WHEREOF, this Agreement has been duly executed by the parties hereto as of the day and year first above written.</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VENTOUX CCM ACQUISITION CORP.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Edward Scheetz</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CONTINENTAL STOCK TRANSFER &amp; TRUST</w:t>
      </w:r>
    </w:p>
    <w:p>
      <w:pPr>
        <w:spacing w:after="0" w:line="3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[Signature Page to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320" w:top="908" w:right="117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Right</w:t>
      </w:r>
    </w:p>
    <w:p>
      <w:pPr>
        <w:spacing w:after="0" w:line="221"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RIGHTS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INCORPORATED UNDER THE LAWS OF DELAWARE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SEE REVERSE FOR</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CERTAIN DEFINITIONS</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92280L127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CERTIFIES THAT, for value received, ______________________</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is the registered holder of a right or rights (each, a “Right”) to automatically receive one-twentieth of one share of common stock, $0.0001 par value (“Common Stock”), of Ventoux CCM Acquisition Corp (the “Company”) for each Right evidenced by this Rights Certificate on the Company’s completion of an initial Business Combination (as defined in the Company's Amended and Restated Certificate of Incorporation) upon surrender of this Right Certificate pursuant to the Rights Agreement between the Company and Continental Stock Transfer &amp; Trust Company, as Rights Agent. In no event will the Company be required to net cash settle any Right.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liquidation of the Company in the event an initial business combination is not consummated during the required period as identified in the Company’s Amended and Restated Certificate of Incorporation, the Right shall expire and be worthless. As more fully described in the prospectus relating to the Company's initial public offering (“Prospectus”), the holder of a Right shall have no right or interest of any kind in the Company’s trust account established in connection with the Company’s initial public offering.</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Upon due presentment for registration of transfer of the Right Certificate at the office or agency of the Rights Agent, a new Right Certificate or Right Certificates of like tenor and evidencing in the aggregate a like number of Rights shall be issued to the transferee in exchange for this Right Certificate, without charge except for any applicable tax or other governmental charge. The Company shall not issue fractional shares upon exchange of Rights. The Company reserves the right to deal with any fractional entitlement at the relevant time in any manner (as provided in the Rights Agreement).</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and the Rights Agent may deem and treat the registered holder as the absolute owner of this Right Certificate (notwithstanding any notation of ownership or other writing hereon made by anyone), for the purpose of any conversion hereof, of any distribution to the registered holder, and for all other purposes, and neither the Company nor the Right Agent shall be affected by any notice to the contrary.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This Right does not entitle the registered holder to any of the rights of a shareholder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CHAIRMAN</w:t>
      </w:r>
      <w:r>
        <w:rPr>
          <w:sz w:val="20"/>
          <w:szCs w:val="20"/>
          <w:color w:val="auto"/>
        </w:rPr>
        <w:tab/>
      </w:r>
      <w:r>
        <w:rPr>
          <w:rFonts w:ascii="Arial" w:cs="Arial" w:eastAsia="Arial" w:hAnsi="Arial"/>
          <w:sz w:val="18"/>
          <w:szCs w:val="18"/>
          <w:color w:val="auto"/>
        </w:rPr>
        <w:t>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 as Rights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6" w:name="page157"/>
    <w:bookmarkEnd w:id="156"/>
    <w:p>
      <w:pPr>
        <w:ind w:firstLine="648"/>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TEN COM – as tenants in common</w:t>
            </w:r>
          </w:p>
        </w:tc>
        <w:tc>
          <w:tcPr>
            <w:tcW w:w="5060" w:type="dxa"/>
            <w:vAlign w:val="bottom"/>
          </w:tcPr>
          <w:p>
            <w:pPr>
              <w:ind w:left="620"/>
              <w:spacing w:after="0"/>
              <w:rPr>
                <w:sz w:val="20"/>
                <w:szCs w:val="20"/>
                <w:color w:val="auto"/>
              </w:rPr>
            </w:pPr>
            <w:r>
              <w:rPr>
                <w:rFonts w:ascii="Arial" w:cs="Arial" w:eastAsia="Arial" w:hAnsi="Arial"/>
                <w:sz w:val="18"/>
                <w:szCs w:val="18"/>
                <w:color w:val="auto"/>
                <w:w w:val="93"/>
              </w:rPr>
              <w:t>UNIF GIFT MIN ACT - __________ Custodian __________</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TEN ENT – as tenants by the entireties</w:t>
            </w:r>
          </w:p>
        </w:tc>
        <w:tc>
          <w:tcPr>
            <w:tcW w:w="5060" w:type="dxa"/>
            <w:vAlign w:val="bottom"/>
          </w:tcPr>
          <w:p>
            <w:pPr>
              <w:jc w:val="center"/>
              <w:ind w:left="2370"/>
              <w:spacing w:after="0"/>
              <w:rPr>
                <w:sz w:val="20"/>
                <w:szCs w:val="20"/>
                <w:color w:val="auto"/>
              </w:rPr>
            </w:pPr>
            <w:r>
              <w:rPr>
                <w:rFonts w:ascii="Arial" w:cs="Arial" w:eastAsia="Arial" w:hAnsi="Arial"/>
                <w:sz w:val="18"/>
                <w:szCs w:val="18"/>
                <w:color w:val="auto"/>
                <w:w w:val="97"/>
              </w:rPr>
              <w:t>(Cust) (Minor)</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JT TEN – as joint tenants with right of survivorship</w:t>
            </w:r>
          </w:p>
        </w:tc>
        <w:tc>
          <w:tcPr>
            <w:tcW w:w="5060" w:type="dxa"/>
            <w:vAlign w:val="bottom"/>
          </w:tcPr>
          <w:p>
            <w:pPr>
              <w:jc w:val="center"/>
              <w:ind w:left="2370"/>
              <w:spacing w:after="0"/>
              <w:rPr>
                <w:sz w:val="20"/>
                <w:szCs w:val="20"/>
                <w:color w:val="auto"/>
              </w:rPr>
            </w:pPr>
            <w:r>
              <w:rPr>
                <w:rFonts w:ascii="Arial" w:cs="Arial" w:eastAsia="Arial" w:hAnsi="Arial"/>
                <w:sz w:val="18"/>
                <w:szCs w:val="18"/>
                <w:color w:val="auto"/>
                <w:w w:val="95"/>
              </w:rPr>
              <w:t>under Uniform Gifts to Minors</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and not as tenants in common</w:t>
            </w:r>
          </w:p>
        </w:tc>
        <w:tc>
          <w:tcPr>
            <w:tcW w:w="5060" w:type="dxa"/>
            <w:vAlign w:val="bottom"/>
          </w:tcPr>
          <w:p>
            <w:pPr>
              <w:jc w:val="center"/>
              <w:ind w:left="2370"/>
              <w:spacing w:after="0"/>
              <w:rPr>
                <w:sz w:val="20"/>
                <w:szCs w:val="20"/>
                <w:color w:val="auto"/>
              </w:rPr>
            </w:pPr>
            <w:r>
              <w:rPr>
                <w:rFonts w:ascii="Arial" w:cs="Arial" w:eastAsia="Arial" w:hAnsi="Arial"/>
                <w:sz w:val="18"/>
                <w:szCs w:val="18"/>
                <w:color w:val="auto"/>
                <w:w w:val="91"/>
              </w:rPr>
              <w:t>Act __________</w:t>
            </w:r>
          </w:p>
        </w:tc>
      </w:tr>
      <w:tr>
        <w:trPr>
          <w:trHeight w:val="230"/>
        </w:trPr>
        <w:tc>
          <w:tcPr>
            <w:tcW w:w="4340" w:type="dxa"/>
            <w:vAlign w:val="bottom"/>
          </w:tcPr>
          <w:p>
            <w:pPr>
              <w:spacing w:after="0"/>
              <w:rPr>
                <w:sz w:val="20"/>
                <w:szCs w:val="20"/>
                <w:color w:val="auto"/>
              </w:rPr>
            </w:pPr>
          </w:p>
        </w:tc>
        <w:tc>
          <w:tcPr>
            <w:tcW w:w="5060" w:type="dxa"/>
            <w:vAlign w:val="bottom"/>
          </w:tcPr>
          <w:p>
            <w:pPr>
              <w:jc w:val="center"/>
              <w:ind w:left="2370"/>
              <w:spacing w:after="0"/>
              <w:rPr>
                <w:sz w:val="20"/>
                <w:szCs w:val="20"/>
                <w:color w:val="auto"/>
              </w:rPr>
            </w:pPr>
            <w:r>
              <w:rPr>
                <w:rFonts w:ascii="Arial" w:cs="Arial" w:eastAsia="Arial" w:hAnsi="Arial"/>
                <w:sz w:val="18"/>
                <w:szCs w:val="18"/>
                <w:color w:val="auto"/>
                <w:w w:val="88"/>
              </w:rPr>
              <w:t>(State)</w:t>
            </w:r>
          </w:p>
        </w:tc>
      </w:tr>
    </w:tbl>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908" w:right="47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will furnish without charge to each shareholder who so requests the powers, designations, preferences and relative, participating, optional or other special rights of each class of shares or series thereof of the Company and the qualifications, limitations, or restrictions of such preferences and/or rights. This certificate and the rights represented thereby are issued and shall be held subject to all the provisions of the Amended and Restated Certificate of Incorporation and all amendments thereto and resolutions of the Board of Directors providing for the issue of shares of Common Stock (copies of which may be obtained from the secretary of the Company), to all of which the holder of this certificate by acceptance hereof assents.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 value received, ___________________________ hereby sell, assign and transfer unto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5715</wp:posOffset>
            </wp:positionV>
            <wp:extent cx="7132320" cy="291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PRINT OR TYPEWRITE NAME AND ADDRESS, INCLUDING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represented by the within Certificate, and do hereby irrevocably constitute and appoint</w:t>
      </w:r>
    </w:p>
    <w:p>
      <w:pPr>
        <w:spacing w:after="0" w:line="224" w:lineRule="exact"/>
        <w:rPr>
          <w:sz w:val="20"/>
          <w:szCs w:val="20"/>
          <w:color w:val="auto"/>
        </w:rPr>
      </w:pPr>
    </w:p>
    <w:p>
      <w:pPr>
        <w:ind w:left="10620"/>
        <w:spacing w:after="0"/>
        <w:rPr>
          <w:sz w:val="20"/>
          <w:szCs w:val="20"/>
          <w:color w:val="auto"/>
        </w:rPr>
      </w:pPr>
      <w:r>
        <w:rPr>
          <w:rFonts w:ascii="Arial" w:cs="Arial" w:eastAsia="Arial" w:hAnsi="Arial"/>
          <w:sz w:val="16"/>
          <w:szCs w:val="16"/>
          <w:i w:val="1"/>
          <w:iCs w:val="1"/>
          <w:color w:val="auto"/>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transfer said rights on the books of the within named Company will full power of substitution in the premises.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Dated _____________________</w:t>
      </w:r>
    </w:p>
    <w:p>
      <w:pPr>
        <w:spacing w:after="0" w:line="235" w:lineRule="exact"/>
        <w:rPr>
          <w:sz w:val="20"/>
          <w:szCs w:val="20"/>
          <w:color w:val="auto"/>
        </w:rPr>
      </w:pPr>
    </w:p>
    <w:p>
      <w:pPr>
        <w:ind w:left="5960"/>
        <w:spacing w:after="0"/>
        <w:rPr>
          <w:sz w:val="20"/>
          <w:szCs w:val="20"/>
          <w:color w:val="auto"/>
        </w:rPr>
      </w:pPr>
      <w:r>
        <w:rPr>
          <w:rFonts w:ascii="Arial" w:cs="Arial" w:eastAsia="Arial" w:hAnsi="Arial"/>
          <w:sz w:val="17"/>
          <w:szCs w:val="17"/>
          <w:b w:val="1"/>
          <w:bCs w:val="1"/>
          <w:color w:val="auto"/>
        </w:rPr>
        <w:t xml:space="preserve">Notice:  </w:t>
      </w:r>
      <w:r>
        <w:rPr>
          <w:rFonts w:ascii="Arial" w:cs="Arial" w:eastAsia="Arial" w:hAnsi="Arial"/>
          <w:sz w:val="17"/>
          <w:szCs w:val="17"/>
          <w:color w:val="auto"/>
        </w:rPr>
        <w:t>The signature to this assignment must correspond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5575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5">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spacing w:after="0" w:line="1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as written upon the face of the certificate in every</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particular, without alteration or enlargement or any change</w:t>
      </w:r>
    </w:p>
    <w:p>
      <w:pPr>
        <w:spacing w:after="0" w:line="2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whatever.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00" w:lineRule="exact"/>
        <w:rPr>
          <w:sz w:val="20"/>
          <w:szCs w:val="20"/>
          <w:color w:val="auto"/>
        </w:rPr>
      </w:pPr>
    </w:p>
    <w:p>
      <w:pPr>
        <w:spacing w:after="0" w:line="241" w:lineRule="exact"/>
        <w:rPr>
          <w:sz w:val="20"/>
          <w:szCs w:val="20"/>
          <w:color w:val="auto"/>
        </w:rPr>
      </w:pPr>
    </w:p>
    <w:p>
      <w:pPr>
        <w:spacing w:after="0"/>
        <w:tabs>
          <w:tab w:leader="none" w:pos="500" w:val="left"/>
          <w:tab w:leader="none" w:pos="1880" w:val="left"/>
          <w:tab w:leader="none" w:pos="2520" w:val="left"/>
          <w:tab w:leader="none" w:pos="2920" w:val="left"/>
          <w:tab w:leader="none" w:pos="4300" w:val="left"/>
          <w:tab w:leader="none" w:pos="4700" w:val="left"/>
          <w:tab w:leader="none" w:pos="5120" w:val="left"/>
        </w:tabs>
        <w:rPr>
          <w:sz w:val="20"/>
          <w:szCs w:val="20"/>
          <w:color w:val="auto"/>
        </w:rPr>
      </w:pPr>
      <w:r>
        <w:rPr>
          <w:rFonts w:ascii="Arial" w:cs="Arial" w:eastAsia="Arial" w:hAnsi="Arial"/>
          <w:sz w:val="18"/>
          <w:szCs w:val="18"/>
          <w:color w:val="auto"/>
        </w:rPr>
        <w:t>THE</w:t>
        <w:tab/>
        <w:t>SIGNATURE(S)</w:t>
        <w:tab/>
        <w:t>MUST</w:t>
        <w:tab/>
        <w:t>BE</w:t>
        <w:tab/>
        <w:t>GUARANTEED</w:t>
        <w:tab/>
        <w:t>BY</w:t>
        <w:tab/>
        <w:t>AN</w:t>
        <w:tab/>
        <w:t>ELIGIBLE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GUARANTOR INSTITUTION (BANKS, STOCKBROKERS, SAVINGS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LOAN ASSOCIATIONS AND CREDIT UNIONS WITH MEMBERSHIP IN AN</w:t>
      </w:r>
    </w:p>
    <w:p>
      <w:pPr>
        <w:spacing w:after="0" w:line="9" w:lineRule="exact"/>
        <w:rPr>
          <w:sz w:val="20"/>
          <w:szCs w:val="20"/>
          <w:color w:val="auto"/>
        </w:rPr>
      </w:pPr>
    </w:p>
    <w:p>
      <w:pPr>
        <w:spacing w:after="0"/>
        <w:tabs>
          <w:tab w:leader="none" w:pos="1160" w:val="left"/>
          <w:tab w:leader="none" w:pos="2380" w:val="left"/>
          <w:tab w:leader="none" w:pos="3700" w:val="left"/>
          <w:tab w:leader="none" w:pos="5000" w:val="left"/>
        </w:tabs>
        <w:rPr>
          <w:sz w:val="20"/>
          <w:szCs w:val="20"/>
          <w:color w:val="auto"/>
        </w:rPr>
      </w:pPr>
      <w:r>
        <w:rPr>
          <w:rFonts w:ascii="Arial" w:cs="Arial" w:eastAsia="Arial" w:hAnsi="Arial"/>
          <w:sz w:val="18"/>
          <w:szCs w:val="18"/>
          <w:color w:val="auto"/>
        </w:rPr>
        <w:t>APPROVED</w:t>
        <w:tab/>
        <w:t>SIGNATURE</w:t>
        <w:tab/>
        <w:t>GUARANTEE</w:t>
        <w:tab/>
        <w:t>MEDALLION</w:t>
      </w:r>
      <w:r>
        <w:rPr>
          <w:sz w:val="20"/>
          <w:szCs w:val="20"/>
          <w:color w:val="auto"/>
        </w:rPr>
        <w:tab/>
      </w:r>
      <w:r>
        <w:rPr>
          <w:rFonts w:ascii="Arial" w:cs="Arial" w:eastAsia="Arial" w:hAnsi="Arial"/>
          <w:sz w:val="17"/>
          <w:szCs w:val="17"/>
          <w:color w:val="auto"/>
        </w:rPr>
        <w:t>PROGRAM,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 RULE 17Ad-15).</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more fully described in the Prospectus, the holder of this certificate shall have no right or interest of any kind in or to the funds held in the Company’s trust account established in connection with the Company’s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22"/>
          <w:szCs w:val="22"/>
          <w:b w:val="1"/>
          <w:bCs w:val="1"/>
          <w:color w:val="auto"/>
        </w:rPr>
        <w:t>Exhibit 23.1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use in the Prospectus constituting a part of this Registration Statement on Amendment No. 2 to Form S-1 of our report dated December 16, 2020, relating to the financial statements of Ventoux CCM Acquisition Corp., which is contained in that Prospectus. We also consent to the reference to us under the caption “Experts” in the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16, 2020</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FFF902"/>
    <w:multiLevelType w:val="hybridMultilevel"/>
    <w:lvl w:ilvl="0">
      <w:lvlJc w:val="left"/>
      <w:lvlText w:val="(%1)"/>
      <w:numFmt w:val="decimal"/>
      <w:start w:val="1"/>
    </w:lvl>
  </w:abstractNum>
  <w:abstractNum w:abstractNumId="1">
    <w:nsid w:val="684A481A"/>
    <w:multiLevelType w:val="hybridMultilevel"/>
    <w:lvl w:ilvl="0">
      <w:lvlJc w:val="left"/>
      <w:lvlText w:val="(%1)"/>
      <w:numFmt w:val="decimal"/>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1)"/>
      <w:numFmt w:val="upperLetter"/>
      <w:start w:val="1"/>
    </w:lvl>
  </w:abstractNum>
  <w:abstractNum w:abstractNumId="6">
    <w:nsid w:val="79A1DEAA"/>
    <w:multiLevelType w:val="hybridMultilevel"/>
    <w:lvl w:ilvl="0">
      <w:lvlJc w:val="left"/>
      <w:lvlText w:val="(%1)"/>
      <w:numFmt w:val="decimal"/>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1)"/>
      <w:numFmt w:val="decimal"/>
      <w:start w:val="2"/>
    </w:lvl>
  </w:abstractNum>
  <w:abstractNum w:abstractNumId="9">
    <w:nsid w:val="70C6A529"/>
    <w:multiLevelType w:val="hybridMultilevel"/>
    <w:lvl w:ilvl="0">
      <w:lvlJc w:val="left"/>
      <w:lvlText w:val="(%1)"/>
      <w:numFmt w:val="upperLetter"/>
      <w:start w:val="2"/>
    </w:lvl>
  </w:abstractNum>
  <w:abstractNum w:abstractNumId="10">
    <w:nsid w:val="520EEDD1"/>
    <w:multiLevelType w:val="hybridMultilevel"/>
    <w:lvl w:ilvl="0">
      <w:lvlJc w:val="left"/>
      <w:lvlText w:val="(%1)"/>
      <w:numFmt w:val="lowerRoman"/>
      <w:start w:val="3"/>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1)"/>
      <w:numFmt w:val="decimal"/>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1)"/>
      <w:numFmt w:val="decimal"/>
      <w:start w:val="1"/>
    </w:lvl>
  </w:abstractNum>
  <w:abstractNum w:abstractNumId="22">
    <w:nsid w:val="15B5AF5C"/>
    <w:multiLevelType w:val="hybridMultilevel"/>
    <w:lvl w:ilvl="0">
      <w:lvlJc w:val="left"/>
      <w:lvlText w:val="(%1)"/>
      <w:numFmt w:val="decimal"/>
      <w:start w:val="3"/>
    </w:lvl>
  </w:abstractNum>
  <w:abstractNum w:abstractNumId="23">
    <w:nsid w:val="741226BB"/>
    <w:multiLevelType w:val="hybridMultilevel"/>
    <w:lvl w:ilvl="0">
      <w:lvlJc w:val="left"/>
      <w:lvlText w:val="(%1)"/>
      <w:numFmt w:val="lowerRoman"/>
      <w:start w:val="3"/>
    </w:lvl>
  </w:abstractNum>
  <w:abstractNum w:abstractNumId="24">
    <w:nsid w:val="D34B6A8"/>
    <w:multiLevelType w:val="hybridMultilevel"/>
    <w:lvl w:ilvl="0">
      <w:lvlJc w:val="left"/>
      <w:lvlText w:val="(%1)"/>
      <w:numFmt w:val="decimal"/>
      <w:start w:val="1"/>
    </w:lvl>
  </w:abstractNum>
  <w:abstractNum w:abstractNumId="25">
    <w:nsid w:val="10233C99"/>
    <w:multiLevelType w:val="hybridMultilevel"/>
    <w:lvl w:ilvl="0">
      <w:lvlJc w:val="left"/>
      <w:lvlText w:val="(%1)"/>
      <w:numFmt w:val="decimal"/>
      <w:start w:val="1"/>
    </w:lvl>
  </w:abstractNum>
  <w:abstractNum w:abstractNumId="26">
    <w:nsid w:val="3F6AB60F"/>
    <w:multiLevelType w:val="hybridMultilevel"/>
    <w:lvl w:ilvl="0">
      <w:lvlJc w:val="left"/>
      <w:lvlText w:val="(%1)"/>
      <w:numFmt w:val="decimal"/>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1)"/>
      <w:numFmt w:val="lowerRoman"/>
      <w:start w:val="2"/>
    </w:lvl>
  </w:abstractNum>
  <w:abstractNum w:abstractNumId="33">
    <w:nsid w:val="2F305DEF"/>
    <w:multiLevelType w:val="hybridMultilevel"/>
    <w:lvl w:ilvl="0">
      <w:lvlJc w:val="left"/>
      <w:lvlText w:val="•"/>
      <w:numFmt w:val="bullet"/>
      <w:start w:val="1"/>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1)"/>
      <w:numFmt w:val="decimal"/>
      <w:start w:val="2"/>
    </w:lvl>
  </w:abstractNum>
  <w:abstractNum w:abstractNumId="37">
    <w:nsid w:val="1F48EAA1"/>
    <w:multiLevelType w:val="hybridMultilevel"/>
    <w:lvl w:ilvl="0">
      <w:lvlJc w:val="left"/>
      <w:lvlText w:val="(%1)"/>
      <w:numFmt w:val="lowerRoman"/>
      <w:start w:val="3"/>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
      <w:numFmt w:val="bullet"/>
      <w:start w:val="1"/>
    </w:lvl>
  </w:abstractNum>
  <w:abstractNum w:abstractNumId="40">
    <w:nsid w:val="100F8FCA"/>
    <w:multiLevelType w:val="hybridMultilevel"/>
    <w:lvl w:ilvl="0">
      <w:lvlJc w:val="left"/>
      <w:lvlText w:val="•"/>
      <w:numFmt w:val="bullet"/>
      <w:start w:val="1"/>
    </w:lvl>
  </w:abstractNum>
  <w:abstractNum w:abstractNumId="41">
    <w:nsid w:val="6590700B"/>
    <w:multiLevelType w:val="hybridMultilevel"/>
    <w:lvl w:ilvl="0">
      <w:lvlJc w:val="left"/>
      <w:lvlText w:val="•"/>
      <w:numFmt w:val="bullet"/>
      <w:start w:val="1"/>
    </w:lvl>
  </w:abstractNum>
  <w:abstractNum w:abstractNumId="42">
    <w:nsid w:val="15014ACB"/>
    <w:multiLevelType w:val="hybridMultilevel"/>
    <w:lvl w:ilvl="0">
      <w:lvlJc w:val="left"/>
      <w:lvlText w:val="(%1)"/>
      <w:numFmt w:val="lowerLetter"/>
      <w:start w:val="1"/>
    </w:lvl>
  </w:abstractNum>
  <w:abstractNum w:abstractNumId="43">
    <w:nsid w:val="5F5E7FD0"/>
    <w:multiLevelType w:val="hybridMultilevel"/>
    <w:lvl w:ilvl="0">
      <w:lvlJc w:val="left"/>
      <w:lvlText w:val="•"/>
      <w:numFmt w:val="bullet"/>
      <w:start w:val="1"/>
    </w:lvl>
  </w:abstractNum>
  <w:abstractNum w:abstractNumId="44">
    <w:nsid w:val="98A3148"/>
    <w:multiLevelType w:val="hybridMultilevel"/>
    <w:lvl w:ilvl="0">
      <w:lvlJc w:val="left"/>
      <w:lvlText w:val="•"/>
      <w:numFmt w:val="bullet"/>
      <w:start w:val="1"/>
    </w:lvl>
  </w:abstractNum>
  <w:abstractNum w:abstractNumId="45">
    <w:nsid w:val="799D0247"/>
    <w:multiLevelType w:val="hybridMultilevel"/>
    <w:lvl w:ilvl="0">
      <w:lvlJc w:val="left"/>
      <w:lvlText w:val="•"/>
      <w:numFmt w:val="bullet"/>
      <w:start w:val="1"/>
    </w:lvl>
  </w:abstractNum>
  <w:abstractNum w:abstractNumId="46">
    <w:nsid w:val="6B94764"/>
    <w:multiLevelType w:val="hybridMultilevel"/>
    <w:lvl w:ilvl="0">
      <w:lvlJc w:val="left"/>
      <w:lvlText w:val="•"/>
      <w:numFmt w:val="bullet"/>
      <w:start w:val="1"/>
    </w:lvl>
  </w:abstractNum>
  <w:abstractNum w:abstractNumId="47">
    <w:nsid w:val="42C296BD"/>
    <w:multiLevelType w:val="hybridMultilevel"/>
    <w:lvl w:ilvl="0">
      <w:lvlJc w:val="left"/>
      <w:lvlText w:val="•"/>
      <w:numFmt w:val="bullet"/>
      <w:start w:val="1"/>
    </w:lvl>
  </w:abstractNum>
  <w:abstractNum w:abstractNumId="48">
    <w:nsid w:val="168E121F"/>
    <w:multiLevelType w:val="hybridMultilevel"/>
    <w:lvl w:ilvl="0">
      <w:lvlJc w:val="left"/>
      <w:lvlText w:val="•"/>
      <w:numFmt w:val="bullet"/>
      <w:start w:val="1"/>
    </w:lvl>
  </w:abstractNum>
  <w:abstractNum w:abstractNumId="49">
    <w:nsid w:val="1EBA5D23"/>
    <w:multiLevelType w:val="hybridMultilevel"/>
    <w:lvl w:ilvl="0">
      <w:lvlJc w:val="left"/>
      <w:lvlText w:val="•"/>
      <w:numFmt w:val="bullet"/>
      <w:start w:val="1"/>
    </w:lvl>
  </w:abstractNum>
  <w:abstractNum w:abstractNumId="50">
    <w:nsid w:val="661E3F1E"/>
    <w:multiLevelType w:val="hybridMultilevel"/>
    <w:lvl w:ilvl="0">
      <w:lvlJc w:val="left"/>
      <w:lvlText w:val="•"/>
      <w:numFmt w:val="bullet"/>
      <w:start w:val="1"/>
    </w:lvl>
  </w:abstractNum>
  <w:abstractNum w:abstractNumId="51">
    <w:nsid w:val="5DC79EA8"/>
    <w:multiLevelType w:val="hybridMultilevel"/>
    <w:lvl w:ilvl="0">
      <w:lvlJc w:val="left"/>
      <w:lvlText w:val="*"/>
      <w:numFmt w:val="bullet"/>
      <w:start w:val="1"/>
    </w:lvl>
  </w:abstractNum>
  <w:abstractNum w:abstractNumId="52">
    <w:nsid w:val="540A471C"/>
    <w:multiLevelType w:val="hybridMultilevel"/>
    <w:lvl w:ilvl="0">
      <w:lvlJc w:val="left"/>
      <w:lvlText w:val="(%1)"/>
      <w:numFmt w:val="decimal"/>
      <w:start w:val="1"/>
    </w:lvl>
  </w:abstractNum>
  <w:abstractNum w:abstractNumId="53">
    <w:nsid w:val="7BD3EE7B"/>
    <w:multiLevelType w:val="hybridMultilevel"/>
    <w:lvl w:ilvl="0">
      <w:lvlJc w:val="left"/>
      <w:lvlText w:val="(%1)"/>
      <w:numFmt w:val="decimal"/>
      <w:start w:val="6"/>
    </w:lvl>
  </w:abstractNum>
  <w:abstractNum w:abstractNumId="54">
    <w:nsid w:val="51D9C564"/>
    <w:multiLevelType w:val="hybridMultilevel"/>
    <w:lvl w:ilvl="0">
      <w:lvlJc w:val="left"/>
      <w:lvlText w:val="(%1)"/>
      <w:numFmt w:val="lowerLetter"/>
      <w:start w:val="1"/>
    </w:lvl>
  </w:abstractNum>
  <w:abstractNum w:abstractNumId="55">
    <w:nsid w:val="613EFDC5"/>
    <w:multiLevelType w:val="hybridMultilevel"/>
    <w:lvl w:ilvl="0">
      <w:lvlJc w:val="left"/>
      <w:lvlText w:val="•"/>
      <w:numFmt w:val="bullet"/>
      <w:start w:val="1"/>
    </w:lvl>
  </w:abstractNum>
  <w:abstractNum w:abstractNumId="56">
    <w:nsid w:val="BF72B14"/>
    <w:multiLevelType w:val="hybridMultilevel"/>
    <w:lvl w:ilvl="0">
      <w:lvlJc w:val="left"/>
      <w:lvlText w:val="•"/>
      <w:numFmt w:val="bullet"/>
      <w:start w:val="1"/>
    </w:lvl>
  </w:abstractNum>
  <w:abstractNum w:abstractNumId="57">
    <w:nsid w:val="11447B73"/>
    <w:multiLevelType w:val="hybridMultilevel"/>
    <w:lvl w:ilvl="0">
      <w:lvlJc w:val="left"/>
      <w:lvlText w:val="•"/>
      <w:numFmt w:val="bullet"/>
      <w:start w:val="1"/>
    </w:lvl>
  </w:abstractNum>
  <w:abstractNum w:abstractNumId="58">
    <w:nsid w:val="42963E5A"/>
    <w:multiLevelType w:val="hybridMultilevel"/>
    <w:lvl w:ilvl="0">
      <w:lvlJc w:val="left"/>
      <w:lvlText w:val="•"/>
      <w:numFmt w:val="bullet"/>
      <w:start w:val="1"/>
    </w:lvl>
  </w:abstractNum>
  <w:abstractNum w:abstractNumId="59">
    <w:nsid w:val="A0382C5"/>
    <w:multiLevelType w:val="hybridMultilevel"/>
    <w:lvl w:ilvl="0">
      <w:lvlJc w:val="left"/>
      <w:lvlText w:val="(%1)"/>
      <w:numFmt w:val="decimal"/>
      <w:start w:val="1"/>
    </w:lvl>
  </w:abstractNum>
  <w:abstractNum w:abstractNumId="60">
    <w:nsid w:val="8F2B15E"/>
    <w:multiLevelType w:val="hybridMultilevel"/>
    <w:lvl w:ilvl="0">
      <w:lvlJc w:val="left"/>
      <w:lvlText w:val="•"/>
      <w:numFmt w:val="bullet"/>
      <w:start w:val="1"/>
    </w:lvl>
  </w:abstractNum>
  <w:abstractNum w:abstractNumId="61">
    <w:nsid w:val="1A32234B"/>
    <w:multiLevelType w:val="hybridMultilevel"/>
    <w:lvl w:ilvl="0">
      <w:lvlJc w:val="left"/>
      <w:lvlText w:val="•"/>
      <w:numFmt w:val="bullet"/>
      <w:start w:val="1"/>
    </w:lvl>
  </w:abstractNum>
  <w:abstractNum w:abstractNumId="62">
    <w:nsid w:val="3B0FD379"/>
    <w:multiLevelType w:val="hybridMultilevel"/>
    <w:lvl w:ilvl="0">
      <w:lvlJc w:val="left"/>
      <w:lvlText w:val="•"/>
      <w:numFmt w:val="bullet"/>
      <w:start w:val="1"/>
    </w:lvl>
  </w:abstractNum>
  <w:abstractNum w:abstractNumId="63">
    <w:nsid w:val="68EB2F63"/>
    <w:multiLevelType w:val="hybridMultilevel"/>
    <w:lvl w:ilvl="0">
      <w:lvlJc w:val="left"/>
      <w:lvlText w:val="%1"/>
      <w:numFmt w:val="decimal"/>
      <w:start w:val="431"/>
    </w:lvl>
  </w:abstractNum>
  <w:abstractNum w:abstractNumId="64">
    <w:nsid w:val="4962813B"/>
    <w:multiLevelType w:val="hybridMultilevel"/>
    <w:lvl w:ilvl="0">
      <w:lvlJc w:val="left"/>
      <w:lvlText w:val="(%1)"/>
      <w:numFmt w:val="decimal"/>
      <w:start w:val="1"/>
    </w:lvl>
  </w:abstractNum>
  <w:abstractNum w:abstractNumId="65">
    <w:nsid w:val="60B6DF70"/>
    <w:multiLevelType w:val="hybridMultilevel"/>
    <w:lvl w:ilvl="0">
      <w:lvlJc w:val="left"/>
      <w:lvlText w:val="(%1)"/>
      <w:numFmt w:val="decimal"/>
      <w:start w:val="1"/>
    </w:lvl>
  </w:abstractNum>
  <w:abstractNum w:abstractNumId="66">
    <w:nsid w:val="6A5EE64"/>
    <w:multiLevelType w:val="hybridMultilevel"/>
    <w:lvl w:ilvl="0">
      <w:lvlJc w:val="left"/>
      <w:lvlText w:val="(%1)"/>
      <w:numFmt w:val="decimal"/>
      <w:start w:val="1"/>
    </w:lvl>
  </w:abstractNum>
  <w:abstractNum w:abstractNumId="67">
    <w:nsid w:val="14330624"/>
    <w:multiLevelType w:val="hybridMultilevel"/>
    <w:lvl w:ilvl="0">
      <w:lvlJc w:val="left"/>
      <w:lvlText w:val="(%1)"/>
      <w:numFmt w:val="lowerRoman"/>
      <w:start w:val="1"/>
    </w:lvl>
  </w:abstractNum>
  <w:abstractNum w:abstractNumId="68">
    <w:nsid w:val="7FFFCA11"/>
    <w:multiLevelType w:val="hybridMultilevel"/>
    <w:lvl w:ilvl="0">
      <w:lvlJc w:val="left"/>
      <w:lvlText w:val="(%1)"/>
      <w:numFmt w:val="lowerRoman"/>
      <w:start w:val="3"/>
    </w:lvl>
  </w:abstractNum>
  <w:abstractNum w:abstractNumId="69">
    <w:nsid w:val="1A27709E"/>
    <w:multiLevelType w:val="hybridMultilevel"/>
    <w:lvl w:ilvl="0">
      <w:lvlJc w:val="left"/>
      <w:lvlText w:val="•"/>
      <w:numFmt w:val="bullet"/>
      <w:start w:val="1"/>
    </w:lvl>
  </w:abstractNum>
  <w:abstractNum w:abstractNumId="70">
    <w:nsid w:val="71EA1109"/>
    <w:multiLevelType w:val="hybridMultilevel"/>
    <w:lvl w:ilvl="0">
      <w:lvlJc w:val="left"/>
      <w:lvlText w:val="(%1)"/>
      <w:numFmt w:val="lowerLetter"/>
      <w:start w:val="1"/>
    </w:lvl>
  </w:abstractNum>
  <w:abstractNum w:abstractNumId="71">
    <w:nsid w:val="100F59DC"/>
    <w:multiLevelType w:val="hybridMultilevel"/>
    <w:lvl w:ilvl="0">
      <w:lvlJc w:val="left"/>
      <w:lvlText w:val="(%1)"/>
      <w:numFmt w:val="lowerLetter"/>
      <w:start w:val="3"/>
    </w:lvl>
    <w:lvl w:ilvl="1">
      <w:lvlJc w:val="left"/>
      <w:lvlText w:val="(%2)"/>
      <w:numFmt w:val="lowerLetter"/>
      <w:start w:val="1"/>
    </w:lvl>
  </w:abstractNum>
  <w:abstractNum w:abstractNumId="72">
    <w:nsid w:val="7FB7E0AA"/>
    <w:multiLevelType w:val="hybridMultilevel"/>
    <w:lvl w:ilvl="0">
      <w:lvlJc w:val="left"/>
      <w:lvlText w:val="(%1)"/>
      <w:numFmt w:val="lowerLetter"/>
      <w:start w:val="10"/>
    </w:lvl>
  </w:abstractNum>
  <w:abstractNum w:abstractNumId="73">
    <w:nsid w:val="6EB5BD4"/>
    <w:multiLevelType w:val="hybridMultilevel"/>
    <w:lvl w:ilvl="0">
      <w:lvlJc w:val="left"/>
      <w:lvlText w:val="•"/>
      <w:numFmt w:val="bullet"/>
      <w:start w:val="1"/>
    </w:lvl>
  </w:abstractNum>
  <w:abstractNum w:abstractNumId="74">
    <w:nsid w:val="6F6DD9AC"/>
    <w:multiLevelType w:val="hybridMultilevel"/>
    <w:lvl w:ilvl="0">
      <w:lvlJc w:val="left"/>
      <w:lvlText w:val="•"/>
      <w:numFmt w:val="bullet"/>
      <w:start w:val="1"/>
    </w:lvl>
  </w:abstractNum>
  <w:abstractNum w:abstractNumId="75">
    <w:nsid w:val="94211F2"/>
    <w:multiLevelType w:val="hybridMultilevel"/>
    <w:lvl w:ilvl="0">
      <w:lvlJc w:val="left"/>
      <w:lvlText w:val="(%1)"/>
      <w:numFmt w:val="lowerLetter"/>
      <w:start w:val="1"/>
    </w:lvl>
  </w:abstractNum>
  <w:abstractNum w:abstractNumId="76">
    <w:nsid w:val="885E1B"/>
    <w:multiLevelType w:val="hybridMultilevel"/>
    <w:lvl w:ilvl="0">
      <w:lvlJc w:val="left"/>
      <w:lvlText w:val="*"/>
      <w:numFmt w:val="bullet"/>
      <w:start w:val="1"/>
    </w:lvl>
  </w:abstractNum>
  <w:abstractNum w:abstractNumId="77">
    <w:nsid w:val="7627211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8">
    <w:nsid w:val="4C04A8AF"/>
    <w:multiLevelType w:val="hybridMultilevel"/>
    <w:lvl w:ilvl="0">
      <w:lvlJc w:val="left"/>
      <w:lvlText w:val="(%1)"/>
      <w:numFmt w:val="lowerLetter"/>
      <w:start w:val="4"/>
    </w:lvl>
    <w:lvl w:ilvl="1">
      <w:lvlJc w:val="left"/>
      <w:lvlText w:val="(%2)"/>
      <w:numFmt w:val="decimal"/>
      <w:start w:val="1"/>
    </w:lvl>
  </w:abstractNum>
  <w:abstractNum w:abstractNumId="79">
    <w:nsid w:val="1716703B"/>
    <w:multiLevelType w:val="hybridMultilevel"/>
    <w:lvl w:ilvl="0">
      <w:lvlJc w:val="left"/>
      <w:lvlText w:val="%1."/>
      <w:numFmt w:val="decimal"/>
      <w:start w:val="1"/>
    </w:lvl>
  </w:abstractNum>
  <w:abstractNum w:abstractNumId="80">
    <w:nsid w:val="14E17E33"/>
    <w:multiLevelType w:val="hybridMultilevel"/>
    <w:lvl w:ilvl="0">
      <w:lvlJc w:val="left"/>
      <w:lvlText w:val="%1."/>
      <w:numFmt w:val="decimal"/>
      <w:start w:val="3"/>
    </w:lvl>
  </w:abstractNum>
  <w:abstractNum w:abstractNumId="81">
    <w:nsid w:val="3222E7CD"/>
    <w:multiLevelType w:val="hybridMultilevel"/>
    <w:lvl w:ilvl="0">
      <w:lvlJc w:val="left"/>
      <w:lvlText w:val="(%1)"/>
      <w:numFmt w:val="lowerRoman"/>
      <w:start w:val="1"/>
    </w:lvl>
  </w:abstractNum>
  <w:abstractNum w:abstractNumId="82">
    <w:nsid w:val="74DE0EE3"/>
    <w:multiLevelType w:val="hybridMultilevel"/>
    <w:lvl w:ilvl="0">
      <w:lvlJc w:val="left"/>
      <w:lvlText w:val="(%1)"/>
      <w:numFmt w:val="lowerRoman"/>
      <w:start w:val="2"/>
    </w:lvl>
  </w:abstractNum>
  <w:abstractNum w:abstractNumId="83">
    <w:nsid w:val="68EBC550"/>
    <w:multiLevelType w:val="hybridMultilevel"/>
    <w:lvl w:ilvl="0">
      <w:lvlJc w:val="left"/>
      <w:lvlText w:val="(%1)"/>
      <w:numFmt w:val="decimal"/>
      <w:start w:val="3"/>
    </w:lvl>
  </w:abstractNum>
  <w:abstractNum w:abstractNumId="84">
    <w:nsid w:val="2DF6D648"/>
    <w:multiLevelType w:val="hybridMultilevel"/>
    <w:lvl w:ilvl="0">
      <w:lvlJc w:val="left"/>
      <w:lvlText w:val="%1."/>
      <w:numFmt w:val="decimal"/>
      <w:start w:val="4"/>
    </w:lvl>
  </w:abstractNum>
  <w:abstractNum w:abstractNumId="85">
    <w:nsid w:val="46B7D447"/>
    <w:multiLevelType w:val="hybridMultilevel"/>
    <w:lvl w:ilvl="0">
      <w:lvlJc w:val="left"/>
      <w:lvlText w:val="%1."/>
      <w:numFmt w:val="decimal"/>
      <w:start w:val="5"/>
    </w:lvl>
  </w:abstractNum>
  <w:abstractNum w:abstractNumId="86">
    <w:nsid w:val="4A2AC315"/>
    <w:multiLevelType w:val="hybridMultilevel"/>
    <w:lvl w:ilvl="0">
      <w:lvlJc w:val="left"/>
      <w:lvlText w:val="%1."/>
      <w:numFmt w:val="decimal"/>
      <w:start w:val="6"/>
    </w:lvl>
  </w:abstractNum>
  <w:abstractNum w:abstractNumId="87">
    <w:nsid w:val="39EE015C"/>
    <w:multiLevelType w:val="hybridMultilevel"/>
    <w:lvl w:ilvl="0">
      <w:lvlJc w:val="left"/>
      <w:lvlText w:val="%1."/>
      <w:numFmt w:val="decimal"/>
      <w:start w:val="7"/>
    </w:lvl>
  </w:abstractNum>
  <w:abstractNum w:abstractNumId="88">
    <w:nsid w:val="57FC4FBB"/>
    <w:multiLevelType w:val="hybridMultilevel"/>
    <w:lvl w:ilvl="0">
      <w:lvlJc w:val="left"/>
      <w:lvlText w:val="%1."/>
      <w:numFmt w:val="decimal"/>
      <w:start w:val="8"/>
    </w:lvl>
  </w:abstractNum>
  <w:abstractNum w:abstractNumId="89">
    <w:nsid w:val="CC1016F"/>
    <w:multiLevelType w:val="hybridMultilevel"/>
    <w:lvl w:ilvl="0">
      <w:lvlJc w:val="left"/>
      <w:lvlText w:val="%1."/>
      <w:numFmt w:val="decimal"/>
      <w:start w:val="9"/>
    </w:lvl>
  </w:abstractNum>
  <w:abstractNum w:abstractNumId="90">
    <w:nsid w:val="43F18422"/>
    <w:multiLevelType w:val="hybridMultilevel"/>
    <w:lvl w:ilvl="0">
      <w:lvlJc w:val="left"/>
      <w:lvlText w:val="%1."/>
      <w:numFmt w:val="decimal"/>
      <w:start w:val="1"/>
    </w:lvl>
  </w:abstractNum>
  <w:abstractNum w:abstractNumId="91">
    <w:nsid w:val="60EF0119"/>
    <w:multiLevelType w:val="hybridMultilevel"/>
    <w:lvl w:ilvl="0">
      <w:lvlJc w:val="left"/>
      <w:lvlText w:val="%1."/>
      <w:numFmt w:val="decimal"/>
      <w:start w:val="3"/>
    </w:lvl>
  </w:abstractNum>
  <w:abstractNum w:abstractNumId="92">
    <w:nsid w:val="26F324BA"/>
    <w:multiLevelType w:val="hybridMultilevel"/>
    <w:lvl w:ilvl="0">
      <w:lvlJc w:val="left"/>
      <w:lvlText w:val="%1."/>
      <w:numFmt w:val="decimal"/>
      <w:start w:val="4"/>
    </w:lvl>
  </w:abstractNum>
  <w:abstractNum w:abstractNumId="93">
    <w:nsid w:val="7F01579B"/>
    <w:multiLevelType w:val="hybridMultilevel"/>
    <w:lvl w:ilvl="0">
      <w:lvlJc w:val="left"/>
      <w:lvlText w:val="%1."/>
      <w:numFmt w:val="decimal"/>
      <w:start w:val="5"/>
    </w:lvl>
  </w:abstractNum>
  <w:abstractNum w:abstractNumId="94">
    <w:nsid w:val="49DA307D"/>
    <w:multiLevelType w:val="hybridMultilevel"/>
    <w:lvl w:ilvl="0">
      <w:lvlJc w:val="left"/>
      <w:lvlText w:val="%1."/>
      <w:numFmt w:val="decimal"/>
      <w:start w:val="6"/>
    </w:lvl>
  </w:abstractNum>
  <w:abstractNum w:abstractNumId="95">
    <w:nsid w:val="7055A5F5"/>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1" Type="http://schemas.openxmlformats.org/officeDocument/2006/relationships/image" Target="media/image163.png"/><Relationship Id="rId173" Type="http://schemas.openxmlformats.org/officeDocument/2006/relationships/image" Target="media/image164.png"/><Relationship Id="rId176" Type="http://schemas.openxmlformats.org/officeDocument/2006/relationships/image" Target="media/image165.png"/><Relationship Id="rId179" Type="http://schemas.openxmlformats.org/officeDocument/2006/relationships/image" Target="media/image166.png"/><Relationship Id="rId182" Type="http://schemas.openxmlformats.org/officeDocument/2006/relationships/image" Target="media/image167.png"/><Relationship Id="rId194" Type="http://schemas.openxmlformats.org/officeDocument/2006/relationships/image" Target="media/image168.png"/><Relationship Id="rId196" Type="http://schemas.openxmlformats.org/officeDocument/2006/relationships/image" Target="media/image169.png"/><Relationship Id="rId199" Type="http://schemas.openxmlformats.org/officeDocument/2006/relationships/image" Target="media/image170.png"/><Relationship Id="rId202" Type="http://schemas.openxmlformats.org/officeDocument/2006/relationships/image" Target="media/image171.png"/><Relationship Id="rId205" Type="http://schemas.openxmlformats.org/officeDocument/2006/relationships/image" Target="media/image172.png"/><Relationship Id="rId207" Type="http://schemas.openxmlformats.org/officeDocument/2006/relationships/image" Target="media/image173.png"/><Relationship Id="rId208" Type="http://schemas.openxmlformats.org/officeDocument/2006/relationships/image" Target="media/image174.png"/><Relationship Id="rId209" Type="http://schemas.openxmlformats.org/officeDocument/2006/relationships/image" Target="media/image175.png"/><Relationship Id="rId210" Type="http://schemas.openxmlformats.org/officeDocument/2006/relationships/image" Target="media/image176.png"/><Relationship Id="rId211" Type="http://schemas.openxmlformats.org/officeDocument/2006/relationships/image" Target="media/image177.png"/><Relationship Id="rId212" Type="http://schemas.openxmlformats.org/officeDocument/2006/relationships/image" Target="media/image178.png"/><Relationship Id="rId213" Type="http://schemas.openxmlformats.org/officeDocument/2006/relationships/image" Target="media/image179.png"/><Relationship Id="rId214" Type="http://schemas.openxmlformats.org/officeDocument/2006/relationships/image" Target="media/image180.png"/><Relationship Id="rId215" Type="http://schemas.openxmlformats.org/officeDocument/2006/relationships/image" Target="media/image181.png"/><Relationship Id="rId216" Type="http://schemas.openxmlformats.org/officeDocument/2006/relationships/image" Target="media/image182.png"/><Relationship Id="rId217" Type="http://schemas.openxmlformats.org/officeDocument/2006/relationships/image" Target="media/image183.png"/><Relationship Id="rId218" Type="http://schemas.openxmlformats.org/officeDocument/2006/relationships/image" Target="media/image184.png"/><Relationship Id="rId219" Type="http://schemas.openxmlformats.org/officeDocument/2006/relationships/image" Target="media/image185.png"/><Relationship Id="rId220" Type="http://schemas.openxmlformats.org/officeDocument/2006/relationships/image" Target="media/image186.png"/><Relationship Id="rId221" Type="http://schemas.openxmlformats.org/officeDocument/2006/relationships/image" Target="media/image187.png"/><Relationship Id="rId222" Type="http://schemas.openxmlformats.org/officeDocument/2006/relationships/image" Target="media/image188.png"/><Relationship Id="rId223" Type="http://schemas.openxmlformats.org/officeDocument/2006/relationships/image" Target="media/image189.png"/><Relationship Id="rId224" Type="http://schemas.openxmlformats.org/officeDocument/2006/relationships/image" Target="media/image190.png"/><Relationship Id="rId225" Type="http://schemas.openxmlformats.org/officeDocument/2006/relationships/image" Target="media/image191.png"/><Relationship Id="rId226" Type="http://schemas.openxmlformats.org/officeDocument/2006/relationships/image" Target="media/image192.png"/><Relationship Id="rId227" Type="http://schemas.openxmlformats.org/officeDocument/2006/relationships/image" Target="media/image193.png"/><Relationship Id="rId228" Type="http://schemas.openxmlformats.org/officeDocument/2006/relationships/image" Target="media/image194.png"/><Relationship Id="rId229" Type="http://schemas.openxmlformats.org/officeDocument/2006/relationships/image" Target="media/image195.png"/><Relationship Id="rId230" Type="http://schemas.openxmlformats.org/officeDocument/2006/relationships/image" Target="media/image196.png"/><Relationship Id="rId231" Type="http://schemas.openxmlformats.org/officeDocument/2006/relationships/image" Target="media/image197.png"/><Relationship Id="rId232" Type="http://schemas.openxmlformats.org/officeDocument/2006/relationships/image" Target="media/image198.png"/><Relationship Id="rId233" Type="http://schemas.openxmlformats.org/officeDocument/2006/relationships/image" Target="media/image199.png"/><Relationship Id="rId234" Type="http://schemas.openxmlformats.org/officeDocument/2006/relationships/image" Target="media/image200.png"/><Relationship Id="rId235" Type="http://schemas.openxmlformats.org/officeDocument/2006/relationships/image" Target="media/image201.png"/><Relationship Id="rId236" Type="http://schemas.openxmlformats.org/officeDocument/2006/relationships/image" Target="media/image202.png"/><Relationship Id="rId237" Type="http://schemas.openxmlformats.org/officeDocument/2006/relationships/image" Target="media/image203.png"/><Relationship Id="rId238" Type="http://schemas.openxmlformats.org/officeDocument/2006/relationships/image" Target="media/image204.png"/><Relationship Id="rId239" Type="http://schemas.openxmlformats.org/officeDocument/2006/relationships/image" Target="media/image205.png"/><Relationship Id="rId240" Type="http://schemas.openxmlformats.org/officeDocument/2006/relationships/image" Target="media/image206.png"/><Relationship Id="rId241" Type="http://schemas.openxmlformats.org/officeDocument/2006/relationships/image" Target="media/image207.png"/><Relationship Id="rId242" Type="http://schemas.openxmlformats.org/officeDocument/2006/relationships/image" Target="media/image208.png"/><Relationship Id="rId243" Type="http://schemas.openxmlformats.org/officeDocument/2006/relationships/image" Target="media/image209.png"/><Relationship Id="rId244" Type="http://schemas.openxmlformats.org/officeDocument/2006/relationships/image" Target="media/image210.png"/><Relationship Id="rId245" Type="http://schemas.openxmlformats.org/officeDocument/2006/relationships/image" Target="media/image211.png"/><Relationship Id="rId246" Type="http://schemas.openxmlformats.org/officeDocument/2006/relationships/image" Target="media/image212.png"/><Relationship Id="rId170" Type="http://schemas.openxmlformats.org/officeDocument/2006/relationships/hyperlink" Target="http://www.sec.gov/Archives/edgar/data/1822145/000121390020042648/fs12020a1ex1-1_ventouxccm.htm" TargetMode="External"/><Relationship Id="rId172" Type="http://schemas.openxmlformats.org/officeDocument/2006/relationships/hyperlink" Target="http://www.sec.gov/Archives/edgar/data/1822145/000121390020042648/fs12020a1ex1-2_ventouxccm.htm" TargetMode="External"/><Relationship Id="rId174" Type="http://schemas.openxmlformats.org/officeDocument/2006/relationships/hyperlink" Target="http://www.sec.gov/Archives/edgar/data/1822145/000121390020040143/fs12020ex3-1_ventoux.htm" TargetMode="External"/><Relationship Id="rId175" Type="http://schemas.openxmlformats.org/officeDocument/2006/relationships/hyperlink" Target="http://www.sec.gov/Archives/edgar/data/1822145/000121390020040143/fs12020ex3-2_ventoux.htm" TargetMode="External"/><Relationship Id="rId177" Type="http://schemas.openxmlformats.org/officeDocument/2006/relationships/hyperlink" Target="http://www.sec.gov/Archives/edgar/data/1822145/000121390020040143/fs12020ex3-3_ventoux.htm" TargetMode="External"/><Relationship Id="rId178" Type="http://schemas.openxmlformats.org/officeDocument/2006/relationships/hyperlink" Target="http://www.sec.gov/Archives/edgar/data/1822145/000121390020042648/fs12020a1ex3-4_ventouxccm.htm" TargetMode="External"/><Relationship Id="rId180" Type="http://schemas.openxmlformats.org/officeDocument/2006/relationships/hyperlink" Target="http://www.sec.gov/Archives/edgar/data/1822145/000121390020040143/fs12020ex3-5_ventoux.htm" TargetMode="External"/><Relationship Id="rId181" Type="http://schemas.openxmlformats.org/officeDocument/2006/relationships/hyperlink" Target="http://www.sec.gov/Archives/edgar/data/1822145/000121390020042648/fs12020a1ex4-1_ventouxccm.htm" TargetMode="External"/><Relationship Id="rId183" Type="http://schemas.openxmlformats.org/officeDocument/2006/relationships/hyperlink" Target="http://www.sec.gov/Archives/edgar/data/1822145/000121390020042648/fs12020a1ex4-2_ventouxccm.htm" TargetMode="External"/><Relationship Id="rId184" Type="http://schemas.openxmlformats.org/officeDocument/2006/relationships/hyperlink" Target="http://www.sec.gov/Archives/edgar/data/1822145/000121390020042648/fs12020a1ex4-3_ventouxccm.htm" TargetMode="External"/><Relationship Id="rId185" Type="http://schemas.openxmlformats.org/officeDocument/2006/relationships/hyperlink" Target="http://www.sec.gov/Archives/edgar/data/1822145/000121390020042648/fs12020a1ex5-1_ventouxccm.htm" TargetMode="External"/><Relationship Id="rId186" Type="http://schemas.openxmlformats.org/officeDocument/2006/relationships/hyperlink" Target="http://www.sec.gov/Archives/edgar/data/1822145/000121390020042648/fs12020a1ex10-1_ventouxccm.htm" TargetMode="External"/><Relationship Id="rId187" Type="http://schemas.openxmlformats.org/officeDocument/2006/relationships/hyperlink" Target="http://www.sec.gov/Archives/edgar/data/1822145/000121390020042648/fs12020a1ex10-2_ventouxccm.htm" TargetMode="External"/><Relationship Id="rId188" Type="http://schemas.openxmlformats.org/officeDocument/2006/relationships/hyperlink" Target="http://www.sec.gov/Archives/edgar/data/1822145/000121390020042648/fs12020a1ex10-3_ventouxccm.htm" TargetMode="External"/><Relationship Id="rId189" Type="http://schemas.openxmlformats.org/officeDocument/2006/relationships/hyperlink" Target="http://www.sec.gov/Archives/edgar/data/1822145/000121390020042648/fs12020a1ex10-4_ventouxccm.htm" TargetMode="External"/><Relationship Id="rId190" Type="http://schemas.openxmlformats.org/officeDocument/2006/relationships/hyperlink" Target="http://www.sec.gov/Archives/edgar/data/1822145/000121390020042648/fs12020a1ex10-5_ventouxccm.htm" TargetMode="External"/><Relationship Id="rId191" Type="http://schemas.openxmlformats.org/officeDocument/2006/relationships/hyperlink" Target="http://www.sec.gov/Archives/edgar/data/1822145/000121390020042648/fs12020a1ex10-6_ventouxccm.htm" TargetMode="External"/><Relationship Id="rId192" Type="http://schemas.openxmlformats.org/officeDocument/2006/relationships/hyperlink" Target="http://www.sec.gov/Archives/edgar/data/1822145/000121390020042648/fs12020a1ex10-7_ventouxccm.htm" TargetMode="External"/><Relationship Id="rId193" Type="http://schemas.openxmlformats.org/officeDocument/2006/relationships/hyperlink" Target="http://www.sec.gov/Archives/edgar/data/1822145/000121390020042648/fs12020a1ex14-1_ventouxccm.htm" TargetMode="External"/><Relationship Id="rId195" Type="http://schemas.openxmlformats.org/officeDocument/2006/relationships/hyperlink" Target="http://www.sec.gov/Archives/edgar/data/1822145/000121390020042648/fs12020a1ex99-1_ventouxccm.htm" TargetMode="External"/><Relationship Id="rId197" Type="http://schemas.openxmlformats.org/officeDocument/2006/relationships/hyperlink" Target="http://www.sec.gov/Archives/edgar/data/1822145/000121390020042648/fs12020a1ex99-2_ventouxccm.htm" TargetMode="External"/><Relationship Id="rId198" Type="http://schemas.openxmlformats.org/officeDocument/2006/relationships/hyperlink" Target="http://www.sec.gov/Archives/edgar/data/1822145/000121390020042648/fs12020a1ex99-3_ventouxccm.htm" TargetMode="External"/><Relationship Id="rId200" Type="http://schemas.openxmlformats.org/officeDocument/2006/relationships/hyperlink" Target="http://www.sec.gov/Archives/edgar/data/1822145/000121390020040143/fs12020ex99-4_ventoux.htm" TargetMode="External"/><Relationship Id="rId201" Type="http://schemas.openxmlformats.org/officeDocument/2006/relationships/hyperlink" Target="http://www.sec.gov/Archives/edgar/data/1822145/000121390020040143/fs12020ex99-5_ventoux.htm" TargetMode="External"/><Relationship Id="rId203" Type="http://schemas.openxmlformats.org/officeDocument/2006/relationships/hyperlink" Target="https://www.sec.gov/Archives/edgar/data/1822145/000121390020040143/fs12020ex99-6_ventoux.htm" TargetMode="External"/><Relationship Id="rId204" Type="http://schemas.openxmlformats.org/officeDocument/2006/relationships/hyperlink" Target="http://www.sec.gov/Archives/edgar/data/1822145/000121390020040143/fs12020ex99-7_ventoux.htm" TargetMode="External"/><Relationship Id="rId206" Type="http://schemas.openxmlformats.org/officeDocument/2006/relationships/hyperlink" Target="http://www.sec.gov/Archives/edgar/data/1822145/000121390020042648/fs12020a1ex99-8_ventouxcc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2020-12-16T15:54:37Z</dcterms:created>
  <dcterms:modified xsi:type="dcterms:W3CDTF">2020-12-16T15:54:37Z</dcterms:modified>
</cp:coreProperties>
</file>