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Casanova Xavier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80"/>
              <w:spacing w:after="0"/>
              <w:rPr>
                <w:sz w:val="20"/>
                <w:szCs w:val="20"/>
                <w:color w:val="auto"/>
              </w:rPr>
            </w:pPr>
            <w:r>
              <w:rPr>
                <w:rFonts w:ascii="Arial" w:cs="Arial" w:eastAsia="Arial" w:hAnsi="Arial"/>
                <w:sz w:val="14"/>
                <w:szCs w:val="14"/>
                <w:color w:val="auto"/>
              </w:rPr>
              <w:t>(First)</w:t>
            </w:r>
          </w:p>
        </w:tc>
        <w:tc>
          <w:tcPr>
            <w:tcW w:w="146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0000FF"/>
              </w:rPr>
              <w:t>985 INDUSTRIAL ROAD</w:t>
            </w:r>
          </w:p>
        </w:tc>
        <w:tc>
          <w:tcPr>
            <w:tcW w:w="14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w w:val="98"/>
              </w:rPr>
              <w:t>SAN CARLOS</w:t>
            </w:r>
          </w:p>
        </w:tc>
        <w:tc>
          <w:tcPr>
            <w:tcW w:w="1020" w:type="dxa"/>
            <w:vAlign w:val="bottom"/>
          </w:tcPr>
          <w:p>
            <w:pPr>
              <w:ind w:left="80"/>
              <w:spacing w:after="0"/>
              <w:rPr>
                <w:sz w:val="20"/>
                <w:szCs w:val="20"/>
                <w:color w:val="auto"/>
              </w:rPr>
            </w:pPr>
            <w:r>
              <w:rPr>
                <w:rFonts w:ascii="Arial" w:cs="Arial" w:eastAsia="Arial" w:hAnsi="Arial"/>
                <w:sz w:val="18"/>
                <w:szCs w:val="18"/>
                <w:color w:val="0000FF"/>
              </w:rPr>
              <w:t>CA</w:t>
            </w:r>
          </w:p>
        </w:tc>
        <w:tc>
          <w:tcPr>
            <w:tcW w:w="1460" w:type="dxa"/>
            <w:vAlign w:val="bottom"/>
          </w:tcPr>
          <w:p>
            <w:pPr>
              <w:ind w:left="280"/>
              <w:spacing w:after="0"/>
              <w:rPr>
                <w:sz w:val="20"/>
                <w:szCs w:val="20"/>
                <w:color w:val="auto"/>
              </w:rPr>
            </w:pPr>
            <w:r>
              <w:rPr>
                <w:rFonts w:ascii="Arial" w:cs="Arial" w:eastAsia="Arial" w:hAnsi="Arial"/>
                <w:sz w:val="18"/>
                <w:szCs w:val="18"/>
                <w:color w:val="0000FF"/>
              </w:rPr>
              <w:t>94070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80"/>
              <w:spacing w:after="0"/>
              <w:rPr>
                <w:sz w:val="20"/>
                <w:szCs w:val="20"/>
                <w:color w:val="auto"/>
              </w:rPr>
            </w:pPr>
            <w:r>
              <w:rPr>
                <w:rFonts w:ascii="Arial" w:cs="Arial" w:eastAsia="Arial" w:hAnsi="Arial"/>
                <w:sz w:val="14"/>
                <w:szCs w:val="14"/>
                <w:color w:val="auto"/>
              </w:rPr>
              <w:t>(State)</w:t>
            </w:r>
          </w:p>
        </w:tc>
        <w:tc>
          <w:tcPr>
            <w:tcW w:w="146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07/19/2023</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7"/>
              </w:rPr>
              <w:t>Common Stock, par value $0.0001 per</w:t>
            </w:r>
          </w:p>
        </w:tc>
        <w:tc>
          <w:tcPr>
            <w:tcW w:w="114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07/19/2023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14,853</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3.56</w:t>
            </w: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534,434</w:t>
            </w:r>
            <w:r>
              <w:rPr>
                <w:rFonts w:ascii="Arial" w:cs="Arial" w:eastAsia="Arial" w:hAnsi="Arial"/>
                <w:sz w:val="22"/>
                <w:szCs w:val="22"/>
                <w:color w:val="008000"/>
                <w:vertAlign w:val="superscript"/>
              </w:rPr>
              <w:t>(2)</w:t>
            </w:r>
          </w:p>
        </w:tc>
        <w:tc>
          <w:tcPr>
            <w:tcW w:w="920" w:type="dxa"/>
            <w:vAlign w:val="bottom"/>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25, 2022, the reporting person was granted 173,476 restricted stock units ("RSUs") that vest in four equal annual installments beginning on July 18, 2022. Each RSU represents the right to receive one share of PRST common stock upon vesting. On July 19, 2023, the reporting person sold 14,853 shares in order to cover the reporting person's statutory tax withholding obligations in connection with the vesting of RSUs, as required by the terms of the RSU award agreement. Such sales do not represent discretionary transactions by the reporting person.</w:t>
      </w:r>
    </w:p>
    <w:p>
      <w:pPr>
        <w:spacing w:after="0" w:line="3" w:lineRule="exact"/>
        <w:rPr>
          <w:rFonts w:ascii="Arial" w:cs="Arial" w:eastAsia="Arial" w:hAnsi="Arial"/>
          <w:sz w:val="12"/>
          <w:szCs w:val="12"/>
          <w:color w:val="008000"/>
        </w:rPr>
      </w:pPr>
    </w:p>
    <w:p>
      <w:pPr>
        <w:ind w:left="40" w:right="30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$3.52 to $3.68.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130,107 RSUs following the reported transaction.</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Xavier Casanova</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07/20/2023</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6110"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2023-07-21T16:08:12Z</dcterms:created>
  <dcterms:modified xsi:type="dcterms:W3CDTF">2023-07-21T16:08:12Z</dcterms:modified>
</cp:coreProperties>
</file>