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19050</wp:posOffset>
            </wp:positionH>
            <wp:positionV relativeFrom="paragraph">
              <wp:posOffset>-5715</wp:posOffset>
            </wp:positionV>
            <wp:extent cx="136525" cy="1841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8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20" w:right="340" w:hanging="245"/>
        <w:spacing w:after="0" w:line="183" w:lineRule="auto"/>
        <w:tabs>
          <w:tab w:leader="none" w:pos="3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26670</wp:posOffset>
            </wp:positionV>
            <wp:extent cx="7048500" cy="5807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580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480"/>
            <w:col w:w="8440"/>
          </w:cols>
          <w:pgMar w:left="460" w:top="214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Ventoux Acquisition Holdings LLC</w:t>
        </w:r>
      </w:hyperlink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 w:line="36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VENTOUX CCM ACQUISITION CORP. 1 EAST PUTNAM AVENUE, FLOOR 4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0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GREENWICH   CT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06830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Presto Automation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6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09/21/2021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66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09/21/2022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686,592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0.0059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2,058,033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09/21/2022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9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1,769,108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288,925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4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Warrants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44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9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(2)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366,650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09/21/2022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366,650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09/21/2022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09/21/2027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4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4,083,350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Warrants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333,350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09/21/2022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333,350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09/21/2022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09/21/2027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4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3,750,000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Warrants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44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9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3,750,000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11.5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09/21/2022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left="203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3,750,000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09/21/2022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09/21/2027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Stock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Pro-rata in-kind distribution to the Reporting Person's members.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Cancellation of Warrants.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Matt MacDonald, Managing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09/23/2022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Member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37185" TargetMode="External"/><Relationship Id="rId13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2022-09-23T14:52:13Z</dcterms:created>
  <dcterms:modified xsi:type="dcterms:W3CDTF">2022-09-23T14:52:13Z</dcterms:modified>
</cp:coreProperties>
</file>