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Gupta Krishna 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PRESTO AUTOMATION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985 INDUSTRIAL ROAD</w:t>
            </w: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8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2"/>
              </w:rPr>
              <w:t>1,200,000</w:t>
            </w:r>
            <w:r>
              <w:rPr>
                <w:rFonts w:ascii="Times New Roman" w:cs="Times New Roman" w:eastAsia="Times New Roman" w:hAnsi="Times New Roman"/>
                <w:sz w:val="25"/>
                <w:szCs w:val="25"/>
                <w:color w:val="008000"/>
                <w:w w:val="92"/>
                <w:vertAlign w:val="superscript"/>
              </w:rPr>
              <w:t>(1)</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96"/>
              </w:rPr>
              <w:t>D</w:t>
            </w:r>
          </w:p>
        </w:tc>
        <w:tc>
          <w:tcPr>
            <w:tcW w:w="3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8"/>
              </w:rPr>
              <w:t>244,903</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 L.P.</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71"/>
              <w:spacing w:after="0"/>
              <w:rPr>
                <w:sz w:val="20"/>
                <w:szCs w:val="20"/>
                <w:color w:val="auto"/>
              </w:rPr>
            </w:pPr>
            <w:r>
              <w:rPr>
                <w:rFonts w:ascii="Times New Roman" w:cs="Times New Roman" w:eastAsia="Times New Roman" w:hAnsi="Times New Roman"/>
                <w:sz w:val="20"/>
                <w:szCs w:val="20"/>
                <w:color w:val="0000FF"/>
                <w:w w:val="97"/>
              </w:rPr>
              <w:t>3,691,313</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II, L.P.</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4"/>
              </w:rPr>
              <w:t>8,118,894</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III, L.P.</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vMerge w:val="restart"/>
          </w:tcPr>
          <w:p>
            <w:pPr>
              <w:jc w:val="center"/>
              <w:ind w:left="251"/>
              <w:spacing w:after="0"/>
              <w:rPr>
                <w:sz w:val="20"/>
                <w:szCs w:val="20"/>
                <w:color w:val="auto"/>
              </w:rPr>
            </w:pPr>
            <w:r>
              <w:rPr>
                <w:rFonts w:ascii="Times New Roman" w:cs="Times New Roman" w:eastAsia="Times New Roman" w:hAnsi="Times New Roman"/>
                <w:sz w:val="20"/>
                <w:szCs w:val="20"/>
                <w:color w:val="0000FF"/>
                <w:w w:val="98"/>
              </w:rPr>
              <w:t>162,869</w:t>
            </w:r>
          </w:p>
        </w:tc>
        <w:tc>
          <w:tcPr>
            <w:tcW w:w="820" w:type="dxa"/>
            <w:vAlign w:val="bottom"/>
          </w:tcPr>
          <w:p>
            <w:pPr>
              <w:spacing w:after="0"/>
              <w:rPr>
                <w:sz w:val="24"/>
                <w:szCs w:val="24"/>
                <w:color w:val="auto"/>
              </w:rPr>
            </w:pPr>
          </w:p>
        </w:tc>
        <w:tc>
          <w:tcPr>
            <w:tcW w:w="740" w:type="dxa"/>
            <w:vAlign w:val="bottom"/>
            <w:gridSpan w:val="2"/>
            <w:vMerge w:val="restart"/>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Romulus ELC B3 Special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rPr>
              <w:t>Opportunity,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vMerge w:val="restart"/>
          </w:tcPr>
          <w:p>
            <w:pPr>
              <w:jc w:val="center"/>
              <w:ind w:left="251"/>
              <w:spacing w:after="0"/>
              <w:rPr>
                <w:sz w:val="20"/>
                <w:szCs w:val="20"/>
                <w:color w:val="auto"/>
              </w:rPr>
            </w:pPr>
            <w:r>
              <w:rPr>
                <w:rFonts w:ascii="Times New Roman" w:cs="Times New Roman" w:eastAsia="Times New Roman" w:hAnsi="Times New Roman"/>
                <w:sz w:val="20"/>
                <w:szCs w:val="20"/>
                <w:color w:val="0000FF"/>
                <w:w w:val="98"/>
              </w:rPr>
              <w:t>652,740</w:t>
            </w:r>
          </w:p>
        </w:tc>
        <w:tc>
          <w:tcPr>
            <w:tcW w:w="820" w:type="dxa"/>
            <w:vAlign w:val="bottom"/>
          </w:tcPr>
          <w:p>
            <w:pPr>
              <w:spacing w:after="0"/>
              <w:rPr>
                <w:sz w:val="24"/>
                <w:szCs w:val="24"/>
                <w:color w:val="auto"/>
              </w:rPr>
            </w:pPr>
          </w:p>
        </w:tc>
        <w:tc>
          <w:tcPr>
            <w:tcW w:w="740" w:type="dxa"/>
            <w:vAlign w:val="bottom"/>
            <w:gridSpan w:val="2"/>
            <w:vMerge w:val="restart"/>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Zaffran Special Opportunities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(6)</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gridSpan w:val="2"/>
            <w:vMerge w:val="continue"/>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8"/>
              </w:rPr>
              <w:t>279,680</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KKG Enterprises LLC</w:t>
            </w:r>
            <w:r>
              <w:rPr>
                <w:rFonts w:ascii="Times New Roman" w:cs="Times New Roman" w:eastAsia="Times New Roman" w:hAnsi="Times New Roman"/>
                <w:sz w:val="25"/>
                <w:szCs w:val="25"/>
                <w:color w:val="008000"/>
                <w:vertAlign w:val="superscript"/>
              </w:rPr>
              <w:t>(7)</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6"/>
          </w:tcPr>
          <w:p>
            <w:pPr>
              <w:jc w:val="center"/>
              <w:ind w:right="45"/>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jc w:val="cente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Security</w:t>
            </w:r>
          </w:p>
        </w:tc>
        <w:tc>
          <w:tcPr>
            <w:tcW w:w="320" w:type="dxa"/>
            <w:vAlign w:val="bottom"/>
          </w:tcPr>
          <w:p>
            <w:pPr>
              <w:spacing w:after="0"/>
              <w:rPr>
                <w:sz w:val="14"/>
                <w:szCs w:val="14"/>
                <w:color w:val="auto"/>
              </w:rPr>
            </w:pP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2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70,052</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Capital I, L.P.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1,055,865</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Capital II,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2,322,335</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Capital III, L.P.</w:t>
            </w:r>
            <w:r>
              <w:rPr>
                <w:rFonts w:ascii="Times New Roman" w:cs="Times New Roman" w:eastAsia="Times New Roman" w:hAnsi="Times New Roman"/>
                <w:sz w:val="25"/>
                <w:szCs w:val="25"/>
                <w:color w:val="008000"/>
                <w:w w:val="97"/>
                <w:vertAlign w:val="superscript"/>
              </w:rPr>
              <w:t>(4)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46,587</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0"/>
                <w:szCs w:val="2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ELC B3 Special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 L.P.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Zaffran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186,710</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0"/>
                <w:szCs w:val="2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Special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Opportunities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4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(6)</w:t>
      </w:r>
    </w:p>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775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77546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KKG</w:t>
            </w:r>
          </w:p>
        </w:tc>
        <w:tc>
          <w:tcPr>
            <w:tcW w:w="0" w:type="dxa"/>
            <w:vAlign w:val="bottom"/>
          </w:tcPr>
          <w:p>
            <w:pPr>
              <w:spacing w:after="0"/>
              <w:rPr>
                <w:sz w:val="1"/>
                <w:szCs w:val="1"/>
                <w:color w:val="auto"/>
              </w:rPr>
            </w:pPr>
          </w:p>
        </w:tc>
      </w:tr>
      <w:tr>
        <w:trPr>
          <w:trHeight w:val="240"/>
        </w:trPr>
        <w:tc>
          <w:tcPr>
            <w:tcW w:w="28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tcPr>
          <w:p>
            <w:pPr>
              <w:jc w:val="right"/>
              <w:ind w:right="309"/>
              <w:spacing w:after="0"/>
              <w:rPr>
                <w:sz w:val="20"/>
                <w:szCs w:val="20"/>
                <w:color w:val="auto"/>
              </w:rPr>
            </w:pPr>
            <w:r>
              <w:rPr>
                <w:rFonts w:ascii="Times New Roman" w:cs="Times New Roman" w:eastAsia="Times New Roman" w:hAnsi="Times New Roman"/>
                <w:sz w:val="13"/>
                <w:szCs w:val="13"/>
                <w:color w:val="008000"/>
              </w:rPr>
              <w:t>(8)</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0000FF"/>
              </w:rPr>
              <w:t>80,000</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(8)</w:t>
            </w: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Enterprises</w:t>
            </w:r>
          </w:p>
        </w:tc>
        <w:tc>
          <w:tcPr>
            <w:tcW w:w="0" w:type="dxa"/>
            <w:vAlign w:val="bottom"/>
          </w:tcPr>
          <w:p>
            <w:pPr>
              <w:spacing w:after="0"/>
              <w:rPr>
                <w:sz w:val="1"/>
                <w:szCs w:val="1"/>
                <w:color w:val="auto"/>
              </w:rPr>
            </w:pPr>
          </w:p>
        </w:tc>
      </w:tr>
      <w:tr>
        <w:trPr>
          <w:trHeight w:val="341"/>
        </w:trPr>
        <w:tc>
          <w:tcPr>
            <w:tcW w:w="2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(7)</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20" w:right="80" w:firstLine="5"/>
        <w:spacing w:after="0" w:line="239"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a grant of restricted stock units ("RSUs"). Each RSU represents a contingent right to receive one share of the Issuer's common stock, $0.0001 par value per share (the "Common Stock"). The RSUs shall vest as follows 33.33% of the RSUs shall vest on September 30, 2022, an additional 56.67% shall vest in equal monthly installments on the last day of each month during the subsequent 23-month period, and the remaining 10% shall vest on September 21, 2025, subject to the Reporting Person's continued service on each such vesting date.</w:t>
      </w:r>
    </w:p>
    <w:p>
      <w:pPr>
        <w:spacing w:after="0" w:line="33" w:lineRule="exact"/>
        <w:rPr>
          <w:rFonts w:ascii="Times New Roman" w:cs="Times New Roman" w:eastAsia="Times New Roman" w:hAnsi="Times New Roman"/>
          <w:sz w:val="15"/>
          <w:szCs w:val="15"/>
          <w:color w:val="008000"/>
        </w:rPr>
      </w:pPr>
    </w:p>
    <w:p>
      <w:pPr>
        <w:ind w:left="20" w:right="60" w:firstLine="5"/>
        <w:spacing w:after="0" w:line="239"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 L.P. ("Romulus I"). Palatine Hill Ventures GP LLC ("Palatine Hill") is the general partner of Romulus I. The Reporting Person is one of two managing members of Palatine Hill,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 as amended (the "Exchange Act").</w:t>
      </w:r>
    </w:p>
    <w:p>
      <w:pPr>
        <w:spacing w:after="0" w:line="33"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II, L.P. ("Romulus II"). Romulus Capital Partners II, LLC ("Romulus II GP") is the general partner of Romulus II. The Reporting Person is one of two managing members of Romulus II GP,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140" w:firstLine="5"/>
        <w:spacing w:after="0" w:line="239"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III, L.P. ("Romulus III"). Romulus II GP is the general partner of Romulus III. The Reporting Person is one of two managing members of Romulus II GP,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140" w:firstLine="5"/>
        <w:spacing w:after="0" w:line="239"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ELC B3 Special Opportunity, L.P. ("Romulus ELC"). Romulus II GP is the general partner of Romulus ELC. The Reporting Person is one of two managing members of Romulus II GP,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Zaffran Special Opportunities LLC ("Zaffran"). The Reporting Person is the sole general partner of Zaffran,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29"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KKG Enterprises LLC ("KKG Enterprises"). The Reporting Person is the sole managing member of KKG Enterprises,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29"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Earn-Out Share represents a contingent right to receive one share of Common Stock. The Earn-Out Shares shall vest and be released upon the satisfaction of certain share price vesting conditions as follows: one-half of the Earn-Out Shares will be issued if the volume weighted average price ("VWAP") of the Issuer's Common Stock equals or exceeds $12.50 over 20 trading days within any 30 trading day period on or before September 21, 2025, and one-half will be issued if the VWAP of the Issuer's Common Stock equals or exceeds $15.00 over 20 trading days within any 30 trading day period on or before September 21, 2027.</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Krishna K. Gupta</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10/03/2022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8" w:right="499" w:bottom="1440" w:gutter="0" w:footer="0" w:header="0"/>
        </w:sectPr>
      </w:pPr>
    </w:p>
    <w:bookmarkStart w:id="2" w:name="page3"/>
    <w:bookmarkEnd w:id="2"/>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936"/>
        <w:spacing w:after="0" w:line="265" w:lineRule="auto"/>
        <w:rPr>
          <w:sz w:val="20"/>
          <w:szCs w:val="20"/>
          <w:color w:val="auto"/>
        </w:rPr>
      </w:pPr>
      <w:r>
        <w:rPr>
          <w:rFonts w:ascii="Courier New" w:cs="Courier New" w:eastAsia="Courier New" w:hAnsi="Courier New"/>
          <w:sz w:val="20"/>
          <w:szCs w:val="20"/>
          <w:color w:val="auto"/>
        </w:rPr>
        <w:t>The undersigned constitutes and appoints Rajat Suri, Ashish Gupta,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00" w:lineRule="exact"/>
        <w:rPr>
          <w:sz w:val="20"/>
          <w:szCs w:val="20"/>
          <w:color w:val="auto"/>
        </w:rPr>
      </w:pPr>
    </w:p>
    <w:p>
      <w:pPr>
        <w:ind w:right="739" w:firstLine="936"/>
        <w:spacing w:after="0" w:line="278" w:lineRule="auto"/>
        <w:tabs>
          <w:tab w:leader="none" w:pos="12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328" w:lineRule="exact"/>
        <w:rPr>
          <w:rFonts w:ascii="Courier New" w:cs="Courier New" w:eastAsia="Courier New" w:hAnsi="Courier New"/>
          <w:sz w:val="18"/>
          <w:szCs w:val="18"/>
          <w:color w:val="auto"/>
        </w:rPr>
      </w:pPr>
    </w:p>
    <w:p>
      <w:pPr>
        <w:ind w:right="739" w:firstLine="936"/>
        <w:spacing w:after="0" w:line="247" w:lineRule="auto"/>
        <w:tabs>
          <w:tab w:leader="none" w:pos="128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Presto Automation Inc.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August 29, 2022</w:t>
      </w:r>
    </w:p>
    <w:p>
      <w:pPr>
        <w:spacing w:after="0" w:line="33"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By: /s/ Krishna K. Gupta</w:t>
      </w:r>
    </w:p>
    <w:p>
      <w:pPr>
        <w:ind w:left="5380"/>
        <w:spacing w:after="0" w:line="238" w:lineRule="auto"/>
        <w:rPr>
          <w:sz w:val="20"/>
          <w:szCs w:val="20"/>
          <w:color w:val="auto"/>
        </w:rPr>
      </w:pPr>
      <w:r>
        <w:rPr>
          <w:rFonts w:ascii="Courier New" w:cs="Courier New" w:eastAsia="Courier New" w:hAnsi="Courier New"/>
          <w:sz w:val="20"/>
          <w:szCs w:val="20"/>
          <w:color w:val="auto"/>
        </w:rPr>
        <w:t>-------------------------------</w:t>
      </w:r>
    </w:p>
    <w:p>
      <w:pPr>
        <w:ind w:left="5380"/>
        <w:spacing w:after="0"/>
        <w:rPr>
          <w:sz w:val="20"/>
          <w:szCs w:val="20"/>
          <w:color w:val="auto"/>
        </w:rPr>
      </w:pPr>
      <w:r>
        <w:rPr>
          <w:rFonts w:ascii="Courier New" w:cs="Courier New" w:eastAsia="Courier New" w:hAnsi="Courier New"/>
          <w:sz w:val="20"/>
          <w:szCs w:val="20"/>
          <w:color w:val="auto"/>
        </w:rPr>
        <w:t>Name: Krishna K. Gupta</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4971"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2022-10-03T17:53:28Z</dcterms:created>
  <dcterms:modified xsi:type="dcterms:W3CDTF">2022-10-03T17:53:28Z</dcterms:modified>
</cp:coreProperties>
</file>