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20, 2023</w:t>
      </w:r>
    </w:p>
    <w:p>
      <w:pPr>
        <w:spacing w:after="0" w:line="225" w:lineRule="exact"/>
        <w:rPr>
          <w:sz w:val="24"/>
          <w:szCs w:val="24"/>
          <w:color w:val="auto"/>
        </w:rPr>
      </w:pPr>
    </w:p>
    <w:p>
      <w:pPr>
        <w:jc w:val="right"/>
        <w:ind w:right="219"/>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377190</wp:posOffset>
            </wp:positionV>
            <wp:extent cx="5452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304165</wp:posOffset>
            </wp:positionV>
            <wp:extent cx="5452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Presto Automation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22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84-2968594</w:t>
      </w:r>
    </w:p>
    <w:p>
      <w:pPr>
        <w:spacing w:after="0" w:line="31" w:lineRule="exact"/>
        <w:rPr>
          <w:sz w:val="24"/>
          <w:szCs w:val="24"/>
          <w:color w:val="auto"/>
        </w:rPr>
      </w:pPr>
    </w:p>
    <w:p>
      <w:pPr>
        <w:sectPr>
          <w:pgSz w:w="11900" w:h="16838" w:orient="portrait"/>
          <w:cols w:equalWidth="0" w:num="2">
            <w:col w:w="5820" w:space="720"/>
            <w:col w:w="2479"/>
          </w:cols>
          <w:pgMar w:left="1440" w:top="661" w:right="1440" w:bottom="1440" w:gutter="0" w:footer="0" w:header="0"/>
          <w:type w:val="continuous"/>
        </w:sectPr>
      </w:pPr>
    </w:p>
    <w:p>
      <w:pPr>
        <w:spacing w:after="0" w:line="12" w:lineRule="exact"/>
        <w:rPr>
          <w:sz w:val="24"/>
          <w:szCs w:val="24"/>
          <w:color w:val="auto"/>
        </w:rPr>
      </w:pPr>
    </w:p>
    <w:p>
      <w:pPr>
        <w:ind w:left="1700"/>
        <w:spacing w:after="0"/>
        <w:rPr>
          <w:sz w:val="20"/>
          <w:szCs w:val="20"/>
          <w:color w:val="auto"/>
        </w:rPr>
      </w:pPr>
      <w:r>
        <w:rPr>
          <w:rFonts w:ascii="Arial" w:cs="Arial" w:eastAsia="Arial" w:hAnsi="Arial"/>
          <w:sz w:val="13"/>
          <w:szCs w:val="13"/>
          <w:b w:val="1"/>
          <w:bCs w:val="1"/>
          <w:color w:val="auto"/>
        </w:rPr>
        <w:t>(State or other jurisdiction of</w:t>
      </w:r>
    </w:p>
    <w:p>
      <w:pPr>
        <w:ind w:left="16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339"/>
        <w:spacing w:after="0"/>
        <w:rPr>
          <w:sz w:val="20"/>
          <w:szCs w:val="20"/>
          <w:color w:val="auto"/>
        </w:rPr>
      </w:pPr>
      <w:r>
        <w:rPr>
          <w:rFonts w:ascii="Arial" w:cs="Arial" w:eastAsia="Arial" w:hAnsi="Arial"/>
          <w:sz w:val="14"/>
          <w:szCs w:val="14"/>
          <w:b w:val="1"/>
          <w:bCs w:val="1"/>
          <w:color w:val="auto"/>
        </w:rPr>
        <w:t>(I.R.S. Employer</w:t>
      </w:r>
    </w:p>
    <w:p>
      <w:pPr>
        <w:jc w:val="center"/>
        <w:ind w:right="1339"/>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5540" w:space="720"/>
            <w:col w:w="2759"/>
          </w:cols>
          <w:pgMar w:left="1440" w:top="661" w:right="1440"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985 Industrial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Carlos, CA 94070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312420</wp:posOffset>
            </wp:positionV>
            <wp:extent cx="5452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Presto Automation Inc. 2022 Incentive Award Plan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304800</wp:posOffset>
            </wp:positionV>
            <wp:extent cx="5452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Susan Shinoff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&amp;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985 Industrial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Carlos, CA 94070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817-9012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501015</wp:posOffset>
            </wp:positionV>
            <wp:extent cx="54521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1048385</wp:posOffset>
            </wp:positionH>
            <wp:positionV relativeFrom="page">
              <wp:posOffset>243205</wp:posOffset>
            </wp:positionV>
            <wp:extent cx="5452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8255"/>
                    </a:xfrm>
                    <a:prstGeom prst="rect">
                      <a:avLst/>
                    </a:prstGeom>
                    <a:noFill/>
                  </pic:spPr>
                </pic:pic>
              </a:graphicData>
            </a:graphic>
          </wp:anchor>
        </w:drawing>
        <w:t>Copies to:</w:t>
      </w: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Colin Diamond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Laura Katherine Mann</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White &amp; Case LLP</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609 Main Street</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(713) 496-9700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54521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00" w:right="279"/>
        <w:spacing w:after="0" w:line="31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5" w:lineRule="exact"/>
        <w:rPr>
          <w:sz w:val="20"/>
          <w:szCs w:val="20"/>
          <w:color w:val="auto"/>
        </w:rPr>
      </w:pPr>
    </w:p>
    <w:tbl>
      <w:tblPr>
        <w:tblLayout w:type="fixed"/>
        <w:tblInd w:w="220" w:type="dxa"/>
        <w:tblCellMar>
          <w:top w:w="0" w:type="dxa"/>
          <w:left w:w="0" w:type="dxa"/>
          <w:bottom w:w="0" w:type="dxa"/>
          <w:right w:w="0" w:type="dxa"/>
        </w:tblCellMar>
      </w:tblPr>
      <w:tr>
        <w:trPr>
          <w:trHeight w:val="303"/>
        </w:trPr>
        <w:tc>
          <w:tcPr>
            <w:tcW w:w="25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26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560" w:type="dxa"/>
            <w:vAlign w:val="bottom"/>
          </w:tcPr>
          <w:p>
            <w:pPr>
              <w:spacing w:after="0"/>
              <w:rPr>
                <w:sz w:val="20"/>
                <w:szCs w:val="20"/>
                <w:color w:val="auto"/>
              </w:rPr>
            </w:pPr>
            <w:r>
              <w:rPr>
                <w:rFonts w:ascii="Arial" w:cs="Arial" w:eastAsia="Arial" w:hAnsi="Arial"/>
                <w:sz w:val="18"/>
                <w:szCs w:val="18"/>
                <w:color w:val="auto"/>
              </w:rPr>
              <w:t>Non-accelerated filer</w:t>
            </w:r>
          </w:p>
        </w:tc>
        <w:tc>
          <w:tcPr>
            <w:tcW w:w="126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120"/>
              <w:spacing w:after="0"/>
              <w:rPr>
                <w:sz w:val="20"/>
                <w:szCs w:val="20"/>
                <w:color w:val="auto"/>
              </w:rPr>
            </w:pPr>
            <w:r>
              <w:rPr>
                <w:rFonts w:ascii="Arial" w:cs="Arial" w:eastAsia="Arial" w:hAnsi="Arial"/>
                <w:sz w:val="18"/>
                <w:szCs w:val="18"/>
                <w:color w:val="auto"/>
              </w:rPr>
              <w:t>Smaller reporting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Emerging growth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0"/>
          <w:szCs w:val="20"/>
          <w:color w:val="auto"/>
        </w:rPr>
      </w:pPr>
    </w:p>
    <w:p>
      <w:pPr>
        <w:spacing w:after="0" w:line="217" w:lineRule="exact"/>
        <w:rPr>
          <w:sz w:val="20"/>
          <w:szCs w:val="20"/>
          <w:color w:val="auto"/>
        </w:rPr>
      </w:pPr>
    </w:p>
    <w:p>
      <w:pPr>
        <w:jc w:val="both"/>
        <w:ind w:left="200" w:right="339"/>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960755</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429260</wp:posOffset>
            </wp:positionV>
            <wp:extent cx="54521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ectPr>
          <w:pgSz w:w="11900" w:h="16838" w:orient="portrait"/>
          <w:cols w:equalWidth="0" w:num="1">
            <w:col w:w="9019"/>
          </w:cols>
          <w:pgMar w:left="1440" w:top="422"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18"/>
          <w:szCs w:val="18"/>
          <w:color w:val="auto"/>
        </w:rPr>
        <w:t>This Registration Statement is filed by Presto Automation Inc. (the “Company”) for the purpose of registering additional shares of common stock, par value $0.0001 per share, of the Company (the “Common Stock”) under the Company’s 2022 Incentive Award Plan (the “2022 Incentive Plan”).</w:t>
      </w:r>
    </w:p>
    <w:p>
      <w:pPr>
        <w:spacing w:after="0" w:line="184" w:lineRule="exact"/>
        <w:rPr>
          <w:sz w:val="20"/>
          <w:szCs w:val="20"/>
          <w:color w:val="auto"/>
        </w:rPr>
      </w:pPr>
    </w:p>
    <w:p>
      <w:pPr>
        <w:jc w:val="both"/>
        <w:ind w:left="200" w:right="219"/>
        <w:spacing w:after="0" w:line="290" w:lineRule="auto"/>
        <w:rPr>
          <w:sz w:val="20"/>
          <w:szCs w:val="20"/>
          <w:color w:val="auto"/>
        </w:rPr>
      </w:pPr>
      <w:r>
        <w:rPr>
          <w:rFonts w:ascii="Arial" w:cs="Arial" w:eastAsia="Arial" w:hAnsi="Arial"/>
          <w:sz w:val="16"/>
          <w:szCs w:val="16"/>
          <w:color w:val="auto"/>
        </w:rPr>
        <w:t>The number of shares of Common Stock reserved for issuance under the 2022 Incentive Plan are subject to automatic increase on January 1 of each of 2023 through 2032 by the number of shares equal to the lesser of (i) one percent (1%) of the total number of outstanding shares (rounded down to the nearest whole share) of Common Stock as of the immediately preceding December 31, or (ii) a number as may be determined by the Board of Directors of the Company (the “2022 Incentive Plan Evergreen Provision”). Pursuant to the 2022 Incentive Plan Evergreen Provision, the number of shares of Common Stock available for issuance under the 2022 Incentive Plan was increased by 512,316 shares effective January 1, 2023. This Registration Statement registers the additional shares available for issuance under the 2022 Incentive Plan as a result of the 2022 Incentive Plan Evergreen Provision.</w:t>
      </w:r>
    </w:p>
    <w:p>
      <w:pPr>
        <w:spacing w:after="0" w:line="165"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18"/>
          <w:szCs w:val="18"/>
          <w:color w:val="auto"/>
        </w:rPr>
        <w:t>Pursuant to Instruction E of Form S-8, the contents of the Company’s prior registration statements on Form S-8 registering shares of the Common Stock under the 2022 Incentive Plan (File No. 333-268846) are hereby incorporated by reference herein, and the information required by Part II of Form S-8 is omitted, except as supplemented by the information set forth below.</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0" w:right="1739" w:firstLine="1528"/>
        <w:spacing w:after="0" w:line="532" w:lineRule="auto"/>
        <w:rPr>
          <w:sz w:val="20"/>
          <w:szCs w:val="20"/>
          <w:color w:val="auto"/>
        </w:rPr>
      </w:pPr>
      <w:r>
        <w:rPr>
          <w:rFonts w:ascii="Arial" w:cs="Arial" w:eastAsia="Arial" w:hAnsi="Arial"/>
          <w:sz w:val="18"/>
          <w:szCs w:val="18"/>
          <w:b w:val="1"/>
          <w:bCs w:val="1"/>
          <w:color w:val="auto"/>
        </w:rPr>
        <w:t>INFORMATION REQUIRED IN THE SECTION 10(a) PROSPECTUS Item 1. Plan Information.*</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56" w:lineRule="exact"/>
        <w:rPr>
          <w:sz w:val="20"/>
          <w:szCs w:val="20"/>
          <w:color w:val="auto"/>
        </w:rPr>
      </w:pPr>
    </w:p>
    <w:p>
      <w:pPr>
        <w:jc w:val="both"/>
        <w:ind w:left="200" w:right="219" w:firstLine="72"/>
        <w:spacing w:after="0" w:line="286" w:lineRule="auto"/>
        <w:tabs>
          <w:tab w:leader="none" w:pos="417"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permitted by Rule 428 under the Securities Act of 1933, as amended (the “Securities Act”), this Registration Statement omits the information specified in Part I of Form S-8. The documents containing the information specified in this Part I of Form S-8 (“Plan Information” and “Registrant Information and Employee Plan Annual Information”) will be sent or given to employees as specified by the Securities and Exchange Commission (the “SEC”) pursuant to Rule 428(b)(1) under the Securities Act. Such documents are not required to be and are not filed with the SEC either as part of this Registration Statement or as prospectuses or prospectus supplements pursuant to Rule 424 under the Securities Act.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under the Securities Act, and will include the address and telephone number to which the request is to be 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753745</wp:posOffset>
            </wp:positionV>
            <wp:extent cx="5452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hereby incorporates by reference in this Registration Statement the following:</w:t>
      </w:r>
    </w:p>
    <w:p>
      <w:pPr>
        <w:spacing w:after="0" w:line="131" w:lineRule="exact"/>
        <w:rPr>
          <w:sz w:val="20"/>
          <w:szCs w:val="20"/>
          <w:color w:val="auto"/>
        </w:rPr>
      </w:pPr>
    </w:p>
    <w:p>
      <w:pPr>
        <w:jc w:val="both"/>
        <w:ind w:left="860" w:right="219" w:hanging="327"/>
        <w:spacing w:after="0" w:line="255" w:lineRule="auto"/>
        <w:tabs>
          <w:tab w:leader="none" w:pos="860" w:val="left"/>
        </w:tabs>
        <w:numPr>
          <w:ilvl w:val="0"/>
          <w:numId w:val="2"/>
        </w:numPr>
        <w:rPr>
          <w:rFonts w:ascii="Arial" w:cs="Arial" w:eastAsia="Arial" w:hAnsi="Arial"/>
          <w:sz w:val="18"/>
          <w:szCs w:val="18"/>
          <w:color w:val="0000EE"/>
        </w:rPr>
      </w:pPr>
      <w:hyperlink r:id="rId20">
        <w:r>
          <w:rPr>
            <w:rFonts w:ascii="Arial" w:cs="Arial" w:eastAsia="Arial" w:hAnsi="Arial"/>
            <w:sz w:val="18"/>
            <w:szCs w:val="18"/>
            <w:color w:val="auto"/>
          </w:rPr>
          <w:t xml:space="preserve">the </w:t>
        </w:r>
        <w:r>
          <w:rPr>
            <w:rFonts w:ascii="Arial" w:cs="Arial" w:eastAsia="Arial" w:hAnsi="Arial"/>
            <w:sz w:val="18"/>
            <w:szCs w:val="18"/>
            <w:u w:val="single" w:color="auto"/>
            <w:color w:val="0000EE"/>
          </w:rPr>
          <w:t>Annual Report on Form 10-K for the year ended June 30, 2023, filed by the Company with the SEC on</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October 11, 2023</w:t>
        </w:r>
        <w:r>
          <w:rPr>
            <w:rFonts w:ascii="Arial" w:cs="Arial" w:eastAsia="Arial" w:hAnsi="Arial"/>
            <w:sz w:val="18"/>
            <w:szCs w:val="18"/>
            <w:color w:val="000000"/>
          </w:rPr>
          <w:t>, as amended by</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Amendment No. 1 to our Annual Report on Form 10-K/A, filed by the</w:t>
        </w:r>
      </w:hyperlink>
      <w:r>
        <w:rPr>
          <w:rFonts w:ascii="Arial" w:cs="Arial" w:eastAsia="Arial" w:hAnsi="Arial"/>
          <w:sz w:val="18"/>
          <w:szCs w:val="18"/>
          <w:color w:val="0000EE"/>
        </w:rPr>
        <w:t xml:space="preserve"> </w:t>
      </w:r>
      <w:hyperlink r:id="rId21">
        <w:r>
          <w:rPr>
            <w:rFonts w:ascii="Arial" w:cs="Arial" w:eastAsia="Arial" w:hAnsi="Arial"/>
            <w:sz w:val="18"/>
            <w:szCs w:val="18"/>
            <w:u w:val="single" w:color="auto"/>
            <w:color w:val="0000EE"/>
          </w:rPr>
          <w:t>Company with the SEC on October 12, 2023</w:t>
        </w:r>
        <w:r>
          <w:rPr>
            <w:rFonts w:ascii="Arial" w:cs="Arial" w:eastAsia="Arial" w:hAnsi="Arial"/>
            <w:sz w:val="18"/>
            <w:szCs w:val="18"/>
            <w:color w:val="0000EE"/>
          </w:rPr>
          <w:t xml:space="preserve"> </w:t>
        </w:r>
        <w:r>
          <w:rPr>
            <w:rFonts w:ascii="Arial" w:cs="Arial" w:eastAsia="Arial" w:hAnsi="Arial"/>
            <w:sz w:val="18"/>
            <w:szCs w:val="18"/>
            <w:color w:val="000000"/>
          </w:rPr>
          <w:t>(the “2023 Annual Report”);</w:t>
        </w:r>
      </w:hyperlink>
    </w:p>
    <w:p>
      <w:pPr>
        <w:spacing w:after="0" w:line="2" w:lineRule="exact"/>
        <w:rPr>
          <w:rFonts w:ascii="Arial" w:cs="Arial" w:eastAsia="Arial" w:hAnsi="Arial"/>
          <w:sz w:val="18"/>
          <w:szCs w:val="18"/>
          <w:color w:val="0000EE"/>
        </w:rPr>
      </w:pPr>
    </w:p>
    <w:p>
      <w:pPr>
        <w:ind w:left="860" w:right="239" w:hanging="327"/>
        <w:spacing w:after="0" w:line="265"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Current Reports on Form 8-K filed with the SEC on </w:t>
      </w:r>
      <w:hyperlink r:id="rId22">
        <w:r>
          <w:rPr>
            <w:rFonts w:ascii="Arial" w:cs="Arial" w:eastAsia="Arial" w:hAnsi="Arial"/>
            <w:sz w:val="17"/>
            <w:szCs w:val="17"/>
            <w:u w:val="single" w:color="auto"/>
            <w:color w:val="0000EE"/>
          </w:rPr>
          <w:t>August 2, 2023</w:t>
        </w:r>
      </w:hyperlink>
      <w:r>
        <w:rPr>
          <w:rFonts w:ascii="Arial" w:cs="Arial" w:eastAsia="Arial" w:hAnsi="Arial"/>
          <w:sz w:val="17"/>
          <w:szCs w:val="17"/>
          <w:color w:val="auto"/>
        </w:rPr>
        <w:t xml:space="preserve">, </w:t>
      </w:r>
      <w:hyperlink r:id="rId23">
        <w:r>
          <w:rPr>
            <w:rFonts w:ascii="Arial" w:cs="Arial" w:eastAsia="Arial" w:hAnsi="Arial"/>
            <w:sz w:val="17"/>
            <w:szCs w:val="17"/>
            <w:u w:val="single" w:color="auto"/>
            <w:color w:val="0000EE"/>
          </w:rPr>
          <w:t>August 31, 2023</w:t>
        </w:r>
      </w:hyperlink>
      <w:r>
        <w:rPr>
          <w:rFonts w:ascii="Arial" w:cs="Arial" w:eastAsia="Arial" w:hAnsi="Arial"/>
          <w:sz w:val="17"/>
          <w:szCs w:val="17"/>
          <w:color w:val="auto"/>
        </w:rPr>
        <w:t xml:space="preserve">, </w:t>
      </w:r>
      <w:hyperlink r:id="rId24">
        <w:r>
          <w:rPr>
            <w:rFonts w:ascii="Arial" w:cs="Arial" w:eastAsia="Arial" w:hAnsi="Arial"/>
            <w:sz w:val="17"/>
            <w:szCs w:val="17"/>
            <w:u w:val="single" w:color="auto"/>
            <w:color w:val="0000EE"/>
          </w:rPr>
          <w:t>October 11, 2023</w:t>
        </w:r>
      </w:hyperlink>
      <w:r>
        <w:rPr>
          <w:rFonts w:ascii="Arial" w:cs="Arial" w:eastAsia="Arial" w:hAnsi="Arial"/>
          <w:sz w:val="17"/>
          <w:szCs w:val="17"/>
          <w:color w:val="auto"/>
        </w:rPr>
        <w:t xml:space="preserve"> and October 20, 2023 (excluding Item 2.02 and the exhibits furnished under Item 9.01 therein); and</w:t>
      </w:r>
    </w:p>
    <w:p>
      <w:pPr>
        <w:ind w:left="860" w:right="219" w:hanging="327"/>
        <w:spacing w:after="0" w:line="260" w:lineRule="auto"/>
        <w:tabs>
          <w:tab w:leader="none" w:pos="860" w:val="left"/>
        </w:tabs>
        <w:numPr>
          <w:ilvl w:val="0"/>
          <w:numId w:val="2"/>
        </w:numPr>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the description of the Company’s Common Stock contained in Exhibit 4.1 to the Company’s 2023 Annual</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Report, including any amendment or report filed to update such description.</w:t>
        </w:r>
      </w:hyperlink>
    </w:p>
    <w:p>
      <w:pPr>
        <w:spacing w:after="0" w:line="307" w:lineRule="exact"/>
        <w:rPr>
          <w:rFonts w:ascii="Arial" w:cs="Arial" w:eastAsia="Arial" w:hAnsi="Arial"/>
          <w:sz w:val="18"/>
          <w:szCs w:val="18"/>
          <w:color w:val="auto"/>
        </w:rPr>
      </w:pPr>
    </w:p>
    <w:p>
      <w:pPr>
        <w:jc w:val="both"/>
        <w:ind w:left="200" w:right="219"/>
        <w:spacing w:after="0" w:line="296" w:lineRule="auto"/>
        <w:rPr>
          <w:sz w:val="20"/>
          <w:szCs w:val="20"/>
          <w:color w:val="auto"/>
        </w:rPr>
      </w:pPr>
      <w:r>
        <w:rPr>
          <w:rFonts w:ascii="Arial" w:cs="Arial" w:eastAsia="Arial" w:hAnsi="Arial"/>
          <w:sz w:val="16"/>
          <w:szCs w:val="16"/>
          <w:color w:val="auto"/>
        </w:rPr>
        <w:t>All documents subsequently filed by the Company pursuant to Sections 13(a), 13(c), 14 and 15(d) of the Securities Exchange Act of 1934, as amended (the “Exchange Act”) prior to the filing of a post-effective amendment to which this Registration Statement relates, which indicates that all securities offered hereby have been sold or which deregisters all securities then remaining unsold, shall be deemed to be incorporated by reference in this Registration Statement and to be a part hereof from the date of filing or furnishing of such documents.</w:t>
      </w:r>
    </w:p>
    <w:p>
      <w:pPr>
        <w:spacing w:after="0" w:line="161" w:lineRule="exact"/>
        <w:rPr>
          <w:rFonts w:ascii="Arial" w:cs="Arial" w:eastAsia="Arial" w:hAnsi="Arial"/>
          <w:sz w:val="18"/>
          <w:szCs w:val="18"/>
          <w:color w:val="auto"/>
        </w:rPr>
      </w:pPr>
    </w:p>
    <w:p>
      <w:pPr>
        <w:jc w:val="both"/>
        <w:ind w:left="200" w:right="219"/>
        <w:spacing w:after="0" w:line="255"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92" w:lineRule="exact"/>
        <w:rPr>
          <w:rFonts w:ascii="Arial" w:cs="Arial" w:eastAsia="Arial" w:hAnsi="Arial"/>
          <w:sz w:val="18"/>
          <w:szCs w:val="18"/>
          <w:color w:val="auto"/>
        </w:rPr>
      </w:pPr>
    </w:p>
    <w:p>
      <w:pPr>
        <w:jc w:val="both"/>
        <w:ind w:left="200" w:right="219"/>
        <w:spacing w:after="0" w:line="257" w:lineRule="auto"/>
        <w:rPr>
          <w:sz w:val="20"/>
          <w:szCs w:val="20"/>
          <w:color w:val="auto"/>
        </w:rPr>
      </w:pPr>
      <w:r>
        <w:rPr>
          <w:rFonts w:ascii="Arial" w:cs="Arial" w:eastAsia="Arial" w:hAnsi="Arial"/>
          <w:sz w:val="18"/>
          <w:szCs w:val="18"/>
          <w:color w:val="auto"/>
        </w:rPr>
        <w:t>Notwithstanding the foregoing, no information is incorporated by reference in this Registration Statement where such information under applicable forms and regulations of the SEC is not deemed to be “filed” under Section 18 of the Exchange Act or otherwise subject to the liabilities of that section, unless the report or filing containing such information indicates that the information therein is to be considered “filed” under the Exchange Act or is to be incorporated by reference in this Registration Statement.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133985</wp:posOffset>
            </wp:positionH>
            <wp:positionV relativeFrom="paragraph">
              <wp:posOffset>582930</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18"/>
          <w:szCs w:val="18"/>
          <w:b w:val="1"/>
          <w:bCs w:val="1"/>
          <w:color w:val="auto"/>
        </w:rPr>
        <w:t>Item 8. Exhibits.</w:t>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4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80" w:type="dxa"/>
            <w:vAlign w:val="bottom"/>
            <w:gridSpan w:val="7"/>
            <w:vMerge w:val="restart"/>
          </w:tcPr>
          <w:p>
            <w:pPr>
              <w:ind w:left="8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57"/>
        </w:trPr>
        <w:tc>
          <w:tcPr>
            <w:tcW w:w="1440" w:type="dxa"/>
            <w:vAlign w:val="bottom"/>
          </w:tcPr>
          <w:p>
            <w:pPr>
              <w:ind w:left="320"/>
              <w:spacing w:after="0" w:line="157" w:lineRule="exact"/>
              <w:rPr>
                <w:sz w:val="20"/>
                <w:szCs w:val="20"/>
                <w:color w:val="auto"/>
              </w:rPr>
            </w:pPr>
            <w:r>
              <w:rPr>
                <w:rFonts w:ascii="Arial" w:cs="Arial" w:eastAsia="Arial" w:hAnsi="Arial"/>
                <w:sz w:val="14"/>
                <w:szCs w:val="14"/>
                <w:b w:val="1"/>
                <w:bCs w:val="1"/>
                <w:color w:val="auto"/>
              </w:rPr>
              <w:t>Number</w:t>
            </w: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9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line="190" w:lineRule="exact"/>
              <w:rPr>
                <w:sz w:val="20"/>
                <w:szCs w:val="20"/>
                <w:color w:val="auto"/>
              </w:rPr>
            </w:pPr>
            <w:r>
              <w:rPr>
                <w:rFonts w:ascii="Arial" w:cs="Arial" w:eastAsia="Arial" w:hAnsi="Arial"/>
                <w:sz w:val="18"/>
                <w:szCs w:val="18"/>
                <w:color w:val="auto"/>
              </w:rPr>
              <w:t>4.1</w:t>
            </w:r>
          </w:p>
        </w:tc>
        <w:tc>
          <w:tcPr>
            <w:tcW w:w="7140" w:type="dxa"/>
            <w:vAlign w:val="bottom"/>
            <w:gridSpan w:val="10"/>
          </w:tcPr>
          <w:p>
            <w:pPr>
              <w:spacing w:after="0" w:line="190"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Second Amended &amp; Restated Certificate of Incorporation (incorporated by reference to Exhibit 3.1</w:t>
              </w:r>
            </w:hyperlink>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5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27">
              <w:r>
                <w:rPr>
                  <w:rFonts w:ascii="Arial" w:cs="Arial" w:eastAsia="Arial" w:hAnsi="Arial"/>
                  <w:sz w:val="18"/>
                  <w:szCs w:val="18"/>
                  <w:color w:val="0000EE"/>
                  <w:w w:val="90"/>
                </w:rPr>
                <w:t>to the Company’s Current Report on Form 8-K filed on September 27, 2022).</w:t>
              </w:r>
            </w:hyperlink>
          </w:p>
        </w:tc>
        <w:tc>
          <w:tcPr>
            <w:tcW w:w="15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tcPr>
          <w:p>
            <w:pPr>
              <w:spacing w:after="0"/>
              <w:rPr>
                <w:sz w:val="20"/>
                <w:szCs w:val="20"/>
                <w:color w:val="auto"/>
              </w:rPr>
            </w:pPr>
            <w:r>
              <w:rPr>
                <w:rFonts w:ascii="Arial" w:cs="Arial" w:eastAsia="Arial" w:hAnsi="Arial"/>
                <w:sz w:val="18"/>
                <w:szCs w:val="18"/>
                <w:color w:val="auto"/>
              </w:rPr>
              <w:t>4.2</w:t>
            </w:r>
          </w:p>
        </w:tc>
        <w:tc>
          <w:tcPr>
            <w:tcW w:w="7140" w:type="dxa"/>
            <w:vAlign w:val="bottom"/>
            <w:tcBorders>
              <w:bottom w:val="single" w:sz="8" w:color="0000EE"/>
            </w:tcBorders>
            <w:gridSpan w:val="10"/>
          </w:tcPr>
          <w:p>
            <w:pPr>
              <w:spacing w:after="0"/>
              <w:rPr>
                <w:rFonts w:ascii="Arial" w:cs="Arial" w:eastAsia="Arial" w:hAnsi="Arial"/>
                <w:sz w:val="18"/>
                <w:szCs w:val="18"/>
                <w:color w:val="0000EE"/>
                <w:w w:val="93"/>
              </w:rPr>
            </w:pPr>
            <w:hyperlink r:id="rId28">
              <w:r>
                <w:rPr>
                  <w:rFonts w:ascii="Arial" w:cs="Arial" w:eastAsia="Arial" w:hAnsi="Arial"/>
                  <w:sz w:val="18"/>
                  <w:szCs w:val="18"/>
                  <w:color w:val="0000EE"/>
                  <w:w w:val="93"/>
                </w:rPr>
                <w:t>Bylaws of Presto Automation Inc. (incorporated by reference to Exhibit 3.2 to the Current Report</w:t>
              </w:r>
            </w:hyperlink>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7140" w:type="dxa"/>
            <w:vAlign w:val="bottom"/>
            <w:gridSpan w:val="10"/>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on Form 8-K filed on September 27, 2022).</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tcPr>
          <w:p>
            <w:pPr>
              <w:spacing w:after="0"/>
              <w:rPr>
                <w:sz w:val="20"/>
                <w:szCs w:val="20"/>
                <w:color w:val="auto"/>
              </w:rPr>
            </w:pPr>
            <w:r>
              <w:rPr>
                <w:rFonts w:ascii="Arial" w:cs="Arial" w:eastAsia="Arial" w:hAnsi="Arial"/>
                <w:sz w:val="18"/>
                <w:szCs w:val="18"/>
                <w:color w:val="auto"/>
              </w:rPr>
              <w:t>4.7</w:t>
            </w:r>
          </w:p>
        </w:tc>
        <w:tc>
          <w:tcPr>
            <w:tcW w:w="7140" w:type="dxa"/>
            <w:vAlign w:val="bottom"/>
            <w:tcBorders>
              <w:bottom w:val="single" w:sz="8" w:color="0000EE"/>
            </w:tcBorders>
            <w:gridSpan w:val="10"/>
          </w:tcPr>
          <w:p>
            <w:pPr>
              <w:spacing w:after="0"/>
              <w:rPr>
                <w:rFonts w:ascii="Arial" w:cs="Arial" w:eastAsia="Arial" w:hAnsi="Arial"/>
                <w:sz w:val="18"/>
                <w:szCs w:val="18"/>
                <w:color w:val="0000EE"/>
                <w:w w:val="94"/>
              </w:rPr>
            </w:pPr>
            <w:hyperlink r:id="rId29">
              <w:r>
                <w:rPr>
                  <w:rFonts w:ascii="Arial" w:cs="Arial" w:eastAsia="Arial" w:hAnsi="Arial"/>
                  <w:sz w:val="18"/>
                  <w:szCs w:val="18"/>
                  <w:color w:val="0000EE"/>
                  <w:w w:val="94"/>
                </w:rPr>
                <w:t>Presto Automation Inc. 2022 Incentive Award Plan (incorporated by reference to Exhibit 10.6 to</w:t>
              </w:r>
            </w:hyperlink>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7140" w:type="dxa"/>
            <w:vAlign w:val="bottom"/>
            <w:gridSpan w:val="10"/>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the Company’s Current Report on Form 8-K filed on September 27, 2022).</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tcPr>
          <w:p>
            <w:pPr>
              <w:spacing w:after="0"/>
              <w:rPr>
                <w:sz w:val="20"/>
                <w:szCs w:val="20"/>
                <w:color w:val="auto"/>
              </w:rPr>
            </w:pPr>
            <w:r>
              <w:rPr>
                <w:rFonts w:ascii="Arial" w:cs="Arial" w:eastAsia="Arial" w:hAnsi="Arial"/>
                <w:sz w:val="18"/>
                <w:szCs w:val="18"/>
                <w:color w:val="auto"/>
              </w:rPr>
              <w:t>5.1*</w:t>
            </w:r>
          </w:p>
        </w:tc>
        <w:tc>
          <w:tcPr>
            <w:tcW w:w="70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Opinion of White &amp; Case LLP with respect to the legality of the Common Stock being registered.</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tcPr>
          <w:p>
            <w:pPr>
              <w:spacing w:after="0"/>
              <w:rPr>
                <w:sz w:val="20"/>
                <w:szCs w:val="20"/>
                <w:color w:val="auto"/>
              </w:rPr>
            </w:pPr>
            <w:r>
              <w:rPr>
                <w:rFonts w:ascii="Arial" w:cs="Arial" w:eastAsia="Arial" w:hAnsi="Arial"/>
                <w:sz w:val="18"/>
                <w:szCs w:val="18"/>
                <w:color w:val="auto"/>
              </w:rPr>
              <w:t>23.1*</w:t>
            </w:r>
          </w:p>
        </w:tc>
        <w:tc>
          <w:tcPr>
            <w:tcW w:w="21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Consent of Moss Adams LLP.</w:t>
            </w:r>
          </w:p>
        </w:tc>
        <w:tc>
          <w:tcPr>
            <w:tcW w:w="49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tcPr>
          <w:p>
            <w:pPr>
              <w:spacing w:after="0"/>
              <w:rPr>
                <w:sz w:val="20"/>
                <w:szCs w:val="20"/>
                <w:color w:val="auto"/>
              </w:rPr>
            </w:pPr>
            <w:r>
              <w:rPr>
                <w:rFonts w:ascii="Arial" w:cs="Arial" w:eastAsia="Arial" w:hAnsi="Arial"/>
                <w:sz w:val="18"/>
                <w:szCs w:val="18"/>
                <w:color w:val="auto"/>
              </w:rPr>
              <w:t>23.2*</w:t>
            </w:r>
          </w:p>
        </w:tc>
        <w:tc>
          <w:tcPr>
            <w:tcW w:w="7140" w:type="dxa"/>
            <w:vAlign w:val="bottom"/>
            <w:gridSpan w:val="10"/>
          </w:tcPr>
          <w:p>
            <w:pPr>
              <w:spacing w:after="0"/>
              <w:rPr>
                <w:sz w:val="20"/>
                <w:szCs w:val="20"/>
                <w:color w:val="auto"/>
              </w:rPr>
            </w:pPr>
            <w:r>
              <w:rPr>
                <w:rFonts w:ascii="Arial" w:cs="Arial" w:eastAsia="Arial" w:hAnsi="Arial"/>
                <w:sz w:val="18"/>
                <w:szCs w:val="18"/>
                <w:color w:val="0000EE"/>
              </w:rPr>
              <w:t>Consent of White &amp; Case LLP (included in Exhibit 5.1 to this Registration Statement).</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500" w:type="dxa"/>
            <w:vAlign w:val="bottom"/>
            <w:gridSpan w:val="5"/>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tcPr>
          <w:p>
            <w:pPr>
              <w:spacing w:after="0"/>
              <w:rPr>
                <w:sz w:val="20"/>
                <w:szCs w:val="20"/>
                <w:color w:val="auto"/>
              </w:rPr>
            </w:pPr>
            <w:r>
              <w:rPr>
                <w:rFonts w:ascii="Arial" w:cs="Arial" w:eastAsia="Arial" w:hAnsi="Arial"/>
                <w:sz w:val="18"/>
                <w:szCs w:val="18"/>
                <w:color w:val="auto"/>
              </w:rPr>
              <w:t>24.1*</w:t>
            </w:r>
          </w:p>
        </w:tc>
        <w:tc>
          <w:tcPr>
            <w:tcW w:w="7140" w:type="dxa"/>
            <w:vAlign w:val="bottom"/>
            <w:gridSpan w:val="10"/>
          </w:tcPr>
          <w:p>
            <w:pPr>
              <w:spacing w:after="0"/>
              <w:rPr>
                <w:sz w:val="20"/>
                <w:szCs w:val="20"/>
                <w:color w:val="auto"/>
              </w:rPr>
            </w:pPr>
            <w:r>
              <w:rPr>
                <w:rFonts w:ascii="Arial" w:cs="Arial" w:eastAsia="Arial" w:hAnsi="Arial"/>
                <w:sz w:val="18"/>
                <w:szCs w:val="18"/>
                <w:color w:val="0000EE"/>
              </w:rPr>
              <w:t>Power of Attorney of certain officers and directors (included on the signature page to this</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71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Registration Statement).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tcPr>
          <w:p>
            <w:pPr>
              <w:spacing w:after="0"/>
              <w:rPr>
                <w:sz w:val="20"/>
                <w:szCs w:val="20"/>
                <w:color w:val="auto"/>
              </w:rPr>
            </w:pPr>
            <w:r>
              <w:rPr>
                <w:rFonts w:ascii="Arial" w:cs="Arial" w:eastAsia="Arial" w:hAnsi="Arial"/>
                <w:sz w:val="18"/>
                <w:szCs w:val="18"/>
                <w:color w:val="auto"/>
              </w:rPr>
              <w:t>107*</w:t>
            </w:r>
          </w:p>
        </w:tc>
        <w:tc>
          <w:tcPr>
            <w:tcW w:w="17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rPr>
              <w:t>Filing Fee Table.</w:t>
            </w:r>
          </w:p>
        </w:tc>
        <w:tc>
          <w:tcPr>
            <w:tcW w:w="5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40" w:type="dxa"/>
            <w:vAlign w:val="bottom"/>
          </w:tcPr>
          <w:p>
            <w:pPr>
              <w:spacing w:after="0"/>
              <w:rPr>
                <w:sz w:val="20"/>
                <w:szCs w:val="20"/>
                <w:color w:val="auto"/>
              </w:rPr>
            </w:pPr>
            <w:r>
              <w:rPr>
                <w:rFonts w:ascii="Arial" w:cs="Arial" w:eastAsia="Arial" w:hAnsi="Arial"/>
                <w:sz w:val="18"/>
                <w:szCs w:val="18"/>
                <w:color w:val="auto"/>
              </w:rPr>
              <w:t>*  Filed herewith.</w:t>
            </w:r>
          </w:p>
        </w:tc>
        <w:tc>
          <w:tcPr>
            <w:tcW w:w="12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1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200" w:right="219" w:firstLine="44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Carlos, State of California on the 20th day of October, 2023.</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Xavier Casanova</w:t>
            </w:r>
          </w:p>
        </w:tc>
      </w:tr>
      <w:tr>
        <w:trPr>
          <w:trHeight w:val="209"/>
        </w:trPr>
        <w:tc>
          <w:tcPr>
            <w:tcW w:w="1960" w:type="dxa"/>
            <w:vAlign w:val="bottom"/>
          </w:tcPr>
          <w:p>
            <w:pPr>
              <w:spacing w:after="0"/>
              <w:rPr>
                <w:sz w:val="20"/>
                <w:szCs w:val="20"/>
                <w:color w:val="auto"/>
              </w:rPr>
            </w:pPr>
            <w:r>
              <w:rPr>
                <w:rFonts w:ascii="Arial" w:cs="Arial" w:eastAsia="Arial" w:hAnsi="Arial"/>
                <w:sz w:val="18"/>
                <w:szCs w:val="18"/>
                <w:color w:val="auto"/>
              </w:rPr>
              <w:t>Name:</w:t>
            </w:r>
          </w:p>
        </w:tc>
        <w:tc>
          <w:tcPr>
            <w:tcW w:w="6620" w:type="dxa"/>
            <w:vAlign w:val="bottom"/>
          </w:tcPr>
          <w:p>
            <w:pPr>
              <w:spacing w:after="0"/>
              <w:rPr>
                <w:sz w:val="20"/>
                <w:szCs w:val="20"/>
                <w:color w:val="auto"/>
              </w:rPr>
            </w:pPr>
            <w:r>
              <w:rPr>
                <w:rFonts w:ascii="Arial" w:cs="Arial" w:eastAsia="Arial" w:hAnsi="Arial"/>
                <w:sz w:val="18"/>
                <w:szCs w:val="18"/>
                <w:color w:val="auto"/>
              </w:rPr>
              <w:t>Xavier Casanova</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Title:</w:t>
            </w:r>
          </w:p>
        </w:tc>
        <w:tc>
          <w:tcPr>
            <w:tcW w:w="66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200" w:right="219" w:firstLine="441"/>
        <w:spacing w:after="0" w:line="289" w:lineRule="auto"/>
        <w:rPr>
          <w:sz w:val="20"/>
          <w:szCs w:val="20"/>
          <w:color w:val="auto"/>
        </w:rPr>
      </w:pPr>
      <w:r>
        <w:rPr>
          <w:rFonts w:ascii="Arial" w:cs="Arial" w:eastAsia="Arial" w:hAnsi="Arial"/>
          <w:sz w:val="16"/>
          <w:szCs w:val="16"/>
          <w:color w:val="auto"/>
        </w:rPr>
        <w:t>KNOW ALL PERSONS BY THESE PRESENTS, that each of the undersigned constitutes and appoints each of Xavier Casanova and Nathan Cook, each acting alone, their true and lawful attorneys-in-fact and agents, with full power of substitution and resubstitution, for such person and in their name, place and stead, in any and all capacities, to sign this Registration Statement on Form S-8 and all post-effective amendments thereto, of Presto Automation Inc., and to file the same, with all exhibits thereto, and other document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or her substitute or substitutes, may lawfully do or cause to be done by virtue hereof.</w:t>
      </w:r>
    </w:p>
    <w:p>
      <w:pPr>
        <w:spacing w:after="0" w:line="166" w:lineRule="exact"/>
        <w:rPr>
          <w:sz w:val="20"/>
          <w:szCs w:val="20"/>
          <w:color w:val="auto"/>
        </w:rPr>
      </w:pPr>
    </w:p>
    <w:p>
      <w:pPr>
        <w:jc w:val="both"/>
        <w:ind w:left="200" w:right="239"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9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13627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5" w:lineRule="exact"/>
        <w:rPr>
          <w:sz w:val="20"/>
          <w:szCs w:val="20"/>
          <w:color w:val="auto"/>
        </w:rPr>
      </w:pPr>
    </w:p>
    <w:p>
      <w:pPr>
        <w:ind w:left="220" w:right="20"/>
        <w:spacing w:after="0" w:line="377" w:lineRule="auto"/>
        <w:rPr>
          <w:sz w:val="20"/>
          <w:szCs w:val="20"/>
          <w:color w:val="auto"/>
        </w:rPr>
      </w:pPr>
      <w:r>
        <w:rPr>
          <w:rFonts w:ascii="Arial" w:cs="Arial" w:eastAsia="Arial" w:hAnsi="Arial"/>
          <w:sz w:val="16"/>
          <w:szCs w:val="16"/>
          <w:color w:val="auto"/>
        </w:rPr>
        <w:t>/s/ Xavier Casanova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13627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Nathan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13627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Nathan Cook</w:t>
      </w:r>
    </w:p>
    <w:p>
      <w:pPr>
        <w:spacing w:after="0" w:line="265" w:lineRule="exact"/>
        <w:rPr>
          <w:sz w:val="20"/>
          <w:szCs w:val="20"/>
          <w:color w:val="auto"/>
        </w:rPr>
      </w:pPr>
    </w:p>
    <w:p>
      <w:pPr>
        <w:ind w:left="220" w:right="60"/>
        <w:spacing w:after="0" w:line="377" w:lineRule="auto"/>
        <w:rPr>
          <w:sz w:val="20"/>
          <w:szCs w:val="20"/>
          <w:color w:val="auto"/>
        </w:rPr>
      </w:pPr>
      <w:r>
        <w:rPr>
          <w:rFonts w:ascii="Arial" w:cs="Arial" w:eastAsia="Arial" w:hAnsi="Arial"/>
          <w:sz w:val="16"/>
          <w:szCs w:val="16"/>
          <w:color w:val="auto"/>
        </w:rPr>
        <w:t>/s/ Stanley Mbugua Stanley Mbugua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13627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77" w:lineRule="exact"/>
        <w:rPr>
          <w:sz w:val="20"/>
          <w:szCs w:val="20"/>
          <w:color w:val="auto"/>
        </w:rPr>
      </w:pPr>
    </w:p>
    <w:p>
      <w:pPr>
        <w:ind w:left="220" w:right="200"/>
        <w:spacing w:after="0" w:line="359" w:lineRule="auto"/>
        <w:rPr>
          <w:sz w:val="20"/>
          <w:szCs w:val="20"/>
          <w:color w:val="auto"/>
        </w:rPr>
      </w:pPr>
      <w:r>
        <w:rPr>
          <w:rFonts w:ascii="Arial" w:cs="Arial" w:eastAsia="Arial" w:hAnsi="Arial"/>
          <w:sz w:val="16"/>
          <w:szCs w:val="16"/>
          <w:color w:val="auto"/>
        </w:rPr>
        <w:t>/s/ Krishna Gupta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-202565</wp:posOffset>
            </wp:positionV>
            <wp:extent cx="1362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91" w:lineRule="exact"/>
        <w:rPr>
          <w:sz w:val="20"/>
          <w:szCs w:val="20"/>
          <w:color w:val="auto"/>
        </w:rPr>
      </w:pPr>
    </w:p>
    <w:p>
      <w:pPr>
        <w:ind w:left="220" w:right="80"/>
        <w:spacing w:after="0" w:line="430" w:lineRule="auto"/>
        <w:rPr>
          <w:sz w:val="20"/>
          <w:szCs w:val="20"/>
          <w:color w:val="auto"/>
        </w:rPr>
      </w:pPr>
      <w:r>
        <w:rPr>
          <w:rFonts w:ascii="Arial" w:cs="Arial" w:eastAsia="Arial" w:hAnsi="Arial"/>
          <w:sz w:val="16"/>
          <w:szCs w:val="16"/>
          <w:color w:val="auto"/>
        </w:rPr>
        <w:t>/s/ Ilya Golubovich Ilya Golubovich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-271780</wp:posOffset>
            </wp:positionV>
            <wp:extent cx="13627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36" w:lineRule="exact"/>
        <w:rPr>
          <w:sz w:val="20"/>
          <w:szCs w:val="20"/>
          <w:color w:val="auto"/>
        </w:rPr>
      </w:pPr>
    </w:p>
    <w:p>
      <w:pPr>
        <w:ind w:left="220" w:right="220"/>
        <w:spacing w:after="0" w:line="341" w:lineRule="auto"/>
        <w:rPr>
          <w:sz w:val="20"/>
          <w:szCs w:val="20"/>
          <w:color w:val="auto"/>
        </w:rPr>
      </w:pPr>
      <w:r>
        <w:rPr>
          <w:rFonts w:ascii="Arial" w:cs="Arial" w:eastAsia="Arial" w:hAnsi="Arial"/>
          <w:sz w:val="17"/>
          <w:szCs w:val="17"/>
          <w:color w:val="auto"/>
        </w:rPr>
        <w:t>/s/ Keith Kravcik Keith Kravcik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627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Scott Raskin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1362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 Raskin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Gail Zauder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13627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Gail Zauder</w:t>
      </w:r>
    </w:p>
    <w:p>
      <w:pPr>
        <w:spacing w:after="0" w:line="225" w:lineRule="exact"/>
        <w:rPr>
          <w:sz w:val="20"/>
          <w:szCs w:val="20"/>
          <w:color w:val="auto"/>
        </w:rPr>
      </w:pPr>
    </w:p>
    <w:p>
      <w:pPr>
        <w:ind w:left="220" w:right="80"/>
        <w:spacing w:after="0" w:line="377" w:lineRule="auto"/>
        <w:rPr>
          <w:sz w:val="20"/>
          <w:szCs w:val="20"/>
          <w:color w:val="auto"/>
        </w:rPr>
      </w:pPr>
      <w:r>
        <w:rPr>
          <w:rFonts w:ascii="Arial" w:cs="Arial" w:eastAsia="Arial" w:hAnsi="Arial"/>
          <w:sz w:val="16"/>
          <w:szCs w:val="16"/>
          <w:color w:val="auto"/>
        </w:rPr>
        <w:t>/s/ Edward Scheetz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13627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199"/>
        <w:spacing w:after="0"/>
        <w:rPr>
          <w:sz w:val="20"/>
          <w:szCs w:val="20"/>
          <w:color w:val="auto"/>
        </w:rPr>
      </w:pPr>
      <w:r>
        <w:rPr>
          <w:rFonts w:ascii="Arial" w:cs="Arial" w:eastAsia="Arial" w:hAnsi="Arial"/>
          <w:sz w:val="13"/>
          <w:szCs w:val="13"/>
          <w:b w:val="1"/>
          <w:bCs w:val="1"/>
          <w:color w:val="auto"/>
        </w:rPr>
        <w:t>Title of Capacities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22225</wp:posOffset>
            </wp:positionV>
            <wp:extent cx="25457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Interim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-1389380</wp:posOffset>
            </wp:positionH>
            <wp:positionV relativeFrom="paragraph">
              <wp:posOffset>786130</wp:posOffset>
            </wp:positionV>
            <wp:extent cx="545211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15240</wp:posOffset>
            </wp:positionV>
            <wp:extent cx="14230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October 20,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October 20, 2023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October 20, 2023</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October 20, 2023</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October 20, 2023</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October 20,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October 20,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October 20,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October 20, 2023</w:t>
      </w:r>
    </w:p>
    <w:p>
      <w:pPr>
        <w:sectPr>
          <w:pgSz w:w="11900" w:h="16838" w:orient="portrait"/>
          <w:cols w:equalWidth="0" w:num="3">
            <w:col w:w="1680" w:space="720"/>
            <w:col w:w="3920" w:space="720"/>
            <w:col w:w="1979"/>
          </w:cols>
          <w:pgMar w:left="1440" w:top="130"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80010</wp:posOffset>
            </wp:positionV>
            <wp:extent cx="1551940" cy="13627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55194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October 20, 2023</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Presto Automation Inc.</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985 Industrial Road</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San Carlos, CA 94070</w:t>
      </w:r>
    </w:p>
    <w:p>
      <w:pPr>
        <w:spacing w:after="0" w:line="154"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Presto Automation Inc. – Registration Statement on Form S-8</w:t>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Ladies and Gentlemen:</w:t>
      </w:r>
    </w:p>
    <w:p>
      <w:pPr>
        <w:spacing w:after="0" w:line="162" w:lineRule="exact"/>
        <w:rPr>
          <w:sz w:val="20"/>
          <w:szCs w:val="20"/>
          <w:color w:val="auto"/>
        </w:rPr>
      </w:pPr>
    </w:p>
    <w:p>
      <w:pPr>
        <w:jc w:val="both"/>
        <w:ind w:left="200"/>
        <w:spacing w:after="0" w:line="265" w:lineRule="auto"/>
        <w:rPr>
          <w:sz w:val="20"/>
          <w:szCs w:val="20"/>
          <w:color w:val="auto"/>
        </w:rPr>
      </w:pPr>
      <w:r>
        <w:rPr>
          <w:rFonts w:ascii="Arial" w:cs="Arial" w:eastAsia="Arial" w:hAnsi="Arial"/>
          <w:sz w:val="19"/>
          <w:szCs w:val="19"/>
          <w:color w:val="auto"/>
        </w:rPr>
        <w:t>We have acted as New York counsel to Presto Automation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in connection with the preparation and filing by the Company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of a registration statement on Form S-8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on the date hereof, relating to the registration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of 512,316 shares (the “</w:t>
      </w:r>
      <w:r>
        <w:rPr>
          <w:rFonts w:ascii="Arial" w:cs="Arial" w:eastAsia="Arial" w:hAnsi="Arial"/>
          <w:sz w:val="19"/>
          <w:szCs w:val="19"/>
          <w:u w:val="single" w:color="auto"/>
          <w:color w:val="auto"/>
        </w:rPr>
        <w:t>Shares</w:t>
      </w:r>
      <w:r>
        <w:rPr>
          <w:rFonts w:ascii="Arial" w:cs="Arial" w:eastAsia="Arial" w:hAnsi="Arial"/>
          <w:sz w:val="19"/>
          <w:szCs w:val="19"/>
          <w:color w:val="auto"/>
        </w:rPr>
        <w:t>”) of common stock, par value $0.0001 per share, of the Company reserved for issuance under the Company’s 2022 Incentive Award Plan (the “</w:t>
      </w:r>
      <w:r>
        <w:rPr>
          <w:rFonts w:ascii="Arial" w:cs="Arial" w:eastAsia="Arial" w:hAnsi="Arial"/>
          <w:sz w:val="19"/>
          <w:szCs w:val="19"/>
          <w:u w:val="single" w:color="auto"/>
          <w:color w:val="auto"/>
        </w:rPr>
        <w:t>2022 Incentive Plan</w:t>
      </w:r>
      <w:r>
        <w:rPr>
          <w:rFonts w:ascii="Arial" w:cs="Arial" w:eastAsia="Arial" w:hAnsi="Arial"/>
          <w:sz w:val="19"/>
          <w:szCs w:val="19"/>
          <w:color w:val="auto"/>
        </w:rPr>
        <w:t>”).</w:t>
      </w:r>
    </w:p>
    <w:p>
      <w:pPr>
        <w:spacing w:after="0" w:line="132" w:lineRule="exact"/>
        <w:rPr>
          <w:sz w:val="20"/>
          <w:szCs w:val="20"/>
          <w:color w:val="auto"/>
        </w:rPr>
      </w:pPr>
    </w:p>
    <w:p>
      <w:pPr>
        <w:jc w:val="both"/>
        <w:ind w:left="200"/>
        <w:spacing w:after="0" w:line="299" w:lineRule="auto"/>
        <w:rPr>
          <w:sz w:val="20"/>
          <w:szCs w:val="20"/>
          <w:color w:val="auto"/>
        </w:rPr>
      </w:pPr>
      <w:r>
        <w:rPr>
          <w:rFonts w:ascii="Arial" w:cs="Arial" w:eastAsia="Arial" w:hAnsi="Arial"/>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or any related prospectus, other than as expressly stated herein with respect to the issue of the Shares.</w:t>
      </w:r>
    </w:p>
    <w:p>
      <w:pPr>
        <w:spacing w:after="0" w:line="90" w:lineRule="exact"/>
        <w:rPr>
          <w:sz w:val="20"/>
          <w:szCs w:val="20"/>
          <w:color w:val="auto"/>
        </w:rPr>
      </w:pPr>
    </w:p>
    <w:p>
      <w:pPr>
        <w:jc w:val="both"/>
        <w:ind w:left="200"/>
        <w:spacing w:after="0" w:line="251" w:lineRule="auto"/>
        <w:rPr>
          <w:sz w:val="20"/>
          <w:szCs w:val="20"/>
          <w:color w:val="auto"/>
        </w:rPr>
      </w:pPr>
      <w:r>
        <w:rPr>
          <w:rFonts w:ascii="Arial" w:cs="Arial" w:eastAsia="Arial" w:hAnsi="Arial"/>
          <w:sz w:val="20"/>
          <w:szCs w:val="20"/>
          <w:color w:val="auto"/>
        </w:rPr>
        <w:t>In connection with our opinion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 set forth in this opinion letter:</w:t>
      </w:r>
    </w:p>
    <w:p>
      <w:pPr>
        <w:spacing w:after="0" w:line="145" w:lineRule="exact"/>
        <w:rPr>
          <w:sz w:val="20"/>
          <w:szCs w:val="20"/>
          <w:color w:val="auto"/>
        </w:rPr>
      </w:pPr>
    </w:p>
    <w:p>
      <w:pPr>
        <w:ind w:left="1100" w:hanging="446"/>
        <w:spacing w:after="0"/>
        <w:tabs>
          <w:tab w:leader="none" w:pos="11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Registration Statement;</w:t>
      </w:r>
    </w:p>
    <w:p>
      <w:pPr>
        <w:spacing w:after="0" w:line="161" w:lineRule="exact"/>
        <w:rPr>
          <w:rFonts w:ascii="Arial" w:cs="Arial" w:eastAsia="Arial" w:hAnsi="Arial"/>
          <w:sz w:val="20"/>
          <w:szCs w:val="20"/>
          <w:color w:val="auto"/>
        </w:rPr>
      </w:pPr>
    </w:p>
    <w:p>
      <w:pPr>
        <w:jc w:val="both"/>
        <w:ind w:left="1100" w:right="20" w:hanging="446"/>
        <w:spacing w:after="0" w:line="257" w:lineRule="auto"/>
        <w:tabs>
          <w:tab w:leader="none" w:pos="11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 copy of the Second Amended &amp; Restated Certificate of Incorporation of the Company, filed with the Secretary of State of the State of Delaware on September 21, 2022 and certified by the Secretary of the Company;</w:t>
      </w:r>
    </w:p>
    <w:p>
      <w:pPr>
        <w:spacing w:after="0" w:line="125" w:lineRule="exact"/>
        <w:rPr>
          <w:rFonts w:ascii="Arial" w:cs="Arial" w:eastAsia="Arial" w:hAnsi="Arial"/>
          <w:sz w:val="20"/>
          <w:szCs w:val="20"/>
          <w:color w:val="auto"/>
        </w:rPr>
      </w:pPr>
    </w:p>
    <w:p>
      <w:pPr>
        <w:ind w:left="1100" w:right="20" w:hanging="446"/>
        <w:spacing w:after="0" w:line="260" w:lineRule="auto"/>
        <w:tabs>
          <w:tab w:leader="none" w:pos="11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 copy of the Bylaws of the Company as in effect on September 21, 2022, certified by the Secretary of the Company;</w:t>
      </w:r>
    </w:p>
    <w:p>
      <w:pPr>
        <w:spacing w:after="0" w:line="136" w:lineRule="exact"/>
        <w:rPr>
          <w:rFonts w:ascii="Arial" w:cs="Arial" w:eastAsia="Arial" w:hAnsi="Arial"/>
          <w:sz w:val="20"/>
          <w:szCs w:val="20"/>
          <w:color w:val="auto"/>
        </w:rPr>
      </w:pPr>
    </w:p>
    <w:p>
      <w:pPr>
        <w:ind w:left="1100" w:hanging="446"/>
        <w:spacing w:after="0" w:line="287" w:lineRule="auto"/>
        <w:tabs>
          <w:tab w:leader="none" w:pos="1100" w:val="left"/>
        </w:tabs>
        <w:numPr>
          <w:ilvl w:val="0"/>
          <w:numId w:val="3"/>
        </w:numPr>
        <w:rPr>
          <w:rFonts w:ascii="Arial" w:cs="Arial" w:eastAsia="Arial" w:hAnsi="Arial"/>
          <w:sz w:val="19"/>
          <w:szCs w:val="19"/>
          <w:color w:val="auto"/>
        </w:rPr>
      </w:pPr>
      <w:r>
        <w:rPr>
          <w:rFonts w:ascii="Arial" w:cs="Arial" w:eastAsia="Arial" w:hAnsi="Arial"/>
          <w:sz w:val="19"/>
          <w:szCs w:val="19"/>
          <w:color w:val="auto"/>
        </w:rPr>
        <w:t>a copy of the resolutions of the board of directors of the Company relating to, among other matters, the filing of the Registration Statement, certified by the Secretary of the Company; and</w:t>
      </w:r>
    </w:p>
    <w:p>
      <w:pPr>
        <w:spacing w:after="0" w:line="111" w:lineRule="exact"/>
        <w:rPr>
          <w:rFonts w:ascii="Arial" w:cs="Arial" w:eastAsia="Arial" w:hAnsi="Arial"/>
          <w:sz w:val="19"/>
          <w:szCs w:val="19"/>
          <w:color w:val="auto"/>
        </w:rPr>
      </w:pPr>
    </w:p>
    <w:p>
      <w:pPr>
        <w:ind w:left="1100" w:hanging="446"/>
        <w:spacing w:after="0"/>
        <w:tabs>
          <w:tab w:leader="none" w:pos="11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2022 Incentive Plan.</w:t>
      </w:r>
    </w:p>
    <w:p>
      <w:pPr>
        <w:spacing w:after="0" w:line="391" w:lineRule="exact"/>
        <w:rPr>
          <w:sz w:val="20"/>
          <w:szCs w:val="20"/>
          <w:color w:val="auto"/>
        </w:rPr>
      </w:pPr>
    </w:p>
    <w:p>
      <w:pPr>
        <w:jc w:val="both"/>
        <w:ind w:left="200"/>
        <w:spacing w:after="0" w:line="286" w:lineRule="auto"/>
        <w:rPr>
          <w:sz w:val="20"/>
          <w:szCs w:val="20"/>
          <w:color w:val="auto"/>
        </w:rPr>
      </w:pPr>
      <w:r>
        <w:rPr>
          <w:rFonts w:ascii="Arial" w:cs="Arial" w:eastAsia="Arial" w:hAnsi="Arial"/>
          <w:sz w:val="18"/>
          <w:szCs w:val="18"/>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 expressed below, we have assumed, without independent investigation or verification of any kind, the genuineness of all signatures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976630</wp:posOffset>
            </wp:positionV>
            <wp:extent cx="587184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587184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8" w:name="page9"/>
    <w:bookmarkEnd w:id="8"/>
    <w:p>
      <w:pPr>
        <w:ind w:left="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5368925</wp:posOffset>
            </wp:positionH>
            <wp:positionV relativeFrom="page">
              <wp:posOffset>474345</wp:posOffset>
            </wp:positionV>
            <wp:extent cx="1551940" cy="248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551940" cy="248285"/>
                    </a:xfrm>
                    <a:prstGeom prst="rect">
                      <a:avLst/>
                    </a:prstGeom>
                    <a:noFill/>
                  </pic:spPr>
                </pic:pic>
              </a:graphicData>
            </a:graphic>
          </wp:anchor>
        </w:drawing>
        <w:t>October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200"/>
        <w:spacing w:after="0" w:line="249" w:lineRule="auto"/>
        <w:rPr>
          <w:sz w:val="20"/>
          <w:szCs w:val="20"/>
          <w:color w:val="auto"/>
        </w:rPr>
      </w:pPr>
      <w:r>
        <w:rPr>
          <w:rFonts w:ascii="Arial" w:cs="Arial" w:eastAsia="Arial" w:hAnsi="Arial"/>
          <w:sz w:val="20"/>
          <w:szCs w:val="20"/>
          <w:color w:val="auto"/>
        </w:rPr>
        <w:t>documents we have reviewed, the legal capacity and competency of all natural persons signing all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134" w:lineRule="exact"/>
        <w:rPr>
          <w:sz w:val="20"/>
          <w:szCs w:val="20"/>
          <w:color w:val="auto"/>
        </w:rPr>
      </w:pPr>
    </w:p>
    <w:p>
      <w:pPr>
        <w:jc w:val="both"/>
        <w:ind w:left="200"/>
        <w:spacing w:after="0" w:line="252" w:lineRule="auto"/>
        <w:rPr>
          <w:sz w:val="20"/>
          <w:szCs w:val="20"/>
          <w:color w:val="auto"/>
        </w:rPr>
      </w:pPr>
      <w:r>
        <w:rPr>
          <w:rFonts w:ascii="Arial" w:cs="Arial" w:eastAsia="Arial" w:hAnsi="Arial"/>
          <w:sz w:val="20"/>
          <w:szCs w:val="20"/>
          <w:color w:val="auto"/>
        </w:rPr>
        <w:t>Based upon the foregoing assumptions, and subject to the qualifications set forth in this opinion letter, having considered such questions of law as we have deemed necessary as a basis for the opinion expressed below, we are of the opinion that the Shares reserved for issuance pursuant to the 2022 Incentive Plan, as referenced above, have been duly authorized for issuance and sale pursuant to the 2022 Incentive Plan by all necessary corporate action of the Company, and when issued as provided under the 2022 Incentive Plan, they will be validly issued, fully paid and non-assessable.</w:t>
      </w:r>
    </w:p>
    <w:p>
      <w:pPr>
        <w:spacing w:after="0" w:line="131" w:lineRule="exact"/>
        <w:rPr>
          <w:sz w:val="20"/>
          <w:szCs w:val="20"/>
          <w:color w:val="auto"/>
        </w:rPr>
      </w:pPr>
    </w:p>
    <w:p>
      <w:pPr>
        <w:jc w:val="both"/>
        <w:ind w:left="200"/>
        <w:spacing w:after="0" w:line="263" w:lineRule="auto"/>
        <w:rPr>
          <w:sz w:val="20"/>
          <w:szCs w:val="20"/>
          <w:color w:val="auto"/>
        </w:rPr>
      </w:pPr>
      <w:r>
        <w:rPr>
          <w:rFonts w:ascii="Arial" w:cs="Arial" w:eastAsia="Arial" w:hAnsi="Arial"/>
          <w:sz w:val="19"/>
          <w:szCs w:val="19"/>
          <w:color w:val="auto"/>
        </w:rPr>
        <w:t>The opinion expressed above is limited to questions arising under the Delaware General Corporation Law. We do not express any opinion as to the laws of any other jurisdiction. The opinion expressed above is limited to the matters stated in this opinion letter, and no opinion is implied or may be inferred beyond those expressly stated in this opinion letter. 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 expressed in this opinion letter.</w:t>
      </w:r>
    </w:p>
    <w:p>
      <w:pPr>
        <w:spacing w:after="0" w:line="127" w:lineRule="exact"/>
        <w:rPr>
          <w:sz w:val="20"/>
          <w:szCs w:val="20"/>
          <w:color w:val="auto"/>
        </w:rPr>
      </w:pPr>
    </w:p>
    <w:p>
      <w:pPr>
        <w:jc w:val="both"/>
        <w:ind w:left="200"/>
        <w:spacing w:after="0" w:line="251" w:lineRule="auto"/>
        <w:rPr>
          <w:sz w:val="20"/>
          <w:szCs w:val="20"/>
          <w:color w:val="auto"/>
        </w:rPr>
      </w:pPr>
      <w:r>
        <w:rPr>
          <w:rFonts w:ascii="Arial" w:cs="Arial" w:eastAsia="Arial" w:hAnsi="Arial"/>
          <w:sz w:val="20"/>
          <w:szCs w:val="20"/>
          <w:color w:val="auto"/>
        </w:rPr>
        <w:t>We hereby consent to the filing of this opinion letter with the Commission as Exhibit 5.1 to the Registration Statement. In giving this consent, we do not hereby admit that we are in the category of persons whose consent is required under Section 7 of the Securities Act or the rules and regulations of the Commission promulgated thereunder.</w:t>
      </w:r>
    </w:p>
    <w:p>
      <w:pPr>
        <w:spacing w:after="0" w:line="145"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Best regards,</w:t>
      </w:r>
    </w:p>
    <w:p>
      <w:pPr>
        <w:spacing w:after="0" w:line="200" w:lineRule="exact"/>
        <w:rPr>
          <w:sz w:val="20"/>
          <w:szCs w:val="20"/>
          <w:color w:val="auto"/>
        </w:rPr>
      </w:pPr>
    </w:p>
    <w:p>
      <w:pPr>
        <w:spacing w:after="0" w:line="353"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/s/ White &amp; Case LLP</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CJD; LKM; MA; BM</w:t>
      </w:r>
    </w:p>
    <w:p>
      <w:pPr>
        <w:spacing w:after="0" w:line="200" w:lineRule="exact"/>
        <w:rPr>
          <w:sz w:val="20"/>
          <w:szCs w:val="20"/>
          <w:color w:val="auto"/>
        </w:rPr>
      </w:pPr>
    </w:p>
    <w:p>
      <w:pPr>
        <w:spacing w:after="0" w:line="379" w:lineRule="exact"/>
        <w:rPr>
          <w:sz w:val="20"/>
          <w:szCs w:val="20"/>
          <w:color w:val="auto"/>
        </w:rPr>
      </w:pPr>
    </w:p>
    <w:p>
      <w:pPr>
        <w:ind w:left="93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624840</wp:posOffset>
            </wp:positionV>
            <wp:extent cx="587184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871845" cy="25400"/>
                    </a:xfrm>
                    <a:prstGeom prst="rect">
                      <a:avLst/>
                    </a:prstGeom>
                    <a:noFill/>
                  </pic:spPr>
                </pic:pic>
              </a:graphicData>
            </a:graphic>
          </wp:anchor>
        </w:drawing>
      </w:r>
    </w:p>
    <w:p>
      <w:pPr>
        <w:sectPr>
          <w:pgSz w:w="11900" w:h="16838" w:orient="portrait"/>
          <w:cols w:equalWidth="0" w:num="1">
            <w:col w:w="9460"/>
          </w:cols>
          <w:pgMar w:left="1440" w:top="1340" w:right="999" w:bottom="1440" w:gutter="0" w:footer="0" w:header="0"/>
        </w:sectPr>
      </w:pPr>
    </w:p>
    <w:bookmarkStart w:id="9" w:name="page10"/>
    <w:bookmarkEnd w:id="9"/>
    <w:p>
      <w:pPr>
        <w:jc w:val="right"/>
        <w:ind w:right="219"/>
        <w:spacing w:after="0"/>
        <w:rPr>
          <w:sz w:val="20"/>
          <w:szCs w:val="20"/>
          <w:color w:val="auto"/>
        </w:rPr>
      </w:pPr>
      <w:r>
        <w:rPr>
          <w:rFonts w:ascii="Arial" w:cs="Arial" w:eastAsia="Arial" w:hAnsi="Arial"/>
          <w:sz w:val="18"/>
          <w:szCs w:val="18"/>
          <w:color w:val="auto"/>
        </w:rPr>
        <w:t>Exhibit 23.1</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Consent of Independent Registered Public Accounting Firm</w:t>
      </w:r>
    </w:p>
    <w:p>
      <w:pPr>
        <w:spacing w:after="0" w:line="303" w:lineRule="exact"/>
        <w:rPr>
          <w:sz w:val="20"/>
          <w:szCs w:val="20"/>
          <w:color w:val="auto"/>
        </w:rPr>
      </w:pPr>
    </w:p>
    <w:p>
      <w:pPr>
        <w:ind w:left="200" w:right="239"/>
        <w:spacing w:after="0" w:line="289" w:lineRule="auto"/>
        <w:rPr>
          <w:sz w:val="20"/>
          <w:szCs w:val="20"/>
          <w:color w:val="auto"/>
        </w:rPr>
      </w:pPr>
      <w:r>
        <w:rPr>
          <w:rFonts w:ascii="Arial" w:cs="Arial" w:eastAsia="Arial" w:hAnsi="Arial"/>
          <w:sz w:val="18"/>
          <w:szCs w:val="18"/>
          <w:color w:val="auto"/>
        </w:rPr>
        <w:t>We consent to the incorporation by reference in this Registration Statement on Form S-8 of Presto Automation Inc. (the “Company”), of our report dated October 10, 2023, relating to the consolidated financial statements of the Company (which report expresses an unqualified opinion and includes explanatory paragraphs relating to a going concern uncertainty and the adoption of a new accounting standard), appearing in the Annual Report on Form 10-K of the Company for the year ended June 30, 2023, filed with the Securities and Exchange Commission.</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Moss Adams LLP</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Francisco, California</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October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365125</wp:posOffset>
            </wp:positionV>
            <wp:extent cx="545211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S-8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Presto Automation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gridSpan w:val="9"/>
          </w:tcPr>
          <w:p>
            <w:pPr>
              <w:ind w:left="480"/>
              <w:spacing w:after="0"/>
              <w:rPr>
                <w:sz w:val="20"/>
                <w:szCs w:val="20"/>
                <w:color w:val="auto"/>
              </w:rPr>
            </w:pPr>
            <w:r>
              <w:rPr>
                <w:rFonts w:ascii="Arial" w:cs="Arial" w:eastAsia="Arial" w:hAnsi="Arial"/>
                <w:sz w:val="18"/>
                <w:szCs w:val="18"/>
                <w:b w:val="1"/>
                <w:bCs w:val="1"/>
                <w:color w:val="auto"/>
                <w:w w:val="90"/>
              </w:rPr>
              <w:t>Table 1 – Newly Registered Securities</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Fee</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Offering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Maximum</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Amount of</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7"/>
              </w:rPr>
              <w:t>Security</w:t>
            </w:r>
          </w:p>
        </w:tc>
        <w:tc>
          <w:tcPr>
            <w:tcW w:w="11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Calculation</w:t>
            </w:r>
          </w:p>
        </w:tc>
        <w:tc>
          <w:tcPr>
            <w:tcW w:w="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Price per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w w:val="89"/>
              </w:rPr>
              <w:t>Registration</w:t>
            </w:r>
          </w:p>
        </w:tc>
      </w:t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Type</w:t>
            </w:r>
          </w:p>
        </w:tc>
        <w:tc>
          <w:tcPr>
            <w:tcW w:w="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Class Title</w:t>
            </w:r>
          </w:p>
        </w:tc>
        <w:tc>
          <w:tcPr>
            <w:tcW w:w="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Rule</w:t>
            </w: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Registered(1)</w:t>
            </w:r>
          </w:p>
        </w:tc>
        <w:tc>
          <w:tcPr>
            <w:tcW w:w="100" w:type="dxa"/>
            <w:vAlign w:val="bottom"/>
          </w:tcPr>
          <w:p>
            <w:pPr>
              <w:spacing w:after="0"/>
              <w:rPr>
                <w:sz w:val="20"/>
                <w:szCs w:val="20"/>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Unit(2)</w:t>
            </w:r>
          </w:p>
        </w:tc>
        <w:tc>
          <w:tcPr>
            <w:tcW w:w="120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Offering Price</w:t>
            </w:r>
          </w:p>
        </w:tc>
        <w:tc>
          <w:tcPr>
            <w:tcW w:w="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Fee Rate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rPr>
              <w:t>Fee</w:t>
            </w:r>
          </w:p>
        </w:tc>
      </w:tr>
      <w:tr>
        <w:trPr>
          <w:trHeight w:val="34"/>
        </w:trPr>
        <w:tc>
          <w:tcPr>
            <w:tcW w:w="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rPr>
              <w:t>Equity</w:t>
            </w:r>
          </w:p>
        </w:tc>
        <w:tc>
          <w:tcPr>
            <w:tcW w:w="20" w:type="dxa"/>
            <w:vAlign w:val="bottom"/>
          </w:tcPr>
          <w:p>
            <w:pPr>
              <w:spacing w:after="0"/>
              <w:rPr>
                <w:sz w:val="17"/>
                <w:szCs w:val="17"/>
                <w:color w:val="auto"/>
              </w:rPr>
            </w:pP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0"/>
              </w:rPr>
              <w:t>Common Stock, par value</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$0.0001 per share</w:t>
            </w:r>
          </w:p>
        </w:tc>
        <w:tc>
          <w:tcPr>
            <w:tcW w:w="20" w:type="dxa"/>
            <w:vAlign w:val="bottom"/>
          </w:tcPr>
          <w:p>
            <w:pPr>
              <w:spacing w:after="0"/>
              <w:rPr>
                <w:sz w:val="18"/>
                <w:szCs w:val="18"/>
                <w:color w:val="auto"/>
              </w:rPr>
            </w:pP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w w:val="92"/>
              </w:rPr>
              <w:t>Other(2)</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512,316(3) $</w:t>
            </w: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722,365.56</w:t>
            </w:r>
          </w:p>
        </w:tc>
        <w:tc>
          <w:tcPr>
            <w:tcW w:w="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1"/>
              </w:rPr>
              <w:t>$0.00014760</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106.62</w:t>
            </w:r>
          </w:p>
        </w:tc>
      </w:tr>
      <w:tr>
        <w:trPr>
          <w:trHeight w:val="268"/>
        </w:trPr>
        <w:tc>
          <w:tcPr>
            <w:tcW w:w="266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Offering Amounts</w:t>
            </w: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722,365.56</w:t>
            </w:r>
          </w:p>
        </w:tc>
        <w:tc>
          <w:tcPr>
            <w:tcW w:w="40" w:type="dxa"/>
            <w:vAlign w:val="bottom"/>
          </w:tcPr>
          <w:p>
            <w:pPr>
              <w:spacing w:after="0"/>
              <w:rPr>
                <w:sz w:val="23"/>
                <w:szCs w:val="23"/>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1"/>
              </w:rPr>
              <w:t>$0.00014760</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106.62</w:t>
            </w:r>
          </w:p>
        </w:tc>
      </w:tr>
      <w:tr>
        <w:trPr>
          <w:trHeight w:val="223"/>
        </w:trPr>
        <w:tc>
          <w:tcPr>
            <w:tcW w:w="266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Total Fee Offsets</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660" w:type="dxa"/>
            <w:vAlign w:val="bottom"/>
            <w:gridSpan w:val="4"/>
          </w:tcPr>
          <w:p>
            <w:pPr>
              <w:ind w:left="20"/>
              <w:spacing w:after="0"/>
              <w:rPr>
                <w:sz w:val="20"/>
                <w:szCs w:val="20"/>
                <w:color w:val="auto"/>
              </w:rPr>
            </w:pPr>
            <w:r>
              <w:rPr>
                <w:rFonts w:ascii="Arial" w:cs="Arial" w:eastAsia="Arial" w:hAnsi="Arial"/>
                <w:sz w:val="18"/>
                <w:szCs w:val="18"/>
                <w:b w:val="1"/>
                <w:bCs w:val="1"/>
                <w:color w:val="auto"/>
              </w:rPr>
              <w:t>Net Fee Due</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5212080</wp:posOffset>
            </wp:positionH>
            <wp:positionV relativeFrom="paragraph">
              <wp:posOffset>33655</wp:posOffset>
            </wp:positionV>
            <wp:extent cx="6000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600075" cy="17145"/>
                    </a:xfrm>
                    <a:prstGeom prst="rect">
                      <a:avLst/>
                    </a:prstGeom>
                    <a:noFill/>
                  </pic:spPr>
                </pic:pic>
              </a:graphicData>
            </a:graphic>
          </wp:anchor>
        </w:drawing>
        <w:drawing>
          <wp:anchor simplePos="0" relativeHeight="251657728" behindDoc="1" locked="0" layoutInCell="0" allowOverlap="1">
            <wp:simplePos x="0" y="0"/>
            <wp:positionH relativeFrom="column">
              <wp:posOffset>5212080</wp:posOffset>
            </wp:positionH>
            <wp:positionV relativeFrom="paragraph">
              <wp:posOffset>59690</wp:posOffset>
            </wp:positionV>
            <wp:extent cx="6000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600075" cy="17145"/>
                    </a:xfrm>
                    <a:prstGeom prst="rect">
                      <a:avLst/>
                    </a:prstGeom>
                    <a:noFill/>
                  </pic:spPr>
                </pic:pic>
              </a:graphicData>
            </a:graphic>
          </wp:anchor>
        </w:drawing>
      </w:r>
    </w:p>
    <w:p>
      <w:pPr>
        <w:spacing w:after="0" w:line="86" w:lineRule="exact"/>
        <w:rPr>
          <w:sz w:val="20"/>
          <w:szCs w:val="20"/>
          <w:color w:val="auto"/>
        </w:rPr>
      </w:pPr>
    </w:p>
    <w:p>
      <w:pPr>
        <w:jc w:val="both"/>
        <w:ind w:left="260" w:right="20" w:hanging="251"/>
        <w:spacing w:after="0" w:line="253"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cover any additional shares of common stock, par value $0.0001 per share (the “Common Stock”), of Presto Automation Inc. (the “Company”) that may become issuable under the terms of the Company’s 2022 Incentive Award Plan (the “2022 Incentive Plan”) by reason of any share split, share dividend, recapitalization or other similar transaction effected without the Company’s receipt of consideration which results in an increase in the number of the outstanding shares of Common Stock.</w:t>
      </w:r>
    </w:p>
    <w:p>
      <w:pPr>
        <w:spacing w:after="0" w:line="1" w:lineRule="exact"/>
        <w:rPr>
          <w:rFonts w:ascii="Arial" w:cs="Arial" w:eastAsia="Arial" w:hAnsi="Arial"/>
          <w:sz w:val="18"/>
          <w:szCs w:val="18"/>
          <w:color w:val="auto"/>
        </w:rPr>
      </w:pPr>
    </w:p>
    <w:p>
      <w:pPr>
        <w:jc w:val="both"/>
        <w:ind w:left="260" w:right="20" w:hanging="251"/>
        <w:spacing w:after="0" w:line="250"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Rules 457(c) and (h) under the Securities Act, based upon the average of the high and low selling prices of the Common Stock on October 13, 2023, as reported on the Nasdaq Stock Market LLC.</w:t>
      </w:r>
    </w:p>
    <w:p>
      <w:pPr>
        <w:spacing w:after="0" w:line="1" w:lineRule="exact"/>
        <w:rPr>
          <w:rFonts w:ascii="Arial" w:cs="Arial" w:eastAsia="Arial" w:hAnsi="Arial"/>
          <w:sz w:val="18"/>
          <w:szCs w:val="18"/>
          <w:color w:val="auto"/>
        </w:rPr>
      </w:pPr>
    </w:p>
    <w:p>
      <w:pPr>
        <w:ind w:left="260" w:right="20" w:hanging="251"/>
        <w:spacing w:after="0" w:line="260"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additional shares reserved for issuance authorized as of January 1, 2023 under the evergreen provision of the 2022 Incentive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2 – Fee Offset Claims and Sources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760095</wp:posOffset>
            </wp:positionV>
            <wp:extent cx="582930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829300" cy="25400"/>
                    </a:xfrm>
                    <a:prstGeom prst="rect">
                      <a:avLst/>
                    </a:prstGeom>
                    <a:noFill/>
                  </pic:spPr>
                </pic:pic>
              </a:graphicData>
            </a:graphic>
          </wp:anchor>
        </w:drawing>
      </w:r>
    </w:p>
    <w:sectPr>
      <w:pgSz w:w="11900" w:h="16838" w:orient="portrait"/>
      <w:cols w:equalWidth="0" w:num="1">
        <w:col w:w="9200"/>
      </w:cols>
      <w:pgMar w:left="1340" w:top="337"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6"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jpe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20" Type="http://schemas.openxmlformats.org/officeDocument/2006/relationships/hyperlink" Target="https://www.sec.gov/ix?doc=/Archives/edgar/data/1822145/000155837023016336/prst-20230630x10k.htm" TargetMode="External"/><Relationship Id="rId21" Type="http://schemas.openxmlformats.org/officeDocument/2006/relationships/hyperlink" Target="https://www.sec.gov/ix?doc=/Archives/edgar/data/1822145/000155837023016408/prst-20230630x10ka.htm" TargetMode="External"/><Relationship Id="rId22" Type="http://schemas.openxmlformats.org/officeDocument/2006/relationships/hyperlink" Target="https://www.sec.gov/ix?doc=/Archives/edgar/data/1822145/000110465923086535/tm2322640d1_8k.htm" TargetMode="External"/><Relationship Id="rId23" Type="http://schemas.openxmlformats.org/officeDocument/2006/relationships/hyperlink" Target="https://www.sec.gov/ix?doc=/Archives/edgar/data/1822145/000110465923097311/tm2325309d1_8k.htm" TargetMode="External"/><Relationship Id="rId24" Type="http://schemas.openxmlformats.org/officeDocument/2006/relationships/hyperlink" Target="https://www.sec.gov/ix?doc=/Archives/edgar/data/1822145/000101376223002979/ea186564-8k_prestoauto.htm" TargetMode="External"/><Relationship Id="rId25" Type="http://schemas.openxmlformats.org/officeDocument/2006/relationships/hyperlink" Target="https://www.sec.gov/Archives/edgar/data/1822145/000155837023016336/prst-20230630xex4d1.htm" TargetMode="External"/><Relationship Id="rId27" Type="http://schemas.openxmlformats.org/officeDocument/2006/relationships/hyperlink" Target="https://www.sec.gov/Archives/edgar/data/1822145/000121390022059478/ea166244ex3-1_prestoauto.htm" TargetMode="External"/><Relationship Id="rId28" Type="http://schemas.openxmlformats.org/officeDocument/2006/relationships/hyperlink" Target="https://www.sec.gov/Archives/edgar/data/1822145/000121390022059478/ea166244ex3-2_prestoauto.htm" TargetMode="External"/><Relationship Id="rId29" Type="http://schemas.openxmlformats.org/officeDocument/2006/relationships/hyperlink" Target="https://www.sec.gov/Archives/edgar/data/1822145/000121390022059478/ea166244ex10-6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2023-10-20T15:14:16Z</dcterms:created>
  <dcterms:modified xsi:type="dcterms:W3CDTF">2023-10-20T15:14:16Z</dcterms:modified>
</cp:coreProperties>
</file>