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51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51730"/>
                    </a:xfrm>
                    <a:prstGeom prst="rect">
                      <a:avLst/>
                    </a:prstGeom>
                    <a:noFill/>
                  </pic:spPr>
                </pic:pic>
              </a:graphicData>
            </a:graphic>
          </wp:anchor>
        </w:drawing>
      </w:r>
    </w:p>
    <w:p>
      <w:pPr>
        <w:sectPr>
          <w:pgSz w:w="11900" w:h="16838" w:orient="portrait"/>
          <w:cols w:equalWidth="0" w:num="1">
            <w:col w:w="10940"/>
          </w:cols>
          <w:pgMar w:left="480" w:top="230" w:right="479" w:bottom="56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Golubovich Ilya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09/21/2022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985 INDUSTRIAL ROAD,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205</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565"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5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20"/>
                <w:szCs w:val="20"/>
                <w:color w:val="0000FF"/>
              </w:rPr>
              <w:t>4,429,505</w:t>
            </w:r>
          </w:p>
        </w:tc>
        <w:tc>
          <w:tcPr>
            <w:tcW w:w="90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w w:val="89"/>
              </w:rPr>
              <w:t>I</w:t>
            </w:r>
          </w:p>
        </w:tc>
        <w:tc>
          <w:tcPr>
            <w:tcW w:w="6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I2BF Global Investment Ltd.</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3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5220" w:type="dxa"/>
            <w:vAlign w:val="bottom"/>
            <w:tcBorders>
              <w:top w:val="single" w:sz="8" w:color="2C2C2C"/>
            </w:tcBorders>
            <w:gridSpan w:val="5"/>
          </w:tcPr>
          <w:p>
            <w:pPr>
              <w:ind w:left="2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760" w:type="dxa"/>
            <w:vAlign w:val="bottom"/>
            <w:gridSpan w:val="6"/>
          </w:tcPr>
          <w:p>
            <w:pPr>
              <w:ind w:left="38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2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100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0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23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5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008000"/>
              </w:rPr>
              <w:t>(2)(3)</w:t>
            </w:r>
          </w:p>
        </w:tc>
        <w:tc>
          <w:tcPr>
            <w:tcW w:w="90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09/21/2027</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1,252,717</w:t>
            </w:r>
          </w:p>
        </w:tc>
        <w:tc>
          <w:tcPr>
            <w:tcW w:w="10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008000"/>
              </w:rPr>
              <w:t>(2)(3)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I2BF Global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8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2"/>
                <w:szCs w:val="12"/>
                <w:color w:val="0000FF"/>
              </w:rPr>
              <w:t>Investment Ltd.</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3"/>
                <w:szCs w:val="13"/>
                <w:color w:val="008000"/>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52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a director of I2BF Global Investment Ltd. 4,379,505 of the shares reported are held by this entity as nominee, and the Reporting Person disclaims beneficial ownership of such shares.</w:t>
      </w:r>
    </w:p>
    <w:p>
      <w:pPr>
        <w:spacing w:after="0" w:line="17" w:lineRule="exact"/>
        <w:rPr>
          <w:rFonts w:ascii="Times New Roman" w:cs="Times New Roman" w:eastAsia="Times New Roman" w:hAnsi="Times New Roman"/>
          <w:sz w:val="15"/>
          <w:szCs w:val="15"/>
          <w:color w:val="008000"/>
        </w:rPr>
      </w:pPr>
    </w:p>
    <w:p>
      <w:pPr>
        <w:ind w:left="40" w:right="60" w:firstLine="5"/>
        <w:spacing w:after="0" w:line="237"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the right to receive shares of the Issuer's common stock pursuant to the Business Combination Agreement, as defined below. The Reporting Person is entitled to receive the Earn-Out Shares as follows: one-half of the Earn-Out Shares will be issued to the Reporting Person if the volume weighted average price ("VWAP") of the Issuer common stock equals or exceeds $12.50 over 20 trading days within any 30 trading day period on or before the third anniversary of the Closing Date (as defined below), and one-half will be issued to the Reporting Person if the VWAP of the Issuer common stock equals or exceeds $15.00 over 20 trading days within any 30 trading day period on or before the fifth anniversary of the Closing Date. Pursuant to the Agreement and Plan of Merger, dated as of November 10, 2021, as amended (the "Merger Agreement"), (Continued in footnote 3)</w:t>
      </w:r>
    </w:p>
    <w:p>
      <w:pPr>
        <w:spacing w:after="0" w:line="33" w:lineRule="exact"/>
        <w:rPr>
          <w:rFonts w:ascii="Times New Roman" w:cs="Times New Roman" w:eastAsia="Times New Roman" w:hAnsi="Times New Roman"/>
          <w:sz w:val="15"/>
          <w:szCs w:val="15"/>
          <w:color w:val="008000"/>
        </w:rPr>
      </w:pPr>
    </w:p>
    <w:p>
      <w:pPr>
        <w:ind w:left="40" w:right="120" w:firstLine="5"/>
        <w:spacing w:after="0" w:line="237"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2) entered into by and among Ventoux CCM Acquisition Corp. (which subsequently changed its name to "Presto Automation Inc.", the "Issuer"), Ventoux Merger Sub I Inc. and Ventoux Merger Sub II LLC, each a wholly owned subsidiary of Ventoux CCM Acquisition Corp., and E La Carte, Inc. ("Old Presto"), the Issuer acquired Old Presto (the "Business Combination"). Pursuant to the terms of the Merger Agreement, each share of Old Presto common stock, option or restricted stock unit, as applicable, outstanding immediately prior to the closing of the Business Combination was entitled to receive 0.8099 shares of Issuer common stock, option, or restricted stock unit, respectively, and certain earnout shares ("Earn-Out Shares"). The Business Combination closed on September 21, 2022 (the "Closing Date").</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Stephen Perry, as</w:t>
            </w:r>
          </w:p>
        </w:tc>
        <w:tc>
          <w:tcPr>
            <w:tcW w:w="6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56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constitutes and appoints Rajat Suri, Colin Diamond, Laura Katherine Mann, Adam Berkaw, Stephen Perry, Rachel Collier and Nico Kroeker as the undersigned’s true and lawful attorney-in-fact and agent, with full power of substitution and resubstitution, for the undersigned and in the undersigned’s name, place and stead, to:</w:t>
      </w:r>
    </w:p>
    <w:p>
      <w:pPr>
        <w:spacing w:after="0" w:line="196" w:lineRule="exact"/>
        <w:rPr>
          <w:sz w:val="20"/>
          <w:szCs w:val="20"/>
          <w:color w:val="auto"/>
        </w:rPr>
      </w:pPr>
    </w:p>
    <w:p>
      <w:pPr>
        <w:jc w:val="both"/>
        <w:ind w:firstLine="720"/>
        <w:spacing w:after="0" w:line="255" w:lineRule="auto"/>
        <w:tabs>
          <w:tab w:leader="none" w:pos="96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sign, and submit to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on its Electronic Data Gathering, Analysis, and Retrieval (“</w:t>
      </w:r>
      <w:r>
        <w:rPr>
          <w:rFonts w:ascii="Times New Roman" w:cs="Times New Roman" w:eastAsia="Times New Roman" w:hAnsi="Times New Roman"/>
          <w:sz w:val="20"/>
          <w:szCs w:val="20"/>
          <w:u w:val="single" w:color="auto"/>
          <w:color w:val="auto"/>
        </w:rPr>
        <w:t>EDGAR</w:t>
      </w:r>
      <w:r>
        <w:rPr>
          <w:rFonts w:ascii="Times New Roman" w:cs="Times New Roman" w:eastAsia="Times New Roman" w:hAnsi="Times New Roman"/>
          <w:sz w:val="20"/>
          <w:szCs w:val="20"/>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10" w:lineRule="exact"/>
        <w:rPr>
          <w:rFonts w:ascii="Times New Roman" w:cs="Times New Roman" w:eastAsia="Times New Roman" w:hAnsi="Times New Roman"/>
          <w:sz w:val="20"/>
          <w:szCs w:val="20"/>
          <w:color w:val="auto"/>
        </w:rPr>
      </w:pPr>
    </w:p>
    <w:p>
      <w:pPr>
        <w:jc w:val="both"/>
        <w:ind w:firstLine="720"/>
        <w:spacing w:after="0" w:line="255" w:lineRule="auto"/>
        <w:tabs>
          <w:tab w:leader="none" w:pos="95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 any and all SEC statements of beneficial ownership of securities of Presto Automation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20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80"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18, 2022</w:t>
      </w:r>
    </w:p>
    <w:p>
      <w:pPr>
        <w:spacing w:after="0" w:line="250" w:lineRule="exact"/>
        <w:rPr>
          <w:sz w:val="20"/>
          <w:szCs w:val="20"/>
          <w:color w:val="auto"/>
        </w:rPr>
      </w:pPr>
    </w:p>
    <w:p>
      <w:pPr>
        <w:ind w:left="6580"/>
        <w:spacing w:after="0"/>
        <w:tabs>
          <w:tab w:leader="none" w:pos="7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Ilya Golubovich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28575</wp:posOffset>
            </wp:positionV>
            <wp:extent cx="24968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96820" cy="19050"/>
                    </a:xfrm>
                    <a:prstGeom prst="rect">
                      <a:avLst/>
                    </a:prstGeom>
                    <a:noFill/>
                  </pic:spPr>
                </pic:pic>
              </a:graphicData>
            </a:graphic>
          </wp:anchor>
        </w:drawing>
      </w:r>
    </w:p>
    <w:p>
      <w:pPr>
        <w:spacing w:after="0" w:line="4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0"/>
          <w:szCs w:val="20"/>
          <w:color w:val="auto"/>
        </w:rPr>
        <w:t>Name: Ilya Golubovich</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707104"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2022-10-03T18:02:37Z</dcterms:created>
  <dcterms:modified xsi:type="dcterms:W3CDTF">2022-10-03T18:02:37Z</dcterms:modified>
</cp:coreProperties>
</file>