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2103120</wp:posOffset>
            </wp:positionH>
            <wp:positionV relativeFrom="page">
              <wp:posOffset>685800</wp:posOffset>
            </wp:positionV>
            <wp:extent cx="3566160" cy="132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566160" cy="1325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59"/>
          <w:szCs w:val="59"/>
          <w:b w:val="1"/>
          <w:bCs w:val="1"/>
          <w:color w:val="auto"/>
        </w:rPr>
        <w:t>ANNUAL REPORT</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60"/>
          <w:szCs w:val="60"/>
          <w:b w:val="1"/>
          <w:bCs w:val="1"/>
          <w:color w:val="auto"/>
        </w:rPr>
        <w:t>2023</w: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476885</wp:posOffset>
                </wp:positionV>
                <wp:extent cx="68961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37.55pt" to="577.5pt,37.5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541655</wp:posOffset>
                </wp:positionV>
                <wp:extent cx="68961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2.65pt" to="577.5pt,42.65pt" o:allowincell="f" strokecolor="#000000" strokeweight="0.96pt">
                <w10:wrap anchorx="page" anchory="page"/>
              </v:line>
            </w:pict>
          </mc:Fallback>
        </mc:AlternateContent>
        <w:t>UNITED STATES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114" w:lineRule="exact"/>
        <w:rPr>
          <w:sz w:val="20"/>
          <w:szCs w:val="20"/>
          <w:color w:val="auto"/>
        </w:rPr>
      </w:pPr>
    </w:p>
    <w:p>
      <w:pPr>
        <w:jc w:val="center"/>
        <w:spacing w:after="0" w:line="207"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8"/>
          <w:szCs w:val="18"/>
          <w:b w:val="1"/>
          <w:bCs w:val="1"/>
          <w:color w:val="auto"/>
        </w:rPr>
        <w:t>ANNUAL REPORT UNDER SECTION 13 OR 15(d) OF THE SECURITIES EXCHANGE ACT OF 1934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June 30, 2023</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84" w:lineRule="exact"/>
        <w:rPr>
          <w:sz w:val="20"/>
          <w:szCs w:val="20"/>
          <w:color w:val="auto"/>
        </w:rPr>
      </w:pPr>
    </w:p>
    <w:p>
      <w:pPr>
        <w:ind w:left="1420" w:hanging="185"/>
        <w:spacing w:after="0"/>
        <w:tabs>
          <w:tab w:leader="none" w:pos="1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4" w:lineRule="exact"/>
        <w:rPr>
          <w:sz w:val="20"/>
          <w:szCs w:val="20"/>
          <w:color w:val="auto"/>
        </w:rPr>
      </w:pPr>
    </w:p>
    <w:p>
      <w:pPr>
        <w:ind w:left="4100"/>
        <w:spacing w:after="0"/>
        <w:tabs>
          <w:tab w:leader="none" w:pos="65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PRESTO AUTOMATION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80" w:type="dxa"/>
            <w:vAlign w:val="bottom"/>
            <w:gridSpan w:val="4"/>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001-39830</w:t>
            </w:r>
          </w:p>
        </w:tc>
        <w:tc>
          <w:tcPr>
            <w:tcW w:w="3600" w:type="dxa"/>
            <w:vAlign w:val="bottom"/>
            <w:gridSpan w:val="2"/>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84-2968594</w:t>
            </w:r>
          </w:p>
        </w:tc>
      </w:tr>
      <w:tr>
        <w:trPr>
          <w:trHeight w:val="210"/>
        </w:trPr>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 incorporation or organization)</w:t>
            </w:r>
          </w:p>
        </w:tc>
        <w:tc>
          <w:tcPr>
            <w:tcW w:w="300" w:type="dxa"/>
            <w:vAlign w:val="bottom"/>
          </w:tcPr>
          <w:p>
            <w:pPr>
              <w:spacing w:after="0"/>
              <w:rPr>
                <w:sz w:val="18"/>
                <w:szCs w:val="18"/>
                <w:color w:val="auto"/>
              </w:rPr>
            </w:pPr>
          </w:p>
        </w:tc>
        <w:tc>
          <w:tcPr>
            <w:tcW w:w="24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60" w:type="dxa"/>
            <w:vAlign w:val="bottom"/>
          </w:tcPr>
          <w:p>
            <w:pPr>
              <w:spacing w:after="0"/>
              <w:rPr>
                <w:sz w:val="18"/>
                <w:szCs w:val="18"/>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(IRS Employer Identification No.)</w:t>
            </w:r>
          </w:p>
        </w:tc>
      </w:tr>
      <w:tr>
        <w:trPr>
          <w:trHeight w:val="382"/>
        </w:trPr>
        <w:tc>
          <w:tcPr>
            <w:tcW w:w="4420" w:type="dxa"/>
            <w:vAlign w:val="bottom"/>
          </w:tcPr>
          <w:p>
            <w:pPr>
              <w:jc w:val="center"/>
              <w:ind w:left="820"/>
              <w:spacing w:after="0"/>
              <w:rPr>
                <w:sz w:val="20"/>
                <w:szCs w:val="20"/>
                <w:color w:val="auto"/>
              </w:rPr>
            </w:pPr>
            <w:r>
              <w:rPr>
                <w:rFonts w:ascii="Times New Roman" w:cs="Times New Roman" w:eastAsia="Times New Roman" w:hAnsi="Times New Roman"/>
                <w:sz w:val="16"/>
                <w:szCs w:val="16"/>
                <w:b w:val="1"/>
                <w:bCs w:val="1"/>
                <w:color w:val="auto"/>
                <w:w w:val="99"/>
              </w:rPr>
              <w:t>985 Industrial Road</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3"/>
        </w:trPr>
        <w:tc>
          <w:tcPr>
            <w:tcW w:w="4420" w:type="dxa"/>
            <w:vAlign w:val="bottom"/>
            <w:tcBorders>
              <w:bottom w:val="single" w:sz="8" w:color="auto"/>
            </w:tcBorders>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San Carlos, California</w:t>
            </w: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b w:val="1"/>
                <w:bCs w:val="1"/>
                <w:color w:val="auto"/>
              </w:rPr>
              <w:t>94070</w:t>
            </w:r>
          </w:p>
        </w:tc>
      </w:tr>
      <w:tr>
        <w:trPr>
          <w:trHeight w:val="210"/>
        </w:trPr>
        <w:tc>
          <w:tcPr>
            <w:tcW w:w="4420" w:type="dxa"/>
            <w:vAlign w:val="bottom"/>
          </w:tcPr>
          <w:p>
            <w:pPr>
              <w:jc w:val="center"/>
              <w:ind w:left="8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(650) 817-9012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30"/>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0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80" w:type="dxa"/>
            <w:vAlign w:val="bottom"/>
            <w:tcBorders>
              <w:bottom w:val="single" w:sz="8" w:color="D1EDF4"/>
            </w:tcBorders>
          </w:tcPr>
          <w:p>
            <w:pPr>
              <w:spacing w:after="0"/>
              <w:rPr>
                <w:sz w:val="17"/>
                <w:szCs w:val="17"/>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Borders>
              <w:bottom w:val="single" w:sz="8" w:color="D1EDF4"/>
            </w:tcBorders>
          </w:tcPr>
          <w:p>
            <w:pPr>
              <w:spacing w:after="0"/>
              <w:rPr>
                <w:sz w:val="17"/>
                <w:szCs w:val="17"/>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174"/>
        </w:trPr>
        <w:tc>
          <w:tcPr>
            <w:tcW w:w="3880" w:type="dxa"/>
            <w:vAlign w:val="bottom"/>
            <w:shd w:val="clear" w:color="auto" w:fill="D1EDF4"/>
          </w:tcPr>
          <w:p>
            <w:pPr>
              <w:jc w:val="center"/>
              <w:spacing w:after="0" w:line="175" w:lineRule="exact"/>
              <w:rPr>
                <w:sz w:val="20"/>
                <w:szCs w:val="20"/>
                <w:color w:val="auto"/>
              </w:rPr>
            </w:pPr>
            <w:r>
              <w:rPr>
                <w:rFonts w:ascii="Times New Roman" w:cs="Times New Roman" w:eastAsia="Times New Roman" w:hAnsi="Times New Roman"/>
                <w:sz w:val="16"/>
                <w:szCs w:val="16"/>
                <w:color w:val="auto"/>
              </w:rPr>
              <w:t>Common Stock, par value $0.0001 per share</w:t>
            </w:r>
          </w:p>
        </w:tc>
        <w:tc>
          <w:tcPr>
            <w:tcW w:w="180" w:type="dxa"/>
            <w:vAlign w:val="bottom"/>
            <w:shd w:val="clear" w:color="auto" w:fill="D1EDF4"/>
          </w:tcPr>
          <w:p>
            <w:pPr>
              <w:spacing w:after="0"/>
              <w:rPr>
                <w:sz w:val="15"/>
                <w:szCs w:val="15"/>
                <w:color w:val="auto"/>
              </w:rPr>
            </w:pPr>
          </w:p>
        </w:tc>
        <w:tc>
          <w:tcPr>
            <w:tcW w:w="3420" w:type="dxa"/>
            <w:vAlign w:val="bottom"/>
            <w:gridSpan w:val="2"/>
            <w:shd w:val="clear" w:color="auto" w:fill="D1EDF4"/>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PRST</w:t>
            </w:r>
          </w:p>
        </w:tc>
        <w:tc>
          <w:tcPr>
            <w:tcW w:w="33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184"/>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Pr>
          <w:p>
            <w:pPr>
              <w:spacing w:after="0"/>
              <w:rPr>
                <w:sz w:val="15"/>
                <w:szCs w:val="15"/>
                <w:color w:val="auto"/>
              </w:rPr>
            </w:pPr>
          </w:p>
        </w:tc>
      </w:tr>
      <w:tr>
        <w:trPr>
          <w:trHeight w:val="184"/>
        </w:trPr>
        <w:tc>
          <w:tcPr>
            <w:tcW w:w="38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w w:val="99"/>
              </w:rPr>
              <w:t>Warrants, each whole warrant exercisable for one share of</w:t>
            </w:r>
          </w:p>
        </w:tc>
        <w:tc>
          <w:tcPr>
            <w:tcW w:w="180" w:type="dxa"/>
            <w:vAlign w:val="bottom"/>
            <w:shd w:val="clear" w:color="auto" w:fill="D1EDF4"/>
          </w:tcPr>
          <w:p>
            <w:pPr>
              <w:spacing w:after="0"/>
              <w:rPr>
                <w:sz w:val="15"/>
                <w:szCs w:val="15"/>
                <w:color w:val="auto"/>
              </w:rPr>
            </w:pPr>
          </w:p>
        </w:tc>
        <w:tc>
          <w:tcPr>
            <w:tcW w:w="3240" w:type="dxa"/>
            <w:vAlign w:val="bottom"/>
            <w:shd w:val="clear" w:color="auto" w:fill="D1EDF4"/>
          </w:tcPr>
          <w:p>
            <w:pPr>
              <w:spacing w:after="0"/>
              <w:rPr>
                <w:sz w:val="15"/>
                <w:szCs w:val="15"/>
                <w:color w:val="auto"/>
              </w:rPr>
            </w:pPr>
          </w:p>
        </w:tc>
        <w:tc>
          <w:tcPr>
            <w:tcW w:w="180" w:type="dxa"/>
            <w:vAlign w:val="bottom"/>
            <w:shd w:val="clear" w:color="auto" w:fill="D1EDF4"/>
          </w:tcPr>
          <w:p>
            <w:pPr>
              <w:spacing w:after="0"/>
              <w:rPr>
                <w:sz w:val="15"/>
                <w:szCs w:val="15"/>
                <w:color w:val="auto"/>
              </w:rPr>
            </w:pPr>
          </w:p>
        </w:tc>
        <w:tc>
          <w:tcPr>
            <w:tcW w:w="3320" w:type="dxa"/>
            <w:vAlign w:val="bottom"/>
          </w:tcPr>
          <w:p>
            <w:pPr>
              <w:spacing w:after="0"/>
              <w:rPr>
                <w:sz w:val="15"/>
                <w:szCs w:val="15"/>
                <w:color w:val="auto"/>
              </w:rPr>
            </w:pPr>
          </w:p>
        </w:tc>
      </w:tr>
      <w:tr>
        <w:trPr>
          <w:trHeight w:val="185"/>
        </w:trPr>
        <w:tc>
          <w:tcPr>
            <w:tcW w:w="38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rPr>
              <w:t>Common Stock, each at an exercise price of $8.21 per share</w:t>
            </w:r>
          </w:p>
        </w:tc>
        <w:tc>
          <w:tcPr>
            <w:tcW w:w="180" w:type="dxa"/>
            <w:vAlign w:val="bottom"/>
            <w:shd w:val="clear" w:color="auto" w:fill="D1EDF4"/>
          </w:tcPr>
          <w:p>
            <w:pPr>
              <w:spacing w:after="0"/>
              <w:rPr>
                <w:sz w:val="16"/>
                <w:szCs w:val="16"/>
                <w:color w:val="auto"/>
              </w:rPr>
            </w:pPr>
          </w:p>
        </w:tc>
        <w:tc>
          <w:tcPr>
            <w:tcW w:w="324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16"/>
                <w:szCs w:val="16"/>
                <w:color w:val="auto"/>
              </w:rPr>
              <w:t>PRSTW</w:t>
            </w:r>
          </w:p>
        </w:tc>
        <w:tc>
          <w:tcPr>
            <w:tcW w:w="180" w:type="dxa"/>
            <w:vAlign w:val="bottom"/>
            <w:shd w:val="clear" w:color="auto" w:fill="D1EDF4"/>
          </w:tcPr>
          <w:p>
            <w:pPr>
              <w:spacing w:after="0"/>
              <w:rPr>
                <w:sz w:val="16"/>
                <w:szCs w:val="16"/>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-479425</wp:posOffset>
            </wp:positionV>
            <wp:extent cx="2134870" cy="14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2134870" cy="142240"/>
                    </a:xfrm>
                    <a:prstGeom prst="rect">
                      <a:avLst/>
                    </a:prstGeom>
                    <a:noFill/>
                  </pic:spPr>
                </pic:pic>
              </a:graphicData>
            </a:graphic>
          </wp:anchor>
        </w:drawing>
        <w:drawing>
          <wp:anchor simplePos="0" relativeHeight="251657728" behindDoc="1" locked="0" layoutInCell="0" allowOverlap="1">
            <wp:simplePos x="0" y="0"/>
            <wp:positionH relativeFrom="column">
              <wp:posOffset>4735830</wp:posOffset>
            </wp:positionH>
            <wp:positionV relativeFrom="paragraph">
              <wp:posOffset>-245745</wp:posOffset>
            </wp:positionV>
            <wp:extent cx="2134870" cy="259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2134870" cy="259080"/>
                    </a:xfrm>
                    <a:prstGeom prst="rect">
                      <a:avLst/>
                    </a:prstGeom>
                    <a:noFill/>
                  </pic:spPr>
                </pic:pic>
              </a:graphicData>
            </a:graphic>
          </wp:anchor>
        </w:drawing>
      </w:r>
    </w:p>
    <w:p>
      <w:pPr>
        <w:spacing w:after="0" w:line="144"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0"/>
          <w:szCs w:val="20"/>
          <w:color w:val="auto"/>
        </w:rPr>
      </w:pPr>
    </w:p>
    <w:p>
      <w:pPr>
        <w:ind w:right="100"/>
        <w:spacing w:after="0" w:line="24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4"/>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78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00" w:lineRule="exact"/>
        <w:rPr>
          <w:sz w:val="20"/>
          <w:szCs w:val="20"/>
          <w:color w:val="auto"/>
        </w:rPr>
      </w:pPr>
    </w:p>
    <w:p>
      <w:pPr>
        <w:ind w:right="280"/>
        <w:spacing w:after="0" w:line="24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 w:lineRule="exact"/>
        <w:rPr>
          <w:sz w:val="20"/>
          <w:szCs w:val="20"/>
          <w:color w:val="auto"/>
        </w:rPr>
      </w:pPr>
    </w:p>
    <w:p>
      <w:pPr>
        <w:ind w:right="50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report. </w:t>
      </w:r>
      <w:r>
        <w:rPr>
          <w:rFonts w:ascii="MS PGothic" w:cs="MS PGothic" w:eastAsia="MS PGothic" w:hAnsi="MS PGothic"/>
          <w:sz w:val="16"/>
          <w:szCs w:val="16"/>
          <w:color w:val="auto"/>
        </w:rPr>
        <w:t>☐</w:t>
      </w:r>
    </w:p>
    <w:p>
      <w:pPr>
        <w:spacing w:after="0" w:line="13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aggregate market value of the voting and non-voting stock held by non-affiliates of the registrant as of December 31, 2022, the last business day of the registrant’s most recently completed second fiscal quarter, was approximately $46.2 million, calculated by using the closing price of the registrant’s Common Stock on such date on the Nasdaq Stock Market LLC of $2.29.</w:t>
      </w:r>
    </w:p>
    <w:p>
      <w:pPr>
        <w:spacing w:after="0" w:line="21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As of September 30, 2023, 57,855,594 shares of Common Stock, par value $0.0001 per share were issued and outstanding.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2240" w:h="15840" w:orient="portrait"/>
          <w:cols w:equalWidth="0" w:num="1">
            <w:col w:w="10800"/>
          </w:cols>
          <w:pgMar w:left="720" w:top="912" w:right="720" w:bottom="197"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registrant intends to file a proxy statement pursuant to Regulation 14A within 120 days of the end of the fiscal year ended June 30, 2023. Portions of such proxy statement are incorporated by reference into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127000</wp:posOffset>
                </wp:positionV>
                <wp:extent cx="68961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0pt" to="541.5pt,10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206375</wp:posOffset>
                </wp:positionV>
                <wp:extent cx="68961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16.25pt" to="541.5pt,16.25pt" o:allowincell="f" strokecolor="#000000" strokeweight="3pt"/>
            </w:pict>
          </mc:Fallback>
        </mc:AlternateContent>
      </w:r>
    </w:p>
    <w:p>
      <w:pPr>
        <w:sectPr>
          <w:pgSz w:w="12240" w:h="15840" w:orient="portrait"/>
          <w:cols w:equalWidth="0" w:num="1">
            <w:col w:w="10800"/>
          </w:cols>
          <w:pgMar w:left="720" w:top="1440" w:right="72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200" w:type="dxa"/>
            <w:vAlign w:val="bottom"/>
          </w:tcPr>
          <w:p>
            <w:pPr>
              <w:ind w:left="3220"/>
              <w:spacing w:after="0"/>
              <w:rPr>
                <w:sz w:val="20"/>
                <w:szCs w:val="20"/>
                <w:color w:val="auto"/>
              </w:rPr>
            </w:pPr>
            <w:r>
              <w:rPr>
                <w:rFonts w:ascii="Times New Roman" w:cs="Times New Roman" w:eastAsia="Times New Roman" w:hAnsi="Times New Roman"/>
                <w:sz w:val="20"/>
                <w:szCs w:val="20"/>
                <w:b w:val="1"/>
                <w:bCs w:val="1"/>
                <w:color w:val="auto"/>
              </w:rPr>
              <w:t>PRESTO AUTOMATION INC.</w:t>
            </w:r>
          </w:p>
        </w:tc>
        <w:tc>
          <w:tcPr>
            <w:tcW w:w="780" w:type="dxa"/>
            <w:vAlign w:val="bottom"/>
          </w:tcPr>
          <w:p>
            <w:pPr>
              <w:spacing w:after="0"/>
              <w:rPr>
                <w:sz w:val="20"/>
                <w:szCs w:val="20"/>
                <w:color w:val="auto"/>
              </w:rPr>
            </w:pPr>
          </w:p>
        </w:tc>
      </w:tr>
      <w:tr>
        <w:trPr>
          <w:trHeight w:val="275"/>
        </w:trPr>
        <w:tc>
          <w:tcPr>
            <w:tcW w:w="820" w:type="dxa"/>
            <w:vAlign w:val="bottom"/>
          </w:tcPr>
          <w:p>
            <w:pPr>
              <w:spacing w:after="0"/>
              <w:rPr>
                <w:sz w:val="23"/>
                <w:szCs w:val="23"/>
                <w:color w:val="auto"/>
              </w:rPr>
            </w:pPr>
          </w:p>
        </w:tc>
        <w:tc>
          <w:tcPr>
            <w:tcW w:w="9200" w:type="dxa"/>
            <w:vAlign w:val="bottom"/>
          </w:tcPr>
          <w:p>
            <w:pPr>
              <w:ind w:left="38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80" w:type="dxa"/>
            <w:vAlign w:val="bottom"/>
          </w:tcPr>
          <w:p>
            <w:pPr>
              <w:spacing w:after="0"/>
              <w:rPr>
                <w:sz w:val="23"/>
                <w:szCs w:val="23"/>
                <w:color w:val="auto"/>
              </w:rPr>
            </w:pPr>
          </w:p>
        </w:tc>
      </w:tr>
      <w:tr>
        <w:trPr>
          <w:trHeight w:val="448"/>
        </w:trPr>
        <w:tc>
          <w:tcPr>
            <w:tcW w:w="8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5"/>
        </w:trPr>
        <w:tc>
          <w:tcPr>
            <w:tcW w:w="8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PART I</w:t>
            </w:r>
          </w:p>
        </w:tc>
        <w:tc>
          <w:tcPr>
            <w:tcW w:w="9200" w:type="dxa"/>
            <w:vAlign w:val="bottom"/>
            <w:shd w:val="clear" w:color="auto" w:fill="D1EDF4"/>
          </w:tcPr>
          <w:p>
            <w:pPr>
              <w:spacing w:after="0"/>
              <w:rPr>
                <w:sz w:val="21"/>
                <w:szCs w:val="21"/>
                <w:color w:val="auto"/>
              </w:rPr>
            </w:pPr>
          </w:p>
        </w:tc>
        <w:tc>
          <w:tcPr>
            <w:tcW w:w="780" w:type="dxa"/>
            <w:vAlign w:val="bottom"/>
            <w:shd w:val="clear" w:color="auto" w:fill="D1EDF4"/>
          </w:tcPr>
          <w:p>
            <w:pPr>
              <w:ind w:left="140"/>
              <w:spacing w:after="0"/>
              <w:rPr>
                <w:sz w:val="20"/>
                <w:szCs w:val="20"/>
                <w:color w:val="auto"/>
              </w:rPr>
            </w:pPr>
            <w:r>
              <w:rPr>
                <w:rFonts w:ascii="Times New Roman" w:cs="Times New Roman" w:eastAsia="Times New Roman" w:hAnsi="Times New Roman"/>
                <w:sz w:val="20"/>
                <w:szCs w:val="20"/>
                <w:color w:val="auto"/>
              </w:rPr>
              <w:t>Page</w:t>
            </w:r>
          </w:p>
        </w:tc>
      </w:tr>
      <w:tr>
        <w:trPr>
          <w:trHeight w:val="246"/>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Business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Risk Factors</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9</w:t>
            </w:r>
          </w:p>
        </w:tc>
      </w:tr>
      <w:tr>
        <w:trPr>
          <w:trHeight w:val="246"/>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Properties</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46"/>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Mine Safety Disclosures</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29</w:t>
            </w:r>
          </w:p>
        </w:tc>
      </w:tr>
      <w:tr>
        <w:trPr>
          <w:trHeight w:val="245"/>
        </w:trPr>
        <w:tc>
          <w:tcPr>
            <w:tcW w:w="8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PART II</w:t>
            </w:r>
          </w:p>
        </w:tc>
        <w:tc>
          <w:tcPr>
            <w:tcW w:w="9200" w:type="dxa"/>
            <w:vAlign w:val="bottom"/>
            <w:shd w:val="clear" w:color="auto" w:fill="D1EDF4"/>
          </w:tcPr>
          <w:p>
            <w:pPr>
              <w:spacing w:after="0"/>
              <w:rPr>
                <w:sz w:val="21"/>
                <w:szCs w:val="21"/>
                <w:color w:val="auto"/>
              </w:rPr>
            </w:pPr>
          </w:p>
        </w:tc>
        <w:tc>
          <w:tcPr>
            <w:tcW w:w="780" w:type="dxa"/>
            <w:vAlign w:val="bottom"/>
            <w:shd w:val="clear" w:color="auto" w:fill="D1EDF4"/>
          </w:tcPr>
          <w:p>
            <w:pPr>
              <w:spacing w:after="0"/>
              <w:rPr>
                <w:sz w:val="21"/>
                <w:szCs w:val="21"/>
                <w:color w:val="auto"/>
              </w:rPr>
            </w:pP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6</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[Reserved]</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30</w:t>
            </w: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7A.</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80" w:type="dxa"/>
            <w:vAlign w:val="bottom"/>
            <w:shd w:val="clear" w:color="auto" w:fill="D1EDF4"/>
          </w:tcPr>
          <w:p>
            <w:pPr>
              <w:spacing w:after="0"/>
              <w:rPr>
                <w:sz w:val="21"/>
                <w:szCs w:val="21"/>
                <w:color w:val="auto"/>
              </w:rPr>
            </w:pPr>
          </w:p>
        </w:tc>
      </w:tr>
      <w:tr>
        <w:trPr>
          <w:trHeight w:val="246"/>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Controls and Procedures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Other Information</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r>
      <w:tr>
        <w:trPr>
          <w:trHeight w:val="246"/>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9C.</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49</w:t>
            </w:r>
          </w:p>
        </w:tc>
      </w:tr>
      <w:tr>
        <w:trPr>
          <w:trHeight w:val="245"/>
        </w:trPr>
        <w:tc>
          <w:tcPr>
            <w:tcW w:w="820" w:type="dxa"/>
            <w:vAlign w:val="bottom"/>
            <w:shd w:val="clear" w:color="auto" w:fill="D1EDF4"/>
          </w:tcPr>
          <w:p>
            <w:pPr>
              <w:spacing w:after="0"/>
              <w:rPr>
                <w:sz w:val="21"/>
                <w:szCs w:val="21"/>
                <w:color w:val="auto"/>
              </w:rPr>
            </w:pPr>
          </w:p>
        </w:tc>
        <w:tc>
          <w:tcPr>
            <w:tcW w:w="9200" w:type="dxa"/>
            <w:vAlign w:val="bottom"/>
            <w:shd w:val="clear" w:color="auto" w:fill="D1EDF4"/>
          </w:tcPr>
          <w:p>
            <w:pPr>
              <w:spacing w:after="0"/>
              <w:rPr>
                <w:sz w:val="21"/>
                <w:szCs w:val="21"/>
                <w:color w:val="auto"/>
              </w:rPr>
            </w:pPr>
          </w:p>
        </w:tc>
        <w:tc>
          <w:tcPr>
            <w:tcW w:w="780" w:type="dxa"/>
            <w:vAlign w:val="bottom"/>
            <w:shd w:val="clear" w:color="auto" w:fill="D1EDF4"/>
          </w:tcPr>
          <w:p>
            <w:pPr>
              <w:spacing w:after="0"/>
              <w:rPr>
                <w:sz w:val="21"/>
                <w:szCs w:val="21"/>
                <w:color w:val="auto"/>
              </w:rPr>
            </w:pP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9"/>
              </w:rPr>
              <w:t>PART III</w:t>
            </w:r>
          </w:p>
        </w:tc>
        <w:tc>
          <w:tcPr>
            <w:tcW w:w="92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Compensation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46"/>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9200" w:type="dxa"/>
            <w:vAlign w:val="bottom"/>
            <w:shd w:val="clear" w:color="auto" w:fill="D1EDF4"/>
          </w:tcPr>
          <w:p>
            <w:pPr>
              <w:ind w:left="6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50</w:t>
            </w:r>
          </w:p>
        </w:tc>
      </w:tr>
      <w:tr>
        <w:trPr>
          <w:trHeight w:val="245"/>
        </w:trPr>
        <w:tc>
          <w:tcPr>
            <w:tcW w:w="82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rPr>
              <w:t>Part IV</w:t>
            </w:r>
          </w:p>
        </w:tc>
        <w:tc>
          <w:tcPr>
            <w:tcW w:w="9200" w:type="dxa"/>
            <w:vAlign w:val="bottom"/>
            <w:shd w:val="clear" w:color="auto" w:fill="D1EDF4"/>
          </w:tcPr>
          <w:p>
            <w:pPr>
              <w:spacing w:after="0"/>
              <w:rPr>
                <w:sz w:val="21"/>
                <w:szCs w:val="21"/>
                <w:color w:val="auto"/>
              </w:rPr>
            </w:pPr>
          </w:p>
        </w:tc>
        <w:tc>
          <w:tcPr>
            <w:tcW w:w="780" w:type="dxa"/>
            <w:vAlign w:val="bottom"/>
            <w:shd w:val="clear" w:color="auto" w:fill="D1EDF4"/>
          </w:tcPr>
          <w:p>
            <w:pPr>
              <w:spacing w:after="0"/>
              <w:rPr>
                <w:sz w:val="21"/>
                <w:szCs w:val="21"/>
                <w:color w:val="auto"/>
              </w:rPr>
            </w:pPr>
          </w:p>
        </w:tc>
      </w:tr>
      <w:tr>
        <w:trPr>
          <w:trHeight w:val="24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15.</w:t>
            </w:r>
          </w:p>
        </w:tc>
        <w:tc>
          <w:tcPr>
            <w:tcW w:w="9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Exhibits and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r>
      <w:tr>
        <w:trPr>
          <w:trHeight w:val="246"/>
        </w:trPr>
        <w:tc>
          <w:tcPr>
            <w:tcW w:w="10020" w:type="dxa"/>
            <w:vAlign w:val="bottom"/>
            <w:gridSpan w:val="2"/>
            <w:shd w:val="clear" w:color="auto" w:fill="D1EDF4"/>
          </w:tcPr>
          <w:p>
            <w:pPr>
              <w:ind w:left="100"/>
              <w:spacing w:after="0"/>
              <w:rPr>
                <w:sz w:val="20"/>
                <w:szCs w:val="20"/>
                <w:color w:val="auto"/>
              </w:rPr>
            </w:pPr>
            <w:r>
              <w:rPr>
                <w:rFonts w:ascii="Times New Roman" w:cs="Times New Roman" w:eastAsia="Times New Roman" w:hAnsi="Times New Roman"/>
                <w:sz w:val="20"/>
                <w:szCs w:val="20"/>
                <w:color w:val="auto"/>
              </w:rPr>
              <w:t>Item 16  Form 10-K Summary</w:t>
            </w:r>
          </w:p>
        </w:tc>
        <w:tc>
          <w:tcPr>
            <w:tcW w:w="78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r>
      <w:tr>
        <w:trPr>
          <w:trHeight w:val="267"/>
        </w:trPr>
        <w:tc>
          <w:tcPr>
            <w:tcW w:w="10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SIGNATURES</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800"/>
          </w:cols>
          <w:pgMar w:left="720" w:top="696" w:right="720" w:bottom="406"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43"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Unless the context indicates otherwise, references to the “Company,” “we,” “us” and “our” refer to Presto Automation Inc., a Delaware corporation, and its consolidated subsidiaries following the Business Combination (defined below). References to “Ventoux” or “VTAQ” refer to Ventoux CCM Acquisition Corp. prior to the Business Combination and references to “Legacy Presto” refer to E La Carte, Inc. prior to the Business Combination.</w:t>
      </w:r>
    </w:p>
    <w:p>
      <w:pPr>
        <w:spacing w:after="0" w:line="200" w:lineRule="exact"/>
        <w:rPr>
          <w:sz w:val="20"/>
          <w:szCs w:val="20"/>
          <w:color w:val="auto"/>
        </w:rPr>
      </w:pPr>
    </w:p>
    <w:p>
      <w:pPr>
        <w:spacing w:after="0" w:line="22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Ventoux was originally formed as a Delaware corporation in July of 2019 for the purpose of effecting a merger, share exchange, asset acquisition, share purchase, recapitalization, reorganization, or other similar business combination with one or more businesses. On December 30, 2020, Ventoux consummated its initial public offering (the “IPO”), following which its securities began trading on the Nasdaq Capital Market (“Nasdaq”).</w:t>
      </w:r>
    </w:p>
    <w:p>
      <w:pPr>
        <w:spacing w:after="0" w:line="19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On September 21, 2022, Ventoux consummated its previously announced business combination (the “Business Combination”) with E La Carte, a Delaware corporation (d/b/a Presto, Inc. “Presto”) (“Legacy Presto”), pursuant to the terms of that certain Merger Agreement, as subsequently amended (the “Merger Agreement”) by and among Ventoux CCM Acquisition Corp. (“Ventoux” or “VTAQ”), Ventoux Merger Sub I, Ventoux Merger Sub II and Legacy Presto, pursuant to which (a) Ventoux Merger Sub I merged with and into Legacy Presto, with Legacy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For accounting purposes, and in accordance with generally accepted accounting principles, Ventoux was treated as the acquired company and Legacy Presto was treated as the acquirer."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 AND RISK FACTOR SUMMARY</w:t>
      </w:r>
    </w:p>
    <w:p>
      <w:pPr>
        <w:spacing w:after="0" w:line="244" w:lineRule="exact"/>
        <w:rPr>
          <w:sz w:val="20"/>
          <w:szCs w:val="20"/>
          <w:color w:val="auto"/>
        </w:rPr>
      </w:pPr>
    </w:p>
    <w:p>
      <w:pPr>
        <w:jc w:val="both"/>
        <w:ind w:right="60" w:firstLine="720"/>
        <w:spacing w:after="0" w:line="260" w:lineRule="auto"/>
        <w:rPr>
          <w:sz w:val="20"/>
          <w:szCs w:val="20"/>
          <w:color w:val="auto"/>
        </w:rPr>
      </w:pPr>
      <w:r>
        <w:rPr>
          <w:rFonts w:ascii="Times New Roman" w:cs="Times New Roman" w:eastAsia="Times New Roman" w:hAnsi="Times New Roman"/>
          <w:sz w:val="19"/>
          <w:szCs w:val="19"/>
          <w:color w:val="auto"/>
        </w:rPr>
        <w:t>This Form 10-K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w:t>
      </w:r>
    </w:p>
    <w:p>
      <w:pPr>
        <w:spacing w:after="0" w:line="1"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in this Form 10-K,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206"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are described in greater detail in Item 1A of Part I,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800"/>
          </w:cols>
          <w:pgMar w:left="720" w:top="696" w:right="720" w:bottom="175"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4"/>
          <w:szCs w:val="24"/>
          <w:b w:val="1"/>
          <w:bCs w:val="1"/>
          <w:color w:val="auto"/>
        </w:rPr>
        <w:t>Item 1. Description of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9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97"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 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color w:val="auto"/>
        </w:rPr>
        <w:t>Industry and Market Overview</w:t>
      </w:r>
    </w:p>
    <w:p>
      <w:pPr>
        <w:spacing w:after="0" w:line="243" w:lineRule="exact"/>
        <w:rPr>
          <w:sz w:val="20"/>
          <w:szCs w:val="20"/>
          <w:color w:val="auto"/>
        </w:rPr>
      </w:pPr>
    </w:p>
    <w:p>
      <w:pPr>
        <w:ind w:right="60" w:firstLine="480"/>
        <w:spacing w:after="0" w:line="237" w:lineRule="auto"/>
        <w:rPr>
          <w:sz w:val="20"/>
          <w:szCs w:val="20"/>
          <w:color w:val="auto"/>
        </w:rPr>
      </w:pPr>
      <w:r>
        <w:rPr>
          <w:rFonts w:ascii="Times New Roman" w:cs="Times New Roman" w:eastAsia="Times New Roman" w:hAnsi="Times New Roman"/>
          <w:sz w:val="20"/>
          <w:szCs w:val="20"/>
          <w:color w:val="auto"/>
        </w:rPr>
        <w:t>The QSR and casual dining market in the United States and Canada consists of approximately 330,000 restaurants and is project to grow to approximately 360,000 restaurants by 2028 according to a 2023 report by IBIS World.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These locations are operated by a brand’s corporate owner or, in many cases, their franchisees. We estimate that approximately 13.5 billion guests visit in-store casual dining restaurants in the United States and Canada each year based on 2013 dining habit information from Statista. We believe that dining habits have remained substantially consistent since that time. The drive-thru segment of the market is expanding and grew by 20% from February 2020 to February 2022 according to The NPD Group and today accounts for approximately 40%, or 130,000 locations, of the total QSR store base. We estimate that this equates to an annual market size for the QSR market of $67 billion. We estimate based on 2013-2016 data from the U.S. Centers for Disease Control and Prevention that approximately 56 million customers in the United States and Canada visit drive-thru restaurants daily and, based on data from QSR Magazine in 2023, that the average American spends, on average, $1,200 annually on food and drinks from drive-thru restaurants.</w:t>
      </w:r>
    </w:p>
    <w:p>
      <w:pPr>
        <w:spacing w:after="0" w:line="202"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QSR and casual dining restaurant chains are increasingly leveraging technology solutions to increase profitability from their established store base, with approximately 58% of U.S. restaurant operators saying using technology-enabled solutions to improve efficiency, labor cost management and revenue growth will be common in the future, according a 2023 study by the National Restaurant Association. We estimate that the total addressable spend on restaurant enterprise technology in QSR and casual dining restaurants in the United States and Canada is approximately $3.0 billion per annum and, based on third party projected growth rates, we estimate it will grow by approximately 35% per annum. We are in the early stages of capturing our addressable market opportunity and are well positioned through our Voice AI solution to increase our share of this market over the next five years.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QSR and casual dining restaurant operators face many challenges which are addressed by our solutions. They include the need to:</w:t>
      </w:r>
    </w:p>
    <w:p>
      <w:pPr>
        <w:spacing w:after="0" w:line="266" w:lineRule="exact"/>
        <w:rPr>
          <w:sz w:val="20"/>
          <w:szCs w:val="20"/>
          <w:color w:val="auto"/>
        </w:rPr>
      </w:pPr>
    </w:p>
    <w:p>
      <w:pPr>
        <w:jc w:val="both"/>
        <w:ind w:left="1200" w:hanging="360"/>
        <w:spacing w:after="0" w:line="249" w:lineRule="auto"/>
        <w:tabs>
          <w:tab w:leader="none" w:pos="120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Combat High Staff Turnover</w:t>
      </w:r>
      <w:r>
        <w:rPr>
          <w:rFonts w:ascii="Times New Roman" w:cs="Times New Roman" w:eastAsia="Times New Roman" w:hAnsi="Times New Roman"/>
          <w:sz w:val="20"/>
          <w:szCs w:val="20"/>
          <w:color w:val="auto"/>
        </w:rPr>
        <w:t>. The restaurant industry struggles to retain workers and has experienced consistently high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turnover rates. The restaurant industry routinely has higher job opening rates relative to other industries and had a total of approximately 1 million job openings in June 2023, according to the Bureau of Labor Statistics. Restaurants require solutions that help them maintain continuity of their employee base to reduce their labor costs, increase order accuracy and improve the guest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803910</wp:posOffset>
                </wp:positionV>
                <wp:extent cx="1828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3.3pt" to="144pt,63.3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1392" w:right="720" w:bottom="406" w:gutter="0" w:footer="0" w:header="0"/>
        </w:sectPr>
      </w:pPr>
    </w:p>
    <w:bookmarkStart w:id="6" w:name="page7"/>
    <w:bookmarkEnd w:id="6"/>
    <w:p>
      <w:pPr>
        <w:jc w:val="both"/>
        <w:ind w:left="1200" w:hanging="360"/>
        <w:spacing w:after="0" w:line="278" w:lineRule="auto"/>
        <w:tabs>
          <w:tab w:leader="none" w:pos="120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Reduce High Labor Costs</w:t>
      </w:r>
      <w:r>
        <w:rPr>
          <w:rFonts w:ascii="Times New Roman" w:cs="Times New Roman" w:eastAsia="Times New Roman" w:hAnsi="Times New Roman"/>
          <w:sz w:val="19"/>
          <w:szCs w:val="19"/>
          <w:color w:val="auto"/>
        </w:rPr>
        <w:t>. Labor has historically been the largest expense category for most restaurants, accounting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approximately 30% of sales on average, according to Notch Financial. High labor costs can result in significantly lower margins and negatively impact restaurant profitability. Recent labor inflation trends have exacerbated these issues.</w:t>
      </w:r>
    </w:p>
    <w:p>
      <w:pPr>
        <w:spacing w:after="0" w:line="180" w:lineRule="exact"/>
        <w:rPr>
          <w:rFonts w:ascii="Arial" w:cs="Arial" w:eastAsia="Arial" w:hAnsi="Arial"/>
          <w:sz w:val="19"/>
          <w:szCs w:val="19"/>
          <w:color w:val="auto"/>
        </w:rPr>
      </w:pPr>
    </w:p>
    <w:p>
      <w:pPr>
        <w:jc w:val="both"/>
        <w:ind w:left="1200" w:hanging="360"/>
        <w:spacing w:after="0" w:line="250" w:lineRule="auto"/>
        <w:tabs>
          <w:tab w:leader="none" w:pos="12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Achieve High Efficiency in the Drive-Thru</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Fast food guests consider speed of service to be important to their overall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satisfaction. Restaurant operators are increasingly seeking efficiencies in their operations. Any new efficiencies generated enables a restaurant to maximize the revenue opportunity available to them and to ensure that guests have a positive experience.</w:t>
      </w:r>
    </w:p>
    <w:p>
      <w:pPr>
        <w:jc w:val="both"/>
        <w:ind w:left="1200" w:hanging="360"/>
        <w:spacing w:after="0" w:line="244" w:lineRule="auto"/>
        <w:tabs>
          <w:tab w:leader="none" w:pos="12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Generate Higher Average Order Values</w:t>
      </w:r>
      <w:r>
        <w:rPr>
          <w:rFonts w:ascii="Times New Roman" w:cs="Times New Roman" w:eastAsia="Times New Roman" w:hAnsi="Times New Roman"/>
          <w:sz w:val="20"/>
          <w:szCs w:val="20"/>
          <w:color w:val="auto"/>
        </w:rPr>
        <w:t>. Higher average order values per transaction increase a restaurant’s profitability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given its fixed cost base. Although a restaurant’s existing employees are trained to up-sell menu items as additional order suggestions, they do so inconsistently.</w:t>
      </w:r>
    </w:p>
    <w:p>
      <w:pPr>
        <w:spacing w:after="0" w:line="2" w:lineRule="exact"/>
        <w:rPr>
          <w:rFonts w:ascii="Arial" w:cs="Arial" w:eastAsia="Arial" w:hAnsi="Arial"/>
          <w:sz w:val="20"/>
          <w:szCs w:val="20"/>
          <w:color w:val="auto"/>
        </w:rPr>
      </w:pPr>
    </w:p>
    <w:p>
      <w:pPr>
        <w:jc w:val="both"/>
        <w:ind w:left="1200" w:hanging="360"/>
        <w:spacing w:after="0" w:line="247" w:lineRule="auto"/>
        <w:tabs>
          <w:tab w:leader="none" w:pos="120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Drive Loyalty and Engagement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highly competitive restaurant market, operators are focused on increasing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 loyalty, generating repeat restaurant visits and obtaining higher overall check sizes through more personalized customer engagement.</w:t>
      </w:r>
    </w:p>
    <w:p>
      <w:pPr>
        <w:spacing w:after="0" w:line="18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provide restaurant operators with solutions to these challenges. First, our solutions allow restaurants to operate efficiently with fewer staff in drive-thrus and in-store restaurants and, accordingly, lower overall labor costs. Second, customers report that our solutions allow them to improve staff retention rates by reducing the cognitive load and stress on them. Third, the increased efficiencies our solutions provide enhance the guest experience by improving order accuracy and reducing wait and delivery times. Fourth, we integrate our solutions into a restaurant’s existing technology so that operators do not need to make major changes to their existing technology stacks.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Presto Voice</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Voice AI solution, Presto Voice, completes complex orders, including large orders with multiple menu modifications and add-ons, with limited on -site restaurant staff intervention. Presto Voice greets the guest, takes her or his order, populates the order in the restaurant’s point of sale (POS) system and delivers the order to the restaurant’s Kitchen Display System (KDS). Our end-to-end solution is designed to integrate with a restaurant's existing technology and not require the restaurant operator to make major changes to its existing technology stack.</w:t>
      </w:r>
    </w:p>
    <w:p>
      <w:pPr>
        <w:spacing w:after="0" w:line="19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believe that Presto Voice enables orders to be processed with improved accuracy and improves the guest experience by allowing the restaurant staff to build the order using the KDS while Presto Voice finalizes the order with the guest. This often results in the order being ready for the guest when she or he pulls up to the pick-up window. Presto Voice strives to increase check sizes with automatic upselling functionality. Presto Voice offers upsells on nearly 80% of orders in the drive-thru, with upsells accepted by the guest nearly 35% of the time, resulting in additional revenues to the restaurant. Presto Voice benefits the restaurant staff as well. The platform removes one of the restaurant staff’s previous responsibilities (taking the order through the headset), allowing them to enhance their performance in other areas including order assembly.</w:t>
      </w:r>
    </w:p>
    <w:p>
      <w:pPr>
        <w:spacing w:after="0" w:line="201" w:lineRule="exact"/>
        <w:rPr>
          <w:sz w:val="20"/>
          <w:szCs w:val="20"/>
          <w:color w:val="auto"/>
        </w:rPr>
      </w:pPr>
    </w:p>
    <w:p>
      <w:pPr>
        <w:ind w:right="60" w:firstLine="720"/>
        <w:spacing w:after="0" w:line="278" w:lineRule="auto"/>
        <w:rPr>
          <w:sz w:val="20"/>
          <w:szCs w:val="20"/>
          <w:color w:val="auto"/>
        </w:rPr>
      </w:pPr>
      <w:r>
        <w:rPr>
          <w:rFonts w:ascii="Times New Roman" w:cs="Times New Roman" w:eastAsia="Times New Roman" w:hAnsi="Times New Roman"/>
          <w:sz w:val="20"/>
          <w:szCs w:val="20"/>
          <w:color w:val="auto"/>
        </w:rPr>
        <w:t>Revenues from Presto Voice have not been material to date; however, we expect an increasing portion of our future revenues to be generated by Presto Voice.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Presto Touch</w:t>
      </w:r>
    </w:p>
    <w:p>
      <w:pPr>
        <w:spacing w:after="0" w:line="24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Presto Touch pay-at-table tablet solution enables self-serve ordering, payment processing, personalization and gaming experiences for restaurant guests. We believe that Presto Touch provides significant value to restaurant operators and guests alike by allowing restaurants to operate dining rooms with fewer staff, personalizing guest experiences and providing more guest insights to the restaurant’s marketing team. Presto Touch increases the server’s efficiency, thereby increasing the number of tables each server can service and, therefore, tips available per server.</w:t>
      </w:r>
    </w:p>
    <w:p>
      <w:pPr>
        <w:spacing w:after="0" w:line="19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Presto Touch provides guests with the opportunity to purchase premium gaming content during the dining experience. We control the associated gaming licenses and work with our restaurant customers to establish the end price charged to the guest. We also generate revenue from professional services, consisting primarily of fees from installing our products and from developing premium content used on the pay -at-table devices. Presto Touch offers Wi-Fi and LTE connectivity. Its front and rear cameras enable coupon scanning. Presto Touch hosts a wide range of payment options and is PCI-DSS compliant. In addition, Presto Touch offers the latest EMV and mobile payment technologies, as well as the ability to split checks.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800"/>
          </w:cols>
          <w:pgMar w:left="720" w:top="715" w:right="720" w:bottom="175" w:gutter="0" w:footer="0" w:header="0"/>
        </w:sectPr>
      </w:pPr>
    </w:p>
    <w:bookmarkStart w:id="7" w:name="page8"/>
    <w:bookmarkEnd w:id="7"/>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Since our founding in 2008 to June 30, 2023, we have shipped over 277,000 Presto Touch tablets to three of the largest casual dining chains in the United States. In 2023, we launched a next generation hardware solution that enhances the capabilities of Presto Touch. This new solution has multiple batteries and removes the pin pad which will assist in the device’s longevity.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Technology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Voice AI Technology</w:t>
      </w:r>
    </w:p>
    <w:p>
      <w:pPr>
        <w:spacing w:after="0" w:line="239"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20"/>
          <w:szCs w:val="20"/>
          <w:color w:val="auto"/>
        </w:rPr>
        <w:t>We began developing our own AI technology platform, Presto Voice, in 2020. To date, we have implemented this technology at Del Taco, Carl’s Jr. and Hardee’s, as well as other restaurant brands that are currently in pilot. Like most AI systems, Presto Voice relies on a combination of machine learning and human collaboration to achieve optimal outcomes for the customer including order accuracy, improved operating efficiencies and consistent upselling.</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The key elements of our AI solution consist of:</w:t>
      </w:r>
    </w:p>
    <w:p>
      <w:pPr>
        <w:spacing w:after="0" w:line="254" w:lineRule="exact"/>
        <w:rPr>
          <w:sz w:val="20"/>
          <w:szCs w:val="20"/>
          <w:color w:val="auto"/>
        </w:rPr>
      </w:pPr>
    </w:p>
    <w:p>
      <w:pPr>
        <w:jc w:val="both"/>
        <w:ind w:left="920" w:hanging="440"/>
        <w:spacing w:after="0" w:line="252" w:lineRule="auto"/>
        <w:tabs>
          <w:tab w:leader="none" w:pos="9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Automatic Speech Recognition (ASR) and Text-To-Speech (TTS) Engines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ASR engines decipher spoken orders from</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guests and convert the spoken orders into text for further processing. Following the processing, TTS engines convert the output into a human-like voice for interaction with guests. Our ASR and TTS engines are based on a widely licensed third-party platform that we have customized significantly.</w:t>
      </w:r>
    </w:p>
    <w:p>
      <w:pPr>
        <w:spacing w:after="0" w:line="207" w:lineRule="exact"/>
        <w:rPr>
          <w:rFonts w:ascii="Arial" w:cs="Arial" w:eastAsia="Arial" w:hAnsi="Arial"/>
          <w:sz w:val="20"/>
          <w:szCs w:val="20"/>
          <w:color w:val="auto"/>
        </w:rPr>
      </w:pPr>
    </w:p>
    <w:p>
      <w:pPr>
        <w:jc w:val="both"/>
        <w:ind w:left="920" w:hanging="440"/>
        <w:spacing w:after="0" w:line="249" w:lineRule="auto"/>
        <w:tabs>
          <w:tab w:leader="none" w:pos="9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Natural Language Understanding (NLU) Technology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NLU technology analyzes the text generated by the ASR engine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deciphers the meaning of a particular phrase. Because there are usually multiple ways to express a single request, the NLU will generally improve its effectiveness over time as the system adapts to restaurant-specific menus and food items and learns from past successful and failed orders. In addition, particular restaurant conditions, such as the amount of ambient noise, can impact the effectiveness and accuracy of the NLU technology.</w:t>
      </w:r>
    </w:p>
    <w:p>
      <w:pPr>
        <w:spacing w:after="0" w:line="210" w:lineRule="exact"/>
        <w:rPr>
          <w:rFonts w:ascii="Arial" w:cs="Arial" w:eastAsia="Arial" w:hAnsi="Arial"/>
          <w:sz w:val="20"/>
          <w:szCs w:val="20"/>
          <w:color w:val="auto"/>
        </w:rPr>
      </w:pPr>
    </w:p>
    <w:p>
      <w:pPr>
        <w:jc w:val="both"/>
        <w:ind w:left="920" w:hanging="440"/>
        <w:spacing w:after="0" w:line="244" w:lineRule="auto"/>
        <w:tabs>
          <w:tab w:leader="none" w:pos="9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Humans in the Loop (HITL)</w:t>
      </w:r>
      <w:r>
        <w:rPr>
          <w:rFonts w:ascii="Times New Roman" w:cs="Times New Roman" w:eastAsia="Times New Roman" w:hAnsi="Times New Roman"/>
          <w:sz w:val="20"/>
          <w:szCs w:val="20"/>
          <w:color w:val="auto"/>
        </w:rPr>
        <w:t>. Given the machine learning associated with AI technology, including our solutions, we use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approach that is commonly employed in the industry referred to as human-in-the loop (HITL) to ensure that the desired level of accuracy in order taking is achieved. Our systems currently use a human agent (located offsite of the restaurant) to enter, review, validate and correct orders received by Presto Voice and make sure that restaurant guests receive accurate orders. Importantly, this human process also generates data that is used to train the NLU engine and improve its efficacy and accuracy over time, ensuring continued improvement to our technology. As Presto Voice evolves and becomes more educated, we expect that the level of human support in the process will continue to decrease, further improving our economics. We believe the human element of our solution is a competitive advantage as it improves order accuracy compared to competing solutions and allows the NLU to continuously learn.</w:t>
      </w:r>
    </w:p>
    <w:p>
      <w:pPr>
        <w:spacing w:after="0" w:line="205"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20"/>
          <w:szCs w:val="20"/>
          <w:color w:val="auto"/>
        </w:rPr>
        <w:t>There are also limited circumstances when human intervention by the on-site restaurant staff is required to process a guest’s order, such as if the guest has a question about the menu, if the menu is very complex or if ambient noise is exceptional. Presto Voice currently achieves an 85% non-intervention rate on average, meaning that restaurant staff does not need to intervene in 85% of the orders placed (not including interactions that do not result in an order such as pick-ups from third party delivery services). We have achieved an approximately 95% non-intervention rate at certain locations.</w:t>
      </w:r>
    </w:p>
    <w:p>
      <w:pPr>
        <w:spacing w:after="0" w:line="197" w:lineRule="exact"/>
        <w:rPr>
          <w:sz w:val="20"/>
          <w:szCs w:val="20"/>
          <w:color w:val="auto"/>
        </w:rPr>
      </w:pPr>
    </w:p>
    <w:p>
      <w:pPr>
        <w:jc w:val="both"/>
        <w:ind w:firstLine="450"/>
        <w:spacing w:after="0" w:line="247" w:lineRule="auto"/>
        <w:rPr>
          <w:sz w:val="20"/>
          <w:szCs w:val="20"/>
          <w:color w:val="auto"/>
        </w:rPr>
      </w:pPr>
      <w:r>
        <w:rPr>
          <w:rFonts w:ascii="Times New Roman" w:cs="Times New Roman" w:eastAsia="Times New Roman" w:hAnsi="Times New Roman"/>
          <w:sz w:val="20"/>
          <w:szCs w:val="20"/>
          <w:color w:val="auto"/>
        </w:rPr>
        <w:t>Presto Voice is currently deployed in Del Taco, Carl’s Jr and Hardee’s, as well as various other restaurant brands under pilot. Prior to commercializing our own AI technology, we entered the voice activated drive-thru market by subcontracting with Hi Auto Ltd. (“Hi Auto”) in July 2021. Hi Auto’s AI solution powers Presto Voice at Checkers restaurants and is referred to externally as “Presto Voice powered by Hi Auto”. Checkers is currently our largest installed voice AI base. This arrangement allowed us to enter the market before our own AI technology was commercialized, to assess the strength of the voice market and to develop the sales and account management processes needed to capture market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Competitive Strengths</w:t>
      </w:r>
    </w:p>
    <w:p>
      <w:pPr>
        <w:spacing w:after="0" w:line="244"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We believe that we have a number of competitive strengths that will enable us to grow our market position. Our competitive strengths include the following:</w:t>
      </w:r>
    </w:p>
    <w:p>
      <w:pPr>
        <w:spacing w:after="0" w:line="181" w:lineRule="exact"/>
        <w:rPr>
          <w:sz w:val="20"/>
          <w:szCs w:val="20"/>
          <w:color w:val="auto"/>
        </w:rPr>
      </w:pPr>
    </w:p>
    <w:p>
      <w:pPr>
        <w:jc w:val="both"/>
        <w:ind w:left="920" w:hanging="440"/>
        <w:spacing w:after="0" w:line="269" w:lineRule="auto"/>
        <w:tabs>
          <w:tab w:leader="none" w:pos="920" w:val="left"/>
        </w:tabs>
        <w:numPr>
          <w:ilvl w:val="0"/>
          <w:numId w:val="5"/>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Industry-Leading Technology Platforms</w:t>
      </w:r>
      <w:r>
        <w:rPr>
          <w:rFonts w:ascii="Times New Roman" w:cs="Times New Roman" w:eastAsia="Times New Roman" w:hAnsi="Times New Roman"/>
          <w:sz w:val="19"/>
          <w:szCs w:val="19"/>
          <w:color w:val="auto"/>
        </w:rPr>
        <w:t>. We have developed proprietary technology that we believe comprehensively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addresses the challenges that restaurant operators are facing by improving order accuracy, reducing labor costs, increasing revenue and improving the guest experience. Our platforms integrate into a restaurant’s existing technology systems and do not require the restaurant operator to make major changes to its existing technology stack. Specifically, our platforms enable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700" w:right="720" w:bottom="175" w:gutter="0" w:footer="0" w:header="0"/>
        </w:sectPr>
      </w:pPr>
    </w:p>
    <w:bookmarkStart w:id="8" w:name="page9"/>
    <w:bookmarkEnd w:id="8"/>
    <w:p>
      <w:pPr>
        <w:jc w:val="both"/>
        <w:ind w:left="920"/>
        <w:spacing w:after="0" w:line="258" w:lineRule="auto"/>
        <w:rPr>
          <w:sz w:val="20"/>
          <w:szCs w:val="20"/>
          <w:color w:val="auto"/>
        </w:rPr>
      </w:pPr>
      <w:r>
        <w:rPr>
          <w:rFonts w:ascii="Times New Roman" w:cs="Times New Roman" w:eastAsia="Times New Roman" w:hAnsi="Times New Roman"/>
          <w:sz w:val="20"/>
          <w:szCs w:val="20"/>
          <w:color w:val="auto"/>
        </w:rPr>
        <w:t>multiple back-end integrations and complex menu management, provide layers of PCI compliance and security and enterprise grade reliability, possess the ability to scale seamlessly and deploy quickly across multiple geographies, and are supported by customer success, support and operations teams that understand enterprise challenges.</w:t>
      </w:r>
    </w:p>
    <w:p>
      <w:pPr>
        <w:spacing w:after="0" w:line="203" w:lineRule="exact"/>
        <w:rPr>
          <w:sz w:val="20"/>
          <w:szCs w:val="20"/>
          <w:color w:val="auto"/>
        </w:rPr>
      </w:pPr>
    </w:p>
    <w:p>
      <w:pPr>
        <w:jc w:val="both"/>
        <w:ind w:left="920" w:hanging="440"/>
        <w:spacing w:after="0" w:line="245" w:lineRule="auto"/>
        <w:tabs>
          <w:tab w:leader="none" w:pos="9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Proprietary Technology-Human Interface</w:t>
      </w:r>
      <w:r>
        <w:rPr>
          <w:rFonts w:ascii="Times New Roman" w:cs="Times New Roman" w:eastAsia="Times New Roman" w:hAnsi="Times New Roman"/>
          <w:sz w:val="20"/>
          <w:szCs w:val="20"/>
          <w:color w:val="auto"/>
        </w:rPr>
        <w:t>. We believe that providing exceptional order accuracy is critical to Presto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Voice’s success and in growing our market share. Our technology-human interface delivers the levels of order accuracy and order delivery time required to operate a high-yield drive-thru business. Presto Voice’s HITL human oversight is located off-site to remove any logistical or technology complexities at the restaurant. This human element is integrated seamlessly into the technology element, ensuring that guests at the restaurant are unaware of the human oversight and experience a seamless order process. While we expect that the level of human oversight will decrease over time– as the technology learns and improves – in order to improve our cost structure, the redundancy provided by the human agents will continue to ensure high levels of accuracy and speedier delivery times.</w:t>
      </w:r>
    </w:p>
    <w:p>
      <w:pPr>
        <w:spacing w:after="0" w:line="134" w:lineRule="exact"/>
        <w:rPr>
          <w:rFonts w:ascii="Arial" w:cs="Arial" w:eastAsia="Arial" w:hAnsi="Arial"/>
          <w:sz w:val="20"/>
          <w:szCs w:val="20"/>
          <w:color w:val="auto"/>
        </w:rPr>
      </w:pPr>
    </w:p>
    <w:p>
      <w:pPr>
        <w:jc w:val="both"/>
        <w:ind w:left="920" w:hanging="440"/>
        <w:spacing w:after="0" w:line="249" w:lineRule="auto"/>
        <w:tabs>
          <w:tab w:leader="none" w:pos="9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Proven Ability to Scale Our Platforms for Our Customers</w:t>
      </w:r>
      <w:r>
        <w:rPr>
          <w:rFonts w:ascii="Times New Roman" w:cs="Times New Roman" w:eastAsia="Times New Roman" w:hAnsi="Times New Roman"/>
          <w:sz w:val="20"/>
          <w:szCs w:val="20"/>
          <w:color w:val="auto"/>
        </w:rPr>
        <w:t>. Over the past 15 years, Presto has developed the robust human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knowledge and account management tools necessary to install, roll-out, integrate and educate restaurant operators and staff about its technology solutions on a large-scale basis and to service our customers following deployment. As of June 30, 2023, we have deployed over 277,000 Presto Touch tablets which has resulted in the development of this core competency which is readily transferable to our Presto Voice customers’ technology platforms.</w:t>
      </w:r>
    </w:p>
    <w:p>
      <w:pPr>
        <w:spacing w:after="0" w:line="206" w:lineRule="exact"/>
        <w:rPr>
          <w:rFonts w:ascii="Arial" w:cs="Arial" w:eastAsia="Arial" w:hAnsi="Arial"/>
          <w:sz w:val="20"/>
          <w:szCs w:val="20"/>
          <w:color w:val="auto"/>
        </w:rPr>
      </w:pPr>
    </w:p>
    <w:p>
      <w:pPr>
        <w:jc w:val="both"/>
        <w:ind w:left="920" w:hanging="440"/>
        <w:spacing w:after="0" w:line="250" w:lineRule="auto"/>
        <w:tabs>
          <w:tab w:leader="none" w:pos="9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Experience Navigating the Complex and Diverse Ownership Models of Most QSR and Fast Casual Dining Restaurants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customers consist of a restaurant brand’s corporate owners and, in most cases, its franchisees. Navigating the sales and management of these diverse yet inter-related customers is one of Presto’s competitive advantages. Each of the corporate owners and franchisees have their own strategic and financial objectives. The cadence for selling into these organizations and then deploying our solutions varies by owner and requires experience to navigate.</w:t>
      </w:r>
    </w:p>
    <w:p>
      <w:pPr>
        <w:spacing w:after="0" w:line="209" w:lineRule="exact"/>
        <w:rPr>
          <w:rFonts w:ascii="Arial" w:cs="Arial" w:eastAsia="Arial" w:hAnsi="Arial"/>
          <w:sz w:val="20"/>
          <w:szCs w:val="20"/>
          <w:color w:val="auto"/>
        </w:rPr>
      </w:pPr>
    </w:p>
    <w:p>
      <w:pPr>
        <w:jc w:val="both"/>
        <w:ind w:left="920" w:hanging="440"/>
        <w:spacing w:after="0" w:line="245" w:lineRule="auto"/>
        <w:tabs>
          <w:tab w:leader="none" w:pos="9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Business Model That is “Sticky”</w:t>
      </w:r>
      <w:r>
        <w:rPr>
          <w:rFonts w:ascii="Times New Roman" w:cs="Times New Roman" w:eastAsia="Times New Roman" w:hAnsi="Times New Roman"/>
          <w:sz w:val="20"/>
          <w:szCs w:val="20"/>
          <w:color w:val="auto"/>
        </w:rPr>
        <w:t>. The integration of our products into a large, complex organization results in a business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model that is “sticky”. We typically engage in pilot programs that range from three to 12 months with potential customers in a small number of locations to test and customize our solutions, including relating to restaurant-specific menus and POS systems, and to familiarize restaurant management with their use and capabilities. Following the pilot period, we typically enter into 12 to 36-month contracts with our customers. This multi-year relationship, as well as the “front of the house” or guest facing nature of our technology, as evidenced by the nature of our entertainment apps on Presto Touch, and consumer facing voice ordering capabilities of Presto Voice and increased adoption of our solutions by the restaurant staff and guests, creates a “sticky” relationship with high switching costs.</w:t>
      </w:r>
    </w:p>
    <w:p>
      <w:pPr>
        <w:spacing w:after="0" w:line="255" w:lineRule="exact"/>
        <w:rPr>
          <w:rFonts w:ascii="Arial" w:cs="Arial" w:eastAsia="Arial" w:hAnsi="Arial"/>
          <w:sz w:val="20"/>
          <w:szCs w:val="20"/>
          <w:color w:val="auto"/>
        </w:rPr>
      </w:pPr>
    </w:p>
    <w:p>
      <w:pPr>
        <w:jc w:val="both"/>
        <w:ind w:left="920" w:hanging="440"/>
        <w:spacing w:after="0" w:line="238" w:lineRule="auto"/>
        <w:tabs>
          <w:tab w:leader="none" w:pos="920" w:val="left"/>
        </w:tabs>
        <w:numPr>
          <w:ilvl w:val="0"/>
          <w:numId w:val="6"/>
        </w:numPr>
        <w:rPr>
          <w:rFonts w:ascii="Arial" w:cs="Arial" w:eastAsia="Arial" w:hAnsi="Arial"/>
          <w:sz w:val="24"/>
          <w:szCs w:val="24"/>
          <w:color w:val="auto"/>
        </w:rPr>
      </w:pPr>
      <w:r>
        <w:rPr>
          <w:rFonts w:ascii="Times New Roman" w:cs="Times New Roman" w:eastAsia="Times New Roman" w:hAnsi="Times New Roman"/>
          <w:sz w:val="20"/>
          <w:szCs w:val="20"/>
          <w:b w:val="1"/>
          <w:bCs w:val="1"/>
          <w:i w:val="1"/>
          <w:iCs w:val="1"/>
          <w:color w:val="auto"/>
        </w:rPr>
        <w:t xml:space="preserve">Experienced Management Team to Execute on Strategy. </w:t>
      </w:r>
      <w:r>
        <w:rPr>
          <w:rFonts w:ascii="Times New Roman" w:cs="Times New Roman" w:eastAsia="Times New Roman" w:hAnsi="Times New Roman"/>
          <w:sz w:val="20"/>
          <w:szCs w:val="20"/>
          <w:color w:val="auto"/>
        </w:rPr>
        <w:t>Our management team has a track record of delivering strong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operational results. Our Chief Executive Officer, Xavier Casanova, founded multiple successful enterprise software companies in Silicon Valley and has over 25 years of experience leading and scaling software startups such as Fireclick, Inc. and Liveclicker, Inc. Our President, Dan Mosher, has managed rapidly growing businesses for over 20 years and brings experience from companies such as Postmates Inc., Yahoo! Inc. and VeriSign Inc. prior to his role at Presto.</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adopted the following strategies to increase our revenues and achieve profitability:</w:t>
      </w:r>
    </w:p>
    <w:p>
      <w:pPr>
        <w:spacing w:after="0" w:line="255" w:lineRule="exact"/>
        <w:rPr>
          <w:sz w:val="20"/>
          <w:szCs w:val="20"/>
          <w:color w:val="auto"/>
        </w:rPr>
      </w:pPr>
    </w:p>
    <w:p>
      <w:pPr>
        <w:jc w:val="both"/>
        <w:ind w:left="1080" w:hanging="360"/>
        <w:spacing w:after="0" w:line="249"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Continue to Expand the Locations in which Our Solutions are Used</w:t>
      </w:r>
      <w:r>
        <w:rPr>
          <w:rFonts w:ascii="Times New Roman" w:cs="Times New Roman" w:eastAsia="Times New Roman" w:hAnsi="Times New Roman"/>
          <w:sz w:val="20"/>
          <w:szCs w:val="20"/>
          <w:color w:val="auto"/>
        </w:rPr>
        <w:t>. We are continuously working to expand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locations in which our solutions are used by rolling out Presto Voice to franchisee customers in the restaurant groups with which we have entered into master service agreements. As of September 30, 2023, those locations of franchisee customers with whom we have master service or pilot agreements and in which Presto Voice has not been installed represent an estimated annual revenue opportunity of approximately $17 million.</w:t>
      </w:r>
    </w:p>
    <w:p>
      <w:pPr>
        <w:spacing w:after="0" w:line="210" w:lineRule="exact"/>
        <w:rPr>
          <w:rFonts w:ascii="Arial" w:cs="Arial" w:eastAsia="Arial" w:hAnsi="Arial"/>
          <w:sz w:val="20"/>
          <w:szCs w:val="20"/>
          <w:color w:val="auto"/>
        </w:rPr>
      </w:pPr>
    </w:p>
    <w:p>
      <w:pPr>
        <w:jc w:val="both"/>
        <w:ind w:left="1080" w:hanging="360"/>
        <w:spacing w:after="0" w:line="247"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Seek to Attract New Customers</w:t>
      </w:r>
      <w:r>
        <w:rPr>
          <w:rFonts w:ascii="Times New Roman" w:cs="Times New Roman" w:eastAsia="Times New Roman" w:hAnsi="Times New Roman"/>
          <w:sz w:val="20"/>
          <w:szCs w:val="20"/>
          <w:color w:val="auto"/>
        </w:rPr>
        <w:t>. To date, we have master services or pilot agreements with nine restaurant brands. Since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third quarter of 2022, we have signed several pilot agreements for Presto Voice. Certain of these pilot customers have more than several hundred locations each. Our goal is to sign new restaurant brands and convert pilot customers into broader customer relationships in the fiscal years 2024 and 2025. As of September 30, 2023, those locations of restaurant brands and franchisee customers with whom we have master service or pilot agreements and in which Presto Voice has not been installed represent an estimated annual revenue opportunity of over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700" w:right="720" w:bottom="175" w:gutter="0" w:footer="0" w:header="0"/>
        </w:sectPr>
      </w:pPr>
    </w:p>
    <w:bookmarkStart w:id="9" w:name="page10"/>
    <w:bookmarkEnd w:id="9"/>
    <w:p>
      <w:pPr>
        <w:jc w:val="both"/>
        <w:ind w:left="108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Continue to Train and Develop Our Voice AI Technology to Improve Unit Economics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Orders taken by Presto Voice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 sample data to train our NLU and ASR engines to improve their accuracy. Over time, and as the solution continues to learn and develop, the level of human oversight and intervention required from the human agent element of our interface is expected decrease. This will enable us to improve the unit economics of Presto Voice. Ultimately, we believe that Presto Voice will require a substantially lower level of human interface even as we remain committed to maintaining high levels of order accuracy and reduced order delivery times.</w:t>
      </w:r>
    </w:p>
    <w:p>
      <w:pPr>
        <w:spacing w:after="0" w:line="203" w:lineRule="exact"/>
        <w:rPr>
          <w:rFonts w:ascii="Arial" w:cs="Arial" w:eastAsia="Arial" w:hAnsi="Arial"/>
          <w:sz w:val="20"/>
          <w:szCs w:val="20"/>
          <w:color w:val="auto"/>
        </w:rPr>
      </w:pPr>
    </w:p>
    <w:p>
      <w:pPr>
        <w:jc w:val="both"/>
        <w:ind w:left="1080" w:hanging="360"/>
        <w:spacing w:after="0" w:line="246"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Maintain Relationships with Existing Customers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 account management, project management and support teams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focus on developing and maintaining robust relationships with our existing customers. For example, they conduct quarterly business reviews with our top customers to share insights and best-in-class industry observations and to assess a customer’s current and future needs. They support our customers through the on-boarding and implementation processes. We are committed to providing a differentiated experience for restaurant operators. Maintaining these relationships is critical both as a referral base for new customers as well as to ensure successful renewals of existing master services agreements and to pave the way for product upgrades and future product add-ons.</w:t>
      </w:r>
    </w:p>
    <w:p>
      <w:pPr>
        <w:spacing w:after="0" w:line="214" w:lineRule="exact"/>
        <w:rPr>
          <w:rFonts w:ascii="Arial" w:cs="Arial" w:eastAsia="Arial" w:hAnsi="Arial"/>
          <w:sz w:val="20"/>
          <w:szCs w:val="20"/>
          <w:color w:val="auto"/>
        </w:rPr>
      </w:pPr>
    </w:p>
    <w:p>
      <w:pPr>
        <w:jc w:val="both"/>
        <w:ind w:left="1080" w:hanging="360"/>
        <w:spacing w:after="0" w:line="269" w:lineRule="auto"/>
        <w:tabs>
          <w:tab w:leader="none" w:pos="1080" w:val="left"/>
        </w:tabs>
        <w:numPr>
          <w:ilvl w:val="0"/>
          <w:numId w:val="8"/>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Continue to Implement On-Going Cost Improvement Programs</w:t>
      </w:r>
      <w:r>
        <w:rPr>
          <w:rFonts w:ascii="Times New Roman" w:cs="Times New Roman" w:eastAsia="Times New Roman" w:hAnsi="Times New Roman"/>
          <w:sz w:val="19"/>
          <w:szCs w:val="19"/>
          <w:color w:val="auto"/>
        </w:rPr>
        <w:t>. We have taken several steps during 2023 to operate our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business more efficiently including streamlining operations and reducing costs on a go-forward basis.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78"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Revenue opportunity as set forth above is based on the number of locations of each restaurant brand or franchisee group, as applicable, at which Presto Voice is not installed and is based on the pricing contained in the relevant master service or pilot agreement for such customer. Revenue opportunity does not represent contractually committed revenue or backlog.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84"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Presto’s customers include some of the most familiar restaurant names in the United States, including Carl’s Jr., Hardee’s, Del Taco and Checkers for Presto Voice and Applebee’s, Chili’s and Red Lobster for Presto Touch. Our potential customer base consists of the approximately 330,000 QSR and casual dining restaurants in the United States and Canada we have identified as our accessible market. These restaurants are owned by corporate parents or, in some circumstances, by their franchisees, each of which makes the decision to employ our solutions independently. For example, CKE Restaurants Holdings, Inc., or CKE, owns approximately 243 Carl’s Jr and Hardee’s locations while its franchisees own approximately 2,532 locations. Our ability to sell into and manage these diverse and complex relationships is one of Presto’s competitive advantages.</w:t>
      </w:r>
    </w:p>
    <w:p>
      <w:pPr>
        <w:spacing w:after="0" w:line="240"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We enter into services agreements with our customers ranging in length from 12 to 36 months, which provide visibility into our forward performance.</w:t>
      </w:r>
    </w:p>
    <w:p>
      <w:pPr>
        <w:spacing w:after="0" w:line="167"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20"/>
          <w:szCs w:val="20"/>
          <w:color w:val="auto"/>
        </w:rPr>
        <w:t>For the years ended June 30, 2023 and 2022, our three largest customers (including, as applicable, the franchisees of such restaurants which are aggregated as a single customer for reporting purposes) generated an aggregate of approximately 94% and 93% of our revenue, respectively.</w:t>
      </w:r>
    </w:p>
    <w:p>
      <w:pPr>
        <w:spacing w:after="0" w:line="185" w:lineRule="exact"/>
        <w:rPr>
          <w:sz w:val="20"/>
          <w:szCs w:val="20"/>
          <w:color w:val="auto"/>
        </w:rPr>
      </w:pPr>
    </w:p>
    <w:p>
      <w:pPr>
        <w:jc w:val="both"/>
        <w:ind w:firstLine="480"/>
        <w:spacing w:after="0" w:line="253" w:lineRule="auto"/>
        <w:rPr>
          <w:sz w:val="20"/>
          <w:szCs w:val="20"/>
          <w:color w:val="auto"/>
        </w:rPr>
      </w:pPr>
      <w:r>
        <w:rPr>
          <w:rFonts w:ascii="Times New Roman" w:cs="Times New Roman" w:eastAsia="Times New Roman" w:hAnsi="Times New Roman"/>
          <w:sz w:val="20"/>
          <w:szCs w:val="20"/>
          <w:color w:val="auto"/>
        </w:rPr>
        <w:t>The purchase and services agreement with our largest customer was executed in June 2019 and provided for the onboarding and initial sale of our Presto Touch solution. The agreement also provides the terms under which the customer may elect to purchase additional devices, as well as a revenue sharing arrangement for the provision of premium content to the customer’s guests. The purchase and services agreement had an initial term of three years and has been extended to June 2024.</w:t>
      </w:r>
    </w:p>
    <w:p>
      <w:pPr>
        <w:spacing w:after="0" w:line="191"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The agreement with our second largest customer was executed in 2017. The agreement provided for the onboarding and initial sale of Presto Touch, along with a revenue sharing arrangement for the provision of premium content to the customer’s guests. The agreement had an initial term of 36 months and has been renewed through March 1, 2024. The agreement can be terminated by the customer with 30 days prior written notice at any time if there is not a statement of work (SOW) outstanding. If there is no SOW outstanding for 12 months, the services agreement automatically terminates.</w:t>
      </w:r>
    </w:p>
    <w:p>
      <w:pPr>
        <w:spacing w:after="0" w:line="117" w:lineRule="exact"/>
        <w:rPr>
          <w:sz w:val="20"/>
          <w:szCs w:val="20"/>
          <w:color w:val="auto"/>
        </w:rPr>
      </w:pPr>
    </w:p>
    <w:p>
      <w:pPr>
        <w:jc w:val="both"/>
        <w:ind w:firstLine="530"/>
        <w:spacing w:after="0" w:line="263" w:lineRule="auto"/>
        <w:rPr>
          <w:sz w:val="20"/>
          <w:szCs w:val="20"/>
          <w:color w:val="auto"/>
        </w:rPr>
      </w:pPr>
      <w:r>
        <w:rPr>
          <w:rFonts w:ascii="Times New Roman" w:cs="Times New Roman" w:eastAsia="Times New Roman" w:hAnsi="Times New Roman"/>
          <w:sz w:val="19"/>
          <w:szCs w:val="19"/>
          <w:color w:val="auto"/>
        </w:rPr>
        <w:t>The service provider agreement with our third largest customer was executed in 2017 by the customer renewing a previous agreement with Presto made in 2013 for Presto Touch. The service provider agreement governs the ongoing relationship between us and the customer, as well as the franchisee agreements executed between us and each of the customer’s franchisees. In addition to governing the terms of further purchases of Presto Touch and a revenue sharing arrangement for the provision of premium content to the franchisees’ guests, the franchisee agreements require that the franchisees replace certain existing Presto Touch products with upgraded versions by way of purchasing the new equipment or leasing it. The term of the service provider agreement extends until each</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715" w:right="720" w:bottom="175" w:gutter="0" w:footer="0" w:header="0"/>
        </w:sectPr>
      </w:pPr>
    </w:p>
    <w:bookmarkStart w:id="10" w:name="page11"/>
    <w:bookmarkEnd w:id="10"/>
    <w:p>
      <w:pPr>
        <w:jc w:val="both"/>
        <w:spacing w:after="0" w:line="278" w:lineRule="auto"/>
        <w:rPr>
          <w:sz w:val="20"/>
          <w:szCs w:val="20"/>
          <w:color w:val="auto"/>
        </w:rPr>
      </w:pPr>
      <w:r>
        <w:rPr>
          <w:rFonts w:ascii="Times New Roman" w:cs="Times New Roman" w:eastAsia="Times New Roman" w:hAnsi="Times New Roman"/>
          <w:sz w:val="20"/>
          <w:szCs w:val="20"/>
          <w:color w:val="auto"/>
        </w:rPr>
        <w:t>of the franchisee agreements has been terminated. The franchisee agreements are scheduled to terminate in December 2023 unless they are extended.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44"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have developed a robust sales and marketing process designed to navigate our complex and diverse customer base. Our sales and marketing effort is multi-faceted and consists of several phases. To generate demand, we have developed a library of focused marketing materials which, among other things, describe the benefits of Presto’s solutions, as well as a robust referral network, including many of our current customers. Once we identify prospective customers, we work with them to tailor appropriate pricing and packaging options intended to simplify product adoption and provide ease of use.</w:t>
      </w:r>
    </w:p>
    <w:p>
      <w:pPr>
        <w:spacing w:after="0" w:line="197" w:lineRule="exact"/>
        <w:rPr>
          <w:sz w:val="20"/>
          <w:szCs w:val="20"/>
          <w:color w:val="auto"/>
        </w:rPr>
      </w:pPr>
    </w:p>
    <w:p>
      <w:pPr>
        <w:jc w:val="both"/>
        <w:ind w:firstLine="530"/>
        <w:spacing w:after="0" w:line="252" w:lineRule="auto"/>
        <w:rPr>
          <w:sz w:val="20"/>
          <w:szCs w:val="20"/>
          <w:color w:val="auto"/>
        </w:rPr>
      </w:pPr>
      <w:r>
        <w:rPr>
          <w:rFonts w:ascii="Times New Roman" w:cs="Times New Roman" w:eastAsia="Times New Roman" w:hAnsi="Times New Roman"/>
          <w:sz w:val="20"/>
          <w:szCs w:val="20"/>
          <w:color w:val="auto"/>
        </w:rPr>
        <w:t>In general, our sales process starts with the corporate owner of the restaurant brand followed by our marketing efforts to its franchisees, as applicable. In addition, restaurant operators typically seek to test technologies before implementing them chain-wide. As a result, our sales cycle, from initial implementation of pilot programs, as described below, to signing a system-wide master services agreement (MSAs), can range from three to 15 months.</w:t>
      </w:r>
    </w:p>
    <w:p>
      <w:pPr>
        <w:spacing w:after="0" w:line="19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Once we have established that a prospective customer is interested in employing one of our solutions, we encourage them to engage in a pilot program with us in a limited number of their restaurants. These pilots enable the customer to test our solutions and allow us to customize our platforms and familiarize restaurant management with their use and capabilities. Our pilot programs typically range from three to 12 months. During the pilot test, we align with our customers on key KPIs and work to deliver consistent service and a compelling return on investment profile.</w:t>
      </w:r>
    </w:p>
    <w:p>
      <w:pPr>
        <w:spacing w:after="0" w:line="198" w:lineRule="exact"/>
        <w:rPr>
          <w:sz w:val="20"/>
          <w:szCs w:val="20"/>
          <w:color w:val="auto"/>
        </w:rPr>
      </w:pPr>
    </w:p>
    <w:p>
      <w:pPr>
        <w:jc w:val="both"/>
        <w:ind w:firstLine="530"/>
        <w:spacing w:after="0" w:line="249" w:lineRule="auto"/>
        <w:rPr>
          <w:sz w:val="20"/>
          <w:szCs w:val="20"/>
          <w:color w:val="auto"/>
        </w:rPr>
      </w:pPr>
      <w:r>
        <w:rPr>
          <w:rFonts w:ascii="Times New Roman" w:cs="Times New Roman" w:eastAsia="Times New Roman" w:hAnsi="Times New Roman"/>
          <w:sz w:val="20"/>
          <w:szCs w:val="20"/>
          <w:color w:val="auto"/>
        </w:rPr>
        <w:t>Following the pilot period, we enter into MSAs with our customers of typically 12 to-36 months in duration. We execute these MSAs first with the corporate owner of the restaurant brand. This provides us with the opportunity to sell our solutions directly to their franchisees. We engage with key customer stakeholders and leverage our sales team to drive franchisee adoption, while at the same time rolling out the solution to the brand’s corporate-owned stores. Each of the corporate owner and their franchisees make independent adoption decisions. The signing of a corporate MSA does not ensure that the brand’s franchisees will adopt our solution.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Success</w:t>
      </w:r>
    </w:p>
    <w:p>
      <w:pPr>
        <w:spacing w:after="0" w:line="24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We have developed and nurtured long-term relationships with our largest customers and maintain an ongoing relationship with them that includes technical support and conducting quarterly business reviews in order to build a pathway to successful usage of our solutions, future renewals and product upgrades. Presto deploys a team that trains our customers on our technology so that they can maximize its benefits.</w:t>
      </w:r>
    </w:p>
    <w:p>
      <w:pPr>
        <w:spacing w:after="0" w:line="19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Our technical team supports our customers through the onboarding process, including by providing employee training, device installation, procedures for troubleshooting and maintenance and advising on industry best practices, among other things. We are committed to providing a differentiated experience for restaurant operators. We offer customers the option of choosing between on-site, remote and self-guided implementation. Following onboarding, we offer our customers support through multiple channels, including chat, phone, web and in-person visits as needed.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Presto Voice</w:t>
      </w:r>
    </w:p>
    <w:p>
      <w:pPr>
        <w:spacing w:after="0" w:line="238" w:lineRule="exact"/>
        <w:rPr>
          <w:sz w:val="20"/>
          <w:szCs w:val="20"/>
          <w:color w:val="auto"/>
        </w:rPr>
      </w:pPr>
    </w:p>
    <w:p>
      <w:pPr>
        <w:jc w:val="both"/>
        <w:ind w:firstLine="450"/>
        <w:spacing w:after="0" w:line="278" w:lineRule="auto"/>
        <w:rPr>
          <w:sz w:val="20"/>
          <w:szCs w:val="20"/>
          <w:color w:val="auto"/>
        </w:rPr>
      </w:pPr>
      <w:r>
        <w:rPr>
          <w:rFonts w:ascii="Times New Roman" w:cs="Times New Roman" w:eastAsia="Times New Roman" w:hAnsi="Times New Roman"/>
          <w:sz w:val="20"/>
          <w:szCs w:val="20"/>
          <w:color w:val="auto"/>
        </w:rPr>
        <w:t>The hardware and components used in Presto Voice are off-the-shelf or widely available and are augmented by our proprietary technology.</w:t>
      </w:r>
    </w:p>
    <w:p>
      <w:pPr>
        <w:spacing w:after="0" w:line="167" w:lineRule="exact"/>
        <w:rPr>
          <w:sz w:val="20"/>
          <w:szCs w:val="20"/>
          <w:color w:val="auto"/>
        </w:rPr>
      </w:pPr>
    </w:p>
    <w:p>
      <w:pPr>
        <w:ind w:right="200" w:firstLine="450"/>
        <w:spacing w:after="0" w:line="247" w:lineRule="auto"/>
        <w:rPr>
          <w:sz w:val="20"/>
          <w:szCs w:val="20"/>
          <w:color w:val="auto"/>
        </w:rPr>
      </w:pPr>
      <w:r>
        <w:rPr>
          <w:rFonts w:ascii="Times New Roman" w:cs="Times New Roman" w:eastAsia="Times New Roman" w:hAnsi="Times New Roman"/>
          <w:sz w:val="20"/>
          <w:szCs w:val="20"/>
          <w:color w:val="auto"/>
        </w:rPr>
        <w:t>In July 2021, we entered into an agreement with Hi Auto, pursuant to which we use Hi Auto’s technology in our Voice AI solution. We refer externally to this solution as “Presto Voice powered by Hi Auto”. As of June 30, 2023, Checkers was the only customer deployed under this agreement. All subsequent deployments of Presto Voice have been powered by Presto’s proprietary Voice technology. Our agreement with Hi Auto terminates on July 28, 2024. Any customer or franchisee agreements that extend beyond the termination of our agreement with Hi Auto will remain in force through the term of the agreement with such customer or franchisee.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700" w:right="720" w:bottom="175"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i w:val="1"/>
          <w:iCs w:val="1"/>
          <w:color w:val="auto"/>
        </w:rPr>
        <w:t>Presto Touch</w:t>
      </w:r>
    </w:p>
    <w:p>
      <w:pPr>
        <w:spacing w:after="0" w:line="237"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We are in the process of seeking renewals from our largest customers that would include a shift to our next generation version of Presto Touch. The tablets for this version of Presto Touch are sourced pursuant to a Master Services Agreement pursuant to which the supplier develops and manufactures the tablets used in our Presto Touch product and provides technical and repair services for us. The Master Services Agreement had an initial term of three years with automatic one-year renewal periods and, since the expiration of the original term in September 2022, has been automatically renewed for successive one-year periods. Any party may terminate the agreement upon 180 days’ notice or upon a material breach of the agreement if such breach is not cured within 60 days.</w:t>
      </w:r>
    </w:p>
    <w:p>
      <w:pPr>
        <w:spacing w:after="0" w:line="200"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In the event of a shortage or supply interruption from our suppliers, or if our inventory estimates are incorrect, we may not be able to develop alternative sources for these tablets quickly, cost-effectively,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43"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Our new product development and research activities rely on our assessment and knowledge of the challenges faced by restaurant operators today and ones they may face in the future as determined through market and user research, feedback from our existing and potential customers and our deep understanding of the restaurant industry. Our R&amp;D efforts are multi-disciplinary, integrating our product management, engineering, analytics, data science, design and customer success teams.</w:t>
      </w:r>
    </w:p>
    <w:p>
      <w:pPr>
        <w:spacing w:after="0" w:line="194"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Our R&amp;D team currently focuses on the development of Presto Voice. Our Presto Voice R&amp;D team operates in the following core disciplines: speech recognition, NLU, acoustic signal enhancement and restaurant systems integrations, including audio, POS and menu management. The Presto Voice R&amp;D team is focused on enhancing the metrics of the Presto Voice solution to lower unit costs, decrease human intervention and deliver better outcomes for customers, including increasing order accuracy. Our Touch R&amp;D team focuses on enhancements to the user interface, payment integrations, loyalty integrations, hardware improvements to the next generation device and ordering enhancements.</w:t>
      </w:r>
    </w:p>
    <w:p>
      <w:pPr>
        <w:spacing w:after="0" w:line="200"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We develop our products in three primary research and development locations: San Carlos, California, Flower Mound, Texas and Toronto, Ontario, Canada.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markets in which we compete are competitive and rapidly evolving. Our platform solutions combine functionality from various product categories, and, as such, we compete with different providers. With respect to our Presto Touch solution, we primarily compete with OneDine LLC and TableTop Media, LLC d/b/a Ziosk. With respect to Presto Voice, we primarily compete with ConverseNow Technologies Inc., Alphabet Inc. (Google), Hi Auto, International Business Machines Corporation (IBM), OpenCity, Inc., Synq3 Restaurant Solutions, LLC, SoundHound AI, Inc. and Valyant AI, Inc.</w:t>
      </w:r>
    </w:p>
    <w:p>
      <w:pPr>
        <w:spacing w:after="0" w:line="197"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We believe the principal competitive factors in our market are the ability to provide an end-to-end software solution specifically designed to meet the existing and future technology needs of our customers, including:</w:t>
      </w:r>
    </w:p>
    <w:p>
      <w:pPr>
        <w:spacing w:after="0" w:line="182" w:lineRule="exact"/>
        <w:rPr>
          <w:sz w:val="20"/>
          <w:szCs w:val="20"/>
          <w:color w:val="auto"/>
        </w:rPr>
      </w:pPr>
    </w:p>
    <w:p>
      <w:pPr>
        <w:ind w:left="1260" w:hanging="370"/>
        <w:spacing w:after="0"/>
        <w:tabs>
          <w:tab w:leader="none" w:pos="12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seamless partner technology integration;</w:t>
      </w:r>
    </w:p>
    <w:p>
      <w:pPr>
        <w:spacing w:after="0" w:line="252" w:lineRule="exact"/>
        <w:rPr>
          <w:rFonts w:ascii="Arial" w:cs="Arial" w:eastAsia="Arial" w:hAnsi="Arial"/>
          <w:sz w:val="20"/>
          <w:szCs w:val="20"/>
          <w:color w:val="auto"/>
        </w:rPr>
      </w:pPr>
    </w:p>
    <w:p>
      <w:pPr>
        <w:ind w:left="1260" w:hanging="370"/>
        <w:spacing w:after="0" w:line="277" w:lineRule="auto"/>
        <w:tabs>
          <w:tab w:leader="none" w:pos="12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product performance, including reliability, scalability and flexibility; order accuracy, improved delivery times and the ability to increase customer revenues;</w:t>
      </w:r>
    </w:p>
    <w:p>
      <w:pPr>
        <w:spacing w:after="0" w:line="182" w:lineRule="exact"/>
        <w:rPr>
          <w:rFonts w:ascii="Arial" w:cs="Arial" w:eastAsia="Arial" w:hAnsi="Arial"/>
          <w:sz w:val="20"/>
          <w:szCs w:val="20"/>
          <w:color w:val="auto"/>
        </w:rPr>
      </w:pPr>
    </w:p>
    <w:p>
      <w:pPr>
        <w:ind w:left="1300" w:hanging="410"/>
        <w:spacing w:after="0"/>
        <w:tabs>
          <w:tab w:leader="none" w:pos="13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improving efficiency of operations and use of restaurant staff;</w:t>
      </w:r>
    </w:p>
    <w:p>
      <w:pPr>
        <w:spacing w:after="0" w:line="253" w:lineRule="exact"/>
        <w:rPr>
          <w:rFonts w:ascii="Arial" w:cs="Arial" w:eastAsia="Arial" w:hAnsi="Arial"/>
          <w:sz w:val="20"/>
          <w:szCs w:val="20"/>
          <w:color w:val="auto"/>
        </w:rPr>
      </w:pPr>
    </w:p>
    <w:p>
      <w:pPr>
        <w:ind w:left="1260" w:hanging="370"/>
        <w:spacing w:after="0"/>
        <w:tabs>
          <w:tab w:leader="none" w:pos="12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ease, reliability and speed of on-boarding, roll-out and use; and</w:t>
      </w:r>
    </w:p>
    <w:p>
      <w:pPr>
        <w:spacing w:after="0" w:line="252" w:lineRule="exact"/>
        <w:rPr>
          <w:rFonts w:ascii="Arial" w:cs="Arial" w:eastAsia="Arial" w:hAnsi="Arial"/>
          <w:sz w:val="20"/>
          <w:szCs w:val="20"/>
          <w:color w:val="auto"/>
        </w:rPr>
      </w:pPr>
    </w:p>
    <w:p>
      <w:pPr>
        <w:ind w:left="1260" w:hanging="370"/>
        <w:spacing w:after="0" w:line="277" w:lineRule="auto"/>
        <w:tabs>
          <w:tab w:leader="none" w:pos="126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fostering strong customer relationships, customer satisfaction, supplier reputation and brand recognition; including the ability to provide on-going customer, technology and platform support.</w:t>
      </w:r>
    </w:p>
    <w:p>
      <w:pPr>
        <w:spacing w:after="0" w:line="169"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20"/>
          <w:szCs w:val="20"/>
          <w:color w:val="auto"/>
        </w:rPr>
        <w:t>We expect new competition to emerge as the market continues to grow and evolve, especially from smaller emerging companies that could introduce new products.</w:t>
      </w:r>
    </w:p>
    <w:p>
      <w:pPr>
        <w:spacing w:after="0" w:line="167"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20"/>
          <w:szCs w:val="20"/>
          <w:color w:val="auto"/>
        </w:rPr>
        <w:t>For information on risks relating to increased competition in our industry, see the section titled “</w:t>
      </w:r>
      <w:r>
        <w:rPr>
          <w:rFonts w:ascii="Times New Roman" w:cs="Times New Roman" w:eastAsia="Times New Roman" w:hAnsi="Times New Roman"/>
          <w:sz w:val="20"/>
          <w:szCs w:val="20"/>
          <w:i w:val="1"/>
          <w:iCs w:val="1"/>
          <w:color w:val="auto"/>
        </w:rPr>
        <w:t>Risk Factors — Risks Related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Presto’s Competition, Sales and Marketing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702" w:right="720" w:bottom="1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3"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20"/>
          <w:szCs w:val="20"/>
          <w:color w:val="auto"/>
        </w:rPr>
        <w:t>As of June 30, 2023, we had 137 full-time employees who are located in the United States, India and Canada and 149 contractors, consisting primarily of human agents supporting our HITL approach, who are primarily located in the Asia-Pacific region. Approximately two-third of our employees are in our research and development team.</w:t>
      </w:r>
    </w:p>
    <w:p>
      <w:pPr>
        <w:spacing w:after="0" w:line="185"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None of our employees are represented by a labor union. We have not experienced any employment-related work stoppages, and we consider relations with our employees to be good.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64"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As of June 30, 2023, we had 11 registered domain names for websites that we use in our business, such as presto.com and other variations, three trademarks, and no registered patents or copyrights.</w:t>
      </w:r>
    </w:p>
    <w:p>
      <w:pPr>
        <w:spacing w:after="0" w:line="167"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20"/>
          <w:szCs w:val="20"/>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spacing w:after="0" w:line="18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require our employees, consultants, independent contractors and other third parties to enter into confidentiality and proprietary information and invention assignment agreements that assign to us any inventions, trade secrets, works of authorship, developments, processes, and other intellectual property generated by them on our behalf. In addition, we control and monitor access to our software, documentation, proprietary technology, and other confidential information. Further, we generally enter into confidentiality agreements with our customers and third-party partners.</w:t>
      </w:r>
    </w:p>
    <w:p>
      <w:pPr>
        <w:spacing w:after="0" w:line="197"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including “</w:t>
      </w:r>
      <w:r>
        <w:rPr>
          <w:rFonts w:ascii="Times New Roman" w:cs="Times New Roman" w:eastAsia="Times New Roman" w:hAnsi="Times New Roman"/>
          <w:sz w:val="20"/>
          <w:szCs w:val="20"/>
          <w:i w:val="1"/>
          <w:iCs w:val="1"/>
          <w:color w:val="auto"/>
        </w:rPr>
        <w:t>Risk Factors — Risks Related to Presto’s Intellectual Property</w:t>
      </w:r>
      <w:r>
        <w:rPr>
          <w:rFonts w:ascii="Times New Roman" w:cs="Times New Roman" w:eastAsia="Times New Roman" w:hAnsi="Times New Roman"/>
          <w:sz w:val="20"/>
          <w:szCs w:val="20"/>
          <w:color w:val="auto"/>
        </w:rPr>
        <w:t>” for a description of the risks related to our intellectual property.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w:t>
      </w:r>
    </w:p>
    <w:p>
      <w:pPr>
        <w:spacing w:after="0" w:line="16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We maintain the following types of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64"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Certain aspects of our business and service areas are subject to U.S. federal, state, and local regulation. As more fully described below, some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Card Network and NACHA Rules</w:t>
      </w:r>
    </w:p>
    <w:p>
      <w:pPr>
        <w:spacing w:after="0" w:line="160"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203"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696" w:right="720" w:bottom="1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Consumer Information Security</w:t>
      </w:r>
    </w:p>
    <w:p>
      <w:pPr>
        <w:spacing w:after="0" w:line="16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99"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94"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On January 1, 2020, the California Consumer Privacy Act of 2018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4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Annual Report on Form 10-K, including matters addressed in the section entitled “Cautionary Statement Regarding Forward-Looking Statements and Risk Factors.”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Presto’s Business and Business Development</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in a new and developing market makes it difficult to accurately forecast our future results and may make it difficult to evaluate our current business and future financial results.</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You should not place undue reliance on our revenue or key business metrics for any previous quarterly or annual period as indicative of our revenue, revenue growth, key business metrics, or key business metrics growth in future periods. Our revenue has fluctuated and recently declined compared to previous periods. Our revenue fluctuates and may continue to fluctuate as a result of a number of factors, including seasonality, the length of our sales and deployment cycles, our efforts to grow Presto Voice as a greater component of our revenues, the upcoming contractual renewal dates for Presto Touch, limited growth to date in the number of customers and their guests that utilize our platform, increasing competition, changing customer and guest behaviors, our failure to continue to capitalize on growth opportunities and the impact of regulatory requirements.</w:t>
      </w:r>
    </w:p>
    <w:p>
      <w:pPr>
        <w:spacing w:after="0" w:line="20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have a limited operating history with our solutions, particularly Presto Voice. As a result, we have less experience with the related pricing models of the solution, including operator acceptance thereof, which makes it difficult to accurately assess our future prospects and forecast our future financial results.</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You should consider our future prospects in light of the challenges and uncertainties that we face, including:</w:t>
      </w:r>
    </w:p>
    <w:p>
      <w:pPr>
        <w:spacing w:after="0" w:line="255" w:lineRule="exact"/>
        <w:rPr>
          <w:sz w:val="20"/>
          <w:szCs w:val="20"/>
          <w:color w:val="auto"/>
        </w:rPr>
      </w:pPr>
    </w:p>
    <w:p>
      <w:pPr>
        <w:ind w:left="1080" w:hanging="360"/>
        <w:spacing w:after="0"/>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the fact that it may not be possible to fully discern the trends that we are subject to;</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that we operate in a new and developing market with a rapidly changing competitive landscape;</w:t>
      </w:r>
    </w:p>
    <w:p>
      <w:pPr>
        <w:spacing w:after="0" w:line="252" w:lineRule="exact"/>
        <w:rPr>
          <w:rFonts w:ascii="Arial" w:cs="Arial" w:eastAsia="Arial" w:hAnsi="Arial"/>
          <w:sz w:val="20"/>
          <w:szCs w:val="20"/>
          <w:color w:val="auto"/>
        </w:rPr>
      </w:pPr>
    </w:p>
    <w:p>
      <w:pPr>
        <w:ind w:left="1080" w:hanging="360"/>
        <w:spacing w:after="0"/>
        <w:tabs>
          <w:tab w:leader="none" w:pos="10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that we may be unable to accurately predict our revenue and operating expenses for new solutions that we release;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700" w:right="720" w:bottom="175" w:gutter="0" w:footer="0" w:header="0"/>
        </w:sectPr>
      </w:pPr>
    </w:p>
    <w:bookmarkStart w:id="14" w:name="page15"/>
    <w:bookmarkEnd w:id="14"/>
    <w:p>
      <w:pPr>
        <w:ind w:left="1080" w:hanging="360"/>
        <w:spacing w:after="0" w:line="277"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that we may not be able to evolve our solutions to keep up with market demand and/or to provide efficiency and cost effectiveness; and</w:t>
      </w:r>
    </w:p>
    <w:p>
      <w:pPr>
        <w:spacing w:after="0" w:line="182" w:lineRule="exact"/>
        <w:rPr>
          <w:rFonts w:ascii="Arial" w:cs="Arial" w:eastAsia="Arial" w:hAnsi="Arial"/>
          <w:sz w:val="20"/>
          <w:szCs w:val="20"/>
          <w:color w:val="auto"/>
        </w:rPr>
      </w:pPr>
    </w:p>
    <w:p>
      <w:pPr>
        <w:ind w:left="1080" w:hanging="360"/>
        <w:spacing w:after="0"/>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that elements of our business strategy are new and subject to ongoing development.</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platforms are comprised of our Presto Touch and Presto Voice solutions. The market for our Presto Voice solution is relatively new and rapidly evolving. We anticipate that, in the future, Presto Voice will account for a larger portion of our revenues. It is possible customers may be reluctant to embrace technology and/or AI-based voice solutions. In addition, the technology and AI-based markets are rapidly evolving, and we may have limited insights into trends that may emerge. If the market for our Presto Voice solution does not develop, or if we do not keep up with market trends, our ability to grow our business could be limited and we may not be able to operate profitably.</w:t>
      </w:r>
    </w:p>
    <w:p>
      <w:pPr>
        <w:spacing w:after="0" w:line="19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increasing the number of franchisees of our existing restaurant customers that use our solutions and, in particular, Presto Voice, and the timing of the deployments of contracted locations.</w:t>
      </w:r>
    </w:p>
    <w:p>
      <w:pPr>
        <w:spacing w:after="0" w:line="168"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We enter into services agreements with restaurant customers that provide for the initial deployment of our solutions in owned locations and provide us with the opportunity to sell our solutions to franchisee customers within those groups. Most of our customers initially deploy our platforms in a subset of locations, and our restaurant customers’ franchisees, as applicable, have the option, but not the requirement, to deploy our solutions at their restaurant locations. Our ability to increase adoption of our solutions by our customers and to increase penetration of our existing customers’ locations, including those of their franchisees, will depend on a number of factors, including our customers’ satisfaction with our solutions, competition, pricing and our ability to demonstrate the value proposition of our solutions. In addition, our ability to increase the adoption of our solutions may be constrained by the nature of the technology that is currently deployed in the restaurant locations. Furthermore, our ability to rapidly install our solution on-site may be beyond our control as a result of our customer’s internal timing and strategic initiatives that may take precedence over the Presto solution deployment. In addition, the time required to implement on-site deployment may be further complicated by the composition of the drive -thru equipment on site, the version of the POS employed on-site and the receptivity of the restaurant’s staff to our solution. The adoption may also be constrained by the time frame necessary to demonstrate a provable return on investment for our solution.</w:t>
      </w:r>
    </w:p>
    <w:p>
      <w:pPr>
        <w:spacing w:after="0" w:line="19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w:t>
      </w:r>
    </w:p>
    <w:p>
      <w:pPr>
        <w:spacing w:after="0" w:line="18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We have in the past, and we may in the future, lose one or more of our largest customers. Our largest customers have entered into contracts for our Touch products with initial terms that typically range from 12 to 36 months and have previously renewed their agreements. The current terms of these contracts expire and are up for renewal between December 31, 2023 and June 30, 2024. As a result, these customers may reduce or terminate their usage of our solutions, decide not to renew their agreements with us at our required pricing or use fewer of our solutions, which would adversely affect our business and reputation, and materially decrease our revenues.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sales cycles are long and unpredictable, and attracting new customers requires considerable investment of time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expense.</w:t>
      </w:r>
    </w:p>
    <w:p>
      <w:pPr>
        <w:spacing w:after="0" w:line="211"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Our success depends, in part, on our ability to attract additional restaurant operators to use our solutions, in particular, Presto Voice. The sales cycle for the adoption of our solutions typically lasts more than one year. The decision to adopt any of our solutions may require the approval of multiple technical and business decision makers, including senior executives and other personnel responsible for security, compliance, operations, finance and treasury, marketing and IT. Our initial engagement typically consists of a pilot program that ranges from three to 12 months and allows us and the operator to test and customize our solutions and familiarize restaurant management with their use and capabilities. We expend significant resources in generating leads and engaging with potential customers before they may agree to enter into a pilot program. Such customers often deploy our solutions on a limited pilot basis and require extensive education about our solutions including establishing return on investment profiles and significant customer support time, engage in protracted pricing negotiations and seek to secure development resources before they will commit to deploying our solutions at scale. Our ability to attract new customers depends on a number of factors, including the effectiveness of our sales team, our marketing efforts, referrals by existing customers, our pricing structure, the success of the pilot program, if implemented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715" w:right="720" w:bottom="175" w:gutter="0" w:footer="0" w:header="0"/>
        </w:sectPr>
      </w:pPr>
    </w:p>
    <w:bookmarkStart w:id="15" w:name="page16"/>
    <w:bookmarkEnd w:id="15"/>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adversely affected if we are unable to optimize the number of human agents required to operate our Presto Voice solution with our unit cost structure.</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solutions that provide them the tools they need to enhance their business operations.</w:t>
      </w:r>
    </w:p>
    <w:p>
      <w:pPr>
        <w:spacing w:after="0" w:line="185"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Our work to develop our proprietary Presto Voice solution began in 2020 with that technology first deployed to customers in 2022. Given the machine learning associated with all AI technology, including our solution, we use an approach which is commonly employed in the AI industry referred to as human-in-the loop (HITL) to ensure the desired level of accuracy in order taking is achieved. HITL enables an AI platform to keep adjusting its understanding for outputs that do not achieve a defined level of confidence or accuracy. As a result, our systems use a human agent (located offsite of the restaurant) to enter, review, validate and correct orders received by Presto Voice and make sure that restaurant guests receive accurate orders. We are continuing to develop Presto Voice so that we can reduce the role of these human agents in the use of our technology while still maintaining order accuracy and improved delivery times. Our latest innovations in AI technology, aimed at decreasing the degree of HITL, are currently being tested in select Del Taco, Carl’s Jr. and Hardee’s locations. Until a reduction in HITL is achieved and/or greater efficiencies are achieved with our human agents, expanding Presto Voice to a larger number of drive-thru locations would require expanding our human agent population and, as a result, the costs associated with Presto Voice would increase. The recruitment, training, monitoring and performance management of these human agents may become increasingly costly over time and, if not managed or costed appropriately, may result in a quality -of-service degradation or adversely affect profitability. We are currently close to profitable at the restaurant location level based on our current level of HITL and expect to achieve profitability at the restaurant location level in the near future with the advances described above. If we are unable to reduce the degree or cost of HITL or and/or achieve greater efficiencies with our human agents, our ability to achieve profitability of our Presto Voice solution would be adversely affected.</w:t>
      </w:r>
    </w:p>
    <w:p>
      <w:pPr>
        <w:spacing w:after="0" w:line="20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may experience difficulties with software development that could delay or prevent the development, deployment, introduction, or implementation of new solutions and enhancements. Software development involves a significant amount of time, as it can take our developers months to update, code, and test new and upgraded products and solutions and integrate those products and solutions into our platforms. We must also continually update, test, certify, maintain, and enhance our software platforms. We may make significant investments in new solutions or enhancements that may not achieve expected returns. The continual improvement and enhancement of our platforms require significant investment, and we may not have the resources to make such investments.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202"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our senior management team have impacted our organization’s focus and we are dependent on the continued services and performance of our current senior management team.’</w:t>
      </w:r>
    </w:p>
    <w:p>
      <w:pPr>
        <w:spacing w:after="0" w:line="16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Our future performance depends, in part, on the continued services and contributions of our senior management team and other key employees to execute our business plan, to continue to deploy our solutions to existing customers, and to identify and pursue new opportunities and innovations. In 2023, we experienced changes in our senior management team, including changes of our Chief Executive Officer and Chief Financial Officer. These changes, and the related transition of our new senior leadership team have, at times, impacted our organization’s focus on executing our business plans. We do not maintain key person life insurance policies on any of our employees. The loss of the services of one or more members of our senior management team or other key employees for any reason could adversely affect our business, financial condition, and operating results, and require significant amounts of time, training, and resources to find suitable replacements and integrate them within our business.</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recruit, retain, and develop qualified personnel is critical to our success and growth.</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including, in particular, expertise with respect to AI technologies and in identifying low-cost HITL solutions. In addition, we must develop, maintain and, as necessary, implement appropriate succession plans to ensure we have the necessary human resources capable of maintaining continuity in our business.</w:t>
      </w:r>
    </w:p>
    <w:p>
      <w:pPr>
        <w:spacing w:after="0" w:line="20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The market for qualified personnel is competitive, and we may not succeed in recruiting additional personnel at reasonable compensation or may fail to effectively replace current personnel who depart with qualified or effective successors. Our effort to retain and develop personnel may also result in significant additional expenses, which could adversely affect our profitability. In addition, job</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700" w:right="720" w:bottom="175" w:gutter="0" w:footer="0" w:header="0"/>
        </w:sectPr>
      </w:pPr>
    </w:p>
    <w:bookmarkStart w:id="16" w:name="page17"/>
    <w:bookmarkEnd w:id="16"/>
    <w:p>
      <w:pPr>
        <w:jc w:val="both"/>
        <w:spacing w:after="0" w:line="278" w:lineRule="auto"/>
        <w:rPr>
          <w:sz w:val="20"/>
          <w:szCs w:val="20"/>
          <w:color w:val="auto"/>
        </w:rPr>
      </w:pPr>
      <w:r>
        <w:rPr>
          <w:rFonts w:ascii="Times New Roman" w:cs="Times New Roman" w:eastAsia="Times New Roman" w:hAnsi="Times New Roman"/>
          <w:sz w:val="20"/>
          <w:szCs w:val="20"/>
          <w:color w:val="auto"/>
        </w:rPr>
        <w:t>candidates and existing employees often consider the value of the equity awards they receive in connection with their employment. The trading price of our common stock has been volatile, which may make it difficult to attract and retain highly qualified employees.</w:t>
      </w:r>
    </w:p>
    <w:p>
      <w:pPr>
        <w:spacing w:after="0" w:line="16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Defects, errors or vulnerabilities in third party technology that is used in our solutions could harm our reputation and brand and adversely impact our business, financial condition, and results of operations.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Third-party software that we incorporate into our solutions and our backend systems, hardware, or other technology systems, may be subject to defects, errors, or vulnerabilities. In particular, prior to developing our proprietary Voice AI platform, we entered the voice activated drive-thru market through an agreement with Hi Auto whose AI solution powers Presto Voice at Checkers. An outage or malfunction of this solution may adversely impact our customer relationship with Checkers. While Hi Auto is responsible for providing certain on-going services for its AI solution, any defects, errors, vulnerabilities or periods of non-operation could result in negative publicity, a loss of franchisee customers or loss of revenue, the incurrence of additional expense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20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pricing decisions and pricing models may adversely affect our ability to attract new customers and retain existing customers.</w:t>
      </w:r>
    </w:p>
    <w:p>
      <w:pPr>
        <w:spacing w:after="0" w:line="16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have limited experience determining the optimal prices for our newest solutions, including Presto Voice. We have changed our pricing model from time to time and expect to do so in the future. It is possible that our new pricing models, or the pricing for any other solutions we may develop, are not optimal, which may result in our solutions not being profitable or not gaining market share. As competitors introduce new products or solutions that compete with ours, we may be unable to attract new customers at the same price or based on the same pricing models that we have used historically. Pricing decisions and pricing models may also impact the adoption or continued use of our solutions and negatively impact our overall revenue. Moreover, restaurant operators may be sensitive to price increases or to lower prices if offered by competitors. In the future, we may be required to change our pricing models by, among other things, increasing the cost of our solutions to our existing customers, which, if not accepted by our customers, could adversely affect our revenue, profitability, financial position and cash flows.</w:t>
      </w:r>
    </w:p>
    <w:p>
      <w:pPr>
        <w:spacing w:after="0" w:line="20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 consistently high level of customer service or if we fail to manage our reputation, our brand, business and financial results may be harmed.</w:t>
      </w:r>
    </w:p>
    <w:p>
      <w:pPr>
        <w:spacing w:after="0" w:line="16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believe customer service and support is critical to maintaining our customer relationships and to attracting and onboarding new customers and growing our business. As a result, we have invested heavily in the quality and training of our customer success and technical support teams, along with the tools they use to provide these services. The number of our customers, including those participating in pilots, has grown significantly, which puts additional pressure on these teams. If we or our third-party service providers are unable to maintain a consistently high level of customer service, and to help our customers quickly resolve issues and provide effective ongoing support, we could harm our ability to retain existing customers and attract new customers and our reputation with existing or potential customers could suffer. Our ability to attract new customers and to renew agreements with existing customers is highly dependent on our reputation and on positive recommendations from our existing customers.</w:t>
      </w:r>
    </w:p>
    <w:p>
      <w:pPr>
        <w:spacing w:after="0" w:line="20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to elements of our AI solutions could cause us to incur additional expenses and impact our product development program.</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field of AI is evolving rapidly. Some of the components of Presto Voice incorporate off-the-shelf AI technologies and services which may cease to exist or become prohibitively expensive. While there are many alternatives to virtually every component of Presto Voice, commercial or open source, we may have to re-invest and rebuild entire feature sets should a provider outprice their service or go out of business. For example, we currently use OpenAI GPT 3.5 and GPT 4 in some components of Presto Voice. OpenAI is known for discontinuing compatibility with older services to promote new versions. In the future, we may need to rewrite our OpenAI-dependent components to keep our cost of operation under control. If circumstances require that we do this, it may negatively affect the performance of the service, negatively impact the accuracy of our solution, and reduce our gross margins.</w:t>
      </w:r>
    </w:p>
    <w:p>
      <w:pPr>
        <w:spacing w:after="0" w:line="20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legal proceedings and government investigations which are costly and time-consuming to defend and may adversely affect our business, financial position, and results of operations.</w:t>
      </w:r>
    </w:p>
    <w:p>
      <w:pPr>
        <w:spacing w:after="0" w:line="16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We are subject to legal proceedings and claims and may become subject to additional claims, whether in the ordinary course of business or otherwise, such as claims brought by our customers, our partners, or third parties in connection with commercial disputes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700" w:right="720" w:bottom="175" w:gutter="0" w:footer="0" w:header="0"/>
        </w:sectPr>
      </w:pPr>
    </w:p>
    <w:bookmarkStart w:id="17" w:name="page18"/>
    <w:bookmarkEnd w:id="17"/>
    <w:p>
      <w:pPr>
        <w:jc w:val="both"/>
        <w:spacing w:after="0" w:line="245" w:lineRule="auto"/>
        <w:rPr>
          <w:sz w:val="20"/>
          <w:szCs w:val="20"/>
          <w:color w:val="auto"/>
        </w:rPr>
      </w:pPr>
      <w:r>
        <w:rPr>
          <w:rFonts w:ascii="Times New Roman" w:cs="Times New Roman" w:eastAsia="Times New Roman" w:hAnsi="Times New Roman"/>
          <w:sz w:val="20"/>
          <w:szCs w:val="20"/>
          <w:color w:val="auto"/>
        </w:rPr>
        <w:t>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We are currently subject to investigations by the Securities and Exchange Commission and the Department of Justice which have resulted in significant costs and are not subject to insurance. See Note 8 to our financial statements for a discussion of the legal proceedings and investigation to which we are currently subject.</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Presto’s Technology and Privacy</w:t>
      </w:r>
    </w:p>
    <w:p>
      <w:pPr>
        <w:spacing w:after="0" w:line="24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8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transmit and store personal information and other confidential information of our partners, our customers, and consumers, including payment information. Third-party applications integrated within our solutions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solutions, and, therefore, we do not control the substance of the content on our servers, which may include personal information. Additionally, we use third-party service providers and sub-processors to help us deliver services to customers and restaurant guests.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restaurant guests.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204"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integrate with certain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and EMVco standards for the payment solutions.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206"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solutions. In addition, if our security measures fail to protect credit card information adequately, we could be liable to our partners, our customers and restaurant guests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700" w:right="720" w:bottom="175" w:gutter="0" w:footer="0" w:header="0"/>
        </w:sectPr>
      </w:pPr>
    </w:p>
    <w:bookmarkStart w:id="18" w:name="page19"/>
    <w:bookmarkEnd w:id="18"/>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88"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regulatory framework for privacy and security issues in the United States is rapidly evolving. Laws in all 50 states require us to provide notice to our restaurant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20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solutions and growth of our company.</w:t>
      </w:r>
    </w:p>
    <w:p>
      <w:pPr>
        <w:spacing w:after="0" w:line="20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Security breaches, denial of service attacks, or other hacking and phishing attacks on our systems or the systems with which our solutions integrate could harm our reputation or subject us to significant liability, and adversely affect our business and financial results.</w:t>
      </w:r>
    </w:p>
    <w:p>
      <w:pPr>
        <w:spacing w:after="0" w:line="186"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operate in an industry which is prone to cyber-attacks. We have an established in-house security team which is responsible for reviewing and overseeing our cybersecurity program and bringing any cybersecurity risks to the attention of our management and the board of directors. Failure to prevent or mitigate security breaches and improper access to or disclosure of our data, our customers’ data, or their guests’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solutions also integrate with third-party applications and POS and management systems over which we exercise no control and security breaches of such third-party platforms could directly or indirectly result in a breach of our platform.</w:t>
      </w:r>
    </w:p>
    <w:p>
      <w:pPr>
        <w:spacing w:after="0" w:line="202"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A security vulnerability in our platform or POS integration software could compromise our customers’ in-store networks, which could expose customer or guest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solutions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205"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Any actual or perceived DDoS attack or security breach of our solutions,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700" w:right="720" w:bottom="175" w:gutter="0" w:footer="0" w:header="0"/>
        </w:sectPr>
      </w:pPr>
    </w:p>
    <w:bookmarkStart w:id="19" w:name="page20"/>
    <w:bookmarkEnd w:id="19"/>
    <w:p>
      <w:pPr>
        <w:jc w:val="both"/>
        <w:spacing w:after="0" w:line="278" w:lineRule="auto"/>
        <w:rPr>
          <w:sz w:val="20"/>
          <w:szCs w:val="20"/>
          <w:color w:val="auto"/>
        </w:rPr>
      </w:pPr>
      <w:r>
        <w:rPr>
          <w:rFonts w:ascii="Times New Roman" w:cs="Times New Roman" w:eastAsia="Times New Roman" w:hAnsi="Times New Roman"/>
          <w:sz w:val="20"/>
          <w:szCs w:val="20"/>
          <w:color w:val="auto"/>
        </w:rPr>
        <w:t>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6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dependent upon customers continued and unimpeded access to the internet, and upon their willingness to use the internet for commerce.</w:t>
      </w:r>
    </w:p>
    <w:p>
      <w:pPr>
        <w:spacing w:after="0" w:line="167"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solutions.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Condition and Capital Requirements</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current liquidity resources raise substantial doubt about our ability to continue as a going concern and to comply with our debt covenants unless we raise additional capital to meet its obligations in the near term.</w:t>
      </w:r>
    </w:p>
    <w:p>
      <w:pPr>
        <w:spacing w:after="0" w:line="167"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As of June 30, 2023, we had an accumulated deficit of $235.3 million. We expect our losses to continue for the foreseeable future as we invest in enhancing our AI capabilities and continue to market and deploy our solutions with customers. Our cash and cash equivalents are not sufficient to fund operating expenses, currently anticipated expenditures and other obligations as they come due, and we require additional capital infusions to fund our ongoing operations. As a result, substantial doubt exists about our ability to continue as a going concern within one year after the issuance date of our financial statements for the year ended June 30, 2023. In addition, based on our current business plan and forecasts, without the injection of further capital, we anticipate being unable to comply with the minimum cash covenant contained in our credit facility in approximately mid-December 2023. Unless that default is waived or cured, our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9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efforts to generate revenues and/or reduce our expenditures may not be sufficient and may make it difficult for us to implement our business strategy.</w:t>
      </w:r>
    </w:p>
    <w:p>
      <w:pPr>
        <w:spacing w:after="0" w:line="168"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have taken and will continue to implement initiatives to operate our business more efficiently including streamlining operations and reducing costs on a go-forward basis. We are also seeking to drive revenue growth by continuing the successful deployment of our solutions and scaling of our business. These measures may not be sufficient to address our liquidity challenges and may adversely impact aspects of our business strategy. In particular,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The implementation of such a plan would significantly impact our business, reputation and revenues, and those impacts could have adverse consequences.</w:t>
      </w:r>
    </w:p>
    <w:p>
      <w:pPr>
        <w:spacing w:after="0" w:line="23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faced challenges complying with the covenants contained in our credit facility and, unless we can raise additional capital, may need additional waivers which may not be forthcoming.</w:t>
      </w:r>
    </w:p>
    <w:p>
      <w:pPr>
        <w:spacing w:after="0" w:line="16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We are party to a credit agreement (as amended by the First Amendment, Second Amendment and Third Amendment thereto (each as defined below), and as it may be further amended, restated, supplemented or otherwise modified from time to time, the “Credit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700" w:right="720" w:bottom="175" w:gutter="0" w:footer="0" w:header="0"/>
        </w:sectPr>
      </w:pPr>
    </w:p>
    <w:bookmarkStart w:id="20" w:name="page21"/>
    <w:bookmarkEnd w:id="20"/>
    <w:p>
      <w:pPr>
        <w:jc w:val="both"/>
        <w:spacing w:after="0" w:line="247" w:lineRule="auto"/>
        <w:rPr>
          <w:sz w:val="20"/>
          <w:szCs w:val="20"/>
          <w:color w:val="auto"/>
        </w:rPr>
      </w:pPr>
      <w:r>
        <w:rPr>
          <w:rFonts w:ascii="Times New Roman" w:cs="Times New Roman" w:eastAsia="Times New Roman" w:hAnsi="Times New Roman"/>
          <w:sz w:val="20"/>
          <w:szCs w:val="20"/>
          <w:color w:val="auto"/>
        </w:rPr>
        <w:t>Agreement”) with Metropolitan Partners Group Administration, LLC (“Metropolitan”), the administrative, payment and collateral agent for Metropolitan Levered Partners Fund VII, LP, Metropolitan Partners Fund VII, LP, Metropolitan Offshore Partners Fund VII, LP and CEOF Holdings LP (collectively, the “Lenders”), pursuant to which such lenders extended us initial term loans, which we borrowed in full at the consummation of the Business Combination, having an aggregate original principal amount of $ 55 million (the “Initial Term Loans”), and which the Lenders agreed to extend by $3.0 million (the “Third Amendment Term Loans” and together with the Initial Term Loans, the “Term Loans”) pursuant to the terms, and subject to the conditions of the Third Amendment.</w:t>
      </w:r>
    </w:p>
    <w:p>
      <w:pPr>
        <w:spacing w:after="0" w:line="200"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have entered into a series of three amendments to the Credit Agreement to modify the covenants and to waive defaults. The effectiveness of the third and most recent amendment, entered into on October 10, 2023, is conditioned upon (1) evidence of a gross amount of additional equity investments of $3.0 million for which we have received a commitment from an affiliate of our existing shareholder, Cleveland Avenue, and which is expected to close on or around October 16, 2023, and (2) by no later than October 16, 2023, evidence that we has engaged the services of an investment bank reasonably acceptable to Metropolitan on terms reasonably acceptable to Metropolitan in connection with upcoming capital raises. Our existing defaults under the Credit Agreement will only be waived if those conditions, and other customary conditions, are met. However, as described above, we will still need to raise additional capital in the near term to continue to be in compliance with the covenants and such capital may not be available on reasonable terms or at all. The terms of any new or additional financing may be on terms that are more restrictive or less desirable to us. The terms of our outstanding debt restrict our current and future operations and could adversely affect our ability to finance our future operations or capital needs. In addition, complying with these covenants may make it more difficult for us to successfully execute our business strategy, invest in our growth strategy, and compete against companies who are not subject to such restrictions.</w:t>
      </w:r>
    </w:p>
    <w:p>
      <w:pPr>
        <w:spacing w:after="0" w:line="20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A failure by us to comply with these covenants or the payment requirements specified in our financial instruments could result in an event of default under the Credit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spacing w:after="0" w:line="191"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46"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will require us to engage in equity or debt financings to secure additional funds. Additional financing may not be available on terms favorable to us or at all. Rising inflation and interest rates caused disruption in the global financial markets, making it more challenging for younger companies in general and us in particular to raise capital. If adequate funds are not available on acceptable terms, we may be unable to continue to operate. If we incur additional debt, the debt holders would have rights senior to holders of common stock to make claims on our assets. If we issue additional equity securities, stockholders will experience dilution, and the new equity securities could have rights senior to those of our existing common stock. Our decision to issue securities in the future will depend on many considerations, including factors beyond our control such as market conditions, and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92"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conditions in the restaurant industry or the global economy could limit our ability to grow our business and materially impact our financial performance.</w:t>
      </w:r>
    </w:p>
    <w:p>
      <w:pPr>
        <w:spacing w:after="0" w:line="168"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operating results may vary based on the impact of changes in the restaurant industry or the global economy on us or our customers. Our revenue growth and potential profitability depend on demand for business management software and solutions serving the restaurant industry. Historically, during economic downturns, there have been reductions in technology investments as well as pressure for extended billing terms and other financial concessions. If economic conditions deteriorate, our current and prospective customers may elect to decrease their technology budgets, which would limit our ability to grow our business and adversely affect our operating results.</w:t>
      </w:r>
    </w:p>
    <w:p>
      <w:pPr>
        <w:spacing w:after="0" w:line="20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00" w:right="720" w:bottom="175" w:gutter="0" w:footer="0" w:header="0"/>
        </w:sectPr>
      </w:pPr>
    </w:p>
    <w:bookmarkStart w:id="21" w:name="page22"/>
    <w:bookmarkEnd w:id="21"/>
    <w:p>
      <w:pPr>
        <w:jc w:val="both"/>
        <w:spacing w:after="0" w:line="247" w:lineRule="auto"/>
        <w:rPr>
          <w:sz w:val="20"/>
          <w:szCs w:val="20"/>
          <w:color w:val="auto"/>
        </w:rPr>
      </w:pPr>
      <w:r>
        <w:rPr>
          <w:rFonts w:ascii="Times New Roman" w:cs="Times New Roman" w:eastAsia="Times New Roman" w:hAnsi="Times New Roman"/>
          <w:sz w:val="20"/>
          <w:szCs w:val="20"/>
          <w:color w:val="auto"/>
        </w:rPr>
        <w:t>These factors could include declining economies and the pace of economic recovery which can change consumer spending behaviors, low levels of consumer and business confidence typically associated with recessionary environments, high unemployment levels, which may result in decreased spending by consumers, budgetary concerns in the United States and other countries around the world, which could impact consumer confidence and spending, uncertainty and volatility in the performance of our customers’ businesses, customers or consumers decreasing spending for value-added services we market and sell, government actions, including the effect of laws and regulations and any related government stimulus and disruptions impacting global supply.</w:t>
      </w:r>
    </w:p>
    <w:p>
      <w:pPr>
        <w:spacing w:after="0" w:line="20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may fluctuate from quarter to quarter and if we fail to meet the expectations of securities analysts or investors with respect to our results of operations, our stock price and the value of your investment could decline.</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Our results of operations have fluctuated in the past and are expected to fluctuate in the future due to a variety of factors, many of which are outside of our control. As a result, we may fail to meet the expectations of securities analysts or investors with respect to our results of operations, our stock price and the value of your investment could decline.</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to the other risks described herein, factors that may affect our results of operations include:</w:t>
      </w:r>
    </w:p>
    <w:p>
      <w:pPr>
        <w:spacing w:after="0" w:line="255" w:lineRule="exact"/>
        <w:rPr>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demand for or pricing of our solutions;</w:t>
      </w:r>
    </w:p>
    <w:p>
      <w:pPr>
        <w:spacing w:after="0" w:line="252"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to expand the locations in which our solutions are used;</w:t>
      </w:r>
    </w:p>
    <w:p>
      <w:pPr>
        <w:spacing w:after="0" w:line="253"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attract new customers;</w:t>
      </w:r>
    </w:p>
    <w:p>
      <w:pPr>
        <w:spacing w:after="0" w:line="253"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customer purchases and deployments;</w:t>
      </w:r>
    </w:p>
    <w:p>
      <w:pPr>
        <w:spacing w:after="0" w:line="252"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customer renewals of our agreements;</w:t>
      </w:r>
    </w:p>
    <w:p>
      <w:pPr>
        <w:spacing w:after="0" w:line="252" w:lineRule="exact"/>
        <w:rPr>
          <w:rFonts w:ascii="Arial" w:cs="Arial" w:eastAsia="Arial" w:hAnsi="Arial"/>
          <w:sz w:val="20"/>
          <w:szCs w:val="20"/>
          <w:color w:val="auto"/>
        </w:rPr>
      </w:pPr>
    </w:p>
    <w:p>
      <w:pPr>
        <w:ind w:left="1440" w:hanging="360"/>
        <w:spacing w:after="0" w:line="277" w:lineRule="auto"/>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control costs, including our operating expenses and the amount and timing of payment for operating expenses;</w:t>
      </w:r>
    </w:p>
    <w:p>
      <w:pPr>
        <w:spacing w:after="0" w:line="183" w:lineRule="exact"/>
        <w:rPr>
          <w:rFonts w:ascii="Arial" w:cs="Arial" w:eastAsia="Arial" w:hAnsi="Arial"/>
          <w:sz w:val="20"/>
          <w:szCs w:val="20"/>
          <w:color w:val="auto"/>
        </w:rPr>
      </w:pPr>
    </w:p>
    <w:p>
      <w:pPr>
        <w:ind w:left="1440" w:hanging="360"/>
        <w:spacing w:after="0" w:line="277" w:lineRule="auto"/>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amount and timing of costs associated with recruiting, training and integrating new employees and retaining and motivating existing employees;</w:t>
      </w:r>
    </w:p>
    <w:p>
      <w:pPr>
        <w:spacing w:after="0" w:line="182"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low levels of consumer and business confidence typically associated with inflationary or recessionary environments;</w:t>
      </w:r>
    </w:p>
    <w:p>
      <w:pPr>
        <w:spacing w:after="0" w:line="253" w:lineRule="exact"/>
        <w:rPr>
          <w:rFonts w:ascii="Arial" w:cs="Arial" w:eastAsia="Arial" w:hAnsi="Arial"/>
          <w:sz w:val="20"/>
          <w:szCs w:val="20"/>
          <w:color w:val="auto"/>
        </w:rPr>
      </w:pPr>
    </w:p>
    <w:p>
      <w:pPr>
        <w:ind w:left="1440" w:hanging="360"/>
        <w:spacing w:after="0"/>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new accounting pronouncements;</w:t>
      </w:r>
    </w:p>
    <w:p>
      <w:pPr>
        <w:spacing w:after="0" w:line="252" w:lineRule="exact"/>
        <w:rPr>
          <w:rFonts w:ascii="Arial" w:cs="Arial" w:eastAsia="Arial" w:hAnsi="Arial"/>
          <w:sz w:val="20"/>
          <w:szCs w:val="20"/>
          <w:color w:val="auto"/>
        </w:rPr>
      </w:pPr>
    </w:p>
    <w:p>
      <w:pPr>
        <w:ind w:left="1440" w:hanging="360"/>
        <w:spacing w:after="0" w:line="277" w:lineRule="auto"/>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or legal environments that may cause us to incur, among other elements, expenses associated with compliance;</w:t>
      </w:r>
    </w:p>
    <w:p>
      <w:pPr>
        <w:spacing w:after="0" w:line="183" w:lineRule="exact"/>
        <w:rPr>
          <w:rFonts w:ascii="Arial" w:cs="Arial" w:eastAsia="Arial" w:hAnsi="Arial"/>
          <w:sz w:val="20"/>
          <w:szCs w:val="20"/>
          <w:color w:val="auto"/>
        </w:rPr>
      </w:pPr>
    </w:p>
    <w:p>
      <w:pPr>
        <w:ind w:left="1440" w:hanging="360"/>
        <w:spacing w:after="0" w:line="277" w:lineRule="auto"/>
        <w:tabs>
          <w:tab w:leader="none" w:pos="14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competitive dynamics of our market, including consolidation among competitors, customers, or our partners; and</w:t>
      </w:r>
    </w:p>
    <w:p>
      <w:pPr>
        <w:spacing w:after="0" w:line="182" w:lineRule="exact"/>
        <w:rPr>
          <w:rFonts w:ascii="Arial" w:cs="Arial" w:eastAsia="Arial" w:hAnsi="Arial"/>
          <w:sz w:val="20"/>
          <w:szCs w:val="20"/>
          <w:color w:val="auto"/>
        </w:rPr>
      </w:pPr>
    </w:p>
    <w:p>
      <w:pPr>
        <w:ind w:left="1440" w:hanging="360"/>
        <w:spacing w:after="0" w:line="305" w:lineRule="auto"/>
        <w:tabs>
          <w:tab w:leader="none" w:pos="144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significant security breaches of technical difficulties with, or interruptions to, the delivery and use of our modules and platform capabilities or third-party applications or POS or management systems with which our platform integrates.</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certain other tax attributes may be limited.</w:t>
      </w:r>
    </w:p>
    <w:p>
      <w:pPr>
        <w:spacing w:after="0" w:line="240" w:lineRule="exact"/>
        <w:rPr>
          <w:sz w:val="20"/>
          <w:szCs w:val="20"/>
          <w:color w:val="auto"/>
        </w:rPr>
      </w:pPr>
    </w:p>
    <w:p>
      <w:pPr>
        <w:ind w:right="180" w:firstLine="720"/>
        <w:spacing w:after="0" w:line="255" w:lineRule="auto"/>
        <w:rPr>
          <w:sz w:val="20"/>
          <w:szCs w:val="20"/>
          <w:color w:val="auto"/>
        </w:rPr>
      </w:pPr>
      <w:r>
        <w:rPr>
          <w:rFonts w:ascii="Times New Roman" w:cs="Times New Roman" w:eastAsia="Times New Roman" w:hAnsi="Times New Roman"/>
          <w:sz w:val="20"/>
          <w:szCs w:val="20"/>
          <w:color w:val="auto"/>
        </w:rPr>
        <w:t>As of June 30, 2023, we had federal and state net operating losses (“NOLs”) for approximately $38.2 million and $58.2 million, respectively which begin to expire in 2029 if not utilized. We had federal NOLs for approximately $148.5 million which do</w:t>
      </w:r>
    </w:p>
    <w:p>
      <w:pPr>
        <w:spacing w:after="0" w:line="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not expire</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It is possible that we will not generate taxable income in time to use our NOLs before their expiration. Pursuant to Internal Revenue Code Sections 382 and 383, if a corporation undergoes an “change in control,” the corporation’s ability to use its pre-change NOLs and other tax attributes, including R&amp;D tax credits, to offset its post-change taxable income may be limited. In general, a “change in control” will occur if there is a cumulative change in our ownership by “5 percent stockholders” that exceeds 50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00" w:right="720" w:bottom="175" w:gutter="0" w:footer="0" w:header="0"/>
        </w:sectPr>
      </w:pPr>
    </w:p>
    <w:bookmarkStart w:id="22" w:name="page23"/>
    <w:bookmarkEnd w:id="22"/>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percentage points over a rolling three-year period. Similar rules may also apply under state tax laws. As such, our ability to use NOLs and other tax attributes to reduce future taxable income may be subject to annual limitations due to ownership changes that may have occurred previously or that could occur in the future, including as a result of the Business Combination.</w:t>
      </w:r>
    </w:p>
    <w:p>
      <w:pPr>
        <w:spacing w:after="0" w:line="224"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Tax Cuts and Jobs Act (the “Tax Act”), as amended by the Coronavirus Aid, Relief, and Economic Security Act (the “CARES Act”), allows for NOLs arising in taxable years beginning after December 31, 2017 and before January 1, 2021 to be carried back to each of the five taxable years preceding the tax year of such loss. NOLs arising in taxable years beginning after December 31, 2020 may not be carried back. Additionally, under the Tax Act, as modified by the CARES Act, NOLs may offset no more than 80% of current taxable income annually for taxable years beginning after December 31, 2020. These NOLs can be carried forward indefinitely. NOLs arising in taxable years ending before January 1, 2018 will continue to have a two-year carryback and twenty-year carryforward period.</w:t>
      </w:r>
    </w:p>
    <w:p>
      <w:pPr>
        <w:spacing w:after="0" w:line="19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 balance of our valuation allowance offset our federal NOLs at June 30, 2023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9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For these reasons, we may not be able to realize a tax benefit from the use of our NOLs and tax credits.</w:t>
      </w:r>
    </w:p>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Recent turmoil in the banking industry may negatively impact our ability to acquire financing on acceptable terms if at all, and worsening conditions or additional bank failures could result in a loss of deposits over federally insured levels.</w:t>
      </w:r>
    </w:p>
    <w:p>
      <w:pPr>
        <w:spacing w:after="0" w:line="168"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June 30,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Competition</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restaurant technology industry is highly competitive. We may not be able to compete successfully against current and future competitors.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face competition in many aspects of our business, and we expect such competition to intensify in the future, as existing and new competitors introduce new, or enhance existing, solutions that are directly competitive with ours. Our Presto Touch and Presto Voice solutions combine functionality from numerous product categories, and we compete against providers in each of these categories. Our potential new or existing competitors may be able to develop solutions that are better received by customers or may be able to respond more quickly and effectively than we can to new or changing opportunities, technologies, regulations, or customer requirements. 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and/or solutions they control.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00" w:right="720" w:bottom="175" w:gutter="0" w:footer="0" w:header="0"/>
        </w:sectPr>
      </w:pPr>
    </w:p>
    <w:bookmarkStart w:id="23" w:name="page24"/>
    <w:bookmarkEnd w:id="23"/>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Mergers of or other strategic transactions by our competitors, our customers, or our partners could weaken our competitive position or reduce our revenue.</w:t>
      </w:r>
    </w:p>
    <w:p>
      <w:pPr>
        <w:spacing w:after="0" w:line="16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If one or more of our competitors were to consolidate or partner with another one of our competitors, the change in landscape could adversely affect our ability to compete effectively. Our competitors may also establish or strengthen cooperative relationships with our third-party partners, thereby limiting our ability to promote our solution.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Presto’s Partners and Other Third Parties</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growth depends in part on reliance on third parties and our ability to integrate with third-party applications and software.</w:t>
      </w:r>
    </w:p>
    <w:p>
      <w:pPr>
        <w:spacing w:after="0" w:line="16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success of our solutions depends, in part, on our ability to integrate third-party applications, software, and other offerings into our platform. We anticipate that the growth of our business will continue to depend on third-party relationships including relationships with POS system providers, payment processors, loyalty providers, digital menu boards and other partners. Identifying, negotiating, and documenting relationships with third parties and integrating third-party content and technology requires significant time and resources, and third-party providers may choose to terminate their relationships with us, compete directly against us, enter into exclusive arrangements with our competitors, or make material changes to their businesses, solutions, or services that could be detrimental to our business.</w:t>
      </w:r>
    </w:p>
    <w:p>
      <w:pPr>
        <w:spacing w:after="0" w:line="201" w:lineRule="exact"/>
        <w:rPr>
          <w:sz w:val="20"/>
          <w:szCs w:val="20"/>
          <w:color w:val="auto"/>
        </w:rPr>
      </w:pPr>
    </w:p>
    <w:p>
      <w:pPr>
        <w:jc w:val="both"/>
        <w:ind w:firstLine="721"/>
        <w:spacing w:after="0" w:line="244" w:lineRule="auto"/>
        <w:rPr>
          <w:sz w:val="20"/>
          <w:szCs w:val="20"/>
          <w:color w:val="auto"/>
        </w:rPr>
      </w:pPr>
      <w:r>
        <w:rPr>
          <w:rFonts w:ascii="Times New Roman" w:cs="Times New Roman" w:eastAsia="Times New Roman" w:hAnsi="Times New Roman"/>
          <w:sz w:val="20"/>
          <w:szCs w:val="20"/>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limit or restrict our access to their offerings. We may not be able to adapt to the data transfer requirements of third-party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202"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third-party service providers we integrate with may not perform as expected under their agreements with our customers,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transaction revenue is partly dependent on our partners to develop and update third-party entertainment applications. The decisions of developers to remove their applications or change the terms of our commercial relationship could adversely impact our transaction revenue.</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rely on third-party developers to develop the entertainment applications that we host through Presto Touch. Accordingly, our business depends on our ability to promote, enter into and maintain successful commercial relationships that give us access to such entertainment applications. In general, we rely on standard terms of service with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maintain relationships with partners that give us continued access to third-party entertainment applications, if the terms and conditions of such commercial relationships become less favorable to us or if a developer decides to remove their entertainment applications, our transaction revenue would suffer.</w:t>
      </w:r>
    </w:p>
    <w:p>
      <w:pPr>
        <w:spacing w:after="0" w:line="205"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In addition, we rely on our game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700" w:right="720" w:bottom="175" w:gutter="0" w:footer="0" w:header="0"/>
        </w:sectPr>
      </w:pPr>
    </w:p>
    <w:bookmarkStart w:id="24" w:name="page25"/>
    <w:bookmarkEnd w:id="24"/>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suffer.</w:t>
      </w:r>
    </w:p>
    <w:p>
      <w:pPr>
        <w:spacing w:after="0" w:line="18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Payment transactions processed on our solutions may subject us to regulatory requirements and the rules of payment card networks, and other risks that could be costly and difficult to comply with or that could harm our business.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20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98"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rely upon Amazon Web Services, Microsoft Azure and other infrastructure to operate our platform, and any disruption of or interference with our use of these providers would adversely affect our business, results of operations, and financial condition.</w:t>
      </w:r>
    </w:p>
    <w:p>
      <w:pPr>
        <w:spacing w:after="0" w:line="144"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We outsource substantial portions of our cloud infrastructure to Amazon Web Services, Microsoft Azure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infrastructure providers, which could negatively impact our revenue. We have experienced and expect that in the future we may continue to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becomes more complex and the usage of our platform increases. 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700" w:right="720" w:bottom="175" w:gutter="0" w:footer="0" w:header="0"/>
        </w:sectPr>
      </w:pPr>
    </w:p>
    <w:bookmarkStart w:id="25" w:name="page26"/>
    <w:bookmarkEnd w:id="25"/>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Certain estimates and information contained in this report are based on information from third-party sources, and we do not independently verify the accuracy or completeness of the data contained in such sources or the methodologies for collecting such data.</w:t>
      </w:r>
    </w:p>
    <w:p>
      <w:pPr>
        <w:spacing w:after="0" w:line="18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Certain estimates and information contained in this report, including general expectations concerning our industry and the market in which we operate, our market opportunity, and our market size, are based on information provided by or sourced from third parties. This information involves assumptions and limitations, and, although we believe the information from such third-party sources is reliable, we have not independently verified the accuracy or completeness of such information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8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For example, market opportunity estimates included in this report are subject to significant uncertainty and are based on assumptions and estimates that may not prove to be accurate. Not every customer included in our market opportunity estimates will necessarily purchase any, or all, of our solutions, and some or many of those potential customers may choose to use solutions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report, our business could fail to grow for a variety of reasons, including competition, customer preferences and the other risks described in this report. Accordingly, the estimates of market opportunity and forecasts of market growth included in this report should not be taken as necessarily indicative of our future growth.</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 and Other Compliance Requirements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86"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The restaurant technology industry and the offering of solutions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203"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may not be able to respond quickly or effectively to regulatory, legislative, and other developments, and these changes may in turn impair our ability to offer existing or planned solutions and/or increase our cost of doing business. While we have and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201"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700" w:right="720" w:bottom="175" w:gutter="0" w:footer="0" w:header="0"/>
        </w:sectPr>
      </w:pPr>
    </w:p>
    <w:bookmarkStart w:id="26" w:name="page27"/>
    <w:bookmarkEnd w:id="26"/>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Significant changes in U.S. and international trade policies that restrict imports or increase tariffs could have a material adverse effect on our results of operations.</w:t>
      </w:r>
    </w:p>
    <w:p>
      <w:pPr>
        <w:spacing w:after="0" w:line="16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depend on third party manufacturers and suppliers located outside of the United States, including in China, in connection with the manufacture of certain of our solutions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Presto’s Intellectual Property</w:t>
      </w:r>
    </w:p>
    <w:p>
      <w:pPr>
        <w:spacing w:after="0" w:line="244"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6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As of June 30, 2023 we had 11 registered domain names for websites that we use in our business, such as presto.com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202"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solutions, impair the functionality of our solutions, delay introductions of new solutions, result in our substituting inferior or more costly technologies into our solutions, or harm our reputation or brand. In addition, we may be required to license additional technology from third parties to develop and market new solutions, and we may not be able to license that technology on commercially reasonable terms or at all. Our inability to license this technology could harm our ability to compete.</w:t>
      </w:r>
    </w:p>
    <w:p>
      <w:pPr>
        <w:spacing w:after="0" w:line="20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and may in the future be, subject to claims by third parties of intellectual property infringement, which, if successful could negatively impact operations and significantly increase costs.</w:t>
      </w:r>
    </w:p>
    <w:p>
      <w:pPr>
        <w:spacing w:after="0" w:line="168" w:lineRule="exact"/>
        <w:rPr>
          <w:sz w:val="20"/>
          <w:szCs w:val="20"/>
          <w:color w:val="auto"/>
        </w:rPr>
      </w:pPr>
    </w:p>
    <w:p>
      <w:pPr>
        <w:jc w:val="both"/>
        <w:ind w:firstLine="720"/>
        <w:spacing w:after="0" w:line="260" w:lineRule="auto"/>
        <w:rPr>
          <w:sz w:val="20"/>
          <w:szCs w:val="20"/>
          <w:color w:val="auto"/>
        </w:rPr>
      </w:pPr>
      <w:r>
        <w:rPr>
          <w:rFonts w:ascii="Times New Roman" w:cs="Times New Roman" w:eastAsia="Times New Roman" w:hAnsi="Times New Roman"/>
          <w:sz w:val="19"/>
          <w:szCs w:val="19"/>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solutions,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85"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For example, in February 2022, we were added as a co-defendant in a patent infringement lawsuit that was brought against Hi Auto by Valyant AI, Inc. in December 2021, alleging infringement of Valyant’s patent relating to a speech-based/natural language order process system. The claims against us relate to our subcontractor Hi Auto’s technology, which we use in the Presto Voice system for one of our customers. The lawsuit seeks to enjoin the co-defendants from continued alleged infringement and seeks unspecified statutory and other damages. See Note 8 to our financial statements for a discussion of the legal proceedings to which we are currently subject.</w:t>
      </w:r>
    </w:p>
    <w:p>
      <w:pPr>
        <w:spacing w:after="0" w:line="17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Any such claims, regardless of merit, which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700" w:right="720" w:bottom="175" w:gutter="0" w:footer="0" w:header="0"/>
        </w:sectPr>
      </w:pPr>
    </w:p>
    <w:bookmarkStart w:id="27" w:name="page28"/>
    <w:bookmarkEnd w:id="27"/>
    <w:p>
      <w:pPr>
        <w:jc w:val="both"/>
        <w:spacing w:after="0" w:line="243" w:lineRule="auto"/>
        <w:rPr>
          <w:sz w:val="20"/>
          <w:szCs w:val="20"/>
          <w:color w:val="auto"/>
        </w:rPr>
      </w:pPr>
      <w:r>
        <w:rPr>
          <w:rFonts w:ascii="Times New Roman" w:cs="Times New Roman" w:eastAsia="Times New Roman" w:hAnsi="Times New Roman"/>
          <w:sz w:val="20"/>
          <w:szCs w:val="20"/>
          <w:color w:val="auto"/>
        </w:rPr>
        <w:t>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solutions,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205"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use open-source software in our platform, which could negatively affect our ability to sell our services or subject us to litigation or other actions.</w:t>
      </w:r>
    </w:p>
    <w:p>
      <w:pPr>
        <w:spacing w:after="0" w:line="168" w:lineRule="exact"/>
        <w:rPr>
          <w:sz w:val="20"/>
          <w:szCs w:val="20"/>
          <w:color w:val="auto"/>
        </w:rPr>
      </w:pPr>
    </w:p>
    <w:p>
      <w:pPr>
        <w:jc w:val="both"/>
        <w:ind w:firstLine="721"/>
        <w:spacing w:after="0" w:line="241" w:lineRule="auto"/>
        <w:rPr>
          <w:sz w:val="20"/>
          <w:szCs w:val="20"/>
          <w:color w:val="auto"/>
        </w:rPr>
      </w:pPr>
      <w:r>
        <w:rPr>
          <w:rFonts w:ascii="Times New Roman" w:cs="Times New Roman" w:eastAsia="Times New Roman" w:hAnsi="Times New Roman"/>
          <w:sz w:val="20"/>
          <w:szCs w:val="20"/>
          <w:color w:val="auto"/>
        </w:rPr>
        <w:t>We rely on open-source software in our proprietary platform and we expect to continue to rely on open-source software in our platform in the future. The terms of certain open-source licenses to which we are subject have not been interpreted by U.S., and there is a risk that these licenses could be construed in a manner that could impose unanticipated conditions or restrictions on our ability to commercialize our platforms. Moreover, we cannot ensure that we have not incorporated and are currently relying on additional open-source software in our platform in a manner that is inconsistent with the terms of the applicable license or our current policies and procedures. Although we employ open-source software license screening measures, if we were to combine our proprietary software platform with open-source software in a certain manner we could, under certain open-source licenses, be required to release the source code of our proprietary platform, which could allow our customers and competitors to freely use such software solutions without compensation to us. Additionally, we may from time-to-time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In addition to risks related to license requirements, use of certain open-source software can lead to greater risks than use of third-party commercial software, as open-source licensors generally do not provide warranties or controls on the origin of software. As a result, we and our customers could be subject to lawsuits by parties claiming ownership of what we believe to be open-source software. Some open-source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220"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43" w:lineRule="exact"/>
        <w:rPr>
          <w:sz w:val="20"/>
          <w:szCs w:val="20"/>
          <w:color w:val="auto"/>
        </w:rPr>
      </w:pPr>
    </w:p>
    <w:p>
      <w:pPr>
        <w:jc w:val="both"/>
        <w:ind w:firstLine="719"/>
        <w:spacing w:after="0" w:line="245" w:lineRule="auto"/>
        <w:rPr>
          <w:sz w:val="20"/>
          <w:szCs w:val="20"/>
          <w:color w:val="auto"/>
        </w:rPr>
      </w:pPr>
      <w:r>
        <w:rPr>
          <w:rFonts w:ascii="Times New Roman" w:cs="Times New Roman" w:eastAsia="Times New Roman" w:hAnsi="Times New Roman"/>
          <w:sz w:val="20"/>
          <w:szCs w:val="20"/>
          <w:color w:val="auto"/>
        </w:rPr>
        <w:t>We have registered domain names that we use in, or are related to, our business, most importantly www.presto.com.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Operating as Public Company</w:t>
      </w:r>
    </w:p>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16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700" w:right="720" w:bottom="175" w:gutter="0" w:footer="0" w:header="0"/>
        </w:sectPr>
      </w:pPr>
    </w:p>
    <w:bookmarkStart w:id="28" w:name="page29"/>
    <w:bookmarkEnd w:id="28"/>
    <w:p>
      <w:pPr>
        <w:jc w:val="both"/>
        <w:spacing w:after="0" w:line="252" w:lineRule="auto"/>
        <w:rPr>
          <w:sz w:val="20"/>
          <w:szCs w:val="20"/>
          <w:color w:val="auto"/>
        </w:rPr>
      </w:pPr>
      <w:r>
        <w:rPr>
          <w:rFonts w:ascii="Times New Roman" w:cs="Times New Roman" w:eastAsia="Times New Roman" w:hAnsi="Times New Roman"/>
          <w:sz w:val="20"/>
          <w:szCs w:val="20"/>
          <w:color w:val="auto"/>
        </w:rPr>
        <w:t>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9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68" w:lineRule="exact"/>
        <w:rPr>
          <w:sz w:val="20"/>
          <w:szCs w:val="20"/>
          <w:color w:val="auto"/>
        </w:rPr>
      </w:pPr>
    </w:p>
    <w:p>
      <w:pPr>
        <w:jc w:val="both"/>
        <w:ind w:firstLine="721"/>
        <w:spacing w:after="0" w:line="243" w:lineRule="auto"/>
        <w:rPr>
          <w:sz w:val="20"/>
          <w:szCs w:val="20"/>
          <w:color w:val="auto"/>
        </w:rPr>
      </w:pPr>
      <w:r>
        <w:rPr>
          <w:rFonts w:ascii="Times New Roman" w:cs="Times New Roman" w:eastAsia="Times New Roman" w:hAnsi="Times New Roman"/>
          <w:sz w:val="20"/>
          <w:szCs w:val="20"/>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2023, December 31, 2022, and September 30,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20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9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5"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w:t>
      </w:r>
    </w:p>
    <w:p>
      <w:pPr>
        <w:spacing w:after="0" w:line="20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We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206"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700" w:right="720" w:bottom="175" w:gutter="0" w:footer="0" w:header="0"/>
        </w:sectPr>
      </w:pPr>
    </w:p>
    <w:bookmarkStart w:id="29" w:name="page30"/>
    <w:bookmarkEnd w:id="29"/>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188"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The material weaknesses that we have identified are listed below.</w:t>
      </w:r>
    </w:p>
    <w:p>
      <w:pPr>
        <w:spacing w:after="0" w:line="208" w:lineRule="exact"/>
        <w:rPr>
          <w:sz w:val="20"/>
          <w:szCs w:val="20"/>
          <w:color w:val="auto"/>
        </w:rPr>
      </w:pPr>
    </w:p>
    <w:p>
      <w:pPr>
        <w:ind w:left="1080" w:hanging="435"/>
        <w:spacing w:after="0" w:line="277"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82" w:lineRule="exact"/>
        <w:rPr>
          <w:rFonts w:ascii="Arial" w:cs="Arial" w:eastAsia="Arial" w:hAnsi="Arial"/>
          <w:sz w:val="20"/>
          <w:szCs w:val="20"/>
          <w:color w:val="auto"/>
        </w:rPr>
      </w:pPr>
    </w:p>
    <w:p>
      <w:pPr>
        <w:jc w:val="both"/>
        <w:ind w:left="1080" w:hanging="434"/>
        <w:spacing w:after="0" w:line="259"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98" w:lineRule="exact"/>
        <w:rPr>
          <w:rFonts w:ascii="Arial" w:cs="Arial" w:eastAsia="Arial" w:hAnsi="Arial"/>
          <w:sz w:val="20"/>
          <w:szCs w:val="20"/>
          <w:color w:val="auto"/>
        </w:rPr>
      </w:pPr>
    </w:p>
    <w:p>
      <w:pPr>
        <w:ind w:left="1080" w:hanging="434"/>
        <w:spacing w:after="0" w:line="277"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design and maintain effective controls over our financial statement closing process. Specifically, we did not design and maintain effective controls over certain account analyses and account reconciliations.</w:t>
      </w:r>
    </w:p>
    <w:p>
      <w:pPr>
        <w:spacing w:after="0" w:line="183" w:lineRule="exact"/>
        <w:rPr>
          <w:rFonts w:ascii="Arial" w:cs="Arial" w:eastAsia="Arial" w:hAnsi="Arial"/>
          <w:sz w:val="20"/>
          <w:szCs w:val="20"/>
          <w:color w:val="auto"/>
        </w:rPr>
      </w:pPr>
    </w:p>
    <w:p>
      <w:pPr>
        <w:ind w:left="1080" w:hanging="434"/>
        <w:spacing w:after="0" w:line="277" w:lineRule="auto"/>
        <w:tabs>
          <w:tab w:leader="none" w:pos="108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maintain internal accounting records to adequately support the reporting of certain transactions in our financial statements.</w:t>
      </w:r>
    </w:p>
    <w:p>
      <w:pPr>
        <w:spacing w:after="0" w:line="16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have engaged a third-party firm to assist us with our execution of internal control plan as we are required to comply with Section 404 of the Sarbanes and Oxley Act of 2002. We have completed the design phase and are in the implementation stage of the plan to remediate the material weaknesses identified. Our plan includes the following actions that are currently in progress:</w:t>
      </w:r>
    </w:p>
    <w:p>
      <w:pPr>
        <w:spacing w:after="0" w:line="200" w:lineRule="exact"/>
        <w:rPr>
          <w:sz w:val="20"/>
          <w:szCs w:val="20"/>
          <w:color w:val="auto"/>
        </w:rPr>
      </w:pPr>
    </w:p>
    <w:p>
      <w:pPr>
        <w:ind w:left="1080" w:hanging="434"/>
        <w:spacing w:after="0" w:line="277"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Designing and implementing a risk assessment process supporting the identification of risks facing Presto and designing formalized internal controls including policies over segregation of duties.</w:t>
      </w:r>
    </w:p>
    <w:p>
      <w:pPr>
        <w:spacing w:after="0" w:line="182" w:lineRule="exact"/>
        <w:rPr>
          <w:rFonts w:ascii="Arial" w:cs="Arial" w:eastAsia="Arial" w:hAnsi="Arial"/>
          <w:sz w:val="20"/>
          <w:szCs w:val="20"/>
          <w:color w:val="auto"/>
        </w:rPr>
      </w:pPr>
    </w:p>
    <w:p>
      <w:pPr>
        <w:jc w:val="both"/>
        <w:ind w:left="1080" w:hanging="434"/>
        <w:spacing w:after="0" w:line="252"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controls to enhance our review of significant accounting transactions and other new technical accounting and financial reporting issues and preparing and reviewing accounting memoranda addressing these issues. We hired additional experienced accounting staff, including a Chief Accounting Officer and other financial reporting roles as a public company, and are required to comply with Section 404 of the Sarbanes Oxley Act of 2002.</w:t>
      </w:r>
    </w:p>
    <w:p>
      <w:pPr>
        <w:spacing w:after="0" w:line="208" w:lineRule="exact"/>
        <w:rPr>
          <w:rFonts w:ascii="Arial" w:cs="Arial" w:eastAsia="Arial" w:hAnsi="Arial"/>
          <w:sz w:val="20"/>
          <w:szCs w:val="20"/>
          <w:color w:val="auto"/>
        </w:rPr>
      </w:pPr>
    </w:p>
    <w:p>
      <w:pPr>
        <w:ind w:left="1080" w:hanging="434"/>
        <w:spacing w:after="0" w:line="277"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controls over our financial statement closing process including controls to enable an effective and timely review of account analyses and account reconciliations.</w:t>
      </w:r>
    </w:p>
    <w:p>
      <w:pPr>
        <w:spacing w:after="0" w:line="182" w:lineRule="exact"/>
        <w:rPr>
          <w:rFonts w:ascii="Arial" w:cs="Arial" w:eastAsia="Arial" w:hAnsi="Arial"/>
          <w:sz w:val="20"/>
          <w:szCs w:val="20"/>
          <w:color w:val="auto"/>
        </w:rPr>
      </w:pPr>
    </w:p>
    <w:p>
      <w:pPr>
        <w:ind w:left="1080" w:hanging="434"/>
        <w:spacing w:after="0" w:line="277" w:lineRule="auto"/>
        <w:tabs>
          <w:tab w:leader="none" w:pos="108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controls to enable an accurate and timely review of accounting records that support our accounting processes and maintain documents for internal accounting reviews.</w:t>
      </w:r>
    </w:p>
    <w:p>
      <w:pPr>
        <w:spacing w:after="0" w:line="169"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cannot assure you that these measures will significantly improve or remediate the material weaknesses described above. The implementation of these remediation measures is in the testing stage and will require validation of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20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and our independent registered public accounting firm are not required to perform an evaluation of our internal control over financial reporting for the year ending June 30, 2023 and are not required to perform such evaluation for the year ending June 30, 2022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700" w:right="720" w:bottom="175" w:gutter="0" w:footer="0" w:header="0"/>
        </w:sectPr>
      </w:pPr>
    </w:p>
    <w:bookmarkStart w:id="30" w:name="page31"/>
    <w:bookmarkEnd w:id="30"/>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20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67"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 (C) in which we are deemed to be a large accelerated filer, with at least $ 700 million of equity securities held by non-affiliates as of the end of our second fiscal quarter that year, and (ii) the date on which we have issued more than $1 billion in non-convertible debt during the prior three-year period.</w:t>
      </w:r>
    </w:p>
    <w:p>
      <w:pPr>
        <w:spacing w:after="0" w:line="20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20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have, and will continue to, incur significant costs as a result of operating as a public company.</w:t>
      </w:r>
    </w:p>
    <w:p>
      <w:pPr>
        <w:spacing w:after="0" w:line="239" w:lineRule="exact"/>
        <w:rPr>
          <w:sz w:val="20"/>
          <w:szCs w:val="20"/>
          <w:color w:val="auto"/>
        </w:rPr>
      </w:pPr>
    </w:p>
    <w:p>
      <w:pPr>
        <w:jc w:val="both"/>
        <w:ind w:firstLine="720"/>
        <w:spacing w:after="0" w:line="243"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the Dodd -Frank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increased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spacing w:after="0" w:line="20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700" w:right="720" w:bottom="17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 and Warrants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8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These provisions could also limit the price that investors might be willing to pay in the future for shares of our Common Stock, thereby depressing the market price of our Common Stock. Such provisions include the following:</w:t>
      </w:r>
    </w:p>
    <w:p>
      <w:pPr>
        <w:spacing w:after="0" w:line="182" w:lineRule="exact"/>
        <w:rPr>
          <w:sz w:val="20"/>
          <w:szCs w:val="20"/>
          <w:color w:val="auto"/>
        </w:rPr>
      </w:pPr>
    </w:p>
    <w:p>
      <w:pPr>
        <w:ind w:left="1260" w:hanging="434"/>
        <w:spacing w:after="0" w:line="277" w:lineRule="auto"/>
        <w:tabs>
          <w:tab w:leader="none" w:pos="12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 classified board of directors with three-year staggered terms, which could delay the ability of stockholders to change the membership of a majority of our Board;</w:t>
      </w:r>
    </w:p>
    <w:p>
      <w:pPr>
        <w:spacing w:after="0" w:line="182" w:lineRule="exact"/>
        <w:rPr>
          <w:rFonts w:ascii="Arial" w:cs="Arial" w:eastAsia="Arial" w:hAnsi="Arial"/>
          <w:sz w:val="20"/>
          <w:szCs w:val="20"/>
          <w:color w:val="auto"/>
        </w:rPr>
      </w:pPr>
    </w:p>
    <w:p>
      <w:pPr>
        <w:jc w:val="both"/>
        <w:ind w:left="1260" w:hanging="434"/>
        <w:spacing w:after="0" w:line="258" w:lineRule="auto"/>
        <w:tabs>
          <w:tab w:leader="none" w:pos="12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1" w:lineRule="exact"/>
        <w:rPr>
          <w:rFonts w:ascii="Arial" w:cs="Arial" w:eastAsia="Arial" w:hAnsi="Arial"/>
          <w:sz w:val="20"/>
          <w:szCs w:val="20"/>
          <w:color w:val="auto"/>
        </w:rPr>
      </w:pPr>
    </w:p>
    <w:p>
      <w:pPr>
        <w:jc w:val="both"/>
        <w:ind w:left="1260" w:hanging="434"/>
        <w:spacing w:after="0" w:line="278" w:lineRule="auto"/>
        <w:tabs>
          <w:tab w:leader="none" w:pos="126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184" w:lineRule="exact"/>
        <w:rPr>
          <w:rFonts w:ascii="Arial" w:cs="Arial" w:eastAsia="Arial" w:hAnsi="Arial"/>
          <w:sz w:val="19"/>
          <w:szCs w:val="19"/>
          <w:color w:val="auto"/>
        </w:rPr>
      </w:pPr>
    </w:p>
    <w:p>
      <w:pPr>
        <w:ind w:left="1260" w:hanging="434"/>
        <w:spacing w:after="0" w:line="277" w:lineRule="auto"/>
        <w:tabs>
          <w:tab w:leader="none" w:pos="12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exclusive right of our Board to elect a director to fill a vacancy occurring in our Board for any cause, which prevents stockholders from being able to fill vacancies on our Board; and</w:t>
      </w:r>
    </w:p>
    <w:p>
      <w:pPr>
        <w:spacing w:after="0" w:line="182" w:lineRule="exact"/>
        <w:rPr>
          <w:rFonts w:ascii="Arial" w:cs="Arial" w:eastAsia="Arial" w:hAnsi="Arial"/>
          <w:sz w:val="20"/>
          <w:szCs w:val="20"/>
          <w:color w:val="auto"/>
        </w:rPr>
      </w:pPr>
    </w:p>
    <w:p>
      <w:pPr>
        <w:jc w:val="both"/>
        <w:ind w:left="1260" w:hanging="434"/>
        <w:spacing w:after="0" w:line="259" w:lineRule="auto"/>
        <w:tabs>
          <w:tab w:leader="none" w:pos="126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85"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These and other provisions in our Charter and Bylaws could make it more difficult for stockholders or potential acquirors to obtain control of our Board of directors or initiate actions that are opposed by the then-current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9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Charter provides that the Court of Chancery of the State of Delaware is the exclusive forum for:</w:t>
      </w:r>
    </w:p>
    <w:p>
      <w:pPr>
        <w:spacing w:after="0" w:line="254" w:lineRule="exact"/>
        <w:rPr>
          <w:sz w:val="20"/>
          <w:szCs w:val="20"/>
          <w:color w:val="auto"/>
        </w:rPr>
      </w:pPr>
    </w:p>
    <w:p>
      <w:pPr>
        <w:ind w:left="1080" w:hanging="360"/>
        <w:spacing w:after="0"/>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any derivative action or proceeding brought on our behalf;</w:t>
      </w:r>
    </w:p>
    <w:p>
      <w:pPr>
        <w:spacing w:after="0" w:line="253" w:lineRule="exact"/>
        <w:rPr>
          <w:rFonts w:ascii="Arial" w:cs="Arial" w:eastAsia="Arial" w:hAnsi="Arial"/>
          <w:sz w:val="20"/>
          <w:szCs w:val="20"/>
          <w:color w:val="auto"/>
        </w:rPr>
      </w:pPr>
    </w:p>
    <w:p>
      <w:pPr>
        <w:ind w:left="1080" w:hanging="360"/>
        <w:spacing w:after="0"/>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breach of fiduciary duty;</w:t>
      </w:r>
    </w:p>
    <w:p>
      <w:pPr>
        <w:spacing w:after="0" w:line="252" w:lineRule="exact"/>
        <w:rPr>
          <w:rFonts w:ascii="Arial" w:cs="Arial" w:eastAsia="Arial" w:hAnsi="Arial"/>
          <w:sz w:val="20"/>
          <w:szCs w:val="20"/>
          <w:color w:val="auto"/>
        </w:rPr>
      </w:pPr>
    </w:p>
    <w:p>
      <w:pPr>
        <w:ind w:left="1080" w:hanging="360"/>
        <w:spacing w:after="0" w:line="277" w:lineRule="auto"/>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arising under the Delaware General Corporation Law, as may be amended from time to time, our Charter or our Bylaws; and</w:t>
      </w:r>
    </w:p>
    <w:p>
      <w:pPr>
        <w:spacing w:after="0" w:line="183" w:lineRule="exact"/>
        <w:rPr>
          <w:rFonts w:ascii="Arial" w:cs="Arial" w:eastAsia="Arial" w:hAnsi="Arial"/>
          <w:sz w:val="20"/>
          <w:szCs w:val="20"/>
          <w:color w:val="auto"/>
        </w:rPr>
      </w:pPr>
    </w:p>
    <w:p>
      <w:pPr>
        <w:ind w:left="1080" w:hanging="360"/>
        <w:spacing w:after="0"/>
        <w:tabs>
          <w:tab w:leader="none" w:pos="10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any action asserting a claim against us that is governed by the internal-affairs doctrine.</w:t>
      </w:r>
    </w:p>
    <w:p>
      <w:pPr>
        <w:spacing w:after="0" w:line="23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201" w:lineRule="exact"/>
        <w:rPr>
          <w:sz w:val="20"/>
          <w:szCs w:val="20"/>
          <w:color w:val="auto"/>
        </w:rPr>
      </w:pPr>
    </w:p>
    <w:p>
      <w:pPr>
        <w:jc w:val="both"/>
        <w:ind w:firstLine="720"/>
        <w:spacing w:after="0" w:line="277" w:lineRule="auto"/>
        <w:rPr>
          <w:sz w:val="20"/>
          <w:szCs w:val="20"/>
          <w:color w:val="auto"/>
        </w:rPr>
      </w:pPr>
      <w:r>
        <w:rPr>
          <w:rFonts w:ascii="Times New Roman" w:cs="Times New Roman" w:eastAsia="Times New Roman" w:hAnsi="Times New Roman"/>
          <w:sz w:val="20"/>
          <w:szCs w:val="20"/>
          <w:color w:val="auto"/>
        </w:rPr>
        <w:t>Alternatively, if a court were to find these provisions of our Charter inapplicable or unenforceable with respect to one or more of the specified types of actions or proceedings, we may incur additional costs associated with resolving such matters in other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696" w:right="720" w:bottom="175" w:gutter="0" w:footer="0" w:header="0"/>
        </w:sectPr>
      </w:pPr>
    </w:p>
    <w:bookmarkStart w:id="32" w:name="page33"/>
    <w:bookmarkEnd w:id="32"/>
    <w:p>
      <w:pPr>
        <w:jc w:val="both"/>
        <w:spacing w:after="0" w:line="278" w:lineRule="auto"/>
        <w:rPr>
          <w:sz w:val="20"/>
          <w:szCs w:val="20"/>
          <w:color w:val="auto"/>
        </w:rPr>
      </w:pPr>
      <w:r>
        <w:rPr>
          <w:rFonts w:ascii="Times New Roman" w:cs="Times New Roman" w:eastAsia="Times New Roman" w:hAnsi="Times New Roman"/>
          <w:sz w:val="20"/>
          <w:szCs w:val="20"/>
          <w:color w:val="auto"/>
        </w:rPr>
        <w:t>jurisdictions, which could materially adversely affect our business, financial condition and results of operations and result in a diversion of the time and resources of our management and our Board.</w:t>
      </w:r>
    </w:p>
    <w:p>
      <w:pPr>
        <w:spacing w:after="0" w:line="16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provisions in our Charter and Bylaws could make a merger, tender offer or proxy contest difficult, thereby depressing the trading price of our Common Stock.</w:t>
      </w:r>
    </w:p>
    <w:p>
      <w:pPr>
        <w:spacing w:after="0" w:line="167"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in the foreseeable future, capital appreciation, if any, would be your sole source of gain.</w:t>
      </w:r>
    </w:p>
    <w:p>
      <w:pPr>
        <w:spacing w:after="0" w:line="16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 market for our securities may not continue, which would adversely affect the liquidity and price of its securities.</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spacing w:after="0" w:line="20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167"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 million)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215" w:lineRule="exact"/>
        <w:rPr>
          <w:sz w:val="20"/>
          <w:szCs w:val="20"/>
          <w:color w:val="auto"/>
        </w:rPr>
      </w:pPr>
    </w:p>
    <w:p>
      <w:pPr>
        <w:ind w:left="1080" w:hanging="434"/>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availability of market quotations for our securities;</w:t>
      </w:r>
    </w:p>
    <w:p>
      <w:pPr>
        <w:spacing w:after="0" w:line="253" w:lineRule="exact"/>
        <w:rPr>
          <w:rFonts w:ascii="Arial" w:cs="Arial" w:eastAsia="Arial" w:hAnsi="Arial"/>
          <w:sz w:val="20"/>
          <w:szCs w:val="20"/>
          <w:color w:val="auto"/>
        </w:rPr>
      </w:pPr>
    </w:p>
    <w:p>
      <w:pPr>
        <w:ind w:left="1080" w:hanging="434"/>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reduced liquidity for our securities;</w:t>
      </w:r>
    </w:p>
    <w:p>
      <w:pPr>
        <w:spacing w:after="0" w:line="252" w:lineRule="exact"/>
        <w:rPr>
          <w:rFonts w:ascii="Arial" w:cs="Arial" w:eastAsia="Arial" w:hAnsi="Arial"/>
          <w:sz w:val="20"/>
          <w:szCs w:val="20"/>
          <w:color w:val="auto"/>
        </w:rPr>
      </w:pPr>
    </w:p>
    <w:p>
      <w:pPr>
        <w:jc w:val="both"/>
        <w:ind w:left="1080" w:hanging="434"/>
        <w:spacing w:after="0" w:line="259" w:lineRule="auto"/>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98" w:lineRule="exact"/>
        <w:rPr>
          <w:rFonts w:ascii="Arial" w:cs="Arial" w:eastAsia="Arial" w:hAnsi="Arial"/>
          <w:sz w:val="20"/>
          <w:szCs w:val="20"/>
          <w:color w:val="auto"/>
        </w:rPr>
      </w:pPr>
    </w:p>
    <w:p>
      <w:pPr>
        <w:ind w:left="1080" w:hanging="434"/>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limited amount of news and analyst coverage; and</w:t>
      </w:r>
    </w:p>
    <w:p>
      <w:pPr>
        <w:spacing w:after="0" w:line="253" w:lineRule="exact"/>
        <w:rPr>
          <w:rFonts w:ascii="Arial" w:cs="Arial" w:eastAsia="Arial" w:hAnsi="Arial"/>
          <w:sz w:val="20"/>
          <w:szCs w:val="20"/>
          <w:color w:val="auto"/>
        </w:rPr>
      </w:pPr>
    </w:p>
    <w:p>
      <w:pPr>
        <w:ind w:left="1080" w:hanging="434"/>
        <w:spacing w:after="0"/>
        <w:tabs>
          <w:tab w:leader="none" w:pos="10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a decreased ability to issue additional securities or obtain additional financing in the future.</w:t>
      </w:r>
    </w:p>
    <w:p>
      <w:pPr>
        <w:spacing w:after="0" w:line="238"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91"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167" w:lineRule="exact"/>
        <w:rPr>
          <w:sz w:val="20"/>
          <w:szCs w:val="20"/>
          <w:color w:val="auto"/>
        </w:rPr>
      </w:pPr>
    </w:p>
    <w:p>
      <w:pPr>
        <w:jc w:val="both"/>
        <w:ind w:firstLine="721"/>
        <w:spacing w:after="0" w:line="270" w:lineRule="auto"/>
        <w:rPr>
          <w:sz w:val="20"/>
          <w:szCs w:val="20"/>
          <w:color w:val="auto"/>
        </w:rPr>
      </w:pPr>
      <w:r>
        <w:rPr>
          <w:rFonts w:ascii="Times New Roman" w:cs="Times New Roman" w:eastAsia="Times New Roman" w:hAnsi="Times New Roman"/>
          <w:sz w:val="19"/>
          <w:szCs w:val="19"/>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700" w:right="720" w:bottom="175" w:gutter="0" w:footer="0" w:header="0"/>
        </w:sectPr>
      </w:pPr>
    </w:p>
    <w:bookmarkStart w:id="33" w:name="page34"/>
    <w:bookmarkEnd w:id="33"/>
    <w:p>
      <w:pPr>
        <w:jc w:val="both"/>
        <w:spacing w:after="0" w:line="278" w:lineRule="auto"/>
        <w:rPr>
          <w:sz w:val="20"/>
          <w:szCs w:val="20"/>
          <w:color w:val="auto"/>
        </w:rPr>
      </w:pPr>
      <w:r>
        <w:rPr>
          <w:rFonts w:ascii="Times New Roman" w:cs="Times New Roman" w:eastAsia="Times New Roman" w:hAnsi="Times New Roman"/>
          <w:sz w:val="20"/>
          <w:szCs w:val="20"/>
          <w:color w:val="auto"/>
        </w:rPr>
        <w:t>operations. We would expect to obtain the capital required for acquisitions through a combination of additional issuances of equity, corporate indebtedness and/or cash from operations.</w:t>
      </w:r>
    </w:p>
    <w:p>
      <w:pPr>
        <w:spacing w:after="0" w:line="16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6"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8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trading market for our securities is influenced by the research and reports that industry or securities analysts may publish about us, our business, our market or our competitors. Most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securities litigation, which is expensive and could divert management’s attention.</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share price of our Common Stock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62"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20"/>
          <w:szCs w:val="20"/>
          <w:color w:val="auto"/>
        </w:rPr>
        <w:t>Our corporate headquarters are located at 985 Industrial Road, San Carlos, California 94070 and consist of approximately 4,300 square feet of office space under a lease that expires in January 2025. We also maintain additional offices in Flower Mound, Texas. As of April 2023, the lease for our additional office in Addison, Texas expired.</w:t>
      </w:r>
    </w:p>
    <w:p>
      <w:pPr>
        <w:spacing w:after="0" w:line="106"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64"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Discussion of legal matters is incorporated by reference from Part II, Item 8, Note 8, “Commitments and Contingencies,” of this document, and should be considered an integral part of Part I, Item 3, “Legal Proceedings.”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00" w:right="720" w:bottom="175"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5. Market for Common Equity, Related Stockholder Matters and Small Business Issuer Purchases of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4"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20"/>
          <w:szCs w:val="20"/>
          <w:color w:val="auto"/>
        </w:rPr>
        <w:t>As of June 30, 2023, there were 170 holders of record of our common stock. The number of record holders may not be representative of the number of beneficial owners of our common stock, whose shares are held in street name by banks, brokers and other nominees.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393"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20"/>
          <w:szCs w:val="20"/>
          <w:color w:val="auto"/>
        </w:rPr>
        <w:t>All sales of unregistered equity securities during the covered period were disclosed on a Current Report on Form 8-K or a Quarterly Report on Form 10-Q.</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1" w:lineRule="exact"/>
        <w:rPr>
          <w:sz w:val="20"/>
          <w:szCs w:val="20"/>
          <w:color w:val="auto"/>
        </w:rPr>
      </w:pPr>
    </w:p>
    <w:p>
      <w:pPr>
        <w:ind w:right="100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56"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19"/>
          <w:szCs w:val="19"/>
          <w:i w:val="1"/>
          <w:iCs w:val="1"/>
          <w:color w:val="auto"/>
        </w:rPr>
        <w:t>The following Management’s Discussion and Analysis of Financial Condition and Results of Operations should be read in conjunction with Presto’s consolidated financial statements as of and for the years ended June 30, 2023 and 2022 and the related notes included in Part II, Item 8 of this Annual Report on Form 10-K. This discussion contains forward-looking statements, within the meaning of the safe harbor provisions of the Private Securities Litigation Reform Act of 1995, that involve risks and uncertainties. Presto’s actual results could differ materially from such forward-looking statements. Presto does not undertake to update, revise or correct any of the forward-looking information unless required to do so under the federal securities laws. Readers are cautioned that such forward-looking statements should be read in conjunction with Presto’s disclosures under the heading “Cautionary Statement Regarding Forward-Looking Statements and Risk Factors Summary” included in this report. Additionally, Presto’s historical results are not necessarily indicative of the results that may be expected in any future period. Amounts are presented in U.S. dollars.</w:t>
      </w:r>
    </w:p>
    <w:p>
      <w:pPr>
        <w:spacing w:after="0" w:line="197"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i w:val="1"/>
          <w:iCs w:val="1"/>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this Annual Report on Form 10-K:</w:t>
      </w:r>
    </w:p>
    <w:p>
      <w:pPr>
        <w:spacing w:after="0" w:line="197" w:lineRule="exact"/>
        <w:rPr>
          <w:sz w:val="20"/>
          <w:szCs w:val="20"/>
          <w:color w:val="auto"/>
        </w:rPr>
      </w:pPr>
    </w:p>
    <w:p>
      <w:pPr>
        <w:ind w:right="30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44" w:lineRule="exact"/>
        <w:rPr>
          <w:sz w:val="20"/>
          <w:szCs w:val="20"/>
          <w:color w:val="auto"/>
        </w:rPr>
      </w:pPr>
    </w:p>
    <w:p>
      <w:pPr>
        <w:jc w:val="both"/>
        <w:ind w:firstLine="480"/>
        <w:spacing w:after="0" w:line="267" w:lineRule="auto"/>
        <w:rPr>
          <w:sz w:val="20"/>
          <w:szCs w:val="20"/>
          <w:color w:val="auto"/>
        </w:rPr>
      </w:pPr>
      <w:r>
        <w:rPr>
          <w:rFonts w:ascii="Times New Roman" w:cs="Times New Roman" w:eastAsia="Times New Roman" w:hAnsi="Times New Roman"/>
          <w:sz w:val="20"/>
          <w:szCs w:val="20"/>
          <w:color w:val="auto"/>
        </w:rPr>
        <w:t>We provide enterprise grade AI and automation solutions to the restaurant technology industry. Our solutions are designed to decrease labor costs, improve staff productivity, increase revenue and enhance the guest experience. We offer our industry-leading AI solution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Presto Voice, to quick service restaurants (QSR) and our pay-at-table tablet solution, Presto Touch, to casual dining chains.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247015</wp:posOffset>
                </wp:positionV>
                <wp:extent cx="18288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5pt" to="144pt,19.45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696" w:right="720" w:bottom="175" w:gutter="0" w:footer="0" w:header="0"/>
        </w:sectPr>
      </w:pPr>
    </w:p>
    <w:bookmarkStart w:id="35" w:name="page36"/>
    <w:bookmarkEnd w:id="35"/>
    <w:p>
      <w:pPr>
        <w:jc w:val="both"/>
        <w:spacing w:after="0" w:line="278" w:lineRule="auto"/>
        <w:rPr>
          <w:sz w:val="20"/>
          <w:szCs w:val="20"/>
          <w:color w:val="auto"/>
        </w:rPr>
      </w:pPr>
      <w:r>
        <w:rPr>
          <w:rFonts w:ascii="Times New Roman" w:cs="Times New Roman" w:eastAsia="Times New Roman" w:hAnsi="Times New Roman"/>
          <w:sz w:val="20"/>
          <w:szCs w:val="20"/>
          <w:color w:val="auto"/>
        </w:rPr>
        <w:t>Some of the most recognized restaurant names in the United States are among our customers, including Carl’s Jr. and Hardee’s, Del Taco and Checkers for Presto Voice and Applebee’s, Chili’s and Red Lobster for Presto Touch.</w:t>
      </w:r>
    </w:p>
    <w:p>
      <w:pPr>
        <w:spacing w:after="0" w:line="167"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243" w:lineRule="exact"/>
        <w:rPr>
          <w:sz w:val="20"/>
          <w:szCs w:val="20"/>
          <w:color w:val="auto"/>
        </w:rPr>
      </w:pPr>
    </w:p>
    <w:p>
      <w:pPr>
        <w:jc w:val="both"/>
        <w:ind w:firstLine="480"/>
        <w:spacing w:after="0" w:line="259" w:lineRule="auto"/>
        <w:rPr>
          <w:sz w:val="20"/>
          <w:szCs w:val="20"/>
          <w:color w:val="auto"/>
        </w:rPr>
      </w:pPr>
      <w:r>
        <w:rPr>
          <w:rFonts w:ascii="Times New Roman" w:cs="Times New Roman" w:eastAsia="Times New Roman" w:hAnsi="Times New Roman"/>
          <w:sz w:val="20"/>
          <w:szCs w:val="20"/>
          <w:color w:val="auto"/>
        </w:rPr>
        <w:t>Our business is guided by the principles that our solutions should seamlessly and effortlessly increase revenue for restaurant operators, improve productivity of the restaurant staff and enhance the guest experience . These principles ensure that our focus remains aligned with the priorities of our customers and with our objective of being a leader in the restaurant technology market.</w:t>
      </w:r>
    </w:p>
    <w:p>
      <w:pPr>
        <w:spacing w:after="0" w:line="186"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9"/>
          <w:szCs w:val="19"/>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by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spacing w:after="0" w:line="183"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20"/>
          <w:szCs w:val="20"/>
          <w:color w:val="auto"/>
        </w:rPr>
        <w:t>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Merger with Ventoux CCM Acquisition Corp.</w:t>
      </w:r>
    </w:p>
    <w:p>
      <w:pPr>
        <w:spacing w:after="0" w:line="239"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20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19"/>
          <w:szCs w:val="19"/>
          <w:color w:val="auto"/>
        </w:rPr>
        <w:t xml:space="preserve">The Merger was accounted for as a reverse recapitalization in accordance with generally accepted accounting principles in the United States of America (“GAAP”). Under the guidance in ASC 805, </w:t>
      </w:r>
      <w:r>
        <w:rPr>
          <w:rFonts w:ascii="Times New Roman" w:cs="Times New Roman" w:eastAsia="Times New Roman" w:hAnsi="Times New Roman"/>
          <w:sz w:val="19"/>
          <w:szCs w:val="19"/>
          <w:i w:val="1"/>
          <w:iCs w:val="1"/>
          <w:color w:val="auto"/>
        </w:rPr>
        <w:t>Business Combinations</w:t>
      </w:r>
      <w:r>
        <w:rPr>
          <w:rFonts w:ascii="Times New Roman" w:cs="Times New Roman" w:eastAsia="Times New Roman" w:hAnsi="Times New Roman"/>
          <w:sz w:val="19"/>
          <w:szCs w:val="19"/>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 combination company, Presto’s senior management comprising substantially all of the senior management of the post-combination company, the relative size of Presto compared to VTAQ, and Presto’s operations comprising the ongoing operations of the post- 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Performance Indicators</w:t>
      </w:r>
    </w:p>
    <w:p>
      <w:pPr>
        <w:spacing w:after="0" w:line="24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evaluate our results using the key performance indicators set forth below. We use these metrics and related computations to evaluate our operational effectiveness and results of operations from period to period and to plan for near and long-term operating and strategic decisions. These key performance indicators should not be reviewed in isolation or considered as a substitute for our financial results as reported in accordance with GAAP. These measures may not be comparable to similarly-titled performance indicators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700" w:right="720" w:bottom="175"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auto"/>
        </w:rPr>
        <w:t>Net Revenue Retention</w:t>
      </w:r>
    </w:p>
    <w:p>
      <w:pPr>
        <w:spacing w:after="0" w:line="23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We use net revenue retention to evaluate the operational and financial performance of our Presto Touch solution. Net revenue retention compares our revenue associated with a set of active restaurant brands in a one-year period to the same set of restaurant brands in the prior year period. We calculate net revenue retention by dividing a particular period’s recurring revenue, including both Platform revenue and Transaction revenue (each as defined below), by the prior period’s recurring revenue from the same set of restaurant brands. Net revenue retention is an indicator of the propensity of our customers to continue working with to expand their relationship with us. We assess our net revenue retention on a rolling 12-month basis comparing year-over-year. For the year ended June 30, 2023, our net revenue retention was 85%, while for the year ended June 30, 2022, it was 102%. The decrease in the year ended June 30, 2023 was primarily due to contract terminations and renewals at lower rates.</w:t>
      </w:r>
    </w:p>
    <w:p>
      <w:pPr>
        <w:spacing w:after="0" w:line="203"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believe net revenue retention is useful for investors because it provides a consistent comparison of customer results and growth across comparable periods within our core, established customer base, unaffected by the impact of new customers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Number of Presto Voice Locations</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The number of Presto Voice locations represents the total number of locations in which Presto Voice is operational as of the last day of the relevant reporting period. It is a critical metric for us in evaluating the success in the adoption of Presto Voice. As of June 30, 2023 and September 30, 2023, we had 338 and 373 voice locations live, respectively, the substantial majority of which are Checkers locations. In addition, as of September 30, 2023, we had entered into contracts to install our Presto Voice solution in 95 additional locations.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Expansion in the Number of Locations in which Our Solutions are Used</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Maintaining Relationships with Existing Customers</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For the years ended June 30, 2023 and 2022, our three largest restaurant customers (including, as applicable, the franchisees of such restaurants aggregated as a single customer for reporting purposes) generated an aggregate of approximately 94% and 93% of our revenue, respectively. These customers have entered into contracts for our Presto Touch that expire and are up for renewal between December 31, 2023 and June 30, 2024. Renewal of these contracts is a key driver of our revenues in the near term. In addition,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Attraction of New Customers</w:t>
      </w:r>
    </w:p>
    <w:p>
      <w:pPr>
        <w:spacing w:after="0" w:line="24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believe there is a substantial opportunity to continue to grow our restaurant solutions across the casual dining and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Innovation of Our AI Technology</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or and/or achieve greater efficiencies with our human agents, our results of operations and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702" w:right="720" w:bottom="175"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Seasonality</w:t>
      </w:r>
    </w:p>
    <w:p>
      <w:pPr>
        <w:spacing w:after="0" w:line="239"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Continued Implementation of On-Going Cost Improvement Program</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became a public company through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including reducing costs and streamlining operations. These initiatives have included realigning personnel and other resources consistent with our current business needs and strategic plans. We intend to continue to evaluate opportunities to enhance our efficiencies, including further cost reductions as necessary.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9"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During the years ended June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Platform Revenue</w:t>
      </w:r>
    </w:p>
    <w:p>
      <w:pPr>
        <w:spacing w:after="0" w:line="23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years ended June 30, 2023 and 2022.</w:t>
      </w:r>
    </w:p>
    <w:p>
      <w:pPr>
        <w:spacing w:after="0" w:line="19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Pursuant to an agreement with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68% of the gross billings to the restaurant operators for the years ended June 30, 2023 and 2022. Our revenue for the year ended June 30, 2023, from Checkers also reflects, as a reduction to transaction price, the fair value of the warrant issued to them. The impact of the fair value of the warrant in the year ended June 30, 2022 was immaterial. (See Note 2 of Part II, Item 8 of this Annual Report on Form 10-K for further details). We also pay Hi Auto a fee that is accounted for as cost of revenue which was $1.2 million for the year ended June 30, 2023.</w:t>
      </w:r>
    </w:p>
    <w:p>
      <w:pPr>
        <w:spacing w:after="0" w:line="201" w:lineRule="exact"/>
        <w:rPr>
          <w:sz w:val="20"/>
          <w:szCs w:val="20"/>
          <w:color w:val="auto"/>
        </w:rPr>
      </w:pPr>
    </w:p>
    <w:p>
      <w:pPr>
        <w:jc w:val="both"/>
        <w:ind w:firstLine="721"/>
        <w:spacing w:after="0" w:line="259" w:lineRule="auto"/>
        <w:rPr>
          <w:sz w:val="20"/>
          <w:szCs w:val="20"/>
          <w:color w:val="auto"/>
        </w:rPr>
      </w:pPr>
      <w:r>
        <w:rPr>
          <w:rFonts w:ascii="Times New Roman" w:cs="Times New Roman" w:eastAsia="Times New Roman" w:hAnsi="Times New Roman"/>
          <w:sz w:val="20"/>
          <w:szCs w:val="20"/>
          <w:color w:val="auto"/>
        </w:rPr>
        <w:t>We also maintain an agreement with a legacy customer whereby we lease Presto Touch to that customer. Revenue associated with the lease is recognized on a straight-line basis as Platform revenue over the lease term in the consolidated statements of operations and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 Revenue</w:t>
      </w:r>
    </w:p>
    <w:p>
      <w:pPr>
        <w:spacing w:after="0" w:line="23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spacing w:after="0" w:line="19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also generate revenue from professional services to a lesser extent,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700" w:right="720" w:bottom="175"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236"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83% to 90% and 81% to 90% of premium gaming content revenue by customer brand for the years ended June 30, 2023 and 2022, respectively.</w:t>
      </w:r>
    </w:p>
    <w:p>
      <w:pPr>
        <w:spacing w:after="0" w:line="19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6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Operating expenses consist of sales and marketing, research and development, and general and administrative expenses. The largest single component of operating expenses is employee- related expenses, which include salaries, commissions and bonuses, stock-based compensation, and employee benefit and other related payroll costs.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We have and will continue to implement measures to streamline operations and reduce costs on a go forward basis, including a realignment of personnel and other resources consistent with our strategic plans. We may nonetheless face increased legal expenses as we address litigation and government investigations.</w:t>
      </w:r>
    </w:p>
    <w:p>
      <w:pPr>
        <w:spacing w:after="0" w:line="18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 Research and development expenses consist primarily of employee-related costs associated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maintenance 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w:t>
      </w:r>
    </w:p>
    <w:p>
      <w:pPr>
        <w:spacing w:after="0" w:line="18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Sales and Marketing</w:t>
      </w:r>
      <w:r>
        <w:rPr>
          <w:rFonts w:ascii="Times New Roman" w:cs="Times New Roman" w:eastAsia="Times New Roman" w:hAnsi="Times New Roman"/>
          <w:sz w:val="20"/>
          <w:szCs w:val="20"/>
          <w:color w:val="auto"/>
        </w:rPr>
        <w:t>. Sales and marketing expenses consist primarily of employee-related costs incurred to acquire new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customers and increase product adoption across our existing customer base. Marketing expenses also include fees incurred to generate demand through various advertising channels and allocated overhead costs.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General and administrative</w:t>
      </w:r>
      <w:r>
        <w:rPr>
          <w:rFonts w:ascii="Times New Roman" w:cs="Times New Roman" w:eastAsia="Times New Roman" w:hAnsi="Times New Roman"/>
          <w:sz w:val="20"/>
          <w:szCs w:val="20"/>
          <w:color w:val="auto"/>
        </w:rPr>
        <w:t>. General and administrative expenses consist primarily of expenses related to facilities, finance,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88"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Loss on infrequent product repairs. </w:t>
      </w:r>
      <w:r>
        <w:rPr>
          <w:rFonts w:ascii="Times New Roman" w:cs="Times New Roman" w:eastAsia="Times New Roman" w:hAnsi="Times New Roman"/>
          <w:sz w:val="20"/>
          <w:szCs w:val="20"/>
          <w:color w:val="auto"/>
        </w:rPr>
        <w:t>Loss on infrequent product repairs expenses consist primarily of charges incurred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Presto Touch hardware returned for repair or replacement using an RMA. While we have incurred RMA charges in the past, in the year ended June 30, 2022, the volume of repair charges was extremely unusual and very high due to a liquid ingress issue resulting from COVID-19 related actions by restaurant operators. Our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We provided repair and replacement of our hardware devices to all of our customers as a one-time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700" w:right="720" w:bottom="175" w:gutter="0" w:footer="0" w:header="0"/>
        </w:sectPr>
      </w:pPr>
    </w:p>
    <w:bookmarkStart w:id="39" w:name="page40"/>
    <w:bookmarkEnd w:id="39"/>
    <w:p>
      <w:pPr>
        <w:jc w:val="both"/>
        <w:spacing w:after="0" w:line="278" w:lineRule="auto"/>
        <w:rPr>
          <w:sz w:val="20"/>
          <w:szCs w:val="20"/>
          <w:color w:val="auto"/>
        </w:rPr>
      </w:pPr>
      <w:r>
        <w:rPr>
          <w:rFonts w:ascii="Times New Roman" w:cs="Times New Roman" w:eastAsia="Times New Roman" w:hAnsi="Times New Roman"/>
          <w:sz w:val="20"/>
          <w:szCs w:val="20"/>
          <w:color w:val="auto"/>
        </w:rPr>
        <w:t>accommodation due to COVID-19. See “—</w:t>
      </w:r>
      <w:r>
        <w:rPr>
          <w:rFonts w:ascii="Times New Roman" w:cs="Times New Roman" w:eastAsia="Times New Roman" w:hAnsi="Times New Roman"/>
          <w:sz w:val="20"/>
          <w:szCs w:val="20"/>
          <w:i w:val="1"/>
          <w:iCs w:val="1"/>
          <w:color w:val="auto"/>
        </w:rPr>
        <w:t>Impact of COVID-19 on Our Results of Operations for the Year Ended June 30, 2022</w:t>
      </w:r>
      <w:r>
        <w:rPr>
          <w:rFonts w:ascii="Times New Roman" w:cs="Times New Roman" w:eastAsia="Times New Roman" w:hAnsi="Times New Roman"/>
          <w:sz w:val="20"/>
          <w:szCs w:val="20"/>
          <w:color w:val="auto"/>
        </w:rPr>
        <w:t>” below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Warrants and Convertible Promissory Notes</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99"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3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Other income, net includes income of $2.0 million and $2.6 million due to the forgiveness of our PPP loans (as defined below) in the years ended June 30, 2023 and 2022, respectively.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year ended June 30,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Interest expense primarily consists of interest incurred on our financing obligations and outstanding loans.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 and Financial Obligations</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Loss on extinguishment of debt and financial obligations consists of losses incurred related to the extinguishment of our term loans outstanding prior to the Merger during the year ended June 30, 2023 and the extinguishment of our financial obligation with third parties during the year ended June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financing and financial instrument expenses, net</w:t>
      </w:r>
    </w:p>
    <w:p>
      <w:pPr>
        <w:spacing w:after="0" w:line="23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Other financing and financial instrument expenses, net primarily consists of expense recognized related to the issuance of shares and the transfer of warrants upon termination of a convertible note agreement and associated legal fees, offset by the remeasurement of the liability related to the Unvested Sponsor Shares.</w:t>
      </w:r>
    </w:p>
    <w:p>
      <w:pPr>
        <w:spacing w:after="0" w:line="18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account for the arrangement related to the Unvested Sponsor Shares in accordance with ASC 815-40 as equity-linked instruments which are not indexed to the entity’s own stock and accordingly such instruments are liability classified.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 for Income Taxes</w:t>
      </w:r>
    </w:p>
    <w:p>
      <w:pPr>
        <w:spacing w:after="0" w:line="239"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We are required to evaluate whether tax positions are “more-likely-than-not” of being sustained by the applicable tax authority.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Tax benefits of positions not deemed to meet the “more-likely-than-not” threshold would be recorded as a tax expense in the current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 recognized is subject to estimate and management judgment with respect to the likely outcome of each uncertain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700" w:right="720" w:bottom="175" w:gutter="0" w:footer="0" w:header="0"/>
        </w:sectPr>
      </w:pPr>
    </w:p>
    <w:bookmarkStart w:id="40" w:name="page41"/>
    <w:bookmarkEnd w:id="40"/>
    <w:p>
      <w:pPr>
        <w:jc w:val="both"/>
        <w:spacing w:after="0" w:line="278" w:lineRule="auto"/>
        <w:rPr>
          <w:sz w:val="20"/>
          <w:szCs w:val="20"/>
          <w:color w:val="auto"/>
        </w:rPr>
      </w:pPr>
      <w:r>
        <w:rPr>
          <w:rFonts w:ascii="Times New Roman" w:cs="Times New Roman" w:eastAsia="Times New Roman" w:hAnsi="Times New Roman"/>
          <w:sz w:val="20"/>
          <w:szCs w:val="20"/>
          <w:color w:val="auto"/>
        </w:rPr>
        <w:t>position. The amount that is ultimately sustained for an individual uncertain tax position or for all uncertain tax positions in the aggregate could differ from the amount that is initially recognized.</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record interest and penalties related to income tax matters in income tax expense.</w:t>
      </w:r>
    </w:p>
    <w:p>
      <w:pPr>
        <w:spacing w:after="0" w:line="24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COVID-19 on Our Results of Operations for the Year Ended June 30, 2022</w:t>
      </w:r>
    </w:p>
    <w:p>
      <w:pPr>
        <w:spacing w:after="0" w:line="239"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We experienced two impacts from the initial onset of COVID-19 that resulted in significant charges to the statement of operations for the periods presented:</w:t>
      </w:r>
    </w:p>
    <w:p>
      <w:pPr>
        <w:spacing w:after="0" w:line="181" w:lineRule="exact"/>
        <w:rPr>
          <w:sz w:val="20"/>
          <w:szCs w:val="20"/>
          <w:color w:val="auto"/>
        </w:rPr>
      </w:pPr>
    </w:p>
    <w:p>
      <w:pPr>
        <w:jc w:val="both"/>
        <w:ind w:left="1080" w:hanging="360"/>
        <w:spacing w:after="0" w:line="245" w:lineRule="auto"/>
        <w:tabs>
          <w:tab w:leader="none" w:pos="10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Loss on Infrequent Product Repairs</w:t>
      </w:r>
      <w:r>
        <w:rPr>
          <w:rFonts w:ascii="Times New Roman" w:cs="Times New Roman" w:eastAsia="Times New Roman" w:hAnsi="Times New Roman"/>
          <w:sz w:val="20"/>
          <w:szCs w:val="20"/>
          <w:color w:val="auto"/>
        </w:rPr>
        <w:t>. During the COVID-19 pandemic, customers cleaned our Presto Touch devices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highly invasive commercial disinfectant solutions which leaked into the hardware, causing significant damage to the devices and requiring repair or replacement. This resulted in a significant increase in RMA expenses compared to prior periods. As a result, we incurred $0.6 million of loss on infrequent product repairs related to this issue in the year ended June 30, 2022, which is presented as a separate line item on our consolidated statement of operations and comprehensive loss. There were no similar expenses incurred during the year ended June 30, 2023 related to the matter. These issues would typically not be covered by our standard warranty; however, as a sign of goodwill and for customer satisfaction, we incurred the repair and replacement expenses related to the liquid ingress issue.</w:t>
      </w:r>
    </w:p>
    <w:p>
      <w:pPr>
        <w:spacing w:after="0" w:line="202" w:lineRule="exact"/>
        <w:rPr>
          <w:rFonts w:ascii="Arial" w:cs="Arial" w:eastAsia="Arial" w:hAnsi="Arial"/>
          <w:sz w:val="20"/>
          <w:szCs w:val="20"/>
          <w:color w:val="auto"/>
        </w:rPr>
      </w:pPr>
    </w:p>
    <w:p>
      <w:pPr>
        <w:jc w:val="both"/>
        <w:ind w:left="1080"/>
        <w:spacing w:after="0" w:line="260" w:lineRule="auto"/>
        <w:rPr>
          <w:rFonts w:ascii="Arial" w:cs="Arial" w:eastAsia="Arial" w:hAnsi="Arial"/>
          <w:sz w:val="20"/>
          <w:szCs w:val="20"/>
          <w:color w:val="auto"/>
        </w:rPr>
      </w:pPr>
      <w:r>
        <w:rPr>
          <w:rFonts w:ascii="Times New Roman" w:cs="Times New Roman" w:eastAsia="Times New Roman" w:hAnsi="Times New Roman"/>
          <w:sz w:val="19"/>
          <w:szCs w:val="19"/>
          <w:color w:val="auto"/>
        </w:rPr>
        <w:t xml:space="preserve">The expenses incurred were not honored by the manufacturer’s warranty under the RMA process. We have made claims to recover the costs incurred related to the repairs (as specified below) from the third-party subcontractor who manufactures the hardware. In June 2022, we received an arbitration decision in a dispute with our third-party subcontractor and were awarded approximately $11.3 million in damages related to our loss on infrequent product repairs and to cover our legal expenses </w:t>
      </w:r>
      <w:r>
        <w:rPr>
          <w:rFonts w:ascii="Times New Roman" w:cs="Times New Roman" w:eastAsia="Times New Roman" w:hAnsi="Times New Roman"/>
          <w:sz w:val="19"/>
          <w:szCs w:val="19"/>
          <w:color w:val="000309"/>
        </w:rPr>
        <w:t>This arbitration ruling was affirmed by the appellate court in the country of the arbitration ruling on March 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309"/>
        </w:rPr>
        <w:t>2023</w:t>
      </w:r>
      <w:r>
        <w:rPr>
          <w:rFonts w:ascii="Times New Roman" w:cs="Times New Roman" w:eastAsia="Times New Roman" w:hAnsi="Times New Roman"/>
          <w:sz w:val="19"/>
          <w:szCs w:val="19"/>
          <w:color w:val="000000"/>
        </w:rPr>
        <w:t>. The vendor appealed the ruling to the highest court in that country in May 2023 and the appeal is currently pending.</w:t>
      </w:r>
      <w:r>
        <w:rPr>
          <w:rFonts w:ascii="Times New Roman" w:cs="Times New Roman" w:eastAsia="Times New Roman" w:hAnsi="Times New Roman"/>
          <w:sz w:val="19"/>
          <w:szCs w:val="19"/>
          <w:color w:val="000309"/>
        </w:rPr>
        <w:t xml:space="preserve"> </w:t>
      </w:r>
      <w:r>
        <w:rPr>
          <w:rFonts w:ascii="Times New Roman" w:cs="Times New Roman" w:eastAsia="Times New Roman" w:hAnsi="Times New Roman"/>
          <w:sz w:val="19"/>
          <w:szCs w:val="19"/>
          <w:color w:val="000000"/>
        </w:rPr>
        <w:t>As a result, the award has not met the criteria to be considered realizable as of June 30, 2023 and, accordingly, we have not recognized any gain related to this settlement in our consolidated statement of operations and comprehensive loss.</w:t>
      </w:r>
    </w:p>
    <w:p>
      <w:pPr>
        <w:spacing w:after="0" w:line="200" w:lineRule="exact"/>
        <w:rPr>
          <w:rFonts w:ascii="Arial" w:cs="Arial" w:eastAsia="Arial" w:hAnsi="Arial"/>
          <w:sz w:val="20"/>
          <w:szCs w:val="20"/>
          <w:color w:val="auto"/>
        </w:rPr>
      </w:pPr>
    </w:p>
    <w:p>
      <w:pPr>
        <w:jc w:val="both"/>
        <w:ind w:left="1080" w:hanging="360"/>
        <w:spacing w:after="0" w:line="245" w:lineRule="auto"/>
        <w:tabs>
          <w:tab w:leader="none" w:pos="10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Hardware Repair Expenses Related to COVID-19. </w:t>
      </w:r>
      <w:r>
        <w:rPr>
          <w:rFonts w:ascii="Times New Roman" w:cs="Times New Roman" w:eastAsia="Times New Roman" w:hAnsi="Times New Roman"/>
          <w:sz w:val="20"/>
          <w:szCs w:val="20"/>
          <w:color w:val="auto"/>
        </w:rPr>
        <w:t>In connection with the RMAs noted above, during the year ended June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30, 2022, we incurred higher than usual repair expenses for one-time, infrequent product repairs to Presto Touch products that were not covered by our third-party subcontractor, who typically covers the costs. The increase in expenses was a result of a higher volume of repair requests due to customer issues arising from COVID-19 related complications and a desire on the part of customers to have us reboot and re-certify equipment coming out of COVID-19. During the year ended June 30, 2022, we incurred $1.1 million of hardware repair expenses related to COVID-19. The expenses incurred were not honored by the manufacturer’s warranty under the RMA process. There were no similar expenses incurred during the year ended June 30, 2023.</w:t>
      </w:r>
    </w:p>
    <w:p>
      <w:pPr>
        <w:spacing w:after="0" w:line="20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took several actions to mitigate the effects of the COVID-19 pandemic on our operations. In April 2020, we received a loan of approximately $2.6 million under the U.S. Small Business Administration Paycheck Protection Program (“PPP”), to assist with the economic hardships caused by the pandemic. In March 2021, we received a second loan of $2.0 million under the PPP. In August 2021, we were granted forgiveness of the first loan in an amount of approximately $2.6 million. In July 2022, we were granted forgiveness of the second loan in an amount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700" w:right="720" w:bottom="175"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June 30, 2023 and 2022</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gridSpan w:val="2"/>
            <w:vMerge w:val="restart"/>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7"/>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173"/>
        </w:trPr>
        <w:tc>
          <w:tcPr>
            <w:tcW w:w="75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D1EDF4"/>
            </w:tcBorders>
            <w:gridSpan w:val="2"/>
            <w:vMerge w:val="continue"/>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81"/>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top w:val="single" w:sz="8" w:color="auto"/>
              <w:bottom w:val="single" w:sz="8" w:color="D1EDF4"/>
            </w:tcBorders>
          </w:tcPr>
          <w:p>
            <w:pPr>
              <w:spacing w:after="0"/>
              <w:rPr>
                <w:sz w:val="15"/>
                <w:szCs w:val="15"/>
                <w:color w:val="auto"/>
              </w:rPr>
            </w:pPr>
          </w:p>
        </w:tc>
        <w:tc>
          <w:tcPr>
            <w:tcW w:w="200" w:type="dxa"/>
            <w:vAlign w:val="bottom"/>
            <w:tcBorders>
              <w:top w:val="single" w:sz="8" w:color="auto"/>
              <w:bottom w:val="single" w:sz="8" w:color="D1EDF4"/>
            </w:tcBorders>
          </w:tcPr>
          <w:p>
            <w:pPr>
              <w:spacing w:after="0"/>
              <w:rPr>
                <w:sz w:val="15"/>
                <w:szCs w:val="15"/>
                <w:color w:val="auto"/>
              </w:rPr>
            </w:pPr>
          </w:p>
        </w:tc>
        <w:tc>
          <w:tcPr>
            <w:tcW w:w="20" w:type="dxa"/>
            <w:vAlign w:val="bottom"/>
            <w:tcBorders>
              <w:top w:val="single" w:sz="8" w:color="auto"/>
              <w:bottom w:val="single" w:sz="8" w:color="D1EDF4"/>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81"/>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7780" w:type="dxa"/>
            <w:vAlign w:val="bottom"/>
            <w:gridSpan w:val="3"/>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Revenue</w:t>
            </w:r>
          </w:p>
        </w:tc>
        <w:tc>
          <w:tcPr>
            <w:tcW w:w="280" w:type="dxa"/>
            <w:vAlign w:val="bottom"/>
            <w:shd w:val="clear" w:color="auto" w:fill="D1EDF4"/>
          </w:tcPr>
          <w:p>
            <w:pPr>
              <w:spacing w:after="0"/>
              <w:rPr>
                <w:sz w:val="19"/>
                <w:szCs w:val="19"/>
                <w:color w:val="auto"/>
              </w:rPr>
            </w:pPr>
          </w:p>
        </w:tc>
        <w:tc>
          <w:tcPr>
            <w:tcW w:w="10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Platform</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Transaction</w:t>
            </w:r>
          </w:p>
        </w:tc>
        <w:tc>
          <w:tcPr>
            <w:tcW w:w="280" w:type="dxa"/>
            <w:vAlign w:val="bottom"/>
            <w:tcBorders>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12,900</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10,298</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28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26,135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30,351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280" w:type="dxa"/>
            <w:vAlign w:val="bottom"/>
            <w:shd w:val="clear" w:color="auto" w:fill="D1EDF4"/>
          </w:tcPr>
          <w:p>
            <w:pPr>
              <w:spacing w:after="0"/>
              <w:rPr>
                <w:sz w:val="19"/>
                <w:szCs w:val="19"/>
                <w:color w:val="auto"/>
              </w:rPr>
            </w:pPr>
          </w:p>
        </w:tc>
        <w:tc>
          <w:tcPr>
            <w:tcW w:w="10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Platform</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Transaction</w:t>
            </w:r>
          </w:p>
        </w:tc>
        <w:tc>
          <w:tcPr>
            <w:tcW w:w="280" w:type="dxa"/>
            <w:vAlign w:val="bottom"/>
            <w:shd w:val="clear" w:color="auto" w:fill="D1EDF4"/>
          </w:tcPr>
          <w:p>
            <w:pPr>
              <w:spacing w:after="0"/>
              <w:rPr>
                <w:sz w:val="19"/>
                <w:szCs w:val="19"/>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11,382</w:t>
            </w: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8,998</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D1EDF4"/>
            </w:tcBorders>
            <w:gridSpan w:val="3"/>
          </w:tcPr>
          <w:p>
            <w:pPr>
              <w:spacing w:after="0"/>
              <w:rPr>
                <w:sz w:val="20"/>
                <w:szCs w:val="20"/>
                <w:color w:val="auto"/>
              </w:rPr>
            </w:pPr>
            <w:r>
              <w:rPr>
                <w:rFonts w:ascii="Times New Roman" w:cs="Times New Roman" w:eastAsia="Times New Roman" w:hAnsi="Times New Roman"/>
                <w:sz w:val="20"/>
                <w:szCs w:val="20"/>
                <w:color w:val="auto"/>
              </w:rPr>
              <w:t>Depreciation and impairment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20" w:type="dxa"/>
            <w:vAlign w:val="bottom"/>
            <w:tcBorders>
              <w:bottom w:val="single" w:sz="8" w:color="D1EDF4"/>
            </w:tcBorders>
          </w:tcPr>
          <w:p>
            <w:pPr>
              <w:spacing w:after="0"/>
              <w:rPr>
                <w:sz w:val="20"/>
                <w:szCs w:val="20"/>
                <w:color w:val="auto"/>
              </w:rPr>
            </w:pP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2,033</w:t>
            </w:r>
          </w:p>
        </w:tc>
        <w:tc>
          <w:tcPr>
            <w:tcW w:w="240" w:type="dxa"/>
            <w:vAlign w:val="bottom"/>
            <w:tcBorders>
              <w:bottom w:val="single" w:sz="8" w:color="D1EDF4"/>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gridSpan w:val="3"/>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cost of revenue</w:t>
            </w:r>
          </w:p>
        </w:tc>
        <w:tc>
          <w:tcPr>
            <w:tcW w:w="280" w:type="dxa"/>
            <w:vAlign w:val="bottom"/>
            <w:tcBorders>
              <w:bottom w:val="single" w:sz="8" w:color="auto"/>
            </w:tcBorders>
            <w:shd w:val="clear" w:color="auto" w:fill="D1EDF4"/>
          </w:tcPr>
          <w:p>
            <w:pPr>
              <w:spacing w:after="0"/>
              <w:rPr>
                <w:sz w:val="19"/>
                <w:szCs w:val="19"/>
                <w:color w:val="auto"/>
              </w:rPr>
            </w:pPr>
          </w:p>
        </w:tc>
        <w:tc>
          <w:tcPr>
            <w:tcW w:w="100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25,614</w:t>
            </w: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tcBorders>
              <w:bottom w:val="single" w:sz="8" w:color="auto"/>
            </w:tcBorders>
            <w:shd w:val="clear" w:color="auto" w:fill="D1EDF4"/>
          </w:tcPr>
          <w:p>
            <w:pPr>
              <w:spacing w:after="0"/>
              <w:rPr>
                <w:sz w:val="19"/>
                <w:szCs w:val="19"/>
                <w:color w:val="auto"/>
              </w:rPr>
            </w:pPr>
          </w:p>
        </w:tc>
        <w:tc>
          <w:tcPr>
            <w:tcW w:w="9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29,718</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633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8,847</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26,771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Loss on infrequent product repairs</w:t>
            </w:r>
          </w:p>
        </w:tc>
        <w:tc>
          <w:tcPr>
            <w:tcW w:w="280" w:type="dxa"/>
            <w:vAlign w:val="bottom"/>
            <w:shd w:val="clear" w:color="auto" w:fill="D1EDF4"/>
          </w:tcPr>
          <w:p>
            <w:pPr>
              <w:spacing w:after="0"/>
              <w:rPr>
                <w:sz w:val="19"/>
                <w:szCs w:val="19"/>
                <w:color w:val="auto"/>
              </w:rPr>
            </w:pPr>
          </w:p>
        </w:tc>
        <w:tc>
          <w:tcPr>
            <w:tcW w:w="1240" w:type="dxa"/>
            <w:vAlign w:val="bottom"/>
            <w:gridSpan w:val="4"/>
            <w:shd w:val="clear" w:color="auto" w:fill="D1EDF4"/>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D1EDF4"/>
            </w:tcBorders>
            <w:gridSpan w:val="3"/>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56,928</w:t>
            </w:r>
          </w:p>
        </w:tc>
        <w:tc>
          <w:tcPr>
            <w:tcW w:w="20" w:type="dxa"/>
            <w:vAlign w:val="bottom"/>
            <w:tcBorders>
              <w:bottom w:val="single" w:sz="8" w:color="D1EDF4"/>
            </w:tcBorders>
          </w:tcPr>
          <w:p>
            <w:pPr>
              <w:spacing w:after="0"/>
              <w:rPr>
                <w:sz w:val="19"/>
                <w:szCs w:val="19"/>
                <w:color w:val="auto"/>
              </w:rPr>
            </w:pP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33,847</w:t>
            </w:r>
          </w:p>
        </w:tc>
        <w:tc>
          <w:tcPr>
            <w:tcW w:w="240" w:type="dxa"/>
            <w:vAlign w:val="bottom"/>
            <w:tcBorders>
              <w:bottom w:val="single" w:sz="8" w:color="D1EDF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gridSpan w:val="3"/>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280" w:type="dxa"/>
            <w:vAlign w:val="bottom"/>
            <w:shd w:val="clear" w:color="auto" w:fill="D1EDF4"/>
          </w:tcPr>
          <w:p>
            <w:pPr>
              <w:spacing w:after="0"/>
              <w:rPr>
                <w:sz w:val="19"/>
                <w:szCs w:val="19"/>
                <w:color w:val="auto"/>
              </w:rPr>
            </w:pPr>
          </w:p>
        </w:tc>
        <w:tc>
          <w:tcPr>
            <w:tcW w:w="1020" w:type="dxa"/>
            <w:vAlign w:val="bottom"/>
            <w:gridSpan w:val="2"/>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(56,407)</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(33,214)</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Change in fair value of warrants and convertible promissory notes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42,811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(20,528)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shd w:val="clear" w:color="auto" w:fill="D1EDF4"/>
          </w:tcPr>
          <w:p>
            <w:pPr>
              <w:spacing w:after="0"/>
              <w:rPr>
                <w:sz w:val="20"/>
                <w:szCs w:val="20"/>
                <w:color w:val="auto"/>
              </w:rPr>
            </w:pPr>
          </w:p>
        </w:tc>
        <w:tc>
          <w:tcPr>
            <w:tcW w:w="102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20"/>
                <w:szCs w:val="20"/>
                <w:color w:val="auto"/>
              </w:rPr>
              <w:t>(12,755)</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(5,434)</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on extinguishment of debt and financial obligations</w:t>
            </w: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financing and financial instrument expenses, net</w:t>
            </w:r>
          </w:p>
        </w:tc>
        <w:tc>
          <w:tcPr>
            <w:tcW w:w="280" w:type="dxa"/>
            <w:vAlign w:val="bottom"/>
            <w:shd w:val="clear" w:color="auto" w:fill="D1EDF4"/>
          </w:tcPr>
          <w:p>
            <w:pPr>
              <w:spacing w:after="0"/>
              <w:rPr>
                <w:sz w:val="19"/>
                <w:szCs w:val="19"/>
                <w:color w:val="auto"/>
              </w:rPr>
            </w:pPr>
          </w:p>
        </w:tc>
        <w:tc>
          <w:tcPr>
            <w:tcW w:w="102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20"/>
                <w:szCs w:val="20"/>
                <w:color w:val="auto"/>
              </w:rPr>
              <w:t>(2,753)</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shd w:val="clear" w:color="auto" w:fill="D1EDF4"/>
          </w:tcPr>
          <w:p>
            <w:pPr>
              <w:spacing w:after="0"/>
              <w:rPr>
                <w:sz w:val="19"/>
                <w:szCs w:val="19"/>
                <w:color w:val="auto"/>
              </w:rPr>
            </w:pPr>
          </w:p>
        </w:tc>
        <w:tc>
          <w:tcPr>
            <w:tcW w:w="1220" w:type="dxa"/>
            <w:vAlign w:val="bottom"/>
            <w:gridSpan w:val="2"/>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D1EDF4"/>
            </w:tcBorders>
            <w:gridSpan w:val="3"/>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2,812</w:t>
            </w:r>
          </w:p>
        </w:tc>
        <w:tc>
          <w:tcPr>
            <w:tcW w:w="20" w:type="dxa"/>
            <w:vAlign w:val="bottom"/>
            <w:tcBorders>
              <w:bottom w:val="single" w:sz="8" w:color="D1EDF4"/>
            </w:tcBorders>
          </w:tcPr>
          <w:p>
            <w:pPr>
              <w:spacing w:after="0"/>
              <w:rPr>
                <w:sz w:val="20"/>
                <w:szCs w:val="20"/>
                <w:color w:val="auto"/>
              </w:rPr>
            </w:pP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240" w:type="dxa"/>
            <w:vAlign w:val="bottom"/>
            <w:tcBorders>
              <w:bottom w:val="single" w:sz="8" w:color="D1EDF4"/>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gridSpan w:val="3"/>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280" w:type="dxa"/>
            <w:vAlign w:val="bottom"/>
            <w:tcBorders>
              <w:bottom w:val="single" w:sz="8" w:color="auto"/>
            </w:tcBorders>
            <w:shd w:val="clear" w:color="auto" w:fill="D1EDF4"/>
          </w:tcPr>
          <w:p>
            <w:pPr>
              <w:spacing w:after="0"/>
              <w:rPr>
                <w:sz w:val="19"/>
                <w:szCs w:val="19"/>
                <w:color w:val="auto"/>
              </w:rPr>
            </w:pPr>
          </w:p>
        </w:tc>
        <w:tc>
          <w:tcPr>
            <w:tcW w:w="100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21,936</w:t>
            </w: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80" w:type="dxa"/>
            <w:vAlign w:val="bottom"/>
            <w:tcBorders>
              <w:bottom w:val="single" w:sz="8" w:color="auto"/>
            </w:tcBorders>
            <w:shd w:val="clear" w:color="auto" w:fill="D1EDF4"/>
          </w:tcPr>
          <w:p>
            <w:pPr>
              <w:spacing w:after="0"/>
              <w:rPr>
                <w:sz w:val="19"/>
                <w:szCs w:val="19"/>
                <w:color w:val="auto"/>
              </w:rPr>
            </w:pPr>
          </w:p>
        </w:tc>
        <w:tc>
          <w:tcPr>
            <w:tcW w:w="9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(23,330)</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gridSpan w:val="3"/>
          </w:tcPr>
          <w:p>
            <w:pPr>
              <w:spacing w:after="0" w:line="220" w:lineRule="exact"/>
              <w:rPr>
                <w:sz w:val="20"/>
                <w:szCs w:val="20"/>
                <w:color w:val="auto"/>
              </w:rPr>
            </w:pPr>
            <w:r>
              <w:rPr>
                <w:rFonts w:ascii="Times New Roman" w:cs="Times New Roman" w:eastAsia="Times New Roman" w:hAnsi="Times New Roman"/>
                <w:sz w:val="20"/>
                <w:szCs w:val="20"/>
                <w:color w:val="auto"/>
              </w:rPr>
              <w:t>Loss before provision for income taxes</w:t>
            </w:r>
          </w:p>
        </w:tc>
        <w:tc>
          <w:tcPr>
            <w:tcW w:w="28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(34,471)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(56,544)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280" w:type="dxa"/>
            <w:vAlign w:val="bottom"/>
            <w:tcBorders>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Net loss and comprehensive loss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(34,480)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(56,314)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vMerge w:val="restart"/>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40"/>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5"/>
              <w:spacing w:after="0" w:line="176"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8"/>
              <w:spacing w:after="0" w:line="176"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5"/>
              <w:spacing w:after="0" w:line="176"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Platform</w:t>
            </w: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ind w:left="260"/>
              <w:spacing w:after="0" w:line="221" w:lineRule="exact"/>
              <w:rPr>
                <w:sz w:val="20"/>
                <w:szCs w:val="20"/>
                <w:color w:val="auto"/>
              </w:rPr>
            </w:pPr>
            <w:r>
              <w:rPr>
                <w:rFonts w:ascii="Times New Roman" w:cs="Times New Roman" w:eastAsia="Times New Roman" w:hAnsi="Times New Roman"/>
                <w:sz w:val="20"/>
                <w:szCs w:val="20"/>
                <w:color w:val="auto"/>
              </w:rPr>
              <w:t>13,235</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20,053</w:t>
            </w:r>
          </w:p>
        </w:tc>
        <w:tc>
          <w:tcPr>
            <w:tcW w:w="18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(6,818)</w:t>
            </w: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Transaction</w:t>
            </w:r>
          </w:p>
        </w:tc>
        <w:tc>
          <w:tcPr>
            <w:tcW w:w="100" w:type="dxa"/>
            <w:vAlign w:val="bottom"/>
          </w:tcPr>
          <w:p>
            <w:pPr>
              <w:spacing w:after="0"/>
              <w:rPr>
                <w:sz w:val="20"/>
                <w:szCs w:val="20"/>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12,900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0"/>
        </w:trPr>
        <w:tc>
          <w:tcPr>
            <w:tcW w:w="6280" w:type="dxa"/>
            <w:vAlign w:val="bottom"/>
            <w:tcBorders>
              <w:right w:val="single" w:sz="8" w:color="D1EDF4"/>
            </w:tcBorders>
            <w:gridSpan w:val="2"/>
            <w:vMerge w:val="restart"/>
            <w:shd w:val="clear" w:color="auto" w:fill="D1EDF4"/>
          </w:tcPr>
          <w:p>
            <w:pPr>
              <w:spacing w:after="0"/>
              <w:rPr>
                <w:sz w:val="20"/>
                <w:szCs w:val="20"/>
                <w:color w:val="auto"/>
              </w:rPr>
            </w:pPr>
            <w:r>
              <w:rPr>
                <w:rFonts w:ascii="Times New Roman" w:cs="Times New Roman" w:eastAsia="Times New Roman" w:hAnsi="Times New Roman"/>
                <w:sz w:val="20"/>
                <w:szCs w:val="20"/>
                <w:color w:val="auto"/>
              </w:rPr>
              <w:t>Total revenue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D1EDF4"/>
            </w:tcBorders>
            <w:shd w:val="clear" w:color="auto" w:fill="D1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tcBorders>
              <w:right w:val="single" w:sz="8" w:color="D1EDF4"/>
            </w:tcBorders>
            <w:gridSpan w:val="2"/>
            <w:vMerge w:val="continue"/>
            <w:shd w:val="clear" w:color="auto" w:fill="D1EDF4"/>
          </w:tcPr>
          <w:p>
            <w:pPr>
              <w:spacing w:after="0"/>
              <w:rPr>
                <w:sz w:val="19"/>
                <w:szCs w:val="19"/>
                <w:color w:val="auto"/>
              </w:rPr>
            </w:pPr>
          </w:p>
        </w:tc>
        <w:tc>
          <w:tcPr>
            <w:tcW w:w="100" w:type="dxa"/>
            <w:vAlign w:val="bottom"/>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ind w:left="260"/>
              <w:spacing w:after="0" w:line="222" w:lineRule="exact"/>
              <w:rPr>
                <w:sz w:val="20"/>
                <w:szCs w:val="20"/>
                <w:color w:val="auto"/>
              </w:rPr>
            </w:pPr>
            <w:r>
              <w:rPr>
                <w:rFonts w:ascii="Times New Roman" w:cs="Times New Roman" w:eastAsia="Times New Roman" w:hAnsi="Times New Roman"/>
                <w:sz w:val="20"/>
                <w:szCs w:val="20"/>
                <w:color w:val="auto"/>
              </w:rPr>
              <w:t>26,135</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30,351</w:t>
            </w:r>
          </w:p>
        </w:tc>
        <w:tc>
          <w:tcPr>
            <w:tcW w:w="18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(4,216)</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2"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-477520</wp:posOffset>
            </wp:positionV>
            <wp:extent cx="584200" cy="172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584200" cy="172720"/>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-178435</wp:posOffset>
            </wp:positionV>
            <wp:extent cx="584200" cy="172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584200" cy="17272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Total revenue decreased 14% to $26.1 million for the year ended June 30, 2023, as compared to $30.4 million for the year ended June 30, 2022.</w:t>
      </w:r>
    </w:p>
    <w:p>
      <w:pPr>
        <w:spacing w:after="0" w:line="167"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Platform revenue decreased 34% to $ 13.2 million for the year ended June 30, 2023, as compared to $20.1 million for the year ended June 30, 2022. The decrease is primarily attributable to contract terminations by certain franchisee customers of existing enterprise and small business customers. In addition, certain large customers renewed at lower pricing.</w:t>
      </w:r>
    </w:p>
    <w:p>
      <w:pPr>
        <w:spacing w:after="0" w:line="18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Transaction revenue increased 25% to $12.9 million for the year ended June 30, 2023, as compared to $10.3 million for the year ended June 30, 2022. This is due primarily to increases in pricing for our gaming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696" w:right="720" w:bottom="175"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7"/>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7"/>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D1EDF4"/>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4"/>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Platform</w:t>
            </w: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13,068</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18,687</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(5,619)</w:t>
            </w: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Transaction</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26 %</w:t>
            </w:r>
          </w:p>
        </w:tc>
        <w:tc>
          <w:tcPr>
            <w:tcW w:w="0" w:type="dxa"/>
            <w:vAlign w:val="bottom"/>
          </w:tcPr>
          <w:p>
            <w:pPr>
              <w:spacing w:after="0"/>
              <w:rPr>
                <w:sz w:val="1"/>
                <w:szCs w:val="1"/>
                <w:color w:val="auto"/>
              </w:rPr>
            </w:pPr>
          </w:p>
        </w:tc>
      </w:tr>
      <w:tr>
        <w:trPr>
          <w:trHeight w:val="229"/>
        </w:trPr>
        <w:tc>
          <w:tcPr>
            <w:tcW w:w="61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Depreciation and impairment</w:t>
            </w: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2,033</w:t>
            </w:r>
          </w:p>
        </w:tc>
        <w:tc>
          <w:tcPr>
            <w:tcW w:w="16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8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rPr>
              <w:t>(869)</w:t>
            </w: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30"/>
        </w:trPr>
        <w:tc>
          <w:tcPr>
            <w:tcW w:w="61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costs of revenue</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25,614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29,718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(4,104)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(14)</w:t>
            </w:r>
          </w:p>
        </w:tc>
        <w:tc>
          <w:tcPr>
            <w:tcW w:w="320" w:type="dxa"/>
            <w:vAlign w:val="bottom"/>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-621665</wp:posOffset>
            </wp:positionV>
            <wp:extent cx="58420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584200" cy="171450"/>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-328930</wp:posOffset>
            </wp:positionV>
            <wp:extent cx="584200" cy="170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584200" cy="170815"/>
                    </a:xfrm>
                    <a:prstGeom prst="rect">
                      <a:avLst/>
                    </a:prstGeom>
                    <a:noFill/>
                  </pic:spPr>
                </pic:pic>
              </a:graphicData>
            </a:graphic>
          </wp:anchor>
        </w:drawing>
      </w:r>
    </w:p>
    <w:p>
      <w:pPr>
        <w:spacing w:after="0" w:line="191"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Cost of revenue decreased 14% to $25.6 million for the year ended June 30, 2023, as compared to $29.7 million for the year ended June 30, 2022.</w:t>
      </w:r>
    </w:p>
    <w:p>
      <w:pPr>
        <w:spacing w:after="0" w:line="16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Platform cost of revenue decreased 30% to $13.1 million for the year ended June 30, 2023, as compared to $18.7 million for the year ended June 30, 2022. The decrease was in line with the decrease in Platform revenue which impacted product deferred costs, installation and shipping costs during the year ended June 30, 2023, relative to the year ended June 30, 2022.</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Our Transaction cost of revenue increased 26% to $11.4 million for the year ended June 30, 2023, as compared to $9.0 million for the year ended June 30, 2022. The increase was primarily attributable to increases in the revenue share owed to restaurants as a result of the increase in pricing for our gaming fees.</w:t>
      </w:r>
    </w:p>
    <w:p>
      <w:pPr>
        <w:spacing w:after="0" w:line="188"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Depreciation and impairment cost of revenue decreased 43% for the year ended June 30, 2023 to $1.2 million from $2.0 million during the year ended June 30, 2022. The decrease was primarily attributable to the return of leased tablets in the year ended June 30, 2022, which resulted in fewer tablets in use and being depreciated.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vMerge w:val="restart"/>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6"/>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6"/>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3"/>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Borders>
              <w:right w:val="single" w:sz="8" w:color="D1EDF4"/>
            </w:tcBorders>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21,310</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16,778</w:t>
            </w:r>
          </w:p>
        </w:tc>
        <w:tc>
          <w:tcPr>
            <w:tcW w:w="18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4,532</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27 %</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33 %</w:t>
            </w:r>
          </w:p>
        </w:tc>
        <w:tc>
          <w:tcPr>
            <w:tcW w:w="0" w:type="dxa"/>
            <w:vAlign w:val="bottom"/>
          </w:tcPr>
          <w:p>
            <w:pPr>
              <w:spacing w:after="0"/>
              <w:rPr>
                <w:sz w:val="1"/>
                <w:szCs w:val="1"/>
                <w:color w:val="auto"/>
              </w:rPr>
            </w:pPr>
          </w:p>
        </w:tc>
      </w:tr>
      <w:tr>
        <w:trPr>
          <w:trHeight w:val="229"/>
        </w:trPr>
        <w:tc>
          <w:tcPr>
            <w:tcW w:w="6280" w:type="dxa"/>
            <w:vAlign w:val="bottom"/>
            <w:tcBorders>
              <w:right w:val="single" w:sz="8" w:color="D1EDF4"/>
            </w:tcBorders>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0" w:type="dxa"/>
            <w:vAlign w:val="bottom"/>
            <w:shd w:val="clear" w:color="auto" w:fill="D1EDF4"/>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26,771</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9,847</w:t>
            </w:r>
          </w:p>
        </w:tc>
        <w:tc>
          <w:tcPr>
            <w:tcW w:w="18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16,924</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rPr>
                <w:sz w:val="20"/>
                <w:szCs w:val="20"/>
                <w:color w:val="auto"/>
              </w:rPr>
            </w:pPr>
            <w:r>
              <w:rPr>
                <w:rFonts w:ascii="Times New Roman" w:cs="Times New Roman" w:eastAsia="Times New Roman" w:hAnsi="Times New Roman"/>
                <w:sz w:val="20"/>
                <w:szCs w:val="20"/>
                <w:color w:val="auto"/>
              </w:rPr>
              <w:t>172 %</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on infrequent product repairs</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6280" w:type="dxa"/>
            <w:vAlign w:val="bottom"/>
            <w:tcBorders>
              <w:right w:val="single" w:sz="8" w:color="D1EDF4"/>
            </w:tcBorders>
            <w:gridSpan w:val="2"/>
            <w:vMerge w:val="restart"/>
            <w:shd w:val="clear" w:color="auto" w:fill="D1EDF4"/>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D1EDF4"/>
            </w:tcBorders>
            <w:shd w:val="clear" w:color="auto" w:fill="D1EDF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D1EDF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tcBorders>
              <w:right w:val="single" w:sz="8" w:color="D1EDF4"/>
            </w:tcBorders>
            <w:gridSpan w:val="2"/>
            <w:vMerge w:val="continue"/>
            <w:shd w:val="clear" w:color="auto" w:fill="D1EDF4"/>
          </w:tcPr>
          <w:p>
            <w:pPr>
              <w:spacing w:after="0"/>
              <w:rPr>
                <w:sz w:val="19"/>
                <w:szCs w:val="19"/>
                <w:color w:val="auto"/>
              </w:rPr>
            </w:pPr>
          </w:p>
        </w:tc>
        <w:tc>
          <w:tcPr>
            <w:tcW w:w="1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56,928</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33,847</w:t>
            </w:r>
          </w:p>
        </w:tc>
        <w:tc>
          <w:tcPr>
            <w:tcW w:w="180" w:type="dxa"/>
            <w:vAlign w:val="bottom"/>
            <w:tcBorders>
              <w:right w:val="single" w:sz="8" w:color="D1EDF4"/>
            </w:tcBorders>
            <w:shd w:val="clear" w:color="auto" w:fill="D1EDF4"/>
          </w:tcPr>
          <w:p>
            <w:pPr>
              <w:spacing w:after="0"/>
              <w:rPr>
                <w:sz w:val="19"/>
                <w:szCs w:val="19"/>
                <w:color w:val="auto"/>
              </w:rPr>
            </w:pP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23,081</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68 %</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-767715</wp:posOffset>
            </wp:positionV>
            <wp:extent cx="58420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584200" cy="171450"/>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-475615</wp:posOffset>
            </wp:positionV>
            <wp:extent cx="584200" cy="170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584200" cy="170815"/>
                    </a:xfrm>
                    <a:prstGeom prst="rect">
                      <a:avLst/>
                    </a:prstGeom>
                    <a:noFill/>
                  </pic:spPr>
                </pic:pic>
              </a:graphicData>
            </a:graphic>
          </wp:anchor>
        </w:drawing>
        <w:drawing>
          <wp:anchor simplePos="0" relativeHeight="251657728" behindDoc="1" locked="0" layoutInCell="0" allowOverlap="1">
            <wp:simplePos x="0" y="0"/>
            <wp:positionH relativeFrom="column">
              <wp:posOffset>4039870</wp:posOffset>
            </wp:positionH>
            <wp:positionV relativeFrom="paragraph">
              <wp:posOffset>-177165</wp:posOffset>
            </wp:positionV>
            <wp:extent cx="58420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584200" cy="171450"/>
                    </a:xfrm>
                    <a:prstGeom prst="rect">
                      <a:avLst/>
                    </a:prstGeom>
                    <a:noFill/>
                  </pic:spPr>
                </pic:pic>
              </a:graphicData>
            </a:graphic>
          </wp:anchor>
        </w:drawing>
      </w:r>
    </w:p>
    <w:p>
      <w:pPr>
        <w:spacing w:after="0" w:line="190" w:lineRule="exact"/>
        <w:rPr>
          <w:sz w:val="20"/>
          <w:szCs w:val="20"/>
          <w:color w:val="auto"/>
        </w:rPr>
      </w:pPr>
    </w:p>
    <w:p>
      <w:pPr>
        <w:jc w:val="both"/>
        <w:ind w:right="20" w:firstLine="720"/>
        <w:spacing w:after="0" w:line="278" w:lineRule="auto"/>
        <w:rPr>
          <w:sz w:val="20"/>
          <w:szCs w:val="20"/>
          <w:color w:val="auto"/>
        </w:rPr>
      </w:pPr>
      <w:r>
        <w:rPr>
          <w:rFonts w:ascii="Times New Roman" w:cs="Times New Roman" w:eastAsia="Times New Roman" w:hAnsi="Times New Roman"/>
          <w:sz w:val="20"/>
          <w:szCs w:val="20"/>
          <w:color w:val="auto"/>
        </w:rPr>
        <w:t>Operating expenses increased by 68% to $56.9 million for the year ended June 30, 2023, as compared to $33.8 million for the year ended June 30,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increased 27% to $21.3 million for the year ended June 30, 2023, as compared to $16.8 million for the year ended June 30, 2022. The increase resulted primarily from an increase of $1.3 million in salaries and employee benefits expense due to an increase in headcount and bonuses to employees from the acquisition of CyborgOps, Inc. in the year ended June 30, 2022, an increase of $3.1 million in stock-based compensation as a result of a modification of performance based vesting conditions of restricted stock units that was waived and a $0.2 million increase in professional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and Marketing</w:t>
      </w:r>
    </w:p>
    <w:p>
      <w:pPr>
        <w:spacing w:after="0" w:line="23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Sales and marketing expenses increased 33% to $8.8 million for the year ended June 30, 2023, as compared to $6.6 million for the year ended June 30, 2022. The increase resulted primarily from an increase in salaries and employee benefits expense of $ 1.4 million, as a result of an increase in headcount, a public relations fee paid upon the completion of the Merger of $0.3 million in the year ended June 30, 2023, and $0.5 million in other costs.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increased 172% to $ 26.8 million for the year ended June 30, 2023, as compared to $9.8 million for the year ended June 30, 2022. The increase resulted primarily from an increase in stock-based compensation expense of $8.1 million, primarily due to award modifications for performance conditions on RSUs and related to key executive terminations and new employee grants, an increase in legal expense, accounting services expenses and temporary services expenses of $5.5 million which included $2.2 million for audit and tax services, $1.3 million in legal expenses, $1.5 million of ancillary professional services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700" w:right="720" w:bottom="175"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20"/>
          <w:szCs w:val="20"/>
          <w:color w:val="auto"/>
        </w:rPr>
        <w:t>fees in preparation for the Merger and $ 0.5 million in recruiting fees; an increase in other costs of $3.3 million which included an increase in salaries and employee benefits expense of $0.9 million, bad debt expense of $0.8 million and directors and officers and cyber insurance of $1.0 million and $0.6 million in other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Infrequent Product Repairs</w:t>
      </w:r>
    </w:p>
    <w:p>
      <w:pPr>
        <w:spacing w:after="0" w:line="237"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We had no loss on infrequent product repairs for the year ended June 30, 2023, as compared to $0.6 million for the year ended June 30, 2022. The one-time repair and replacement expenses incurred in the year ended June 30, 2022 related to damage caused to hardware caused by our customers’ use of extremely strong commercial disinfectant solutions to clean the hardware devices as a mandatory precaution protocol due to COVID-19 which did not recur in fiscal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Fair Value of Warrants and Convertible Promissory Notes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7"/>
                <w:szCs w:val="17"/>
                <w:color w:val="auto"/>
              </w:rPr>
            </w:pPr>
          </w:p>
        </w:tc>
        <w:tc>
          <w:tcPr>
            <w:tcW w:w="21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980" w:type="dxa"/>
            <w:vAlign w:val="bottom"/>
            <w:tcBorders>
              <w:bottom w:val="single" w:sz="8" w:color="auto"/>
            </w:tcBorders>
          </w:tcPr>
          <w:p>
            <w:pPr>
              <w:ind w:left="3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980" w:type="dxa"/>
            <w:vAlign w:val="bottom"/>
            <w:tcBorders>
              <w:bottom w:val="single" w:sz="8" w:color="auto"/>
            </w:tcBorders>
          </w:tcPr>
          <w:p>
            <w:pPr>
              <w:jc w:val="right"/>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3"/>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Change in fair value of warrants and convertible promissory notes</w:t>
            </w:r>
          </w:p>
        </w:tc>
        <w:tc>
          <w:tcPr>
            <w:tcW w:w="114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   42,811</w:t>
            </w:r>
          </w:p>
        </w:tc>
        <w:tc>
          <w:tcPr>
            <w:tcW w:w="114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  (20,528)</w:t>
            </w:r>
          </w:p>
        </w:tc>
        <w:tc>
          <w:tcPr>
            <w:tcW w:w="18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63,339</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309 %</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In the year ended June 30, 2023, the change in the fair value of warrants and convertible promissory notes was due to a gain of $42.8 million, as compared to a loss of $20.5 million in the year ended June 30, 2022.</w:t>
      </w:r>
    </w:p>
    <w:p>
      <w:pPr>
        <w:spacing w:after="0" w:line="167"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The remeasurement gain recorded during the year ended June 30, 2023 was primarily driven by two factors. First, immediately prior to the closing of the Merger, the convertible notes and embedded warrants were remeasured to their then-fair value of $41.4 million, resulting in a gain on remeasurement of $48.3 million. Second, with the close of the Merger, we assumed $9.4 million of warrant liabilities associated with the legacy private warrants of VTAQ and issued additional warrants with a fair value of $0.8 million. As of June 30, 2023, all of our outstanding liability classified warrants were remeasured to fair value based on the June 30, 2023 stock price. As a result of the above, a $42.8 million gain on remeasurement was recorded for the year ended June 30, 2023. The primary factor affecting the change in fair value of the warrants was the assumption of the private warrants, the issuance of additional warrant shares, and the decrease in our stock price during the year ended June 30, 2023.</w:t>
      </w:r>
    </w:p>
    <w:p>
      <w:pPr>
        <w:spacing w:after="0" w:line="202"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During the year ended June 30, 2022, the convertible notes and embedded warrants had a change in fair value resulting in a loss of $20.5 million, reflecting the increased stock price of the then-privately held entity. Such increases to the stock price were in contemplation of the anticipated Merger.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vMerge w:val="restart"/>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vMerge w:val="continue"/>
          </w:tcPr>
          <w:p>
            <w:pPr>
              <w:spacing w:after="0"/>
              <w:rPr>
                <w:sz w:val="15"/>
                <w:szCs w:val="15"/>
                <w:color w:val="auto"/>
              </w:rPr>
            </w:pPr>
          </w:p>
        </w:tc>
        <w:tc>
          <w:tcPr>
            <w:tcW w:w="980" w:type="dxa"/>
            <w:vAlign w:val="bottom"/>
            <w:tcBorders>
              <w:bottom w:val="single" w:sz="8" w:color="auto"/>
            </w:tcBorders>
            <w:gridSpan w:val="2"/>
          </w:tcPr>
          <w:p>
            <w:pPr>
              <w:ind w:left="3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33"/>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28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Interest expense</w:t>
            </w:r>
          </w:p>
        </w:tc>
        <w:tc>
          <w:tcPr>
            <w:tcW w:w="1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ind w:left="260"/>
              <w:spacing w:after="0" w:line="221" w:lineRule="exact"/>
              <w:rPr>
                <w:sz w:val="20"/>
                <w:szCs w:val="20"/>
                <w:color w:val="auto"/>
              </w:rPr>
            </w:pPr>
            <w:r>
              <w:rPr>
                <w:rFonts w:ascii="Times New Roman" w:cs="Times New Roman" w:eastAsia="Times New Roman" w:hAnsi="Times New Roman"/>
                <w:sz w:val="20"/>
                <w:szCs w:val="20"/>
                <w:color w:val="auto"/>
              </w:rPr>
              <w:t>12,755</w:t>
            </w:r>
          </w:p>
        </w:tc>
        <w:tc>
          <w:tcPr>
            <w:tcW w:w="380" w:type="dxa"/>
            <w:vAlign w:val="bottom"/>
            <w:gridSpan w:val="2"/>
            <w:shd w:val="clear" w:color="auto" w:fill="D1EDF4"/>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5,434</w:t>
            </w:r>
          </w:p>
        </w:tc>
        <w:tc>
          <w:tcPr>
            <w:tcW w:w="18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7,321</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1" w:lineRule="exact"/>
              <w:rPr>
                <w:sz w:val="20"/>
                <w:szCs w:val="20"/>
                <w:color w:val="auto"/>
              </w:rPr>
            </w:pPr>
            <w:r>
              <w:rPr>
                <w:rFonts w:ascii="Times New Roman" w:cs="Times New Roman" w:eastAsia="Times New Roman" w:hAnsi="Times New Roman"/>
                <w:sz w:val="20"/>
                <w:szCs w:val="20"/>
                <w:color w:val="auto"/>
              </w:rPr>
              <w:t>135 %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-158115</wp:posOffset>
            </wp:positionV>
            <wp:extent cx="5842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584200" cy="171450"/>
                    </a:xfrm>
                    <a:prstGeom prst="rect">
                      <a:avLst/>
                    </a:prstGeom>
                    <a:noFill/>
                  </pic:spPr>
                </pic:pic>
              </a:graphicData>
            </a:graphic>
          </wp:anchor>
        </w:drawing>
      </w:r>
    </w:p>
    <w:p>
      <w:pPr>
        <w:spacing w:after="0" w:line="223"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Interest expense increased 135% to $ 12.8 million for the year ended June 30, 2023, as compared to $5.4 million for the year ended June 30, 2022. The increase was due to us having higher interest-bearing term loan debt outstanding during the year ended June 30, 2023 as compared to the year ended June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 and Financial Obligations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D1EDF4"/>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D1EDF4"/>
            </w:tcBorders>
          </w:tcPr>
          <w:p>
            <w:pPr>
              <w:spacing w:after="0"/>
              <w:rPr>
                <w:sz w:val="15"/>
                <w:szCs w:val="15"/>
                <w:color w:val="auto"/>
              </w:rPr>
            </w:pPr>
          </w:p>
        </w:tc>
        <w:tc>
          <w:tcPr>
            <w:tcW w:w="70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3"/>
              <w:spacing w:after="0" w:line="173" w:lineRule="exact"/>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30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Loss on extinguishment of debt and financial obligations</w:t>
            </w:r>
          </w:p>
        </w:tc>
        <w:tc>
          <w:tcPr>
            <w:tcW w:w="220" w:type="dxa"/>
            <w:vAlign w:val="bottom"/>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8,179</w:t>
            </w:r>
          </w:p>
        </w:tc>
        <w:tc>
          <w:tcPr>
            <w:tcW w:w="880" w:type="dxa"/>
            <w:vAlign w:val="bottom"/>
            <w:gridSpan w:val="2"/>
            <w:shd w:val="clear" w:color="auto" w:fill="D1EDF4"/>
          </w:tcPr>
          <w:p>
            <w:pPr>
              <w:jc w:val="right"/>
              <w:ind w:right="5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3"/>
            <w:shd w:val="clear" w:color="auto" w:fill="D1EDF4"/>
          </w:tcPr>
          <w:p>
            <w:pPr>
              <w:ind w:left="40"/>
              <w:spacing w:after="0" w:line="220" w:lineRule="exact"/>
              <w:rPr>
                <w:sz w:val="20"/>
                <w:szCs w:val="20"/>
                <w:color w:val="auto"/>
              </w:rPr>
            </w:pPr>
            <w:r>
              <w:rPr>
                <w:rFonts w:ascii="Times New Roman" w:cs="Times New Roman" w:eastAsia="Times New Roman" w:hAnsi="Times New Roman"/>
                <w:sz w:val="20"/>
                <w:szCs w:val="20"/>
                <w:color w:val="auto"/>
              </w:rPr>
              <w:t>—   $</w:t>
            </w:r>
          </w:p>
        </w:tc>
        <w:tc>
          <w:tcPr>
            <w:tcW w:w="8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8,179</w:t>
            </w:r>
          </w:p>
        </w:tc>
        <w:tc>
          <w:tcPr>
            <w:tcW w:w="18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6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16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Loss on extinguishment of debt and financial obligations was $8.2 million for the year ended June 30, 2023 as compared to no loss for the year ended June 30, 2022. The increase is due to our loss on the extinguishment of our term loans outstanding prior to the Merger and extinguishment of certain financing obligations during year ended June 30,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Financing and Financial Instrument Expenses,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vMerge w:val="restart"/>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D1EDF4"/>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bottom w:val="single" w:sz="8" w:color="D1EDF4"/>
            </w:tcBorders>
          </w:tcPr>
          <w:p>
            <w:pPr>
              <w:spacing w:after="0"/>
              <w:rPr>
                <w:sz w:val="15"/>
                <w:szCs w:val="15"/>
                <w:color w:val="auto"/>
              </w:rPr>
            </w:pPr>
          </w:p>
        </w:tc>
        <w:tc>
          <w:tcPr>
            <w:tcW w:w="7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D1EDF4"/>
            </w:tcBorders>
          </w:tcPr>
          <w:p>
            <w:pPr>
              <w:spacing w:after="0"/>
              <w:rPr>
                <w:sz w:val="15"/>
                <w:szCs w:val="15"/>
                <w:color w:val="auto"/>
              </w:rPr>
            </w:pPr>
          </w:p>
        </w:tc>
        <w:tc>
          <w:tcPr>
            <w:tcW w:w="1020" w:type="dxa"/>
            <w:vAlign w:val="bottom"/>
            <w:tcBorders>
              <w:bottom w:val="single" w:sz="8" w:color="auto"/>
            </w:tcBorders>
          </w:tcPr>
          <w:p>
            <w:pPr>
              <w:jc w:val="right"/>
              <w:ind w:right="153"/>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Other financing and financial instrument expenses, net</w:t>
            </w:r>
          </w:p>
        </w:tc>
        <w:tc>
          <w:tcPr>
            <w:tcW w:w="18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D1EDF4"/>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(2,753)</w:t>
            </w:r>
          </w:p>
        </w:tc>
        <w:tc>
          <w:tcPr>
            <w:tcW w:w="700" w:type="dxa"/>
            <w:vAlign w:val="bottom"/>
            <w:shd w:val="clear" w:color="auto" w:fill="D1EDF4"/>
          </w:tcPr>
          <w:p>
            <w:pPr>
              <w:jc w:val="right"/>
              <w:ind w:right="51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300" w:type="dxa"/>
            <w:vAlign w:val="bottom"/>
            <w:shd w:val="clear" w:color="auto" w:fill="D1EDF4"/>
          </w:tcPr>
          <w:p>
            <w:pPr>
              <w:ind w:lef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shd w:val="clear" w:color="auto" w:fill="D1EDF4"/>
          </w:tcPr>
          <w:p>
            <w:pPr>
              <w:spacing w:after="0"/>
              <w:rPr>
                <w:sz w:val="19"/>
                <w:szCs w:val="19"/>
                <w:color w:val="auto"/>
              </w:rPr>
            </w:pPr>
          </w:p>
        </w:tc>
        <w:tc>
          <w:tcPr>
            <w:tcW w:w="1020" w:type="dxa"/>
            <w:vAlign w:val="bottom"/>
            <w:shd w:val="clear" w:color="auto" w:fill="D1EDF4"/>
          </w:tcPr>
          <w:p>
            <w:pPr>
              <w:jc w:val="right"/>
              <w:ind w:right="193"/>
              <w:spacing w:after="0" w:line="220" w:lineRule="exact"/>
              <w:rPr>
                <w:sz w:val="20"/>
                <w:szCs w:val="20"/>
                <w:color w:val="auto"/>
              </w:rPr>
            </w:pPr>
            <w:r>
              <w:rPr>
                <w:rFonts w:ascii="Times New Roman" w:cs="Times New Roman" w:eastAsia="Times New Roman" w:hAnsi="Times New Roman"/>
                <w:sz w:val="20"/>
                <w:szCs w:val="20"/>
                <w:color w:val="auto"/>
                <w:w w:val="98"/>
              </w:rPr>
              <w:t>$ (2,753)</w:t>
            </w:r>
          </w:p>
        </w:tc>
        <w:tc>
          <w:tcPr>
            <w:tcW w:w="18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6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N/A</w:t>
            </w:r>
          </w:p>
        </w:tc>
        <w:tc>
          <w:tcPr>
            <w:tcW w:w="16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00" w:right="720" w:bottom="175" w:gutter="0" w:footer="0" w:header="0"/>
        </w:sectPr>
      </w:pPr>
    </w:p>
    <w:bookmarkStart w:id="44" w:name="page45"/>
    <w:bookmarkEnd w:id="44"/>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Other financing and financial instrument expenses, net was $2.8 million for the year ended June 30, 2023 due primarily to the $2.4 million of expense related to the issuance of shares and transfer of warrants upon termination of a convertible note agreement and $0.4 million of associated legal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vMerge w:val="restart"/>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80" w:type="dxa"/>
            <w:vAlign w:val="bottom"/>
          </w:tcPr>
          <w:p>
            <w:pPr>
              <w:spacing w:after="0"/>
              <w:rPr>
                <w:sz w:val="17"/>
                <w:szCs w:val="17"/>
                <w:color w:val="auto"/>
              </w:rPr>
            </w:pPr>
          </w:p>
        </w:tc>
        <w:tc>
          <w:tcPr>
            <w:tcW w:w="13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240"/>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D1EDF4"/>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D1EDF4"/>
            </w:tcBorders>
          </w:tcPr>
          <w:p>
            <w:pPr>
              <w:spacing w:after="0"/>
              <w:rPr>
                <w:sz w:val="15"/>
                <w:szCs w:val="15"/>
                <w:color w:val="auto"/>
              </w:rPr>
            </w:pPr>
          </w:p>
        </w:tc>
        <w:tc>
          <w:tcPr>
            <w:tcW w:w="980" w:type="dxa"/>
            <w:vAlign w:val="bottom"/>
            <w:tcBorders>
              <w:bottom w:val="single" w:sz="8" w:color="auto"/>
            </w:tcBorders>
          </w:tcPr>
          <w:p>
            <w:pPr>
              <w:jc w:val="right"/>
              <w:ind w:right="133"/>
              <w:spacing w:after="0" w:line="175" w:lineRule="exact"/>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0"/>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Other income, net</w:t>
            </w:r>
          </w:p>
        </w:tc>
        <w:tc>
          <w:tcPr>
            <w:tcW w:w="160" w:type="dxa"/>
            <w:vAlign w:val="bottom"/>
            <w:shd w:val="clear" w:color="auto" w:fill="D1EDF4"/>
          </w:tcPr>
          <w:p>
            <w:pPr>
              <w:spacing w:after="0"/>
              <w:rPr>
                <w:sz w:val="19"/>
                <w:szCs w:val="19"/>
                <w:color w:val="auto"/>
              </w:rPr>
            </w:pP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2,812</w:t>
            </w:r>
          </w:p>
        </w:tc>
        <w:tc>
          <w:tcPr>
            <w:tcW w:w="16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2,632</w:t>
            </w: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jc w:val="right"/>
              <w:ind w:right="453"/>
              <w:spacing w:after="0" w:line="220" w:lineRule="exact"/>
              <w:rPr>
                <w:sz w:val="20"/>
                <w:szCs w:val="20"/>
                <w:color w:val="auto"/>
              </w:rPr>
            </w:pPr>
            <w:r>
              <w:rPr>
                <w:rFonts w:ascii="Times New Roman" w:cs="Times New Roman" w:eastAsia="Times New Roman" w:hAnsi="Times New Roman"/>
                <w:sz w:val="20"/>
                <w:szCs w:val="20"/>
                <w:color w:val="auto"/>
                <w:w w:val="93"/>
              </w:rPr>
              <w:t>$ 180</w:t>
            </w:r>
          </w:p>
        </w:tc>
        <w:tc>
          <w:tcPr>
            <w:tcW w:w="1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00" w:type="dxa"/>
            <w:vAlign w:val="bottom"/>
            <w:gridSpan w:val="2"/>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-158115</wp:posOffset>
            </wp:positionV>
            <wp:extent cx="58420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584200" cy="171450"/>
                    </a:xfrm>
                    <a:prstGeom prst="rect">
                      <a:avLst/>
                    </a:prstGeom>
                    <a:noFill/>
                  </pic:spPr>
                </pic:pic>
              </a:graphicData>
            </a:graphic>
          </wp:anchor>
        </w:drawing>
      </w:r>
    </w:p>
    <w:p>
      <w:pPr>
        <w:spacing w:after="0" w:line="190"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Other income, net increased to $2.8 million for the year ended June 30, 2023, as compared to other income, net of $2.6 million for the year ended June 30, 2022. The amounts in both periods were primarily due to the forgiveness of our PPP loans during the years ended June 30,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(Benefit) for Income Taxes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Provision (benefit) for income taxes was not material in the years ended June 30, 2023 and 2022.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4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10-K.</w:t>
      </w:r>
    </w:p>
    <w:p>
      <w:pPr>
        <w:spacing w:after="0" w:line="200"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management’s view. We believe that these measures provide an additional tool for investors to use in comparing our core financial performance over multiple periods with other companies in our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Gross Profit</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Adjusted Gross Profit is calculated as gross profit adjusted to add back depreciation, and hardware repair expenses related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COVID.</w:t>
      </w:r>
    </w:p>
    <w:p>
      <w:pPr>
        <w:spacing w:after="0" w:line="211"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We use Adjusted Gross Profit to capture and evaluate our core operating performance and trends. We believe this metric is useful to us and our investors because it removes the impact of events that do not reflect our core operating performance, thereby providing consistency and direct comparability with our past financial performance and between fiscal periods.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a reconciliation of gross profit to Adjusted Gross Profit for each of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gridSpan w:val="2"/>
            <w:vMerge w:val="restart"/>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5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D1EDF4"/>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7"/>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780" w:type="dxa"/>
            <w:vAlign w:val="bottom"/>
            <w:gridSpan w:val="3"/>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Gross profit</w:t>
            </w:r>
          </w:p>
        </w:tc>
        <w:tc>
          <w:tcPr>
            <w:tcW w:w="280" w:type="dxa"/>
            <w:vAlign w:val="bottom"/>
            <w:shd w:val="clear" w:color="auto" w:fill="D1EDF4"/>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521</w:t>
            </w:r>
          </w:p>
        </w:tc>
        <w:tc>
          <w:tcPr>
            <w:tcW w:w="520" w:type="dxa"/>
            <w:vAlign w:val="bottom"/>
            <w:gridSpan w:val="3"/>
            <w:shd w:val="clear" w:color="auto" w:fill="D1EDF4"/>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633</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Depreciation</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80" w:type="dxa"/>
            <w:vAlign w:val="bottom"/>
            <w:gridSpan w:val="3"/>
            <w:shd w:val="clear" w:color="auto" w:fill="D1EDF4"/>
          </w:tcPr>
          <w:p>
            <w:pPr>
              <w:spacing w:after="0"/>
              <w:rPr>
                <w:sz w:val="20"/>
                <w:szCs w:val="20"/>
                <w:color w:val="auto"/>
              </w:rPr>
            </w:pPr>
            <w:r>
              <w:rPr>
                <w:rFonts w:ascii="Times New Roman" w:cs="Times New Roman" w:eastAsia="Times New Roman" w:hAnsi="Times New Roman"/>
                <w:sz w:val="20"/>
                <w:szCs w:val="20"/>
                <w:color w:val="auto"/>
              </w:rPr>
              <w:t>Hardware repair expenses related to COVID</w:t>
            </w:r>
          </w:p>
        </w:tc>
        <w:tc>
          <w:tcPr>
            <w:tcW w:w="280" w:type="dxa"/>
            <w:vAlign w:val="bottom"/>
            <w:tcBorders>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76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Adjusted Gross Profit</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1,685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3,197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23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Adjusted EBITDA is defined as net loss, adjusted to exclude interest expense, other income, net, income taxes, depreciation and amortization expense, stock-based compensation expense, earnout stock- based compensation expense, change in fair value of warrant liabilities and convertible promissory notes, loss extinguishment of debt and financing obligations, other financing and financial instrument expenses, net, deferred compensation and bonuses earned upon closing of the Merger, public relations fee due upon closing of the Merger, loss on infrequent product repairs, reduction in force, and hardware repair expenses related to COVID.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700" w:right="720" w:bottom="175" w:gutter="0" w:footer="0" w:header="0"/>
        </w:sectPr>
      </w:pPr>
    </w:p>
    <w:bookmarkStart w:id="45" w:name="page46"/>
    <w:bookmarkEnd w:id="45"/>
    <w:p>
      <w:pPr>
        <w:jc w:val="both"/>
        <w:ind w:firstLine="720"/>
        <w:spacing w:after="0" w:line="255" w:lineRule="auto"/>
        <w:rPr>
          <w:sz w:val="20"/>
          <w:szCs w:val="20"/>
          <w:color w:val="auto"/>
        </w:rPr>
      </w:pPr>
      <w:r>
        <w:rPr>
          <w:rFonts w:ascii="Times New Roman" w:cs="Times New Roman" w:eastAsia="Times New Roman" w:hAnsi="Times New Roman"/>
          <w:sz w:val="19"/>
          <w:szCs w:val="19"/>
          <w:color w:val="auto"/>
        </w:rPr>
        <w:t>We believe Adjusted EBITDA is useful for investors when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a reconciliation of net loss to Adjusted EBITDA for each of the periods presented: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5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8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D1EDF4"/>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5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Net loss</w:t>
            </w:r>
          </w:p>
        </w:tc>
        <w:tc>
          <w:tcPr>
            <w:tcW w:w="520" w:type="dxa"/>
            <w:vAlign w:val="bottom"/>
            <w:gridSpan w:val="3"/>
            <w:shd w:val="clear" w:color="auto" w:fill="D1EDF4"/>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shd w:val="clear" w:color="auto" w:fill="D1EDF4"/>
          </w:tcPr>
          <w:p>
            <w:pPr>
              <w:jc w:val="right"/>
              <w:ind w:right="220"/>
              <w:spacing w:after="0" w:line="221" w:lineRule="exact"/>
              <w:rPr>
                <w:sz w:val="20"/>
                <w:szCs w:val="20"/>
                <w:color w:val="auto"/>
              </w:rPr>
            </w:pPr>
            <w:r>
              <w:rPr>
                <w:rFonts w:ascii="Times New Roman" w:cs="Times New Roman" w:eastAsia="Times New Roman" w:hAnsi="Times New Roman"/>
                <w:sz w:val="20"/>
                <w:szCs w:val="20"/>
                <w:color w:val="auto"/>
              </w:rPr>
              <w:t>(34,480)</w:t>
            </w:r>
          </w:p>
        </w:tc>
        <w:tc>
          <w:tcPr>
            <w:tcW w:w="300" w:type="dxa"/>
            <w:vAlign w:val="bottom"/>
            <w:gridSpan w:val="2"/>
            <w:shd w:val="clear" w:color="auto" w:fill="D1EDF4"/>
          </w:tcPr>
          <w:p>
            <w:pPr>
              <w:jc w:val="right"/>
              <w:ind w:right="8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(56,314)</w:t>
            </w:r>
          </w:p>
        </w:tc>
        <w:tc>
          <w:tcPr>
            <w:tcW w:w="240" w:type="dxa"/>
            <w:vAlign w:val="bottom"/>
            <w:shd w:val="clear" w:color="auto" w:fill="D1EDF4"/>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220" w:type="dxa"/>
            <w:vAlign w:val="bottom"/>
            <w:gridSpan w:val="3"/>
            <w:shd w:val="clear" w:color="auto" w:fill="D1EDF4"/>
          </w:tcPr>
          <w:p>
            <w:pPr>
              <w:jc w:val="right"/>
              <w:ind w:right="220"/>
              <w:spacing w:after="0"/>
              <w:rPr>
                <w:sz w:val="20"/>
                <w:szCs w:val="20"/>
                <w:color w:val="auto"/>
              </w:rPr>
            </w:pPr>
            <w:r>
              <w:rPr>
                <w:rFonts w:ascii="Times New Roman" w:cs="Times New Roman" w:eastAsia="Times New Roman" w:hAnsi="Times New Roman"/>
                <w:sz w:val="20"/>
                <w:szCs w:val="20"/>
                <w:color w:val="auto"/>
              </w:rPr>
              <w:t>(2,812)</w:t>
            </w: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1,681</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Earnout stock-based compensation expense</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4,910</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warrants and convertible promissory notes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(42,811)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Loss on extinguishment of debt and financial obligations</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8,179</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Other financing and financial instrument expenses, net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Deferred compensation and bonuses earned upon closing of the Merger</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Public relations fee due upon closing of the Merger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1EDF4"/>
          </w:tcPr>
          <w:p>
            <w:pPr>
              <w:spacing w:after="0" w:line="232" w:lineRule="exact"/>
              <w:rPr>
                <w:sz w:val="20"/>
                <w:szCs w:val="20"/>
                <w:color w:val="auto"/>
              </w:rPr>
            </w:pPr>
            <w:r>
              <w:rPr>
                <w:rFonts w:ascii="Times New Roman" w:cs="Times New Roman" w:eastAsia="Times New Roman" w:hAnsi="Times New Roman"/>
                <w:sz w:val="20"/>
                <w:szCs w:val="20"/>
                <w:color w:val="auto"/>
              </w:rPr>
              <w:t>Loss on infrequent product repairs</w:t>
            </w:r>
            <w:r>
              <w:rPr>
                <w:rFonts w:ascii="Times New Roman" w:cs="Times New Roman" w:eastAsia="Times New Roman" w:hAnsi="Times New Roman"/>
                <w:sz w:val="25"/>
                <w:szCs w:val="25"/>
                <w:color w:val="auto"/>
                <w:vertAlign w:val="superscript"/>
              </w:rPr>
              <w:t>(1)</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220" w:type="dxa"/>
            <w:vAlign w:val="bottom"/>
            <w:gridSpan w:val="3"/>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20"/>
                <w:szCs w:val="20"/>
                <w:color w:val="auto"/>
              </w:rPr>
              <w:t>Reduction in force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540" w:type="dxa"/>
            <w:vAlign w:val="bottom"/>
            <w:shd w:val="clear" w:color="auto" w:fill="D1EDF4"/>
          </w:tcPr>
          <w:p>
            <w:pPr>
              <w:spacing w:after="0" w:line="232" w:lineRule="exact"/>
              <w:rPr>
                <w:sz w:val="20"/>
                <w:szCs w:val="20"/>
                <w:color w:val="auto"/>
              </w:rPr>
            </w:pPr>
            <w:r>
              <w:rPr>
                <w:rFonts w:ascii="Times New Roman" w:cs="Times New Roman" w:eastAsia="Times New Roman" w:hAnsi="Times New Roman"/>
                <w:sz w:val="20"/>
                <w:szCs w:val="20"/>
                <w:color w:val="auto"/>
              </w:rPr>
              <w:t>Hardware repair expense related to COVID</w:t>
            </w:r>
            <w:r>
              <w:rPr>
                <w:rFonts w:ascii="Times New Roman" w:cs="Times New Roman" w:eastAsia="Times New Roman" w:hAnsi="Times New Roman"/>
                <w:sz w:val="25"/>
                <w:szCs w:val="25"/>
                <w:color w:val="auto"/>
                <w:vertAlign w:val="superscript"/>
              </w:rPr>
              <w:t>(1)</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1220" w:type="dxa"/>
            <w:vAlign w:val="bottom"/>
            <w:gridSpan w:val="3"/>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24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54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Adjusted EBITDA</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(39,057)</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(27,928)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253365</wp:posOffset>
                </wp:positionV>
                <wp:extent cx="17145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95pt" to="135pt,19.95pt" o:allowincell="f" strokecolor="#000000" strokeweight="1.02pt"/>
            </w:pict>
          </mc:Fallback>
        </mc:AlternateContent>
      </w:r>
    </w:p>
    <w:p>
      <w:pPr>
        <w:spacing w:after="0" w:line="200" w:lineRule="exact"/>
        <w:rPr>
          <w:sz w:val="20"/>
          <w:szCs w:val="20"/>
          <w:color w:val="auto"/>
        </w:rPr>
      </w:pPr>
    </w:p>
    <w:p>
      <w:pPr>
        <w:spacing w:after="0" w:line="220" w:lineRule="exact"/>
        <w:rPr>
          <w:sz w:val="20"/>
          <w:szCs w:val="20"/>
          <w:color w:val="auto"/>
        </w:rPr>
      </w:pPr>
    </w:p>
    <w:p>
      <w:pPr>
        <w:ind w:left="720" w:right="20" w:hanging="360"/>
        <w:spacing w:after="0" w:line="247"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June 2022, we received an arbitration decision in a dispute with our third-party subcontractor and were awarded approximately $11.3 million in damages related to our loss on infrequent product repairs and to cover our legal expenses </w:t>
      </w:r>
      <w:r>
        <w:rPr>
          <w:rFonts w:ascii="Times New Roman" w:cs="Times New Roman" w:eastAsia="Times New Roman" w:hAnsi="Times New Roman"/>
          <w:sz w:val="20"/>
          <w:szCs w:val="20"/>
          <w:color w:val="000309"/>
        </w:rPr>
        <w:t>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0309"/>
        </w:rPr>
        <w:t>arbitration ruling was affirmed by the appellate court in the country of the arbitration ruling on March 6, 2023</w:t>
      </w:r>
      <w:r>
        <w:rPr>
          <w:rFonts w:ascii="Times New Roman" w:cs="Times New Roman" w:eastAsia="Times New Roman" w:hAnsi="Times New Roman"/>
          <w:sz w:val="20"/>
          <w:szCs w:val="20"/>
          <w:color w:val="000000"/>
        </w:rPr>
        <w:t>. The vendor</w:t>
      </w:r>
      <w:r>
        <w:rPr>
          <w:rFonts w:ascii="Times New Roman" w:cs="Times New Roman" w:eastAsia="Times New Roman" w:hAnsi="Times New Roman"/>
          <w:sz w:val="20"/>
          <w:szCs w:val="20"/>
          <w:color w:val="000309"/>
        </w:rPr>
        <w:t xml:space="preserve"> </w:t>
      </w:r>
      <w:r>
        <w:rPr>
          <w:rFonts w:ascii="Times New Roman" w:cs="Times New Roman" w:eastAsia="Times New Roman" w:hAnsi="Times New Roman"/>
          <w:sz w:val="20"/>
          <w:szCs w:val="20"/>
          <w:color w:val="000000"/>
        </w:rPr>
        <w:t>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3"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As of June 30, 2023 and June 30, 2022, our principal sources of liquidity were cash and cash equivalents of $15.1 million and $3.0 million, respectively, which were held for working capital purposes. This excludes $10.0 million of restricted cash as of June 30, 2023.</w:t>
      </w:r>
    </w:p>
    <w:p>
      <w:pPr>
        <w:spacing w:after="0" w:line="186"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Since inception, we have financed our operations primarily through financing transactions such as the issuance of convertible promissory notes and loans, and sales of common stock and convertible preferred stock. We have incurred recurring operating losses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700" w:right="720" w:bottom="175"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20"/>
          <w:szCs w:val="20"/>
          <w:color w:val="auto"/>
        </w:rPr>
        <w:t>since our inception, including operating losses of $56.4 million and $33.2 million for the years ended June 30, 2023 and 2022, respectively. As of June 30, 2023 and June 30, 2022, we had an accumulated deficit of $235.3 million and $200.8 million, respectively, and we expect to continue to generate operating losses for the near term. Cash from operations could also be affected by various risks and uncertainties including, but not limited to, the timing of cash collections from customers and other risks.</w:t>
      </w:r>
    </w:p>
    <w:p>
      <w:pPr>
        <w:spacing w:after="0" w:line="193"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While we received cash of $49.8 million from the completion of the Merger, net cash of $13.7 million from the Credit Agreement and concurrent repayment of other debt obligations, and $9.5 million from the sale of common stock in a private placement in May 2023, additional capital infusions will be necessary in order to fund currently anticipated expenditures, and to meet our obligations as they come due.</w:t>
      </w:r>
    </w:p>
    <w:p>
      <w:pPr>
        <w:spacing w:after="0" w:line="191"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Our plans for additional financings are intended to mitigate the conditions or events that raise substantial doubt about our ability to continue as a going concern,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Cash Flows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7"/>
          </w:tcPr>
          <w:p>
            <w:pPr>
              <w:ind w:left="18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40" w:type="dxa"/>
            <w:vAlign w:val="bottom"/>
          </w:tcPr>
          <w:p>
            <w:pPr>
              <w:spacing w:after="0"/>
              <w:rPr>
                <w:sz w:val="17"/>
                <w:szCs w:val="17"/>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47"/>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Borders>
              <w:top w:val="single" w:sz="8" w:color="auto"/>
              <w:bottom w:val="single" w:sz="8" w:color="D1EDF4"/>
            </w:tcBorders>
          </w:tcPr>
          <w:p>
            <w:pPr>
              <w:spacing w:after="0"/>
              <w:rPr>
                <w:sz w:val="15"/>
                <w:szCs w:val="15"/>
                <w:color w:val="auto"/>
              </w:rPr>
            </w:pPr>
          </w:p>
        </w:tc>
        <w:tc>
          <w:tcPr>
            <w:tcW w:w="20" w:type="dxa"/>
            <w:vAlign w:val="bottom"/>
            <w:tcBorders>
              <w:top w:val="single" w:sz="8" w:color="auto"/>
              <w:bottom w:val="single" w:sz="8" w:color="D1EDF4"/>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64"/>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67"/>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D1EDF4"/>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204"/>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1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400" w:type="dxa"/>
            <w:vAlign w:val="bottom"/>
            <w:gridSpan w:val="3"/>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(44,532)</w:t>
            </w:r>
          </w:p>
        </w:tc>
        <w:tc>
          <w:tcPr>
            <w:tcW w:w="2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2"/>
            <w:shd w:val="clear" w:color="auto" w:fill="D1EDF4"/>
          </w:tcPr>
          <w:p>
            <w:pPr>
              <w:jc w:val="right"/>
              <w:ind w:right="160"/>
              <w:spacing w:after="0" w:line="220" w:lineRule="exact"/>
              <w:rPr>
                <w:sz w:val="20"/>
                <w:szCs w:val="20"/>
                <w:color w:val="auto"/>
              </w:rPr>
            </w:pPr>
            <w:r>
              <w:rPr>
                <w:rFonts w:ascii="Times New Roman" w:cs="Times New Roman" w:eastAsia="Times New Roman" w:hAnsi="Times New Roman"/>
                <w:sz w:val="20"/>
                <w:szCs w:val="20"/>
                <w:color w:val="auto"/>
              </w:rPr>
              <w:t>(47,299)</w:t>
            </w:r>
          </w:p>
        </w:tc>
        <w:tc>
          <w:tcPr>
            <w:tcW w:w="20" w:type="dxa"/>
            <w:vAlign w:val="bottom"/>
            <w:shd w:val="clear" w:color="auto" w:fill="D1EDF4"/>
          </w:tcPr>
          <w:p>
            <w:pPr>
              <w:spacing w:after="0"/>
              <w:rPr>
                <w:sz w:val="19"/>
                <w:szCs w:val="19"/>
                <w:color w:val="auto"/>
              </w:rPr>
            </w:pPr>
          </w:p>
        </w:tc>
        <w:tc>
          <w:tcPr>
            <w:tcW w:w="240" w:type="dxa"/>
            <w:vAlign w:val="bottom"/>
            <w:shd w:val="clear" w:color="auto" w:fill="D1ED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2,767</w:t>
            </w:r>
          </w:p>
        </w:tc>
        <w:tc>
          <w:tcPr>
            <w:tcW w:w="18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7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(7,892)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(2,213)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(5,679)</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7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74,550</w:t>
            </w: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8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15,620</w:t>
            </w:r>
          </w:p>
        </w:tc>
        <w:tc>
          <w:tcPr>
            <w:tcW w:w="16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240" w:type="dxa"/>
            <w:vAlign w:val="bottom"/>
            <w:tcBorders>
              <w:bottom w:val="single" w:sz="8" w:color="auto"/>
            </w:tcBorders>
            <w:shd w:val="clear" w:color="auto" w:fill="D1EDF4"/>
          </w:tcPr>
          <w:p>
            <w:pPr>
              <w:spacing w:after="0"/>
              <w:rPr>
                <w:sz w:val="20"/>
                <w:szCs w:val="20"/>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58,930</w:t>
            </w:r>
          </w:p>
        </w:tc>
        <w:tc>
          <w:tcPr>
            <w:tcW w:w="180" w:type="dxa"/>
            <w:vAlign w:val="bottom"/>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spacing w:after="0"/>
              <w:rPr>
                <w:sz w:val="20"/>
                <w:szCs w:val="20"/>
                <w:color w:val="auto"/>
              </w:rPr>
            </w:pPr>
          </w:p>
        </w:tc>
        <w:tc>
          <w:tcPr>
            <w:tcW w:w="5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160" w:type="dxa"/>
            <w:vAlign w:val="bottom"/>
            <w:shd w:val="clear" w:color="auto" w:fill="D1EDF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Net increase (decrease) in cash</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22,126</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(33,892)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(165)</w:t>
            </w:r>
          </w:p>
        </w:tc>
        <w:tc>
          <w:tcPr>
            <w:tcW w:w="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8"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June 30, 2023, net cash used in operating activities decreased by 6%, to $44.5 million, as compared to $47.3 million for the year ended June 30, 2022.</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the year ended June 30, 2023, net cash used in operating activities was $44.5 million. This consisted of our net loss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$34.5 million and a net use of cash from changes in operating assets and liabilities of $1.5 million and adjustments for non-cash gains,</w:t>
      </w:r>
    </w:p>
    <w:p>
      <w:pPr>
        <w:spacing w:after="0"/>
        <w:rPr>
          <w:sz w:val="20"/>
          <w:szCs w:val="20"/>
          <w:color w:val="auto"/>
        </w:rPr>
      </w:pPr>
      <w:r>
        <w:rPr>
          <w:rFonts w:ascii="Times New Roman" w:cs="Times New Roman" w:eastAsia="Times New Roman" w:hAnsi="Times New Roman"/>
          <w:sz w:val="20"/>
          <w:szCs w:val="20"/>
          <w:color w:val="auto"/>
        </w:rPr>
        <w:t>net of $8.5 million. The net use of cash from changes in operating assets and liabilities primarily relate to an increase in accounts</w:t>
      </w:r>
    </w:p>
    <w:p>
      <w:pPr>
        <w:spacing w:after="0"/>
        <w:rPr>
          <w:sz w:val="20"/>
          <w:szCs w:val="20"/>
          <w:color w:val="auto"/>
        </w:rPr>
      </w:pPr>
      <w:r>
        <w:rPr>
          <w:rFonts w:ascii="Times New Roman" w:cs="Times New Roman" w:eastAsia="Times New Roman" w:hAnsi="Times New Roman"/>
          <w:sz w:val="20"/>
          <w:szCs w:val="20"/>
          <w:color w:val="auto"/>
        </w:rPr>
        <w:t>receivable of $0.3 million, an increase in prepaids and other current assets of $0.5 million, a decrease in accrued liabilities of $2.0</w:t>
      </w:r>
    </w:p>
    <w:p>
      <w:pPr>
        <w:spacing w:after="0"/>
        <w:rPr>
          <w:sz w:val="20"/>
          <w:szCs w:val="20"/>
          <w:color w:val="auto"/>
        </w:rPr>
      </w:pPr>
      <w:r>
        <w:rPr>
          <w:rFonts w:ascii="Times New Roman" w:cs="Times New Roman" w:eastAsia="Times New Roman" w:hAnsi="Times New Roman"/>
          <w:sz w:val="20"/>
          <w:szCs w:val="20"/>
          <w:color w:val="auto"/>
        </w:rPr>
        <w:t>million and a decrease in deferred revenue of $9.2 million. Such uses of cash were partially offset by a decrease in deferred costs of</w:t>
      </w:r>
    </w:p>
    <w:p>
      <w:pPr>
        <w:spacing w:after="0"/>
        <w:rPr>
          <w:sz w:val="20"/>
          <w:szCs w:val="20"/>
          <w:color w:val="auto"/>
        </w:rPr>
      </w:pPr>
      <w:r>
        <w:rPr>
          <w:rFonts w:ascii="Times New Roman" w:cs="Times New Roman" w:eastAsia="Times New Roman" w:hAnsi="Times New Roman"/>
          <w:sz w:val="20"/>
          <w:szCs w:val="20"/>
          <w:color w:val="auto"/>
        </w:rPr>
        <w:t>$9.1 million and a decrease in accounts payable of $1.5 million. The non-cash adjustments primarily relate to gains associated with</w:t>
      </w:r>
    </w:p>
    <w:p>
      <w:pPr>
        <w:spacing w:after="0"/>
        <w:rPr>
          <w:sz w:val="20"/>
          <w:szCs w:val="20"/>
          <w:color w:val="auto"/>
        </w:rPr>
      </w:pPr>
      <w:r>
        <w:rPr>
          <w:rFonts w:ascii="Times New Roman" w:cs="Times New Roman" w:eastAsia="Times New Roman" w:hAnsi="Times New Roman"/>
          <w:sz w:val="20"/>
          <w:szCs w:val="20"/>
          <w:color w:val="auto"/>
        </w:rPr>
        <w:t>changes in fair value of warrants and convertible promissory notes of $48.3 million and change in fair value of our liability-</w:t>
      </w:r>
    </w:p>
    <w:p>
      <w:pPr>
        <w:spacing w:after="0"/>
        <w:rPr>
          <w:sz w:val="20"/>
          <w:szCs w:val="20"/>
          <w:color w:val="auto"/>
        </w:rPr>
      </w:pPr>
      <w:r>
        <w:rPr>
          <w:rFonts w:ascii="Times New Roman" w:cs="Times New Roman" w:eastAsia="Times New Roman" w:hAnsi="Times New Roman"/>
          <w:sz w:val="20"/>
          <w:szCs w:val="20"/>
          <w:color w:val="auto"/>
        </w:rPr>
        <w:t>classified warrants of $5.5 million, forgiveness of our outstanding PPP loan of $2.0 million, and change in fair value of Unvested</w:t>
      </w:r>
    </w:p>
    <w:p>
      <w:pPr>
        <w:spacing w:after="0"/>
        <w:rPr>
          <w:sz w:val="20"/>
          <w:szCs w:val="20"/>
          <w:color w:val="auto"/>
        </w:rPr>
      </w:pPr>
      <w:r>
        <w:rPr>
          <w:rFonts w:ascii="Times New Roman" w:cs="Times New Roman" w:eastAsia="Times New Roman" w:hAnsi="Times New Roman"/>
          <w:sz w:val="20"/>
          <w:szCs w:val="20"/>
          <w:color w:val="auto"/>
        </w:rPr>
        <w:t>Sponsor Shares liability of $0.2 million, partially offset by loss on debt extinguishment of debt and financing obligations of $8.2</w:t>
      </w:r>
    </w:p>
    <w:p>
      <w:pPr>
        <w:spacing w:after="0"/>
        <w:rPr>
          <w:sz w:val="20"/>
          <w:szCs w:val="20"/>
          <w:color w:val="auto"/>
        </w:rPr>
      </w:pPr>
      <w:r>
        <w:rPr>
          <w:rFonts w:ascii="Times New Roman" w:cs="Times New Roman" w:eastAsia="Times New Roman" w:hAnsi="Times New Roman"/>
          <w:sz w:val="20"/>
          <w:szCs w:val="20"/>
          <w:color w:val="auto"/>
        </w:rPr>
        <w:t>million, stock-based compensation expense of $8.7 million, paid in-kind interest expense of $5.5 million, share and warrant cost on</w:t>
      </w:r>
    </w:p>
    <w:p>
      <w:pPr>
        <w:spacing w:after="0"/>
        <w:rPr>
          <w:sz w:val="20"/>
          <w:szCs w:val="20"/>
          <w:color w:val="auto"/>
        </w:rPr>
      </w:pPr>
      <w:r>
        <w:rPr>
          <w:rFonts w:ascii="Times New Roman" w:cs="Times New Roman" w:eastAsia="Times New Roman" w:hAnsi="Times New Roman"/>
          <w:sz w:val="20"/>
          <w:szCs w:val="20"/>
          <w:color w:val="auto"/>
        </w:rPr>
        <w:t>termination of convertible note agreement of $2.4 million, earnout share stock-based compensation expense of $4.9 million,</w:t>
      </w:r>
    </w:p>
    <w:p>
      <w:pPr>
        <w:spacing w:after="0"/>
        <w:rPr>
          <w:sz w:val="20"/>
          <w:szCs w:val="20"/>
          <w:color w:val="auto"/>
        </w:rPr>
      </w:pPr>
      <w:r>
        <w:rPr>
          <w:rFonts w:ascii="Times New Roman" w:cs="Times New Roman" w:eastAsia="Times New Roman" w:hAnsi="Times New Roman"/>
          <w:sz w:val="20"/>
          <w:szCs w:val="20"/>
          <w:color w:val="auto"/>
        </w:rPr>
        <w:t>amortization of debt discount and debt issuance costs of $3.4 million, depreciation, amortization and impairment of $1.7 million,</w:t>
      </w:r>
    </w:p>
    <w:p>
      <w:pPr>
        <w:spacing w:after="0"/>
        <w:rPr>
          <w:sz w:val="20"/>
          <w:szCs w:val="20"/>
          <w:color w:val="auto"/>
        </w:rPr>
      </w:pPr>
      <w:r>
        <w:rPr>
          <w:rFonts w:ascii="Times New Roman" w:cs="Times New Roman" w:eastAsia="Times New Roman" w:hAnsi="Times New Roman"/>
          <w:sz w:val="20"/>
          <w:szCs w:val="20"/>
          <w:color w:val="auto"/>
        </w:rPr>
        <w:t>contra-revenue of $1.2 million, and non-cash lease expense of $0.3 million.</w:t>
      </w:r>
    </w:p>
    <w:p>
      <w:pPr>
        <w:spacing w:after="0" w:line="2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the year ended June 30, 2022, net cash used in operating activities was $47.3 million. This consisted of our net loss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$56.3 million and a net use of cash from changes in operating assets and liabilities of $14.3 million partially offset by adjustments for</w:t>
      </w:r>
    </w:p>
    <w:p>
      <w:pPr>
        <w:spacing w:after="0"/>
        <w:rPr>
          <w:sz w:val="20"/>
          <w:szCs w:val="20"/>
          <w:color w:val="auto"/>
        </w:rPr>
      </w:pPr>
      <w:r>
        <w:rPr>
          <w:rFonts w:ascii="Times New Roman" w:cs="Times New Roman" w:eastAsia="Times New Roman" w:hAnsi="Times New Roman"/>
          <w:sz w:val="20"/>
          <w:szCs w:val="20"/>
          <w:color w:val="auto"/>
        </w:rPr>
        <w:t>non-cash charges of $23.3 million. The net use of cash from changes in operating assets and liabilities primarily relate to decreases in</w:t>
      </w:r>
    </w:p>
    <w:p>
      <w:pPr>
        <w:spacing w:after="0"/>
        <w:rPr>
          <w:sz w:val="20"/>
          <w:szCs w:val="20"/>
          <w:color w:val="auto"/>
        </w:rPr>
      </w:pPr>
      <w:r>
        <w:rPr>
          <w:rFonts w:ascii="Times New Roman" w:cs="Times New Roman" w:eastAsia="Times New Roman" w:hAnsi="Times New Roman"/>
          <w:sz w:val="20"/>
          <w:szCs w:val="20"/>
          <w:color w:val="auto"/>
        </w:rPr>
        <w:t>deferred revenue of $14.9 million, vendor financing facility of $6.8 million, accounts payable of $3.3 million and accrued liabilities of</w:t>
      </w:r>
    </w:p>
    <w:p>
      <w:pPr>
        <w:spacing w:after="0"/>
        <w:rPr>
          <w:sz w:val="20"/>
          <w:szCs w:val="20"/>
          <w:color w:val="auto"/>
        </w:rPr>
      </w:pPr>
      <w:r>
        <w:rPr>
          <w:rFonts w:ascii="Times New Roman" w:cs="Times New Roman" w:eastAsia="Times New Roman" w:hAnsi="Times New Roman"/>
          <w:sz w:val="20"/>
          <w:szCs w:val="20"/>
          <w:color w:val="auto"/>
        </w:rPr>
        <w:t>$3.6 million, partially offset by decreases in deferred costs of $11.4 million and decreases in inventories of $2.5 million. The non-</w:t>
      </w:r>
    </w:p>
    <w:p>
      <w:pPr>
        <w:spacing w:after="0"/>
        <w:rPr>
          <w:sz w:val="20"/>
          <w:szCs w:val="20"/>
          <w:color w:val="auto"/>
        </w:rPr>
      </w:pPr>
      <w:r>
        <w:rPr>
          <w:rFonts w:ascii="Times New Roman" w:cs="Times New Roman" w:eastAsia="Times New Roman" w:hAnsi="Times New Roman"/>
          <w:sz w:val="20"/>
          <w:szCs w:val="20"/>
          <w:color w:val="auto"/>
        </w:rPr>
        <w:t>cash adjustments primarily relate to change in fair value of convertible promissory notes of $18.9 million, change in fair value of our</w:t>
      </w:r>
    </w:p>
    <w:p>
      <w:pPr>
        <w:spacing w:after="0"/>
        <w:rPr>
          <w:sz w:val="20"/>
          <w:szCs w:val="20"/>
          <w:color w:val="auto"/>
        </w:rPr>
      </w:pPr>
      <w:r>
        <w:rPr>
          <w:rFonts w:ascii="Times New Roman" w:cs="Times New Roman" w:eastAsia="Times New Roman" w:hAnsi="Times New Roman"/>
          <w:sz w:val="20"/>
          <w:szCs w:val="20"/>
          <w:color w:val="auto"/>
        </w:rPr>
        <w:t>liability-classified warrants of $1.6 million, depreciation, amortization and impairment of $2.4 million, stock-based compensation</w:t>
      </w:r>
    </w:p>
    <w:p>
      <w:pPr>
        <w:spacing w:after="0"/>
        <w:rPr>
          <w:sz w:val="20"/>
          <w:szCs w:val="20"/>
          <w:color w:val="auto"/>
        </w:rPr>
      </w:pPr>
      <w:r>
        <w:rPr>
          <w:rFonts w:ascii="Times New Roman" w:cs="Times New Roman" w:eastAsia="Times New Roman" w:hAnsi="Times New Roman"/>
          <w:sz w:val="20"/>
          <w:szCs w:val="20"/>
          <w:color w:val="auto"/>
        </w:rPr>
        <w:t>expense of $1.9 million and amortization of debt discounts of $1.2 million partially offset by forgiveness of one of our PPP loans of</w:t>
      </w:r>
    </w:p>
    <w:p>
      <w:pPr>
        <w:spacing w:after="0"/>
        <w:rPr>
          <w:sz w:val="20"/>
          <w:szCs w:val="20"/>
          <w:color w:val="auto"/>
        </w:rPr>
      </w:pPr>
      <w:r>
        <w:rPr>
          <w:rFonts w:ascii="Times New Roman" w:cs="Times New Roman" w:eastAsia="Times New Roman" w:hAnsi="Times New Roman"/>
          <w:sz w:val="20"/>
          <w:szCs w:val="20"/>
          <w:color w:val="auto"/>
        </w:rPr>
        <w:t>$2.6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700" w:right="720" w:bottom="175"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7" w:lineRule="exact"/>
        <w:rPr>
          <w:sz w:val="20"/>
          <w:szCs w:val="20"/>
          <w:color w:val="auto"/>
        </w:rPr>
      </w:pPr>
    </w:p>
    <w:p>
      <w:pPr>
        <w:ind w:right="12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June 30, 2023, net cash used in investing activities increased to $7.9 million, as compared to $2.2 million for the year ended June 30, 2022.</w:t>
      </w:r>
    </w:p>
    <w:p>
      <w:pPr>
        <w:spacing w:after="0" w:line="168" w:lineRule="exact"/>
        <w:rPr>
          <w:sz w:val="20"/>
          <w:szCs w:val="20"/>
          <w:color w:val="auto"/>
        </w:rPr>
      </w:pPr>
    </w:p>
    <w:p>
      <w:pPr>
        <w:ind w:right="62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June 30, 2023, cash used in investing activities primarily consisted of cash outflows for capitalized software of $5.6 million and a cash outflow for an investment in non-affiliate of $2.0 million.</w:t>
      </w:r>
    </w:p>
    <w:p>
      <w:pPr>
        <w:spacing w:after="0" w:line="167" w:lineRule="exact"/>
        <w:rPr>
          <w:sz w:val="20"/>
          <w:szCs w:val="20"/>
          <w:color w:val="auto"/>
        </w:rPr>
      </w:pPr>
    </w:p>
    <w:p>
      <w:pPr>
        <w:ind w:right="160" w:firstLine="720"/>
        <w:spacing w:after="0" w:line="278" w:lineRule="auto"/>
        <w:rPr>
          <w:sz w:val="20"/>
          <w:szCs w:val="20"/>
          <w:color w:val="auto"/>
        </w:rPr>
      </w:pPr>
      <w:r>
        <w:rPr>
          <w:rFonts w:ascii="Times New Roman" w:cs="Times New Roman" w:eastAsia="Times New Roman" w:hAnsi="Times New Roman"/>
          <w:sz w:val="20"/>
          <w:szCs w:val="20"/>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7"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June 30, 2023, net cash provided by financing activities increased to $74.6 million, as compared to $15.6 million cash provided by financing activities for the year ended June 30, 2022.</w:t>
      </w:r>
    </w:p>
    <w:p>
      <w:pPr>
        <w:spacing w:after="0" w:line="167"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For the year ended June 30, 2023, cash provided by financing activities was $74.6 million, which consisted primarily of proceeds from the issuance of term loans of $60.3 million, contributions from the Merger and PIPE financing, net of transaction costs, of $49.8 million, and proceeds from the issuance of common stock of $9.8 million, partially offset by repayment of term loans of $33.0 million, penalties and other costs on extinguishment of debt of $6.2 million, payment of deferred transactions costs of $1.9 million, and principal payments of financing obligations of $4.6 million.</w:t>
      </w:r>
    </w:p>
    <w:p>
      <w:pPr>
        <w:spacing w:after="0" w:line="197" w:lineRule="exact"/>
        <w:rPr>
          <w:sz w:val="20"/>
          <w:szCs w:val="20"/>
          <w:color w:val="auto"/>
        </w:rPr>
      </w:pPr>
    </w:p>
    <w:p>
      <w:pPr>
        <w:jc w:val="both"/>
        <w:ind w:right="460" w:firstLine="720"/>
        <w:spacing w:after="0" w:line="253" w:lineRule="auto"/>
        <w:rPr>
          <w:sz w:val="20"/>
          <w:szCs w:val="20"/>
          <w:color w:val="auto"/>
        </w:rPr>
      </w:pPr>
      <w:r>
        <w:rPr>
          <w:rFonts w:ascii="Times New Roman" w:cs="Times New Roman" w:eastAsia="Times New Roman" w:hAnsi="Times New Roman"/>
          <w:sz w:val="20"/>
          <w:szCs w:val="20"/>
          <w:color w:val="auto"/>
        </w:rPr>
        <w:t>For the year ended June 30, 2022, cash provided by financing activities was $15.6 million, which consisted primarily of proceeds from term loans of $12.6 million, from the issuance of convertible promissory notes of $8.2 million, proceeds from the exercise of common stock options of $0.1 million, partially offset by principal payments of financing obligations of $2.4 million, payment of debt issuance costs of $1.3 million, and payment of deferred transactions costs of $1.6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Obligations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June 30, 2023 and June 30, 2022, the Company’s financing obligations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04"/>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20"/>
        </w:trPr>
        <w:tc>
          <w:tcPr>
            <w:tcW w:w="77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Receivable financing facility</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4,067</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5,911</w:t>
            </w:r>
          </w:p>
        </w:tc>
        <w:tc>
          <w:tcPr>
            <w:tcW w:w="20" w:type="dxa"/>
            <w:vAlign w:val="bottom"/>
          </w:tcPr>
          <w:p>
            <w:pPr>
              <w:spacing w:after="0"/>
              <w:rPr>
                <w:sz w:val="19"/>
                <w:szCs w:val="19"/>
                <w:color w:val="auto"/>
              </w:rPr>
            </w:pPr>
          </w:p>
        </w:tc>
      </w:tr>
      <w:tr>
        <w:trPr>
          <w:trHeight w:val="229"/>
        </w:trPr>
        <w:tc>
          <w:tcPr>
            <w:tcW w:w="77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Equipment financing facility</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2,929</w:t>
            </w:r>
          </w:p>
        </w:tc>
        <w:tc>
          <w:tcPr>
            <w:tcW w:w="20" w:type="dxa"/>
            <w:vAlign w:val="bottom"/>
          </w:tcPr>
          <w:p>
            <w:pPr>
              <w:spacing w:after="0"/>
              <w:rPr>
                <w:sz w:val="19"/>
                <w:szCs w:val="19"/>
                <w:color w:val="auto"/>
              </w:rPr>
            </w:pPr>
          </w:p>
        </w:tc>
      </w:tr>
      <w:tr>
        <w:trPr>
          <w:trHeight w:val="220"/>
        </w:trPr>
        <w:tc>
          <w:tcPr>
            <w:tcW w:w="77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financing obligations</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4,676</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8,840</w:t>
            </w:r>
          </w:p>
        </w:tc>
        <w:tc>
          <w:tcPr>
            <w:tcW w:w="20" w:type="dxa"/>
            <w:vAlign w:val="bottom"/>
          </w:tcPr>
          <w:p>
            <w:pPr>
              <w:spacing w:after="0"/>
              <w:rPr>
                <w:sz w:val="19"/>
                <w:szCs w:val="19"/>
                <w:color w:val="auto"/>
              </w:rPr>
            </w:pPr>
          </w:p>
        </w:tc>
      </w:tr>
      <w:tr>
        <w:trPr>
          <w:trHeight w:val="230"/>
        </w:trPr>
        <w:tc>
          <w:tcPr>
            <w:tcW w:w="77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Less: financing obligations, current</w:t>
            </w:r>
          </w:p>
        </w:tc>
        <w:tc>
          <w:tcPr>
            <w:tcW w:w="2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(1,676)</w:t>
            </w:r>
          </w:p>
        </w:tc>
        <w:tc>
          <w:tcPr>
            <w:tcW w:w="2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(8,840)</w:t>
            </w:r>
          </w:p>
        </w:tc>
        <w:tc>
          <w:tcPr>
            <w:tcW w:w="20" w:type="dxa"/>
            <w:vAlign w:val="bottom"/>
          </w:tcPr>
          <w:p>
            <w:pPr>
              <w:spacing w:after="0"/>
              <w:rPr>
                <w:sz w:val="20"/>
                <w:szCs w:val="20"/>
                <w:color w:val="auto"/>
              </w:rPr>
            </w:pPr>
          </w:p>
        </w:tc>
      </w:tr>
      <w:tr>
        <w:trPr>
          <w:trHeight w:val="230"/>
        </w:trPr>
        <w:tc>
          <w:tcPr>
            <w:tcW w:w="77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financing obligations, non-current</w:t>
            </w:r>
          </w:p>
        </w:tc>
        <w:tc>
          <w:tcPr>
            <w:tcW w:w="22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3,000</w:t>
            </w:r>
          </w:p>
        </w:tc>
        <w:tc>
          <w:tcPr>
            <w:tcW w:w="220" w:type="dxa"/>
            <w:vAlign w:val="bottom"/>
            <w:shd w:val="clear" w:color="auto" w:fill="D1EDF4"/>
          </w:tcPr>
          <w:p>
            <w:pPr>
              <w:spacing w:after="0"/>
              <w:rPr>
                <w:sz w:val="20"/>
                <w:szCs w:val="20"/>
                <w:color w:val="auto"/>
              </w:rPr>
            </w:pPr>
          </w:p>
        </w:tc>
        <w:tc>
          <w:tcPr>
            <w:tcW w:w="20" w:type="dxa"/>
            <w:vAlign w:val="bottom"/>
            <w:tcBorders>
              <w:bottom w:val="single" w:sz="8" w:color="auto"/>
            </w:tcBorders>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Receivable Financing Facility</w:t>
      </w:r>
    </w:p>
    <w:p>
      <w:pPr>
        <w:spacing w:after="0" w:line="237"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April 27, 2021, we entered into an investment arrangement to enable an outside investor to invest in our future receivables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investor to mutually agree to roll forward our borrowings as they come due.</w:t>
      </w:r>
    </w:p>
    <w:p>
      <w:pPr>
        <w:spacing w:after="0" w:line="20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investor, we may continue rolling forward the receivable financing facility.</w:t>
      </w:r>
    </w:p>
    <w:p>
      <w:pPr>
        <w:spacing w:after="0" w:line="193"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On April 14, 2023, we entered into an amended and restated investment arrangement to amend the periodic payment amounts under the investment agreement for which we evaluated under ASC 470-60, “Troubled Debt Restructurings by Debtors.” Due to indicators of financial difficulty for us at this date, and the lenders granting concession resulting in the effective borrowing rate under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702" w:right="720" w:bottom="175" w:gutter="0" w:footer="0" w:header="0"/>
        </w:sectPr>
      </w:pPr>
    </w:p>
    <w:bookmarkStart w:id="48" w:name="page49"/>
    <w:bookmarkEnd w:id="48"/>
    <w:p>
      <w:pPr>
        <w:ind w:right="220"/>
        <w:spacing w:after="0" w:line="249" w:lineRule="auto"/>
        <w:rPr>
          <w:sz w:val="20"/>
          <w:szCs w:val="20"/>
          <w:color w:val="auto"/>
        </w:rPr>
      </w:pPr>
      <w:r>
        <w:rPr>
          <w:rFonts w:ascii="Times New Roman" w:cs="Times New Roman" w:eastAsia="Times New Roman" w:hAnsi="Times New Roman"/>
          <w:sz w:val="20"/>
          <w:szCs w:val="20"/>
          <w:color w:val="auto"/>
        </w:rPr>
        <w:t>the amended agreement being less than the effective borrowing rate under the previous agreement. the amendments were accounted for as a troubled debt restructuring. We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19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On June 20, 2023, we entered into a second consolidated and amended and restated investment arrangement with the aforementioned investor to amend the periodic payment amounts to be made under the investment arrangement. The amended arrangement calls for monthly payments of principal and interest totaling an aggregate of $1.5 million and $3.0 million in fiscal years 2024 and 2025, respectively. This arrangement amended the amended and restated investment arrangement we entered into on April 15, 2023, which amended the payment due dates and periodic payment amounts to be made under the investment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Equipment Financing Facility</w:t>
      </w:r>
    </w:p>
    <w:p>
      <w:pPr>
        <w:spacing w:after="0" w:line="237"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Beginning in 2019, we entered into equipment financing facilities with third-party financing partners to finance certain tablet purchases. The arrangements generally have terms ranging from 3 to 5 years and interest rates ranging from 8% to 14%. We then lease the tablets to our customer through operating leases with 4-year terms.</w:t>
      </w:r>
    </w:p>
    <w:p>
      <w:pPr>
        <w:spacing w:after="0" w:line="18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fiscal year 2023, due to our liquidity position and other commitments, we postponed certain payments on certain equipment financing facilities, which resulted in us defaulting on the arrangements. We have remedied the matter via the following repayment agreements. On November 4, 2022, we executed an amendment on one of our equipment financing facilities to defer non-payments, which increased the monthly payments due for the remaining term of the arrangement. On November 21, 2022, we executed an amendment with one of our third-party financing partners, under which we repaid one of the arrangements by making a cash disbursement of $0.4 million, of which extinguished all obligations and resulted in $0.3 million being recorded as a loss on extinguishment of debt and financial obligations on the consolidated statement of operations and comprehensive loss. As a result of the amendment executed on November 4, 2022 and early termination executed on November 21, 2022, the default on payments due as described above has been waived and we are in compliance as of June 30, 2023. The balance is included in financing obligations, current as of June 30, 2023.</w:t>
      </w:r>
    </w:p>
    <w:p>
      <w:pPr>
        <w:spacing w:after="0" w:line="202"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In fiscal year 2022, we postponed the required monthly payments from April 2022 through September 2022 on certain equipment financing facilities. Non-payment under the arrangements permits the financing partner to declare the amounts owed under the arrangement due and payable and exercise their right to secure the tablets under lease. As such, we reclassified all of our obligations under these arrangements that are in default as short-term within financing obligations, current as of June 30, 2022.</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Debt Arrangements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June 30, 2023 and June 30, 2022, our outstanding debt, net of debt discounts, consisted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0" w:type="dxa"/>
            <w:vAlign w:val="bottom"/>
          </w:tcPr>
          <w:p>
            <w:pPr>
              <w:spacing w:after="0"/>
              <w:rPr>
                <w:sz w:val="16"/>
                <w:szCs w:val="16"/>
                <w:color w:val="auto"/>
              </w:rPr>
            </w:pPr>
          </w:p>
        </w:tc>
        <w:tc>
          <w:tcPr>
            <w:tcW w:w="1180" w:type="dxa"/>
            <w:vAlign w:val="bottom"/>
          </w:tcPr>
          <w:p>
            <w:pPr>
              <w:jc w:val="right"/>
              <w:ind w:right="105"/>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r>
      <w:tr>
        <w:trPr>
          <w:trHeight w:val="203"/>
        </w:trPr>
        <w:tc>
          <w:tcPr>
            <w:tcW w:w="7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72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Convertible promissory notes</w:t>
            </w:r>
          </w:p>
        </w:tc>
        <w:tc>
          <w:tcPr>
            <w:tcW w:w="36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3"/>
            <w:shd w:val="clear" w:color="auto" w:fill="D1EDF4"/>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89,663</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20"/>
                <w:szCs w:val="20"/>
                <w:color w:val="auto"/>
              </w:rPr>
              <w:t>Term loans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25,443</w:t>
            </w:r>
          </w:p>
        </w:tc>
      </w:tr>
      <w:tr>
        <w:trPr>
          <w:trHeight w:val="230"/>
        </w:trPr>
        <w:tc>
          <w:tcPr>
            <w:tcW w:w="7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PPP Loans</w:t>
            </w:r>
          </w:p>
        </w:tc>
        <w:tc>
          <w:tcPr>
            <w:tcW w:w="22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420" w:type="dxa"/>
            <w:vAlign w:val="bottom"/>
            <w:gridSpan w:val="3"/>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spacing w:after="0"/>
              <w:rPr>
                <w:sz w:val="20"/>
                <w:szCs w:val="20"/>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20"/>
        </w:trPr>
        <w:tc>
          <w:tcPr>
            <w:tcW w:w="77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debt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117,106</w:t>
            </w:r>
          </w:p>
        </w:tc>
      </w:tr>
      <w:tr>
        <w:trPr>
          <w:trHeight w:val="229"/>
        </w:trPr>
        <w:tc>
          <w:tcPr>
            <w:tcW w:w="7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Less: debt, current</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400" w:type="dxa"/>
            <w:vAlign w:val="bottom"/>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20"/>
                <w:szCs w:val="20"/>
                <w:color w:val="auto"/>
              </w:rPr>
              <w:t>(50,639)</w:t>
            </w: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(115,106)</w:t>
            </w:r>
          </w:p>
        </w:tc>
      </w:tr>
      <w:tr>
        <w:trPr>
          <w:trHeight w:val="230"/>
        </w:trPr>
        <w:tc>
          <w:tcPr>
            <w:tcW w:w="77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 debt, noncurrent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2,000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 Loan -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37"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19"/>
          <w:szCs w:val="19"/>
          <w:color w:val="auto"/>
        </w:rPr>
        <w:t>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term loans having an aggregate original principal amount of $55.0 million (the “Initial Term Loans” and which the Lenders have agreed to extend by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700" w:right="720" w:bottom="175" w:gutter="0" w:footer="0" w:header="0"/>
        </w:sectPr>
      </w:pPr>
    </w:p>
    <w:bookmarkStart w:id="49" w:name="page50"/>
    <w:bookmarkEnd w:id="49"/>
    <w:p>
      <w:pPr>
        <w:jc w:val="both"/>
        <w:spacing w:after="0" w:line="278" w:lineRule="auto"/>
        <w:rPr>
          <w:sz w:val="20"/>
          <w:szCs w:val="20"/>
          <w:color w:val="auto"/>
        </w:rPr>
      </w:pPr>
      <w:r>
        <w:rPr>
          <w:rFonts w:ascii="Times New Roman" w:cs="Times New Roman" w:eastAsia="Times New Roman" w:hAnsi="Times New Roman"/>
          <w:sz w:val="20"/>
          <w:szCs w:val="20"/>
          <w:color w:val="auto"/>
        </w:rPr>
        <w:t>the aforementioned warrants. We also pay a debt monitoring fee under the Credit Agreement of $0.1 million per quarter which is recorded as interest expense in the consolidated statement of operations and comprehensive 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First Amendment</w:t>
      </w:r>
    </w:p>
    <w:p>
      <w:pPr>
        <w:spacing w:after="0" w:line="24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March 2023, we entered into a First Amendment to the Credit Agreement (the “First Amendment”) pursuant to which certain covenants of the Credit Agreement were amended.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an additional debt discount of $0.8 million which represents the amendment fee plus the fair value of the warrants and recorded the warrants.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Second Amendment and Related Private Placement</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On May 22, 2023, we entered into a Second Amendment to the Credit Agreement (the “Second Amendment”) pursuant to which (1) certain covenants of the Credit Agreement were amended and (2) the Lenders agreed to the exchange of an aggregate of $1.0 million of accrued and previously capitalized interest for warrants to purchase 500,000 shares of Common Stock at an exercise price of $0.01 per share (the “Second Amendment Conversion Warrants”). The effectiveness of the Second Amendment was conditioned, in part, upon evidence of a gross amount of additional equity investments of $9.0 million, to be used for working capital purposes, of which we received $9.5 million upon closing of the Private Placement (see Note 9 to the consolidated financial statements). The warrants are classified as liabilities. See Note 10 for further details.</w:t>
      </w:r>
    </w:p>
    <w:p>
      <w:pPr>
        <w:spacing w:after="0" w:line="19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connection with the effectiveness of the Second Amendment and in consideration for Metropolitan’s entering into the Second Amendment, we entered into the Second Amended and Restated Fee Letter (the “Second Fee Letter”) with Metropolitan, pursuant to which we issued warrants to purchase 2,000,000 shares of Common Stock, with an exercise price of $0.01 per share (the “Second Amendment Fee Warrants” and, together with the Second Amendment Conversion Warrants, the “Second Amendment Warrants”), to the Lenders as an amendment fee (See Note 10).</w:t>
      </w:r>
    </w:p>
    <w:p>
      <w:pPr>
        <w:spacing w:after="0" w:line="18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Second Amendment Warrants may be exercised for cash or a net exercise at any time on or before the date that is the five-year anniversary of the date of the issuance of the Second Amendment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connection with the issuance of the Second Amendment Warrants, we entered into a customary registration right for the shares of Common Stock issuable upon exercise of the Second Amendment Warrants noted above which was declared effective by the SEC on July 6,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Third Amendment and Related Private Placement</w:t>
      </w:r>
    </w:p>
    <w:p>
      <w:pPr>
        <w:spacing w:after="0" w:line="240"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19"/>
          <w:szCs w:val="19"/>
          <w:color w:val="auto"/>
        </w:rPr>
        <w:t>On October 10, 2023, we entered into a Third Amendment to the Credit Agreement (the “Third Amendment”) pursuant to which (1) lenders agreed to extend the Third Amendment Term Loans, (2) certain covenants of the Credit Agreement were amended or removed (including the removal of a covenant in respect of a maximum net leverage ratio of 1.20 to 1.00), (3) the Lenders agreed to waive existing defaults under the Credit Facility, and (4) the Lenders agreed to the exchange of an aggregate of $6.0 million of accrued and previously capitalized interest for warrants to purchase 3,000,000 shares of Common Stock at an exercise price of $0.01 per share (the “Third Amendment Conversion Warrants”). The effectiveness of the Third Amendment is conditioned, in part, upon (1) evidence of a gross amount of additional equity investments of $3.0 million, to be used for working capital purposes (which the Company expects to receive upon the closing of the private placement with an affiliate of our existing shareholder, Cleveland Avenue, described below),</w:t>
      </w:r>
    </w:p>
    <w:p>
      <w:pPr>
        <w:spacing w:after="0" w:line="3" w:lineRule="exact"/>
        <w:rPr>
          <w:sz w:val="20"/>
          <w:szCs w:val="20"/>
          <w:color w:val="auto"/>
        </w:rPr>
      </w:pPr>
    </w:p>
    <w:p>
      <w:pPr>
        <w:jc w:val="both"/>
        <w:spacing w:after="0" w:line="243" w:lineRule="auto"/>
        <w:tabs>
          <w:tab w:leader="none" w:pos="29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hiring a chief financial officer reasonably satisfactory to the Agent, which the Company and the Agent have agreed will be satisfied with the appointment of Mr. Nathan Cook, consultant, as Interim Chief Financial Officer following the filing of this Form 10-K, (3) by no later than October 16, 2023, evidence that we have engaged the services of an investment bank reasonably acceptable to Metropolitan on terms reasonably acceptable to Metropolitan in connection with upcoming capital raises.</w:t>
      </w:r>
    </w:p>
    <w:p>
      <w:pPr>
        <w:spacing w:after="0" w:line="201"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Concurrent with the Third Amendment, we entered into a Securities Purchase Agreement (“Purchase Agreement”) with Presto CA LLC, an affiliate of Cleveland Avenue, pursuant to which we agreed to sell an aggregate of 1,500,000 newly issued shares of common stock at a purchase price of $2.00 per share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us to issue additional shares of</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700" w:right="720" w:bottom="175" w:gutter="0" w:footer="0" w:header="0"/>
        </w:sectPr>
      </w:pPr>
    </w:p>
    <w:bookmarkStart w:id="50" w:name="page51"/>
    <w:bookmarkEnd w:id="50"/>
    <w:p>
      <w:pPr>
        <w:jc w:val="both"/>
        <w:spacing w:after="0" w:line="278" w:lineRule="auto"/>
        <w:rPr>
          <w:sz w:val="20"/>
          <w:szCs w:val="20"/>
          <w:color w:val="auto"/>
        </w:rPr>
      </w:pPr>
      <w:r>
        <w:rPr>
          <w:rFonts w:ascii="Times New Roman" w:cs="Times New Roman" w:eastAsia="Times New Roman" w:hAnsi="Times New Roman"/>
          <w:sz w:val="20"/>
          <w:szCs w:val="20"/>
          <w:color w:val="auto"/>
        </w:rPr>
        <w:t>common stock to the purchaser, upon the terms and subject to the conditions contained in the Purchase Agreement. The transaction is expected to close on or around October 16, 2023.</w:t>
      </w:r>
    </w:p>
    <w:p>
      <w:pPr>
        <w:spacing w:after="0" w:line="167"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In connection with the effectiveness of the Third Amendment and in consideration for Metropolitan’s entering into the Third Amendment, we entered into the Third Amended and Restated Fee Letter (the “Third Fee Letter”) with Metropolitan, pursuant to which we issued warrants to purchase 25,000 shares of Common Stock, with an exercise price of $0.01 per share (the “Third Amendment Fee Warrants” and, together with the Third Amendment Conversion Warrants, the “Third Amendment Warrants”), to the Lenders as an amendment fee.</w:t>
      </w:r>
    </w:p>
    <w:p>
      <w:pPr>
        <w:spacing w:after="0" w:line="187"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Third Amendment Warrants may be exercised for cash or a net exercise at any time on or before the date that is the five year anniversary of the date of the issuance of the Second Amendment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we shall not permit the exercise of any portion of the warrant where the effect is the holder, together with its affiliates would beneficially own in excess of 4.99% of the Common Stock outstanding immediately after giving effect to such exercise.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Borrowings and Interest</w:t>
      </w:r>
    </w:p>
    <w:p>
      <w:pPr>
        <w:spacing w:after="0" w:line="24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199"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June 30, 2023, we recorded PIK interest expense amounts of $5.4 million, which have been reflected as an increase to the outstanding debt balance. Further, during the year ended June 30, 2023, we recorded interest expense associated with the amortization of debt discounts in the amount $2.2 million. Accordingly at June 30, 2023, the term loans, noncurrent balance of $50.6 million reflects $55.0 million of principal and $5.4 million PIK interest accrual, as reduced by unamortized debt issuance costs of $9.8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Prepayment</w:t>
      </w:r>
    </w:p>
    <w:p>
      <w:pPr>
        <w:spacing w:after="0" w:line="239"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Term Loans may be prepaid by us; however, any voluntary or mandatory prepayment made prior to March 21, 2024, the 18-month anniversary of the initial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Covenants and Waivers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must comply with certain financial covenants as set forth in the Credit Agreement,</w:t>
      </w:r>
    </w:p>
    <w:p>
      <w:pPr>
        <w:spacing w:after="0" w:line="255" w:lineRule="exact"/>
        <w:rPr>
          <w:sz w:val="20"/>
          <w:szCs w:val="20"/>
          <w:color w:val="auto"/>
        </w:rPr>
      </w:pPr>
    </w:p>
    <w:p>
      <w:pPr>
        <w:ind w:left="1080" w:hanging="360"/>
        <w:spacing w:after="0"/>
        <w:tabs>
          <w:tab w:leader="none" w:pos="10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Minimum Unrestricted Cash</w:t>
      </w:r>
      <w:r>
        <w:rPr>
          <w:rFonts w:ascii="Times New Roman" w:cs="Times New Roman" w:eastAsia="Times New Roman" w:hAnsi="Times New Roman"/>
          <w:sz w:val="20"/>
          <w:szCs w:val="20"/>
          <w:color w:val="auto"/>
        </w:rPr>
        <w:t>. We must maintain $10.0 million in separate and blocked cash collateral account.</w:t>
      </w:r>
    </w:p>
    <w:p>
      <w:pPr>
        <w:spacing w:after="0" w:line="252" w:lineRule="exact"/>
        <w:rPr>
          <w:rFonts w:ascii="Arial" w:cs="Arial" w:eastAsia="Arial" w:hAnsi="Arial"/>
          <w:sz w:val="20"/>
          <w:szCs w:val="20"/>
          <w:color w:val="auto"/>
        </w:rPr>
      </w:pPr>
    </w:p>
    <w:p>
      <w:pPr>
        <w:ind w:left="1080" w:hanging="360"/>
        <w:spacing w:after="0" w:line="252" w:lineRule="auto"/>
        <w:tabs>
          <w:tab w:leader="none" w:pos="108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i w:val="1"/>
          <w:iCs w:val="1"/>
          <w:color w:val="auto"/>
        </w:rPr>
        <w:t xml:space="preserve">Net Adjusted Decrease in Operating Cash. </w:t>
      </w:r>
      <w:r>
        <w:rPr>
          <w:rFonts w:ascii="Times New Roman" w:cs="Times New Roman" w:eastAsia="Times New Roman" w:hAnsi="Times New Roman"/>
          <w:sz w:val="20"/>
          <w:szCs w:val="20"/>
          <w:color w:val="auto"/>
        </w:rPr>
        <w:t>Subject to certain excluded payments, the decrease in our operating cash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 exceed an agreed amount for each rolling three-month period, subject to certain customary operating fluctuations and adjustments. The amount is set at $10.7 million for October 2023, $11.4 million for November 2023 and $10.3 million for December 2023, and declines after that date.</w:t>
      </w:r>
    </w:p>
    <w:p>
      <w:pPr>
        <w:spacing w:after="0" w:line="194"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Without an injection of further capital, we anticipate being unable to comply with the minimum unrestricted cash covenant in approximately mid-December 2023.</w:t>
      </w:r>
    </w:p>
    <w:p>
      <w:pPr>
        <w:spacing w:after="0" w:line="167"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700" w:right="720" w:bottom="175" w:gutter="0" w:footer="0" w:header="0"/>
        </w:sectPr>
      </w:pPr>
    </w:p>
    <w:bookmarkStart w:id="51" w:name="page52"/>
    <w:bookmarkEnd w:id="51"/>
    <w:p>
      <w:pPr>
        <w:ind w:right="240" w:firstLine="720"/>
        <w:spacing w:after="0" w:line="263" w:lineRule="auto"/>
        <w:rPr>
          <w:sz w:val="20"/>
          <w:szCs w:val="20"/>
          <w:color w:val="auto"/>
        </w:rPr>
      </w:pPr>
      <w:r>
        <w:rPr>
          <w:rFonts w:ascii="Times New Roman" w:cs="Times New Roman" w:eastAsia="Times New Roman" w:hAnsi="Times New Roman"/>
          <w:sz w:val="19"/>
          <w:szCs w:val="19"/>
          <w:color w:val="auto"/>
        </w:rPr>
        <w:t>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w:t>
      </w:r>
    </w:p>
    <w:p>
      <w:pPr>
        <w:spacing w:after="0" w:line="18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will obtain waivers of the historic net leverage ratio for the period from May 31, 2023 through June 30, 2023, our failure to make timely payments on July 1, 2023 and various reporting obligations that were not satisfied.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Convertible Promissory Notes</w:t>
      </w:r>
    </w:p>
    <w:p>
      <w:pPr>
        <w:spacing w:after="0" w:line="237" w:lineRule="exact"/>
        <w:rPr>
          <w:sz w:val="20"/>
          <w:szCs w:val="20"/>
          <w:color w:val="auto"/>
        </w:rPr>
      </w:pPr>
    </w:p>
    <w:p>
      <w:pPr>
        <w:ind w:right="20" w:firstLine="721"/>
        <w:spacing w:after="0" w:line="245" w:lineRule="auto"/>
        <w:rPr>
          <w:sz w:val="20"/>
          <w:szCs w:val="20"/>
          <w:color w:val="auto"/>
        </w:rPr>
      </w:pPr>
      <w:r>
        <w:rPr>
          <w:rFonts w:ascii="Times New Roman" w:cs="Times New Roman" w:eastAsia="Times New Roman" w:hAnsi="Times New Roman"/>
          <w:sz w:val="20"/>
          <w:szCs w:val="20"/>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consolidated statement of operations and comprehensive loss for the year ended June 30, 2023.</w:t>
      </w:r>
    </w:p>
    <w:p>
      <w:pPr>
        <w:spacing w:after="0" w:line="203"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During the year ended June 30, 2022 we issued the July 2021 notes for $0.5 million of convertible promissory notes and issued the February 2022 notes for $25.7 million and repaid the June 2021 notes for $20.0 million with the February 2022 notes. During the year ended June 30, 2022, we recorded a gain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Term Loans</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Horizon Term Loan</w:t>
      </w:r>
    </w:p>
    <w:p>
      <w:pPr>
        <w:spacing w:after="0" w:line="23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202" w:lineRule="exact"/>
        <w:rPr>
          <w:sz w:val="20"/>
          <w:szCs w:val="20"/>
          <w:color w:val="auto"/>
        </w:rPr>
      </w:pPr>
    </w:p>
    <w:p>
      <w:pPr>
        <w:ind w:right="160" w:firstLine="720"/>
        <w:spacing w:after="0" w:line="253" w:lineRule="auto"/>
        <w:rPr>
          <w:sz w:val="20"/>
          <w:szCs w:val="20"/>
          <w:color w:val="auto"/>
        </w:rPr>
      </w:pPr>
      <w:r>
        <w:rPr>
          <w:rFonts w:ascii="Times New Roman" w:cs="Times New Roman" w:eastAsia="Times New Roman" w:hAnsi="Times New Roman"/>
          <w:sz w:val="20"/>
          <w:szCs w:val="20"/>
          <w:color w:val="auto"/>
        </w:rPr>
        <w:t>On September 21, 2022, in connection with the entry into the Credit Agreement,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consolidated statement of operations and comprehensive loss.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Lago Term Loans</w:t>
      </w:r>
    </w:p>
    <w:p>
      <w:pPr>
        <w:spacing w:after="0" w:line="237"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On March 11, 2022, we entered into a loan agreement (the “Lago Loan”) with Lago Innovation Fund I &amp; II, LLC, which provided us with $12.6 million, bears interest at the greater of 12% plus the greater of 1% or 30-day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depending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Part II, Item 8 of this Annual Report on Form 10-K for further details.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00" w:right="720" w:bottom="175" w:gutter="0" w:footer="0" w:header="0"/>
        </w:sectPr>
      </w:pPr>
    </w:p>
    <w:bookmarkStart w:id="52" w:name="page53"/>
    <w:bookmarkEnd w:id="52"/>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consolidated statement of operations and comprehensive loss.</w:t>
      </w:r>
    </w:p>
    <w:p>
      <w:pPr>
        <w:spacing w:after="0" w:line="193" w:lineRule="exact"/>
        <w:rPr>
          <w:sz w:val="20"/>
          <w:szCs w:val="20"/>
          <w:color w:val="auto"/>
        </w:rPr>
      </w:pPr>
    </w:p>
    <w:p>
      <w:pPr>
        <w:ind w:right="340" w:firstLine="720"/>
        <w:spacing w:after="0" w:line="259" w:lineRule="auto"/>
        <w:rPr>
          <w:sz w:val="20"/>
          <w:szCs w:val="20"/>
          <w:color w:val="auto"/>
        </w:rPr>
      </w:pPr>
      <w:r>
        <w:rPr>
          <w:rFonts w:ascii="Times New Roman" w:cs="Times New Roman" w:eastAsia="Times New Roman" w:hAnsi="Times New Roman"/>
          <w:sz w:val="20"/>
          <w:szCs w:val="20"/>
          <w:color w:val="auto"/>
        </w:rPr>
        <w:t>In connection with the entry into the Credit Agreement (defined above) on September 21, 2022, we repaid all outstanding loans by making a cash disbursement of $22.4 million, of which $17.8 million was repayment of principal and $0.1 million was payment of payable in-kind interest. Further, $4.4 million of cash was paid related to prepayment and other penalties.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Paycheck Protection Program Loan</w:t>
      </w:r>
    </w:p>
    <w:p>
      <w:pPr>
        <w:spacing w:after="0" w:line="237"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Times New Roman" w:cs="Times New Roman" w:eastAsia="Times New Roman" w:hAnsi="Times New Roman"/>
          <w:sz w:val="20"/>
          <w:szCs w:val="20"/>
          <w:i w:val="1"/>
          <w:iCs w:val="1"/>
          <w:color w:val="auto"/>
        </w:rPr>
        <w:t>Debt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June 30, 2022 we received forgiveness for the first PPP loan of $2.6 million and recognized as other income, net. In July 2022, we were granted forgiveness of the second loan in an amount of approximately $2.0 million, which was recognized as other income, net on the consolidated statement of operations and comprehensive loss for the year ended June 30,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4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have any off-balance sheet arrangements as of June 30, 2023 and June 30, 2022.</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244"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During the year ended June 30, 2023, as part of our private placement that closed in May 2023, we received $3.0 million of proceeds in exchange for newly issued common stock of Presto from Cleveland Avenue, LLC, an entity which holds a greater than 10% interest in Presto, and for which an officer of Cleveland Avenue, LLC, Keith Kravcik, is a member of the Company’s board of directors, and therefore is a related party.</w:t>
      </w:r>
    </w:p>
    <w:p>
      <w:pPr>
        <w:spacing w:after="0" w:line="193" w:lineRule="exact"/>
        <w:rPr>
          <w:sz w:val="20"/>
          <w:szCs w:val="20"/>
          <w:color w:val="auto"/>
        </w:rPr>
      </w:pPr>
    </w:p>
    <w:p>
      <w:pPr>
        <w:jc w:val="both"/>
        <w:ind w:firstLine="720"/>
        <w:spacing w:after="0" w:line="247" w:lineRule="auto"/>
        <w:rPr>
          <w:sz w:val="20"/>
          <w:szCs w:val="20"/>
          <w:color w:val="auto"/>
        </w:rPr>
      </w:pPr>
      <w:r>
        <w:rPr>
          <w:rFonts w:ascii="Times New Roman" w:cs="Times New Roman" w:eastAsia="Times New Roman" w:hAnsi="Times New Roman"/>
          <w:sz w:val="20"/>
          <w:szCs w:val="20"/>
          <w:color w:val="auto"/>
        </w:rPr>
        <w:t>We had certain convertible promissory notes and embedded warrants held by entities in which Krishna Gupta and Ilya Golubovich, each of which are members of our board of directors, are officers and in which they have a financial interest in the entity (“Affiliated Entities”). As of June 30, 2022, $9.6 million of our convertible promissory notes and embedded warrants balance was due to the Affiliated Entities, all of which was due within 12 months. The convertible notes and embedded warrants converted into shares of common stock during the year ended June 30, 2023. Refer to Note 7 for further details of Part II, Item 8 of this Annual Report on Form 10-K for further details.</w:t>
      </w:r>
    </w:p>
    <w:p>
      <w:pPr>
        <w:spacing w:after="0" w:line="200" w:lineRule="exact"/>
        <w:rPr>
          <w:sz w:val="20"/>
          <w:szCs w:val="20"/>
          <w:color w:val="auto"/>
        </w:rPr>
      </w:pPr>
    </w:p>
    <w:p>
      <w:pPr>
        <w:jc w:val="both"/>
        <w:ind w:right="100" w:firstLine="720"/>
        <w:spacing w:after="0" w:line="259" w:lineRule="auto"/>
        <w:rPr>
          <w:sz w:val="20"/>
          <w:szCs w:val="20"/>
          <w:color w:val="auto"/>
        </w:rPr>
      </w:pPr>
      <w:r>
        <w:rPr>
          <w:rFonts w:ascii="Times New Roman" w:cs="Times New Roman" w:eastAsia="Times New Roman" w:hAnsi="Times New Roman"/>
          <w:sz w:val="20"/>
          <w:szCs w:val="20"/>
          <w:color w:val="auto"/>
        </w:rPr>
        <w:t>During the year ended June 30, 2023, we received an equity investment of $1.0 million from Schechter Private Capital Fund I, LLC – Series V ("Schechter") which held a significant portion of our convertible debt on the date of the investment in exchange for 133,333 shares of our common stock. Refer to Note 9 of Part II, Item 8 of this Annual Report on Form 10-K for further details.</w:t>
      </w:r>
    </w:p>
    <w:p>
      <w:pPr>
        <w:spacing w:after="0" w:line="186"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In addition, during the year ended June 30, 2023 we granted 1,200,000 of RSUs to Krishna Gupta director and former interim CEO of Presto with a grant date fair value of $4.56 per restricted stock unit. See Note 11 of Part II, Item 8 of this Annual Report on Form 10-K for further details.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44" w:lineRule="exact"/>
        <w:rPr>
          <w:sz w:val="20"/>
          <w:szCs w:val="20"/>
          <w:color w:val="auto"/>
        </w:rPr>
      </w:pPr>
    </w:p>
    <w:p>
      <w:pPr>
        <w:ind w:right="240" w:firstLine="720"/>
        <w:spacing w:after="0" w:line="246"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the fair value of certain financial instruments which includes warrant liabilities. Other estimates and judgments are related to revenue recognition, collectability of accounts receivable, the useful lives of property and equipment and intangible assets, inventory valuation, valuation of deferred tax assets and liabilities, valuation assumptions utilized in calculating the estimated value of stock-based compensation, valuation of warrants, earnout and Unvested Sponsor Shares arrangements, valuation of investments in non-affiliates, and impairment of long-lived assets. Actual results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700" w:right="720" w:bottom="175" w:gutter="0" w:footer="0" w:header="0"/>
        </w:sectPr>
      </w:pPr>
    </w:p>
    <w:bookmarkStart w:id="53" w:name="page54"/>
    <w:bookmarkEnd w:id="53"/>
    <w:p>
      <w:pPr>
        <w:ind w:right="560"/>
        <w:spacing w:after="0" w:line="278" w:lineRule="auto"/>
        <w:rPr>
          <w:sz w:val="20"/>
          <w:szCs w:val="20"/>
          <w:color w:val="auto"/>
        </w:rPr>
      </w:pPr>
      <w:r>
        <w:rPr>
          <w:rFonts w:ascii="Times New Roman" w:cs="Times New Roman" w:eastAsia="Times New Roman" w:hAnsi="Times New Roman"/>
          <w:sz w:val="20"/>
          <w:szCs w:val="20"/>
          <w:color w:val="auto"/>
        </w:rPr>
        <w:t>differ from these estimates. To the extent that there are differences between our estimates and actual results, our future financial statement presentation, financial condition, results of operations, and cash flows will be affected.</w:t>
      </w:r>
    </w:p>
    <w:p>
      <w:pPr>
        <w:spacing w:after="0" w:line="16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this Annual Report on Form 10-K.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9" w:lineRule="exact"/>
        <w:rPr>
          <w:sz w:val="20"/>
          <w:szCs w:val="20"/>
          <w:color w:val="auto"/>
        </w:rPr>
      </w:pPr>
    </w:p>
    <w:p>
      <w:pPr>
        <w:ind w:right="400" w:firstLine="720"/>
        <w:spacing w:after="0" w:line="259" w:lineRule="auto"/>
        <w:rPr>
          <w:sz w:val="20"/>
          <w:szCs w:val="20"/>
          <w:color w:val="auto"/>
        </w:rPr>
      </w:pPr>
      <w:r>
        <w:rPr>
          <w:rFonts w:ascii="Times New Roman" w:cs="Times New Roman" w:eastAsia="Times New Roman" w:hAnsi="Times New Roman"/>
          <w:sz w:val="20"/>
          <w:szCs w:val="20"/>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6"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During the years ended June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determine revenue recognition through the following steps:</w:t>
      </w:r>
    </w:p>
    <w:p>
      <w:pPr>
        <w:spacing w:after="0" w:line="239" w:lineRule="exact"/>
        <w:rPr>
          <w:sz w:val="20"/>
          <w:szCs w:val="20"/>
          <w:color w:val="auto"/>
        </w:rPr>
      </w:pPr>
    </w:p>
    <w:p>
      <w:pPr>
        <w:ind w:left="1080" w:right="200" w:hanging="360"/>
        <w:spacing w:after="0" w:line="246"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 — 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200" w:lineRule="exact"/>
        <w:rPr>
          <w:rFonts w:ascii="Times New Roman" w:cs="Times New Roman" w:eastAsia="Times New Roman" w:hAnsi="Times New Roman"/>
          <w:sz w:val="20"/>
          <w:szCs w:val="20"/>
          <w:color w:val="auto"/>
        </w:rPr>
      </w:pPr>
    </w:p>
    <w:p>
      <w:pPr>
        <w:ind w:left="1080" w:hanging="360"/>
        <w:spacing w:after="0" w:line="245"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201" w:lineRule="exact"/>
        <w:rPr>
          <w:rFonts w:ascii="Times New Roman" w:cs="Times New Roman" w:eastAsia="Times New Roman" w:hAnsi="Times New Roman"/>
          <w:sz w:val="20"/>
          <w:szCs w:val="20"/>
          <w:color w:val="auto"/>
        </w:rPr>
      </w:pPr>
    </w:p>
    <w:p>
      <w:pPr>
        <w:ind w:left="1080" w:right="520"/>
        <w:spacing w:after="0" w:line="25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years ended June 30, 2023 and 2022.</w:t>
      </w:r>
    </w:p>
    <w:p>
      <w:pPr>
        <w:spacing w:after="0" w:line="194" w:lineRule="exact"/>
        <w:rPr>
          <w:rFonts w:ascii="Times New Roman" w:cs="Times New Roman" w:eastAsia="Times New Roman" w:hAnsi="Times New Roman"/>
          <w:sz w:val="20"/>
          <w:szCs w:val="20"/>
          <w:color w:val="auto"/>
        </w:rPr>
      </w:pPr>
    </w:p>
    <w:p>
      <w:pPr>
        <w:ind w:left="1080" w:right="14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88" w:lineRule="exact"/>
        <w:rPr>
          <w:rFonts w:ascii="Times New Roman" w:cs="Times New Roman" w:eastAsia="Times New Roman" w:hAnsi="Times New Roman"/>
          <w:sz w:val="20"/>
          <w:szCs w:val="20"/>
          <w:color w:val="auto"/>
        </w:rPr>
      </w:pPr>
    </w:p>
    <w:p>
      <w:pPr>
        <w:ind w:left="1080" w:right="2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we enter into gaming agreements, our Presto Touch product includes the capability of providing entertainment services,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guest.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99" w:lineRule="exact"/>
        <w:rPr>
          <w:rFonts w:ascii="Times New Roman" w:cs="Times New Roman" w:eastAsia="Times New Roman" w:hAnsi="Times New Roman"/>
          <w:sz w:val="20"/>
          <w:szCs w:val="20"/>
          <w:color w:val="auto"/>
        </w:rPr>
      </w:pPr>
    </w:p>
    <w:p>
      <w:pPr>
        <w:ind w:left="1080" w:right="20" w:hanging="360"/>
        <w:spacing w:after="0" w:line="252"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700" w:right="720" w:bottom="175" w:gutter="0" w:footer="0" w:header="0"/>
        </w:sectPr>
      </w:pPr>
    </w:p>
    <w:bookmarkStart w:id="54" w:name="page55"/>
    <w:bookmarkEnd w:id="54"/>
    <w:p>
      <w:pPr>
        <w:ind w:left="1080" w:right="60"/>
        <w:spacing w:after="0" w:line="305" w:lineRule="auto"/>
        <w:rPr>
          <w:sz w:val="20"/>
          <w:szCs w:val="20"/>
          <w:color w:val="auto"/>
        </w:rPr>
      </w:pPr>
      <w:r>
        <w:rPr>
          <w:rFonts w:ascii="Times New Roman" w:cs="Times New Roman" w:eastAsia="Times New Roman" w:hAnsi="Times New Roman"/>
          <w:sz w:val="19"/>
          <w:szCs w:val="19"/>
          <w:color w:val="auto"/>
        </w:rPr>
        <w:t>charged per game. We occasionally provide consideration payable to a customer, which is recorded as a capitalized asset upon payment and included as part of deferred costs and amortized as contra-revenue over the expected customer life.</w:t>
      </w:r>
    </w:p>
    <w:p>
      <w:pPr>
        <w:spacing w:after="0" w:line="144" w:lineRule="exact"/>
        <w:rPr>
          <w:sz w:val="20"/>
          <w:szCs w:val="20"/>
          <w:color w:val="auto"/>
        </w:rPr>
      </w:pPr>
    </w:p>
    <w:p>
      <w:pPr>
        <w:ind w:left="1080" w:right="80" w:hanging="360"/>
        <w:spacing w:after="0" w:line="305" w:lineRule="auto"/>
        <w:tabs>
          <w:tab w:leader="none" w:pos="10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44" w:lineRule="exact"/>
        <w:rPr>
          <w:rFonts w:ascii="Times New Roman" w:cs="Times New Roman" w:eastAsia="Times New Roman" w:hAnsi="Times New Roman"/>
          <w:sz w:val="19"/>
          <w:szCs w:val="19"/>
          <w:color w:val="auto"/>
        </w:rPr>
      </w:pPr>
    </w:p>
    <w:p>
      <w:pPr>
        <w:ind w:left="1080" w:hanging="360"/>
        <w:spacing w:after="0" w:line="249"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we satisfy a performance obligation — 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9" w:lineRule="exact"/>
        <w:rPr>
          <w:sz w:val="20"/>
          <w:szCs w:val="20"/>
          <w:color w:val="auto"/>
        </w:rPr>
      </w:pPr>
    </w:p>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year ended June 30, 2023. The fair value of our common stock underlying the awards granted in fiscal year 2022 and up to the close of the Merger had been determined by the Board of Directors (the “Board”) of the Company with input from management and third-party valuation specialists, as there was no public market for our common stock. The Board determined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 other factors.</w:t>
      </w:r>
    </w:p>
    <w:p>
      <w:pPr>
        <w:spacing w:after="0" w:line="209"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earnout shares are equity classified since they do not meet the liability classification criteria outlined in ASC 480, </w:t>
      </w:r>
      <w:r>
        <w:rPr>
          <w:rFonts w:ascii="Times New Roman" w:cs="Times New Roman" w:eastAsia="Times New Roman" w:hAnsi="Times New Roman"/>
          <w:sz w:val="20"/>
          <w:szCs w:val="20"/>
          <w:i w:val="1"/>
          <w:iCs w:val="1"/>
          <w:color w:val="auto"/>
        </w:rPr>
        <w:t xml:space="preserve">Distinguishing Liabilities from Equity </w:t>
      </w:r>
      <w:r>
        <w:rPr>
          <w:rFonts w:ascii="Times New Roman" w:cs="Times New Roman" w:eastAsia="Times New Roman" w:hAnsi="Times New Roman"/>
          <w:sz w:val="20"/>
          <w:szCs w:val="20"/>
          <w:color w:val="auto"/>
        </w:rPr>
        <w:t>and are under ASC 815-40 are both (i) indexed to the Company’s own shares and (ii) meet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39"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215" w:lineRule="exact"/>
        <w:rPr>
          <w:sz w:val="20"/>
          <w:szCs w:val="20"/>
          <w:color w:val="auto"/>
        </w:rPr>
      </w:pPr>
    </w:p>
    <w:p>
      <w:pPr>
        <w:ind w:left="1080" w:hanging="360"/>
        <w:spacing w:after="0"/>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Level 1 — Quoted prices in active markets for identical assets as of the reporting date.</w:t>
      </w:r>
    </w:p>
    <w:p>
      <w:pPr>
        <w:spacing w:after="0" w:line="132" w:lineRule="exact"/>
        <w:rPr>
          <w:rFonts w:ascii="Arial" w:cs="Arial" w:eastAsia="Arial" w:hAnsi="Arial"/>
          <w:sz w:val="20"/>
          <w:szCs w:val="20"/>
          <w:color w:val="auto"/>
        </w:rPr>
      </w:pPr>
    </w:p>
    <w:p>
      <w:pPr>
        <w:ind w:left="1080" w:right="160" w:hanging="360"/>
        <w:spacing w:after="0" w:line="259"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78" w:lineRule="exact"/>
        <w:rPr>
          <w:rFonts w:ascii="Arial" w:cs="Arial" w:eastAsia="Arial" w:hAnsi="Arial"/>
          <w:sz w:val="20"/>
          <w:szCs w:val="20"/>
          <w:color w:val="auto"/>
        </w:rPr>
      </w:pPr>
    </w:p>
    <w:p>
      <w:pPr>
        <w:ind w:left="1080" w:right="100" w:hanging="360"/>
        <w:spacing w:after="0" w:line="277" w:lineRule="auto"/>
        <w:tabs>
          <w:tab w:leader="none" w:pos="108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w:t>
      </w:r>
    </w:p>
    <w:p>
      <w:pPr>
        <w:spacing w:after="0" w:line="49"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auto"/>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spacing w:after="0" w:line="187" w:lineRule="exact"/>
        <w:rPr>
          <w:sz w:val="20"/>
          <w:szCs w:val="20"/>
          <w:color w:val="auto"/>
        </w:rPr>
      </w:pPr>
    </w:p>
    <w:p>
      <w:pPr>
        <w:ind w:right="140" w:firstLine="720"/>
        <w:spacing w:after="0" w:line="265" w:lineRule="auto"/>
        <w:rPr>
          <w:sz w:val="20"/>
          <w:szCs w:val="20"/>
          <w:color w:val="auto"/>
        </w:rPr>
      </w:pPr>
      <w:r>
        <w:rPr>
          <w:rFonts w:ascii="Times New Roman" w:cs="Times New Roman" w:eastAsia="Times New Roman" w:hAnsi="Times New Roman"/>
          <w:sz w:val="19"/>
          <w:szCs w:val="19"/>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700" w:right="720" w:bottom="175" w:gutter="0" w:footer="0" w:header="0"/>
        </w:sectPr>
      </w:pPr>
    </w:p>
    <w:bookmarkStart w:id="55" w:name="page56"/>
    <w:bookmarkEnd w:id="55"/>
    <w:p>
      <w:pPr>
        <w:ind w:right="380"/>
        <w:spacing w:after="0" w:line="252" w:lineRule="auto"/>
        <w:rPr>
          <w:sz w:val="20"/>
          <w:szCs w:val="20"/>
          <w:color w:val="auto"/>
        </w:rPr>
      </w:pPr>
      <w:r>
        <w:rPr>
          <w:rFonts w:ascii="Times New Roman" w:cs="Times New Roman" w:eastAsia="Times New Roman" w:hAnsi="Times New Roman"/>
          <w:sz w:val="20"/>
          <w:szCs w:val="20"/>
          <w:color w:val="auto"/>
        </w:rPr>
        <w:t>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the change in fair value of warrants and convertible promissory notes in the consolidated statement of operations and comprehensive loss.</w:t>
      </w:r>
    </w:p>
    <w:p>
      <w:pPr>
        <w:spacing w:after="0" w:line="193"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 fair value of the Unvested Sponsor Share liability was determined using a Monte Carlo valuation model, which requires estimates including the expected volatility of our common stock. The expected annual volatility of our common stock was estimated to be 76.2% and 70.4% as of the Merger date and June 30, 2023, respectively, based on the historical volatility of comparable publicly traded companies.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4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4" w:lineRule="exact"/>
        <w:rPr>
          <w:sz w:val="20"/>
          <w:szCs w:val="20"/>
          <w:color w:val="auto"/>
        </w:rPr>
      </w:pPr>
    </w:p>
    <w:p>
      <w:pPr>
        <w:jc w:val="both"/>
        <w:ind w:right="500" w:firstLine="720"/>
        <w:spacing w:after="0" w:line="258" w:lineRule="auto"/>
        <w:rPr>
          <w:sz w:val="20"/>
          <w:szCs w:val="20"/>
          <w:color w:val="auto"/>
        </w:rPr>
      </w:pPr>
      <w:r>
        <w:rPr>
          <w:rFonts w:ascii="Times New Roman" w:cs="Times New Roman" w:eastAsia="Times New Roman" w:hAnsi="Times New Roman"/>
          <w:sz w:val="20"/>
          <w:szCs w:val="20"/>
          <w:color w:val="auto"/>
        </w:rPr>
        <w:t>See the sections entitled “</w:t>
      </w:r>
      <w:r>
        <w:rPr>
          <w:rFonts w:ascii="Times New Roman" w:cs="Times New Roman" w:eastAsia="Times New Roman" w:hAnsi="Times New Roman"/>
          <w:sz w:val="20"/>
          <w:szCs w:val="20"/>
          <w:i w:val="1"/>
          <w:iCs w:val="1"/>
          <w:color w:val="auto"/>
        </w:rPr>
        <w:t>Recently Adopted Accounting Standards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Recently Issued Accounting Standards Not Yet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Adopted </w:t>
      </w:r>
      <w:r>
        <w:rPr>
          <w:rFonts w:ascii="Times New Roman" w:cs="Times New Roman" w:eastAsia="Times New Roman" w:hAnsi="Times New Roman"/>
          <w:sz w:val="20"/>
          <w:szCs w:val="20"/>
          <w:color w:val="auto"/>
        </w:rPr>
        <w:t>” in Note 1 of Part II, Item 8 of this Annual Report on Form 10-K for recently adopted accounting pronouncements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recently issued accounting pronouncements not yet adopted as of the filing date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w:t>
      </w: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We are an emerging growth company, as defined in the JOBS Act. The JOBS Act provides that an emerging growth</w:t>
      </w:r>
    </w:p>
    <w:p>
      <w:pPr>
        <w:spacing w:after="0" w:line="2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43" w:lineRule="exact"/>
        <w:rPr>
          <w:sz w:val="20"/>
          <w:szCs w:val="20"/>
          <w:color w:val="auto"/>
        </w:rPr>
      </w:pPr>
    </w:p>
    <w:p>
      <w:pPr>
        <w:ind w:right="40" w:firstLine="720"/>
        <w:spacing w:after="0" w:line="305" w:lineRule="auto"/>
        <w:rPr>
          <w:sz w:val="20"/>
          <w:szCs w:val="20"/>
          <w:color w:val="auto"/>
        </w:rPr>
      </w:pPr>
      <w:r>
        <w:rPr>
          <w:rFonts w:ascii="Times New Roman" w:cs="Times New Roman" w:eastAsia="Times New Roman" w:hAnsi="Times New Roman"/>
          <w:sz w:val="19"/>
          <w:szCs w:val="19"/>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Rate Sensitivity</w:t>
      </w:r>
    </w:p>
    <w:p>
      <w:pPr>
        <w:spacing w:after="0" w:line="23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cash equivalents and restricted cash.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Risk</w:t>
      </w:r>
    </w:p>
    <w:p>
      <w:pPr>
        <w:spacing w:after="0" w:line="238"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We are exposed to credit risk on accounts receivable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700" w:right="720" w:bottom="175" w:gutter="0" w:footer="0" w:header="0"/>
        </w:sectPr>
      </w:pPr>
    </w:p>
    <w:bookmarkStart w:id="56" w:name="page57"/>
    <w:bookmarkEnd w:id="56"/>
    <w:p>
      <w:pPr>
        <w:ind w:left="720"/>
        <w:spacing w:after="0"/>
        <w:rPr>
          <w:sz w:val="20"/>
          <w:szCs w:val="20"/>
          <w:color w:val="auto"/>
        </w:rPr>
      </w:pPr>
      <w:r>
        <w:rPr>
          <w:rFonts w:ascii="Times New Roman" w:cs="Times New Roman" w:eastAsia="Times New Roman" w:hAnsi="Times New Roman"/>
          <w:sz w:val="20"/>
          <w:szCs w:val="20"/>
          <w:color w:val="auto"/>
        </w:rPr>
        <w:t>The following customers accounted for more than 10% of revenues during the following periods: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Pr>
          <w:p>
            <w:pPr>
              <w:spacing w:after="0"/>
              <w:rPr>
                <w:sz w:val="17"/>
                <w:szCs w:val="17"/>
                <w:color w:val="auto"/>
              </w:rPr>
            </w:pPr>
          </w:p>
        </w:tc>
        <w:tc>
          <w:tcPr>
            <w:tcW w:w="292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174"/>
        </w:trPr>
        <w:tc>
          <w:tcPr>
            <w:tcW w:w="7880" w:type="dxa"/>
            <w:vAlign w:val="bottom"/>
            <w:tcBorders>
              <w:bottom w:val="single" w:sz="8" w:color="D1EDF4"/>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07"/>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bottom w:val="single" w:sz="8" w:color="D1EDF4"/>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04"/>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bottom w:val="single" w:sz="8" w:color="D1EDF4"/>
            </w:tcBorders>
          </w:tcPr>
          <w:p>
            <w:pPr>
              <w:spacing w:after="0"/>
              <w:rPr>
                <w:sz w:val="15"/>
                <w:szCs w:val="15"/>
                <w:color w:val="auto"/>
              </w:rPr>
            </w:pPr>
          </w:p>
        </w:tc>
      </w:tr>
      <w:tr>
        <w:trPr>
          <w:trHeight w:val="220"/>
        </w:trPr>
        <w:tc>
          <w:tcPr>
            <w:tcW w:w="78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Customer A</w:t>
            </w:r>
          </w:p>
        </w:tc>
        <w:tc>
          <w:tcPr>
            <w:tcW w:w="1400" w:type="dxa"/>
            <w:vAlign w:val="bottom"/>
            <w:gridSpan w:val="2"/>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59 %</w:t>
            </w:r>
          </w:p>
        </w:tc>
        <w:tc>
          <w:tcPr>
            <w:tcW w:w="1520" w:type="dxa"/>
            <w:vAlign w:val="bottom"/>
            <w:gridSpan w:val="2"/>
            <w:shd w:val="clear" w:color="auto" w:fill="D1EDF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rPr>
              <w:t>53 %</w:t>
            </w: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20"/>
                <w:szCs w:val="20"/>
                <w:color w:val="auto"/>
              </w:rPr>
              <w:t>Customer B</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25 %</w:t>
            </w:r>
          </w:p>
        </w:tc>
      </w:tr>
      <w:tr>
        <w:trPr>
          <w:trHeight w:val="229"/>
        </w:trPr>
        <w:tc>
          <w:tcPr>
            <w:tcW w:w="78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C</w:t>
            </w:r>
          </w:p>
        </w:tc>
        <w:tc>
          <w:tcPr>
            <w:tcW w:w="1400" w:type="dxa"/>
            <w:vAlign w:val="bottom"/>
            <w:gridSpan w:val="2"/>
            <w:shd w:val="clear" w:color="auto" w:fill="D1EDF4"/>
          </w:tcPr>
          <w:p>
            <w:pPr>
              <w:jc w:val="right"/>
              <w:ind w:right="20"/>
              <w:spacing w:after="0"/>
              <w:rPr>
                <w:sz w:val="20"/>
                <w:szCs w:val="20"/>
                <w:color w:val="auto"/>
              </w:rPr>
            </w:pPr>
            <w:r>
              <w:rPr>
                <w:rFonts w:ascii="Times New Roman" w:cs="Times New Roman" w:eastAsia="Times New Roman" w:hAnsi="Times New Roman"/>
                <w:sz w:val="20"/>
                <w:szCs w:val="20"/>
                <w:color w:val="auto"/>
              </w:rPr>
              <w:t>16 %</w:t>
            </w:r>
          </w:p>
        </w:tc>
        <w:tc>
          <w:tcPr>
            <w:tcW w:w="152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20"/>
                <w:szCs w:val="20"/>
                <w:color w:val="auto"/>
              </w:rPr>
              <w:t>15 %</w:t>
            </w:r>
          </w:p>
        </w:tc>
      </w:tr>
      <w:tr>
        <w:trPr>
          <w:trHeight w:val="256"/>
        </w:trPr>
        <w:tc>
          <w:tcPr>
            <w:tcW w:w="7880" w:type="dxa"/>
            <w:vAlign w:val="bottom"/>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8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customers accounted for more than 10% of accounts receivable as of June 30, 2023 and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04"/>
        </w:trPr>
        <w:tc>
          <w:tcPr>
            <w:tcW w:w="8060" w:type="dxa"/>
            <w:vAlign w:val="bottom"/>
            <w:tcBorders>
              <w:bottom w:val="single" w:sz="8" w:color="D1EDF4"/>
            </w:tcBorders>
          </w:tcPr>
          <w:p>
            <w:pPr>
              <w:spacing w:after="0"/>
              <w:rPr>
                <w:sz w:val="17"/>
                <w:szCs w:val="17"/>
                <w:color w:val="auto"/>
              </w:rPr>
            </w:pPr>
          </w:p>
        </w:tc>
        <w:tc>
          <w:tcPr>
            <w:tcW w:w="11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D1EDF4"/>
            </w:tcBorders>
          </w:tcPr>
          <w:p>
            <w:pPr>
              <w:spacing w:after="0"/>
              <w:rPr>
                <w:sz w:val="17"/>
                <w:szCs w:val="17"/>
                <w:color w:val="auto"/>
              </w:rPr>
            </w:pPr>
          </w:p>
        </w:tc>
        <w:tc>
          <w:tcPr>
            <w:tcW w:w="11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4"/>
            </w:tcBorders>
          </w:tcPr>
          <w:p>
            <w:pPr>
              <w:spacing w:after="0"/>
              <w:rPr>
                <w:sz w:val="17"/>
                <w:szCs w:val="17"/>
                <w:color w:val="auto"/>
              </w:rPr>
            </w:pPr>
          </w:p>
        </w:tc>
      </w:tr>
      <w:tr>
        <w:trPr>
          <w:trHeight w:val="221"/>
        </w:trPr>
        <w:tc>
          <w:tcPr>
            <w:tcW w:w="80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Customer A</w:t>
            </w:r>
          </w:p>
        </w:tc>
        <w:tc>
          <w:tcPr>
            <w:tcW w:w="142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43 %</w:t>
            </w:r>
          </w:p>
        </w:tc>
        <w:tc>
          <w:tcPr>
            <w:tcW w:w="132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31 %</w:t>
            </w:r>
          </w:p>
        </w:tc>
      </w:tr>
      <w:tr>
        <w:trPr>
          <w:trHeight w:val="230"/>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Customer B</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232"/>
        </w:trPr>
        <w:tc>
          <w:tcPr>
            <w:tcW w:w="80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D</w:t>
            </w:r>
          </w:p>
        </w:tc>
        <w:tc>
          <w:tcPr>
            <w:tcW w:w="14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13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56"/>
        </w:trPr>
        <w:tc>
          <w:tcPr>
            <w:tcW w:w="8060" w:type="dxa"/>
            <w:vAlign w:val="bottom"/>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16002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002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126pt,6.65pt" o:allowincell="f" strokecolor="#000000" strokeweight="1.0199pt"/>
            </w:pict>
          </mc:Fallback>
        </mc:AlternateContent>
      </w:r>
    </w:p>
    <w:p>
      <w:pPr>
        <w:spacing w:after="0" w:line="159" w:lineRule="exact"/>
        <w:rPr>
          <w:sz w:val="20"/>
          <w:szCs w:val="20"/>
          <w:color w:val="auto"/>
        </w:rPr>
      </w:pPr>
    </w:p>
    <w:p>
      <w:pPr>
        <w:ind w:left="360" w:hanging="360"/>
        <w:spacing w:after="0"/>
        <w:tabs>
          <w:tab w:leader="none" w:pos="3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C represents less than 10% of accounts receivable and therefore was omitted from the above schedule.</w:t>
      </w:r>
    </w:p>
    <w:p>
      <w:pPr>
        <w:spacing w:after="0" w:line="236" w:lineRule="exact"/>
        <w:rPr>
          <w:sz w:val="20"/>
          <w:szCs w:val="20"/>
          <w:color w:val="auto"/>
        </w:rPr>
      </w:pPr>
    </w:p>
    <w:p>
      <w:pPr>
        <w:jc w:val="both"/>
        <w:ind w:right="280" w:firstLine="720"/>
        <w:spacing w:after="0" w:line="259" w:lineRule="auto"/>
        <w:rPr>
          <w:sz w:val="20"/>
          <w:szCs w:val="20"/>
          <w:color w:val="auto"/>
        </w:rPr>
      </w:pPr>
      <w:r>
        <w:rPr>
          <w:rFonts w:ascii="Times New Roman" w:cs="Times New Roman" w:eastAsia="Times New Roman" w:hAnsi="Times New Roman"/>
          <w:sz w:val="20"/>
          <w:szCs w:val="20"/>
          <w:color w:val="auto"/>
        </w:rPr>
        <w:t>We are exposed to vendor concentration risk as we purchase our next generation version of Presto Touch tablets and other equipment from one supplier. Our operating results could be adversely affected in the event that the vendor increases their prices or incurs disruptions in its supply of goods or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Inflation Risk</w:t>
      </w:r>
    </w:p>
    <w:p>
      <w:pPr>
        <w:spacing w:after="0" w:line="23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Institutions</w:t>
      </w:r>
    </w:p>
    <w:p>
      <w:pPr>
        <w:spacing w:after="0" w:line="237"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expose us to concentrations of credit risk consist principally of cash and cash equivalents on deposit with financial institutions, the balances of which frequently exceed federally insured limits. If any of the financial institutions with whom we do business were to be placed into receivership, we may be unable to access the cash we have on deposit with such institutions. If we are unable to access our cash, cash equivalents, or restricted cash, as needed, our financial position and ability to operate our business could be adversely affected. The Company has $24.6 million in deposits in excess of the FDIC limits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700" w:right="720" w:bottom="175"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75"/>
        </w:trPr>
        <w:tc>
          <w:tcPr>
            <w:tcW w:w="10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520" w:type="dxa"/>
            <w:vAlign w:val="bottom"/>
          </w:tcPr>
          <w:p>
            <w:pPr>
              <w:spacing w:after="0"/>
              <w:rPr>
                <w:sz w:val="23"/>
                <w:szCs w:val="23"/>
                <w:color w:val="auto"/>
              </w:rPr>
            </w:pPr>
          </w:p>
        </w:tc>
      </w:tr>
      <w:tr>
        <w:trPr>
          <w:trHeight w:val="416"/>
        </w:trPr>
        <w:tc>
          <w:tcPr>
            <w:tcW w:w="10280" w:type="dxa"/>
            <w:vAlign w:val="bottom"/>
          </w:tcPr>
          <w:p>
            <w:pPr>
              <w:ind w:left="4400"/>
              <w:spacing w:after="0"/>
              <w:rPr>
                <w:sz w:val="20"/>
                <w:szCs w:val="20"/>
                <w:color w:val="auto"/>
              </w:rPr>
            </w:pPr>
            <w:r>
              <w:rPr>
                <w:rFonts w:ascii="Times New Roman" w:cs="Times New Roman" w:eastAsia="Times New Roman" w:hAnsi="Times New Roman"/>
                <w:sz w:val="20"/>
                <w:szCs w:val="20"/>
                <w:b w:val="1"/>
                <w:bCs w:val="1"/>
                <w:color w:val="auto"/>
              </w:rPr>
              <w:t>Presto Automation, Inc</w:t>
            </w:r>
          </w:p>
        </w:tc>
        <w:tc>
          <w:tcPr>
            <w:tcW w:w="520" w:type="dxa"/>
            <w:vAlign w:val="bottom"/>
          </w:tcPr>
          <w:p>
            <w:pPr>
              <w:spacing w:after="0"/>
              <w:rPr>
                <w:sz w:val="24"/>
                <w:szCs w:val="24"/>
                <w:color w:val="auto"/>
              </w:rPr>
            </w:pPr>
          </w:p>
        </w:tc>
      </w:tr>
      <w:tr>
        <w:trPr>
          <w:trHeight w:val="274"/>
        </w:trPr>
        <w:tc>
          <w:tcPr>
            <w:tcW w:w="10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tc>
        <w:tc>
          <w:tcPr>
            <w:tcW w:w="520" w:type="dxa"/>
            <w:vAlign w:val="bottom"/>
          </w:tcPr>
          <w:p>
            <w:pPr>
              <w:spacing w:after="0"/>
              <w:rPr>
                <w:sz w:val="23"/>
                <w:szCs w:val="23"/>
                <w:color w:val="auto"/>
              </w:rPr>
            </w:pPr>
          </w:p>
        </w:tc>
      </w:tr>
      <w:tr>
        <w:trPr>
          <w:trHeight w:val="239"/>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w:t>
            </w:r>
            <w:r>
              <w:rPr>
                <w:rFonts w:ascii="Arial" w:cs="Arial" w:eastAsia="Arial" w:hAnsi="Arial"/>
                <w:sz w:val="18"/>
                <w:szCs w:val="18"/>
                <w:color w:val="auto"/>
              </w:rPr>
              <w:t>Moss Adams LLP, San Francisco , California, PCAOB ID: 659</w:t>
            </w:r>
            <w:r>
              <w:rPr>
                <w:rFonts w:ascii="Times New Roman" w:cs="Times New Roman" w:eastAsia="Times New Roman" w:hAnsi="Times New Roman"/>
                <w:sz w:val="20"/>
                <w:szCs w:val="20"/>
                <w:color w:val="auto"/>
              </w:rPr>
              <w:t>)</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r>
      <w:tr>
        <w:trPr>
          <w:trHeight w:val="230"/>
        </w:trPr>
        <w:tc>
          <w:tcPr>
            <w:tcW w:w="10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0"/>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Consolidated Balance Sheets as of June 30, 2023 and 2022</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3</w:t>
            </w:r>
          </w:p>
        </w:tc>
      </w:tr>
      <w:tr>
        <w:trPr>
          <w:trHeight w:val="229"/>
        </w:trPr>
        <w:tc>
          <w:tcPr>
            <w:tcW w:w="10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June 30, 2023 and 2022</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4</w:t>
            </w:r>
          </w:p>
        </w:tc>
      </w:tr>
      <w:tr>
        <w:trPr>
          <w:trHeight w:val="230"/>
        </w:trPr>
        <w:tc>
          <w:tcPr>
            <w:tcW w:w="10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9"/>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Consolidated Statements of Stockholders’ Deficit for the Years Ended June 30, 2023 and 2022</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10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30"/>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June 30, 2023 and 2022</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6</w:t>
            </w:r>
          </w:p>
        </w:tc>
      </w:tr>
      <w:tr>
        <w:trPr>
          <w:trHeight w:val="229"/>
        </w:trPr>
        <w:tc>
          <w:tcPr>
            <w:tcW w:w="10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0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Notes to the Consolidated Financial Statements</w:t>
            </w:r>
          </w:p>
        </w:tc>
        <w:tc>
          <w:tcPr>
            <w:tcW w:w="520" w:type="dxa"/>
            <w:vAlign w:val="bottom"/>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800"/>
          </w:cols>
          <w:pgMar w:left="720" w:top="925" w:right="720" w:bottom="175"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Shareholders and the Board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Presto Automation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of Presto Automation Inc. (the “Company”) as of June 30, 2023 and 2022, the related consolidated statements of operations and comprehensive loss, stockholders’ deficit, and cash flows for the year</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then ended, and the related notes (collectively referred to as the “consolidated financial statements”) .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 Uncertainty</w:t>
      </w:r>
    </w:p>
    <w:p>
      <w:pPr>
        <w:spacing w:after="0" w:line="23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 in Accounting Principle</w:t>
      </w:r>
    </w:p>
    <w:p>
      <w:pPr>
        <w:spacing w:after="0" w:line="24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changed its method of accounting for leases in 2023 due to the adoption of Accounting Standards Codification Topic 842.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conducted our audit</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Moss Adams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10,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760"/>
          </w:cols>
          <w:pgMar w:left="720" w:top="696" w:right="760" w:bottom="175"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6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6"/>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4"/>
        </w:trPr>
        <w:tc>
          <w:tcPr>
            <w:tcW w:w="72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20" w:type="dxa"/>
            <w:vAlign w:val="bottom"/>
            <w:tcBorders>
              <w:bottom w:val="single" w:sz="8" w:color="D1EDF4"/>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20" w:type="dxa"/>
            <w:vAlign w:val="bottom"/>
            <w:tcBorders>
              <w:bottom w:val="single" w:sz="8" w:color="D1EDF4"/>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280" w:type="dxa"/>
            <w:vAlign w:val="bottom"/>
            <w:gridSpan w:val="2"/>
            <w:shd w:val="clear" w:color="auto" w:fill="D1EDF4"/>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D1EDF4"/>
          </w:tcPr>
          <w:p>
            <w:pPr>
              <w:spacing w:after="0"/>
              <w:rPr>
                <w:sz w:val="15"/>
                <w:szCs w:val="15"/>
                <w:color w:val="auto"/>
              </w:rPr>
            </w:pPr>
          </w:p>
        </w:tc>
        <w:tc>
          <w:tcPr>
            <w:tcW w:w="1200" w:type="dxa"/>
            <w:vAlign w:val="bottom"/>
            <w:shd w:val="clear" w:color="auto" w:fill="D1EDF4"/>
          </w:tcPr>
          <w:p>
            <w:pPr>
              <w:spacing w:after="0"/>
              <w:rPr>
                <w:sz w:val="15"/>
                <w:szCs w:val="15"/>
                <w:color w:val="auto"/>
              </w:rPr>
            </w:pPr>
          </w:p>
        </w:tc>
        <w:tc>
          <w:tcPr>
            <w:tcW w:w="320" w:type="dxa"/>
            <w:vAlign w:val="bottom"/>
            <w:tcBorders>
              <w:right w:val="single" w:sz="8" w:color="D1EDF4"/>
            </w:tcBorders>
            <w:shd w:val="clear" w:color="auto" w:fill="D1EDF4"/>
          </w:tcPr>
          <w:p>
            <w:pPr>
              <w:spacing w:after="0"/>
              <w:rPr>
                <w:sz w:val="15"/>
                <w:szCs w:val="15"/>
                <w:color w:val="auto"/>
              </w:rPr>
            </w:pPr>
          </w:p>
        </w:tc>
        <w:tc>
          <w:tcPr>
            <w:tcW w:w="260" w:type="dxa"/>
            <w:vAlign w:val="bottom"/>
            <w:shd w:val="clear" w:color="auto" w:fill="D1EDF4"/>
          </w:tcPr>
          <w:p>
            <w:pPr>
              <w:spacing w:after="0"/>
              <w:rPr>
                <w:sz w:val="15"/>
                <w:szCs w:val="15"/>
                <w:color w:val="auto"/>
              </w:rPr>
            </w:pPr>
          </w:p>
        </w:tc>
        <w:tc>
          <w:tcPr>
            <w:tcW w:w="1180" w:type="dxa"/>
            <w:vAlign w:val="bottom"/>
            <w:shd w:val="clear" w:color="auto" w:fill="D1EDF4"/>
          </w:tcPr>
          <w:p>
            <w:pPr>
              <w:spacing w:after="0"/>
              <w:rPr>
                <w:sz w:val="15"/>
                <w:szCs w:val="15"/>
                <w:color w:val="auto"/>
              </w:rPr>
            </w:pPr>
          </w:p>
        </w:tc>
        <w:tc>
          <w:tcPr>
            <w:tcW w:w="32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D1EDF4"/>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15,143</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3,017</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$746 and $353, respectively</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Deferred costs, current</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tcBorders>
              <w:bottom w:val="single" w:sz="8" w:color="D1EDF4"/>
            </w:tcBorders>
            <w:gridSpan w:val="2"/>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320" w:type="dxa"/>
            <w:vAlign w:val="bottom"/>
            <w:tcBorders>
              <w:bottom w:val="single" w:sz="8" w:color="D1EDF4"/>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32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280" w:type="dxa"/>
            <w:vAlign w:val="bottom"/>
            <w:gridSpan w:val="2"/>
            <w:shd w:val="clear" w:color="auto" w:fill="D1EDF4"/>
          </w:tcPr>
          <w:p>
            <w:pPr>
              <w:ind w:left="240"/>
              <w:spacing w:after="0" w:line="176" w:lineRule="exact"/>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D1EDF4"/>
          </w:tcPr>
          <w:p>
            <w:pPr>
              <w:spacing w:after="0"/>
              <w:rPr>
                <w:sz w:val="15"/>
                <w:szCs w:val="15"/>
                <w:color w:val="auto"/>
              </w:rPr>
            </w:pPr>
          </w:p>
        </w:tc>
        <w:tc>
          <w:tcPr>
            <w:tcW w:w="120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31,066</w:t>
            </w:r>
          </w:p>
        </w:tc>
        <w:tc>
          <w:tcPr>
            <w:tcW w:w="320" w:type="dxa"/>
            <w:vAlign w:val="bottom"/>
            <w:tcBorders>
              <w:right w:val="single" w:sz="8" w:color="D1EDF4"/>
            </w:tcBorders>
            <w:shd w:val="clear" w:color="auto" w:fill="D1EDF4"/>
          </w:tcPr>
          <w:p>
            <w:pPr>
              <w:spacing w:after="0"/>
              <w:rPr>
                <w:sz w:val="15"/>
                <w:szCs w:val="15"/>
                <w:color w:val="auto"/>
              </w:rPr>
            </w:pPr>
          </w:p>
        </w:tc>
        <w:tc>
          <w:tcPr>
            <w:tcW w:w="260" w:type="dxa"/>
            <w:vAlign w:val="bottom"/>
            <w:shd w:val="clear" w:color="auto" w:fill="D1EDF4"/>
          </w:tcPr>
          <w:p>
            <w:pPr>
              <w:spacing w:after="0"/>
              <w:rPr>
                <w:sz w:val="15"/>
                <w:szCs w:val="15"/>
                <w:color w:val="auto"/>
              </w:rPr>
            </w:pPr>
          </w:p>
        </w:tc>
        <w:tc>
          <w:tcPr>
            <w:tcW w:w="118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14,554</w:t>
            </w:r>
          </w:p>
        </w:tc>
        <w:tc>
          <w:tcPr>
            <w:tcW w:w="32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costs, net of current portion</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Investment in non-affiliate</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500" w:type="dxa"/>
            <w:vAlign w:val="bottom"/>
            <w:gridSpan w:val="2"/>
            <w:shd w:val="clear" w:color="auto" w:fill="D1EDF4"/>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transaction costs</w:t>
            </w:r>
          </w:p>
        </w:tc>
        <w:tc>
          <w:tcPr>
            <w:tcW w:w="240" w:type="dxa"/>
            <w:vAlign w:val="bottom"/>
          </w:tcPr>
          <w:p>
            <w:pPr>
              <w:spacing w:after="0"/>
              <w:rPr>
                <w:sz w:val="16"/>
                <w:szCs w:val="16"/>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10,528</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320" w:type="dxa"/>
            <w:vAlign w:val="bottom"/>
            <w:tcBorders>
              <w:bottom w:val="single" w:sz="8" w:color="D1EDF4"/>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80" w:type="dxa"/>
            <w:vAlign w:val="bottom"/>
            <w:gridSpan w:val="2"/>
            <w:shd w:val="clear" w:color="auto" w:fill="D1EDF4"/>
          </w:tcPr>
          <w:p>
            <w:pPr>
              <w:ind w:left="240"/>
              <w:spacing w:after="0" w:line="175" w:lineRule="exact"/>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D1EDF4"/>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46,687</w:t>
            </w:r>
          </w:p>
        </w:tc>
        <w:tc>
          <w:tcPr>
            <w:tcW w:w="320" w:type="dxa"/>
            <w:vAlign w:val="bottom"/>
            <w:tcBorders>
              <w:right w:val="single" w:sz="8" w:color="D1EDF4"/>
            </w:tcBorders>
            <w:shd w:val="clear" w:color="auto" w:fill="D1EDF4"/>
          </w:tcPr>
          <w:p>
            <w:pPr>
              <w:spacing w:after="0"/>
              <w:rPr>
                <w:sz w:val="15"/>
                <w:szCs w:val="15"/>
                <w:color w:val="auto"/>
              </w:rPr>
            </w:pPr>
          </w:p>
        </w:tc>
        <w:tc>
          <w:tcPr>
            <w:tcW w:w="260" w:type="dxa"/>
            <w:vAlign w:val="bottom"/>
            <w:tcBorders>
              <w:bottom w:val="single" w:sz="8" w:color="auto"/>
            </w:tcBorders>
            <w:shd w:val="clear" w:color="auto" w:fill="D1EDF4"/>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30,536</w:t>
            </w:r>
          </w:p>
        </w:tc>
        <w:tc>
          <w:tcPr>
            <w:tcW w:w="32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spacing w:after="0"/>
              <w:rPr>
                <w:sz w:val="16"/>
                <w:szCs w:val="16"/>
                <w:color w:val="auto"/>
              </w:rPr>
            </w:pP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spacing w:after="0"/>
              <w:rPr>
                <w:sz w:val="16"/>
                <w:szCs w:val="16"/>
                <w:color w:val="auto"/>
              </w:rPr>
            </w:pP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D1EDF4"/>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Financing obligations, current</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8,840</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Term loans, current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50,639</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2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Convertible promissory notes and embedded warrants, current</w:t>
            </w:r>
          </w:p>
        </w:tc>
        <w:tc>
          <w:tcPr>
            <w:tcW w:w="240" w:type="dxa"/>
            <w:vAlign w:val="bottom"/>
            <w:shd w:val="clear" w:color="auto" w:fill="D1EDF4"/>
          </w:tcPr>
          <w:p>
            <w:pPr>
              <w:spacing w:after="0"/>
              <w:rPr>
                <w:sz w:val="16"/>
                <w:szCs w:val="16"/>
                <w:color w:val="auto"/>
              </w:rPr>
            </w:pPr>
          </w:p>
        </w:tc>
        <w:tc>
          <w:tcPr>
            <w:tcW w:w="1520" w:type="dxa"/>
            <w:vAlign w:val="bottom"/>
            <w:tcBorders>
              <w:right w:val="single" w:sz="8" w:color="D1EDF4"/>
            </w:tcBorders>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89,663</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tcBorders>
              <w:bottom w:val="single" w:sz="8" w:color="D1EDF4"/>
            </w:tcBorders>
            <w:gridSpan w:val="2"/>
          </w:tcPr>
          <w:p>
            <w:pPr>
              <w:ind w:left="1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320" w:type="dxa"/>
            <w:vAlign w:val="bottom"/>
            <w:tcBorders>
              <w:bottom w:val="single" w:sz="8" w:color="D1EDF4"/>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10,532</w:t>
            </w:r>
          </w:p>
        </w:tc>
        <w:tc>
          <w:tcPr>
            <w:tcW w:w="320" w:type="dxa"/>
            <w:vAlign w:val="bottom"/>
            <w:tcBorders>
              <w:bottom w:val="single" w:sz="8" w:color="D1EDF4"/>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280" w:type="dxa"/>
            <w:vAlign w:val="bottom"/>
            <w:gridSpan w:val="2"/>
            <w:shd w:val="clear" w:color="auto" w:fill="D1EDF4"/>
          </w:tcPr>
          <w:p>
            <w:pPr>
              <w:ind w:left="240"/>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D1EDF4"/>
          </w:tcPr>
          <w:p>
            <w:pPr>
              <w:spacing w:after="0"/>
              <w:rPr>
                <w:sz w:val="15"/>
                <w:szCs w:val="15"/>
                <w:color w:val="auto"/>
              </w:rPr>
            </w:pPr>
          </w:p>
        </w:tc>
        <w:tc>
          <w:tcPr>
            <w:tcW w:w="12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61,213</w:t>
            </w:r>
          </w:p>
        </w:tc>
        <w:tc>
          <w:tcPr>
            <w:tcW w:w="320" w:type="dxa"/>
            <w:vAlign w:val="bottom"/>
            <w:tcBorders>
              <w:right w:val="single" w:sz="8" w:color="D1EDF4"/>
            </w:tcBorders>
            <w:shd w:val="clear" w:color="auto" w:fill="D1EDF4"/>
          </w:tcPr>
          <w:p>
            <w:pPr>
              <w:spacing w:after="0"/>
              <w:rPr>
                <w:sz w:val="15"/>
                <w:szCs w:val="15"/>
                <w:color w:val="auto"/>
              </w:rPr>
            </w:pPr>
          </w:p>
        </w:tc>
        <w:tc>
          <w:tcPr>
            <w:tcW w:w="260" w:type="dxa"/>
            <w:vAlign w:val="bottom"/>
            <w:shd w:val="clear" w:color="auto" w:fill="D1EDF4"/>
          </w:tcPr>
          <w:p>
            <w:pPr>
              <w:spacing w:after="0"/>
              <w:rPr>
                <w:sz w:val="15"/>
                <w:szCs w:val="15"/>
                <w:color w:val="auto"/>
              </w:rPr>
            </w:pPr>
          </w:p>
        </w:tc>
        <w:tc>
          <w:tcPr>
            <w:tcW w:w="11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146,609</w:t>
            </w:r>
          </w:p>
        </w:tc>
        <w:tc>
          <w:tcPr>
            <w:tcW w:w="320" w:type="dxa"/>
            <w:vAlign w:val="bottom"/>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obligations, net of current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PPP loans</w:t>
            </w:r>
          </w:p>
        </w:tc>
        <w:tc>
          <w:tcPr>
            <w:tcW w:w="240" w:type="dxa"/>
            <w:vAlign w:val="bottom"/>
            <w:shd w:val="clear" w:color="auto" w:fill="D1EDF4"/>
          </w:tcPr>
          <w:p>
            <w:pPr>
              <w:spacing w:after="0"/>
              <w:rPr>
                <w:sz w:val="16"/>
                <w:szCs w:val="16"/>
                <w:color w:val="auto"/>
              </w:rPr>
            </w:pPr>
          </w:p>
        </w:tc>
        <w:tc>
          <w:tcPr>
            <w:tcW w:w="1520" w:type="dxa"/>
            <w:vAlign w:val="bottom"/>
            <w:tcBorders>
              <w:right w:val="single" w:sz="8" w:color="D1EDF4"/>
            </w:tcBorders>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4"/>
        </w:trPr>
        <w:tc>
          <w:tcPr>
            <w:tcW w:w="7280" w:type="dxa"/>
            <w:vAlign w:val="bottom"/>
            <w:tcBorders>
              <w:top w:val="single" w:sz="8" w:color="D1EDF4"/>
            </w:tcBorders>
            <w:gridSpan w:val="2"/>
            <w:shd w:val="clear" w:color="auto" w:fill="D1EDF4"/>
          </w:tcPr>
          <w:p>
            <w:pPr>
              <w:ind w:left="240"/>
              <w:spacing w:after="0" w:line="175" w:lineRule="exact"/>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top w:val="single" w:sz="8" w:color="auto"/>
              <w:bottom w:val="single" w:sz="8" w:color="auto"/>
            </w:tcBorders>
            <w:shd w:val="clear" w:color="auto" w:fill="D1EDF4"/>
          </w:tcPr>
          <w:p>
            <w:pPr>
              <w:spacing w:after="0"/>
              <w:rPr>
                <w:sz w:val="15"/>
                <w:szCs w:val="15"/>
                <w:color w:val="auto"/>
              </w:rPr>
            </w:pPr>
          </w:p>
        </w:tc>
        <w:tc>
          <w:tcPr>
            <w:tcW w:w="1200" w:type="dxa"/>
            <w:vAlign w:val="bottom"/>
            <w:tcBorders>
              <w:top w:val="single" w:sz="8" w:color="auto"/>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91,914</w:t>
            </w:r>
          </w:p>
        </w:tc>
        <w:tc>
          <w:tcPr>
            <w:tcW w:w="320" w:type="dxa"/>
            <w:vAlign w:val="bottom"/>
            <w:tcBorders>
              <w:top w:val="single" w:sz="8" w:color="D1EDF4"/>
              <w:right w:val="single" w:sz="8" w:color="D1EDF4"/>
            </w:tcBorders>
            <w:shd w:val="clear" w:color="auto" w:fill="D1EDF4"/>
          </w:tcPr>
          <w:p>
            <w:pPr>
              <w:spacing w:after="0"/>
              <w:rPr>
                <w:sz w:val="15"/>
                <w:szCs w:val="15"/>
                <w:color w:val="auto"/>
              </w:rPr>
            </w:pPr>
          </w:p>
        </w:tc>
        <w:tc>
          <w:tcPr>
            <w:tcW w:w="260" w:type="dxa"/>
            <w:vAlign w:val="bottom"/>
            <w:tcBorders>
              <w:top w:val="single" w:sz="8" w:color="auto"/>
              <w:bottom w:val="single" w:sz="8" w:color="auto"/>
            </w:tcBorders>
            <w:shd w:val="clear" w:color="auto" w:fill="D1EDF4"/>
          </w:tcPr>
          <w:p>
            <w:pPr>
              <w:spacing w:after="0"/>
              <w:rPr>
                <w:sz w:val="15"/>
                <w:szCs w:val="15"/>
                <w:color w:val="auto"/>
              </w:rPr>
            </w:pPr>
          </w:p>
        </w:tc>
        <w:tc>
          <w:tcPr>
            <w:tcW w:w="1180" w:type="dxa"/>
            <w:vAlign w:val="bottom"/>
            <w:tcBorders>
              <w:top w:val="single" w:sz="8" w:color="auto"/>
              <w:bottom w:val="single" w:sz="8" w:color="auto"/>
            </w:tcBorders>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152,995</w:t>
            </w:r>
          </w:p>
        </w:tc>
        <w:tc>
          <w:tcPr>
            <w:tcW w:w="320" w:type="dxa"/>
            <w:vAlign w:val="bottom"/>
            <w:tcBorders>
              <w:top w:val="single" w:sz="8" w:color="D1EDF4"/>
            </w:tcBorders>
            <w:shd w:val="clear" w:color="auto" w:fill="D1EDF4"/>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Commitments and Contingencies (Refer to Note 8)</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spacing w:after="0"/>
              <w:rPr>
                <w:sz w:val="16"/>
                <w:szCs w:val="16"/>
                <w:color w:val="auto"/>
              </w:rPr>
            </w:pP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spacing w:after="0"/>
              <w:rPr>
                <w:sz w:val="16"/>
                <w:szCs w:val="16"/>
                <w:color w:val="auto"/>
              </w:rPr>
            </w:pP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Preferred stock, $0.0001 par value–1,500,000 shares authorized as of June 30, 2023 and June 30, 2022,</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spacing w:after="0"/>
              <w:rPr>
                <w:sz w:val="16"/>
                <w:szCs w:val="16"/>
                <w:color w:val="auto"/>
              </w:rPr>
            </w:pP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spacing w:after="0"/>
              <w:rPr>
                <w:sz w:val="16"/>
                <w:szCs w:val="16"/>
                <w:color w:val="auto"/>
              </w:rPr>
            </w:pP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60" w:type="dxa"/>
            <w:vAlign w:val="bottom"/>
            <w:shd w:val="clear" w:color="auto" w:fill="D1EDF4"/>
          </w:tcPr>
          <w:p>
            <w:pPr>
              <w:spacing w:after="0"/>
              <w:rPr>
                <w:sz w:val="20"/>
                <w:szCs w:val="20"/>
                <w:color w:val="auto"/>
              </w:rPr>
            </w:pPr>
            <w:r>
              <w:rPr>
                <w:rFonts w:ascii="Times New Roman" w:cs="Times New Roman" w:eastAsia="Times New Roman" w:hAnsi="Times New Roman"/>
                <w:sz w:val="16"/>
                <w:szCs w:val="16"/>
                <w:color w:val="auto"/>
              </w:rPr>
              <w:t>respectively; no shares issued and outstanding as of June 30, 2023 and June 30, 2022 respectively</w:t>
            </w:r>
          </w:p>
        </w:tc>
        <w:tc>
          <w:tcPr>
            <w:tcW w:w="20" w:type="dxa"/>
            <w:vAlign w:val="bottom"/>
            <w:shd w:val="clear" w:color="auto" w:fill="D1EDF4"/>
          </w:tcPr>
          <w:p>
            <w:pPr>
              <w:spacing w:after="0"/>
              <w:rPr>
                <w:sz w:val="16"/>
                <w:szCs w:val="16"/>
                <w:color w:val="auto"/>
              </w:rPr>
            </w:pP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2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Common stock, $0.0001 par value–180,000,000 shares authorized as of June 30, 2023 and June 30, 2022,</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57,180,531 and 27,974,439 shares issued and outstanding as of June 30, 2023 and June 30, 2022,</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2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D1EDF4"/>
          </w:tcPr>
          <w:p>
            <w:pPr>
              <w:spacing w:after="0"/>
              <w:rPr>
                <w:sz w:val="16"/>
                <w:szCs w:val="16"/>
                <w:color w:val="auto"/>
              </w:rPr>
            </w:pPr>
          </w:p>
        </w:tc>
        <w:tc>
          <w:tcPr>
            <w:tcW w:w="1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190,031</w:t>
            </w:r>
          </w:p>
        </w:tc>
        <w:tc>
          <w:tcPr>
            <w:tcW w:w="320" w:type="dxa"/>
            <w:vAlign w:val="bottom"/>
            <w:tcBorders>
              <w:right w:val="single" w:sz="8" w:color="D1EDF4"/>
            </w:tcBorders>
            <w:shd w:val="clear" w:color="auto" w:fill="D1EDF4"/>
          </w:tcPr>
          <w:p>
            <w:pPr>
              <w:spacing w:after="0"/>
              <w:rPr>
                <w:sz w:val="16"/>
                <w:szCs w:val="16"/>
                <w:color w:val="auto"/>
              </w:rPr>
            </w:pPr>
          </w:p>
        </w:tc>
        <w:tc>
          <w:tcPr>
            <w:tcW w:w="260" w:type="dxa"/>
            <w:vAlign w:val="bottom"/>
            <w:shd w:val="clear" w:color="auto" w:fill="D1EDF4"/>
          </w:tcPr>
          <w:p>
            <w:pPr>
              <w:spacing w:after="0"/>
              <w:rPr>
                <w:sz w:val="16"/>
                <w:szCs w:val="16"/>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78,321</w:t>
            </w:r>
          </w:p>
        </w:tc>
        <w:tc>
          <w:tcPr>
            <w:tcW w:w="320" w:type="dxa"/>
            <w:vAlign w:val="bottom"/>
            <w:shd w:val="clear" w:color="auto" w:fill="D1EDF4"/>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(235,263)</w:t>
            </w:r>
          </w:p>
        </w:tc>
        <w:tc>
          <w:tcPr>
            <w:tcW w:w="26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(200,783)</w:t>
            </w:r>
          </w:p>
        </w:tc>
        <w:tc>
          <w:tcPr>
            <w:tcW w:w="0" w:type="dxa"/>
            <w:vAlign w:val="bottom"/>
          </w:tcPr>
          <w:p>
            <w:pPr>
              <w:spacing w:after="0"/>
              <w:rPr>
                <w:sz w:val="1"/>
                <w:szCs w:val="1"/>
                <w:color w:val="auto"/>
              </w:rPr>
            </w:pPr>
          </w:p>
        </w:tc>
      </w:tr>
      <w:tr>
        <w:trPr>
          <w:trHeight w:val="20"/>
        </w:trPr>
        <w:tc>
          <w:tcPr>
            <w:tcW w:w="7280" w:type="dxa"/>
            <w:vAlign w:val="bottom"/>
            <w:gridSpan w:val="2"/>
            <w:vMerge w:val="restart"/>
            <w:shd w:val="clear" w:color="auto" w:fill="D1EDF4"/>
          </w:tcPr>
          <w:p>
            <w:pPr>
              <w:ind w:left="2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Borders>
              <w:right w:val="single" w:sz="8" w:color="D1EDF4"/>
            </w:tcBorders>
            <w:shd w:val="clear" w:color="auto" w:fill="D1ED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1ED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280" w:type="dxa"/>
            <w:vAlign w:val="bottom"/>
            <w:gridSpan w:val="2"/>
            <w:vMerge w:val="continue"/>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12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(45,227)</w:t>
            </w:r>
          </w:p>
        </w:tc>
        <w:tc>
          <w:tcPr>
            <w:tcW w:w="320" w:type="dxa"/>
            <w:vAlign w:val="bottom"/>
            <w:tcBorders>
              <w:right w:val="single" w:sz="8" w:color="D1EDF4"/>
            </w:tcBorders>
            <w:shd w:val="clear" w:color="auto" w:fill="D1EDF4"/>
          </w:tcPr>
          <w:p>
            <w:pPr>
              <w:spacing w:after="0"/>
              <w:rPr>
                <w:sz w:val="15"/>
                <w:szCs w:val="15"/>
                <w:color w:val="auto"/>
              </w:rPr>
            </w:pPr>
          </w:p>
        </w:tc>
        <w:tc>
          <w:tcPr>
            <w:tcW w:w="260" w:type="dxa"/>
            <w:vAlign w:val="bottom"/>
            <w:shd w:val="clear" w:color="auto" w:fill="D1EDF4"/>
          </w:tcPr>
          <w:p>
            <w:pPr>
              <w:spacing w:after="0"/>
              <w:rPr>
                <w:sz w:val="15"/>
                <w:szCs w:val="15"/>
                <w:color w:val="auto"/>
              </w:rPr>
            </w:pPr>
          </w:p>
        </w:tc>
        <w:tc>
          <w:tcPr>
            <w:tcW w:w="1500" w:type="dxa"/>
            <w:vAlign w:val="bottom"/>
            <w:gridSpan w:val="2"/>
            <w:shd w:val="clear" w:color="auto" w:fill="D1EDF4"/>
          </w:tcPr>
          <w:p>
            <w:pPr>
              <w:jc w:val="right"/>
              <w:ind w:right="300"/>
              <w:spacing w:after="0" w:line="175" w:lineRule="exact"/>
              <w:rPr>
                <w:sz w:val="20"/>
                <w:szCs w:val="20"/>
                <w:color w:val="auto"/>
              </w:rPr>
            </w:pPr>
            <w:r>
              <w:rPr>
                <w:rFonts w:ascii="Times New Roman" w:cs="Times New Roman" w:eastAsia="Times New Roman" w:hAnsi="Times New Roman"/>
                <w:sz w:val="16"/>
                <w:szCs w:val="16"/>
                <w:color w:val="auto"/>
              </w:rPr>
              <w:t>(122,459)</w:t>
            </w:r>
          </w:p>
        </w:tc>
        <w:tc>
          <w:tcPr>
            <w:tcW w:w="0" w:type="dxa"/>
            <w:vAlign w:val="bottom"/>
          </w:tcPr>
          <w:p>
            <w:pPr>
              <w:spacing w:after="0"/>
              <w:rPr>
                <w:sz w:val="1"/>
                <w:szCs w:val="1"/>
                <w:color w:val="auto"/>
              </w:rPr>
            </w:pPr>
          </w:p>
        </w:tc>
      </w:tr>
      <w:tr>
        <w:trPr>
          <w:trHeight w:val="186"/>
        </w:trPr>
        <w:tc>
          <w:tcPr>
            <w:tcW w:w="72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46,687</w:t>
            </w:r>
          </w:p>
        </w:tc>
        <w:tc>
          <w:tcPr>
            <w:tcW w:w="3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0"/>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30,536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800"/>
          </w:cols>
          <w:pgMar w:left="720" w:top="696" w:right="720" w:bottom="175"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11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4"/>
        </w:trPr>
        <w:tc>
          <w:tcPr>
            <w:tcW w:w="7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176"/>
        </w:trPr>
        <w:tc>
          <w:tcPr>
            <w:tcW w:w="794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42"/>
              <w:spacing w:after="0" w:line="176"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D1EDF4"/>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1"/>
              <w:spacing w:after="0" w:line="176"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4"/>
            </w:tcBorders>
          </w:tcPr>
          <w:p>
            <w:pPr>
              <w:spacing w:after="0"/>
              <w:rPr>
                <w:sz w:val="15"/>
                <w:szCs w:val="15"/>
                <w:color w:val="auto"/>
              </w:rPr>
            </w:pPr>
          </w:p>
        </w:tc>
      </w:tr>
      <w:tr>
        <w:trPr>
          <w:trHeight w:val="221"/>
        </w:trPr>
        <w:tc>
          <w:tcPr>
            <w:tcW w:w="79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Revenue</w:t>
            </w:r>
          </w:p>
        </w:tc>
        <w:tc>
          <w:tcPr>
            <w:tcW w:w="160" w:type="dxa"/>
            <w:vAlign w:val="bottom"/>
            <w:shd w:val="clear" w:color="auto" w:fill="D1EDF4"/>
          </w:tcPr>
          <w:p>
            <w:pPr>
              <w:spacing w:after="0"/>
              <w:rPr>
                <w:sz w:val="19"/>
                <w:szCs w:val="19"/>
                <w:color w:val="auto"/>
              </w:rPr>
            </w:pPr>
          </w:p>
        </w:tc>
        <w:tc>
          <w:tcPr>
            <w:tcW w:w="102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00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Platform</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13,235</w:t>
            </w:r>
          </w:p>
        </w:tc>
        <w:tc>
          <w:tcPr>
            <w:tcW w:w="2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20,053</w:t>
            </w:r>
          </w:p>
        </w:tc>
        <w:tc>
          <w:tcPr>
            <w:tcW w:w="240" w:type="dxa"/>
            <w:vAlign w:val="bottom"/>
          </w:tcPr>
          <w:p>
            <w:pPr>
              <w:spacing w:after="0"/>
              <w:rPr>
                <w:sz w:val="20"/>
                <w:szCs w:val="20"/>
                <w:color w:val="auto"/>
              </w:rPr>
            </w:pPr>
          </w:p>
        </w:tc>
      </w:tr>
      <w:tr>
        <w:trPr>
          <w:trHeight w:val="232"/>
        </w:trPr>
        <w:tc>
          <w:tcPr>
            <w:tcW w:w="7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Transaction</w:t>
            </w:r>
          </w:p>
        </w:tc>
        <w:tc>
          <w:tcPr>
            <w:tcW w:w="160" w:type="dxa"/>
            <w:vAlign w:val="bottom"/>
            <w:tcBorders>
              <w:bottom w:val="single" w:sz="8" w:color="auto"/>
            </w:tcBorders>
            <w:shd w:val="clear" w:color="auto" w:fill="D1EDF4"/>
          </w:tcPr>
          <w:p>
            <w:pPr>
              <w:spacing w:after="0"/>
              <w:rPr>
                <w:sz w:val="20"/>
                <w:szCs w:val="20"/>
                <w:color w:val="auto"/>
              </w:rPr>
            </w:pPr>
          </w:p>
        </w:tc>
        <w:tc>
          <w:tcPr>
            <w:tcW w:w="10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12,900</w:t>
            </w:r>
          </w:p>
        </w:tc>
        <w:tc>
          <w:tcPr>
            <w:tcW w:w="240" w:type="dxa"/>
            <w:vAlign w:val="bottom"/>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10,298</w:t>
            </w:r>
          </w:p>
        </w:tc>
        <w:tc>
          <w:tcPr>
            <w:tcW w:w="240" w:type="dxa"/>
            <w:vAlign w:val="bottom"/>
            <w:shd w:val="clear" w:color="auto" w:fill="D1EDF4"/>
          </w:tcPr>
          <w:p>
            <w:pPr>
              <w:spacing w:after="0"/>
              <w:rPr>
                <w:sz w:val="20"/>
                <w:szCs w:val="20"/>
                <w:color w:val="auto"/>
              </w:rPr>
            </w:pPr>
          </w:p>
        </w:tc>
      </w:tr>
      <w:tr>
        <w:trPr>
          <w:trHeight w:val="220"/>
        </w:trPr>
        <w:tc>
          <w:tcPr>
            <w:tcW w:w="79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revenue</w:t>
            </w:r>
          </w:p>
        </w:tc>
        <w:tc>
          <w:tcPr>
            <w:tcW w:w="16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26,135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30,351</w:t>
            </w:r>
          </w:p>
        </w:tc>
        <w:tc>
          <w:tcPr>
            <w:tcW w:w="240" w:type="dxa"/>
            <w:vAlign w:val="bottom"/>
          </w:tcPr>
          <w:p>
            <w:pPr>
              <w:spacing w:after="0"/>
              <w:rPr>
                <w:sz w:val="19"/>
                <w:szCs w:val="19"/>
                <w:color w:val="auto"/>
              </w:rPr>
            </w:pPr>
          </w:p>
        </w:tc>
      </w:tr>
      <w:tr>
        <w:trPr>
          <w:trHeight w:val="232"/>
        </w:trPr>
        <w:tc>
          <w:tcPr>
            <w:tcW w:w="794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102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00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7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Platform</w:t>
            </w:r>
          </w:p>
        </w:tc>
        <w:tc>
          <w:tcPr>
            <w:tcW w:w="16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13,068</w:t>
            </w: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18,687</w:t>
            </w:r>
          </w:p>
        </w:tc>
        <w:tc>
          <w:tcPr>
            <w:tcW w:w="240" w:type="dxa"/>
            <w:vAlign w:val="bottom"/>
            <w:shd w:val="clear" w:color="auto" w:fill="D1EDF4"/>
          </w:tcPr>
          <w:p>
            <w:pPr>
              <w:spacing w:after="0"/>
              <w:rPr>
                <w:sz w:val="20"/>
                <w:szCs w:val="20"/>
                <w:color w:val="auto"/>
              </w:rPr>
            </w:pPr>
          </w:p>
        </w:tc>
      </w:tr>
      <w:tr>
        <w:trPr>
          <w:trHeight w:val="230"/>
        </w:trPr>
        <w:tc>
          <w:tcPr>
            <w:tcW w:w="7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Transaction</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8,998</w:t>
            </w:r>
          </w:p>
        </w:tc>
        <w:tc>
          <w:tcPr>
            <w:tcW w:w="240" w:type="dxa"/>
            <w:vAlign w:val="bottom"/>
          </w:tcPr>
          <w:p>
            <w:pPr>
              <w:spacing w:after="0"/>
              <w:rPr>
                <w:sz w:val="20"/>
                <w:szCs w:val="20"/>
                <w:color w:val="auto"/>
              </w:rPr>
            </w:pPr>
          </w:p>
        </w:tc>
      </w:tr>
      <w:tr>
        <w:trPr>
          <w:trHeight w:val="232"/>
        </w:trPr>
        <w:tc>
          <w:tcPr>
            <w:tcW w:w="7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Depreciation and impairment</w:t>
            </w:r>
          </w:p>
        </w:tc>
        <w:tc>
          <w:tcPr>
            <w:tcW w:w="160" w:type="dxa"/>
            <w:vAlign w:val="bottom"/>
            <w:tcBorders>
              <w:bottom w:val="single" w:sz="8" w:color="auto"/>
            </w:tcBorders>
            <w:shd w:val="clear" w:color="auto" w:fill="D1EDF4"/>
          </w:tcPr>
          <w:p>
            <w:pPr>
              <w:spacing w:after="0"/>
              <w:rPr>
                <w:sz w:val="20"/>
                <w:szCs w:val="20"/>
                <w:color w:val="auto"/>
              </w:rPr>
            </w:pPr>
          </w:p>
        </w:tc>
        <w:tc>
          <w:tcPr>
            <w:tcW w:w="10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240" w:type="dxa"/>
            <w:vAlign w:val="bottom"/>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spacing w:after="0"/>
              <w:rPr>
                <w:sz w:val="20"/>
                <w:szCs w:val="20"/>
                <w:color w:val="auto"/>
              </w:rPr>
            </w:pPr>
          </w:p>
        </w:tc>
        <w:tc>
          <w:tcPr>
            <w:tcW w:w="10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2,033</w:t>
            </w:r>
          </w:p>
        </w:tc>
        <w:tc>
          <w:tcPr>
            <w:tcW w:w="240" w:type="dxa"/>
            <w:vAlign w:val="bottom"/>
            <w:shd w:val="clear" w:color="auto" w:fill="D1EDF4"/>
          </w:tcPr>
          <w:p>
            <w:pPr>
              <w:spacing w:after="0"/>
              <w:rPr>
                <w:sz w:val="20"/>
                <w:szCs w:val="20"/>
                <w:color w:val="auto"/>
              </w:rPr>
            </w:pPr>
          </w:p>
        </w:tc>
      </w:tr>
      <w:tr>
        <w:trPr>
          <w:trHeight w:val="221"/>
        </w:trPr>
        <w:tc>
          <w:tcPr>
            <w:tcW w:w="7940" w:type="dxa"/>
            <w:vAlign w:val="bottom"/>
            <w:tcBorders>
              <w:bottom w:val="single" w:sz="8" w:color="D1EDF4"/>
            </w:tcBorders>
          </w:tcPr>
          <w:p>
            <w:pPr>
              <w:spacing w:after="0" w:line="221" w:lineRule="exact"/>
              <w:rPr>
                <w:sz w:val="20"/>
                <w:szCs w:val="20"/>
                <w:color w:val="auto"/>
              </w:rPr>
            </w:pPr>
            <w:r>
              <w:rPr>
                <w:rFonts w:ascii="Times New Roman" w:cs="Times New Roman" w:eastAsia="Times New Roman" w:hAnsi="Times New Roman"/>
                <w:sz w:val="20"/>
                <w:szCs w:val="20"/>
                <w:color w:val="auto"/>
              </w:rPr>
              <w:t>Total cost of revenue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25,614</w:t>
            </w:r>
          </w:p>
        </w:tc>
        <w:tc>
          <w:tcPr>
            <w:tcW w:w="240" w:type="dxa"/>
            <w:vAlign w:val="bottom"/>
            <w:tcBorders>
              <w:bottom w:val="single" w:sz="8" w:color="D1EDF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29,718</w:t>
            </w:r>
          </w:p>
        </w:tc>
        <w:tc>
          <w:tcPr>
            <w:tcW w:w="240" w:type="dxa"/>
            <w:vAlign w:val="bottom"/>
            <w:tcBorders>
              <w:bottom w:val="single" w:sz="8" w:color="D1EDF4"/>
            </w:tcBorders>
          </w:tcPr>
          <w:p>
            <w:pPr>
              <w:spacing w:after="0"/>
              <w:rPr>
                <w:sz w:val="19"/>
                <w:szCs w:val="19"/>
                <w:color w:val="auto"/>
              </w:rPr>
            </w:pPr>
          </w:p>
        </w:tc>
      </w:tr>
      <w:tr>
        <w:trPr>
          <w:trHeight w:val="220"/>
        </w:trPr>
        <w:tc>
          <w:tcPr>
            <w:tcW w:w="7940" w:type="dxa"/>
            <w:vAlign w:val="bottom"/>
            <w:shd w:val="clear" w:color="auto" w:fill="D1EDF4"/>
          </w:tcPr>
          <w:p>
            <w:pPr>
              <w:ind w:left="120"/>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521</w:t>
            </w: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0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633</w:t>
            </w:r>
          </w:p>
        </w:tc>
        <w:tc>
          <w:tcPr>
            <w:tcW w:w="240" w:type="dxa"/>
            <w:vAlign w:val="bottom"/>
            <w:shd w:val="clear" w:color="auto" w:fill="D1EDF4"/>
          </w:tcPr>
          <w:p>
            <w:pPr>
              <w:spacing w:after="0"/>
              <w:rPr>
                <w:sz w:val="19"/>
                <w:szCs w:val="19"/>
                <w:color w:val="auto"/>
              </w:rPr>
            </w:pPr>
          </w:p>
        </w:tc>
      </w:tr>
      <w:tr>
        <w:trPr>
          <w:trHeight w:val="232"/>
        </w:trPr>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0"/>
        </w:trPr>
        <w:tc>
          <w:tcPr>
            <w:tcW w:w="7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60" w:type="dxa"/>
            <w:vAlign w:val="bottom"/>
            <w:shd w:val="clear" w:color="auto" w:fill="D1EDF4"/>
          </w:tcPr>
          <w:p>
            <w:pPr>
              <w:spacing w:after="0"/>
              <w:rPr>
                <w:sz w:val="20"/>
                <w:szCs w:val="20"/>
                <w:color w:val="auto"/>
              </w:rPr>
            </w:pPr>
          </w:p>
        </w:tc>
        <w:tc>
          <w:tcPr>
            <w:tcW w:w="102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00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r>
      <w:tr>
        <w:trPr>
          <w:trHeight w:val="232"/>
        </w:trPr>
        <w:tc>
          <w:tcPr>
            <w:tcW w:w="7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16,778</w:t>
            </w:r>
          </w:p>
        </w:tc>
        <w:tc>
          <w:tcPr>
            <w:tcW w:w="240" w:type="dxa"/>
            <w:vAlign w:val="bottom"/>
          </w:tcPr>
          <w:p>
            <w:pPr>
              <w:spacing w:after="0"/>
              <w:rPr>
                <w:sz w:val="20"/>
                <w:szCs w:val="20"/>
                <w:color w:val="auto"/>
              </w:rPr>
            </w:pPr>
          </w:p>
        </w:tc>
      </w:tr>
      <w:tr>
        <w:trPr>
          <w:trHeight w:val="230"/>
        </w:trPr>
        <w:tc>
          <w:tcPr>
            <w:tcW w:w="7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Sales and marketing</w:t>
            </w:r>
          </w:p>
        </w:tc>
        <w:tc>
          <w:tcPr>
            <w:tcW w:w="16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8,847</w:t>
            </w: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6,640</w:t>
            </w:r>
          </w:p>
        </w:tc>
        <w:tc>
          <w:tcPr>
            <w:tcW w:w="240" w:type="dxa"/>
            <w:vAlign w:val="bottom"/>
            <w:shd w:val="clear" w:color="auto" w:fill="D1EDF4"/>
          </w:tcPr>
          <w:p>
            <w:pPr>
              <w:spacing w:after="0"/>
              <w:rPr>
                <w:sz w:val="20"/>
                <w:szCs w:val="20"/>
                <w:color w:val="auto"/>
              </w:rPr>
            </w:pPr>
          </w:p>
        </w:tc>
      </w:tr>
      <w:tr>
        <w:trPr>
          <w:trHeight w:val="232"/>
        </w:trPr>
        <w:tc>
          <w:tcPr>
            <w:tcW w:w="7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9,847</w:t>
            </w:r>
          </w:p>
        </w:tc>
        <w:tc>
          <w:tcPr>
            <w:tcW w:w="240" w:type="dxa"/>
            <w:vAlign w:val="bottom"/>
          </w:tcPr>
          <w:p>
            <w:pPr>
              <w:spacing w:after="0"/>
              <w:rPr>
                <w:sz w:val="20"/>
                <w:szCs w:val="20"/>
                <w:color w:val="auto"/>
              </w:rPr>
            </w:pPr>
          </w:p>
        </w:tc>
      </w:tr>
      <w:tr>
        <w:trPr>
          <w:trHeight w:val="230"/>
        </w:trPr>
        <w:tc>
          <w:tcPr>
            <w:tcW w:w="79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Loss on infrequent product repairs</w:t>
            </w:r>
          </w:p>
        </w:tc>
        <w:tc>
          <w:tcPr>
            <w:tcW w:w="16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0"/>
                <w:szCs w:val="20"/>
                <w:color w:val="auto"/>
              </w:rPr>
            </w:pPr>
          </w:p>
        </w:tc>
        <w:tc>
          <w:tcPr>
            <w:tcW w:w="10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40" w:type="dxa"/>
            <w:vAlign w:val="bottom"/>
            <w:shd w:val="clear" w:color="auto" w:fill="D1EDF4"/>
          </w:tcPr>
          <w:p>
            <w:pPr>
              <w:spacing w:after="0"/>
              <w:rPr>
                <w:sz w:val="20"/>
                <w:szCs w:val="20"/>
                <w:color w:val="auto"/>
              </w:rPr>
            </w:pPr>
          </w:p>
        </w:tc>
      </w:tr>
      <w:tr>
        <w:trPr>
          <w:trHeight w:val="221"/>
        </w:trPr>
        <w:tc>
          <w:tcPr>
            <w:tcW w:w="7940" w:type="dxa"/>
            <w:vAlign w:val="bottom"/>
            <w:tcBorders>
              <w:bottom w:val="single" w:sz="8" w:color="D1EDF4"/>
            </w:tcBorders>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 operating expenses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56,928</w:t>
            </w:r>
          </w:p>
        </w:tc>
        <w:tc>
          <w:tcPr>
            <w:tcW w:w="240" w:type="dxa"/>
            <w:vAlign w:val="bottom"/>
            <w:tcBorders>
              <w:bottom w:val="single" w:sz="8" w:color="D1EDF4"/>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33,847</w:t>
            </w:r>
          </w:p>
        </w:tc>
        <w:tc>
          <w:tcPr>
            <w:tcW w:w="240" w:type="dxa"/>
            <w:vAlign w:val="bottom"/>
            <w:tcBorders>
              <w:bottom w:val="single" w:sz="8" w:color="D1EDF4"/>
            </w:tcBorders>
          </w:tcPr>
          <w:p>
            <w:pPr>
              <w:spacing w:after="0"/>
              <w:rPr>
                <w:sz w:val="19"/>
                <w:szCs w:val="19"/>
                <w:color w:val="auto"/>
              </w:rPr>
            </w:pPr>
          </w:p>
        </w:tc>
      </w:tr>
      <w:tr>
        <w:trPr>
          <w:trHeight w:val="221"/>
        </w:trPr>
        <w:tc>
          <w:tcPr>
            <w:tcW w:w="79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Loss from operations</w:t>
            </w:r>
          </w:p>
        </w:tc>
        <w:tc>
          <w:tcPr>
            <w:tcW w:w="160" w:type="dxa"/>
            <w:vAlign w:val="bottom"/>
            <w:shd w:val="clear" w:color="auto" w:fill="D1EDF4"/>
          </w:tcPr>
          <w:p>
            <w:pPr>
              <w:spacing w:after="0"/>
              <w:rPr>
                <w:sz w:val="19"/>
                <w:szCs w:val="19"/>
                <w:color w:val="auto"/>
              </w:rPr>
            </w:pPr>
          </w:p>
        </w:tc>
        <w:tc>
          <w:tcPr>
            <w:tcW w:w="1260" w:type="dxa"/>
            <w:vAlign w:val="bottom"/>
            <w:gridSpan w:val="2"/>
            <w:shd w:val="clear" w:color="auto" w:fill="D1EDF4"/>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(56,407)</w:t>
            </w:r>
          </w:p>
        </w:tc>
        <w:tc>
          <w:tcPr>
            <w:tcW w:w="200" w:type="dxa"/>
            <w:vAlign w:val="bottom"/>
            <w:shd w:val="clear" w:color="auto" w:fill="D1EDF4"/>
          </w:tcPr>
          <w:p>
            <w:pPr>
              <w:spacing w:after="0"/>
              <w:rPr>
                <w:sz w:val="19"/>
                <w:szCs w:val="19"/>
                <w:color w:val="auto"/>
              </w:rPr>
            </w:pPr>
          </w:p>
        </w:tc>
        <w:tc>
          <w:tcPr>
            <w:tcW w:w="1240" w:type="dxa"/>
            <w:vAlign w:val="bottom"/>
            <w:gridSpan w:val="2"/>
            <w:shd w:val="clear" w:color="auto" w:fill="D1EDF4"/>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(33,214)</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Change in fair value of warrants and convertible promissory notes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(20,528)</w:t>
            </w:r>
          </w:p>
        </w:tc>
      </w:tr>
      <w:tr>
        <w:trPr>
          <w:trHeight w:val="232"/>
        </w:trPr>
        <w:tc>
          <w:tcPr>
            <w:tcW w:w="7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(12,755)</w:t>
            </w:r>
          </w:p>
        </w:tc>
        <w:tc>
          <w:tcPr>
            <w:tcW w:w="200" w:type="dxa"/>
            <w:vAlign w:val="bottom"/>
            <w:shd w:val="clear" w:color="auto" w:fill="D1EDF4"/>
          </w:tcPr>
          <w:p>
            <w:pPr>
              <w:spacing w:after="0"/>
              <w:rPr>
                <w:sz w:val="20"/>
                <w:szCs w:val="20"/>
                <w:color w:val="auto"/>
              </w:rPr>
            </w:pPr>
          </w:p>
        </w:tc>
        <w:tc>
          <w:tcPr>
            <w:tcW w:w="124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(5,434)</w:t>
            </w:r>
          </w:p>
        </w:tc>
      </w:tr>
      <w:tr>
        <w:trPr>
          <w:trHeight w:val="230"/>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 and financing obligations</w:t>
            </w: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(8,179)</w:t>
            </w:r>
          </w:p>
        </w:tc>
        <w:tc>
          <w:tcPr>
            <w:tcW w:w="2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7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Other financing and financial instrument expenses, net</w:t>
            </w:r>
          </w:p>
        </w:tc>
        <w:tc>
          <w:tcPr>
            <w:tcW w:w="16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(2,753)</w:t>
            </w:r>
          </w:p>
        </w:tc>
        <w:tc>
          <w:tcPr>
            <w:tcW w:w="200" w:type="dxa"/>
            <w:vAlign w:val="bottom"/>
            <w:shd w:val="clear" w:color="auto" w:fill="D1EDF4"/>
          </w:tcPr>
          <w:p>
            <w:pPr>
              <w:spacing w:after="0"/>
              <w:rPr>
                <w:sz w:val="20"/>
                <w:szCs w:val="20"/>
                <w:color w:val="auto"/>
              </w:rPr>
            </w:pPr>
          </w:p>
        </w:tc>
        <w:tc>
          <w:tcPr>
            <w:tcW w:w="1240" w:type="dxa"/>
            <w:vAlign w:val="bottom"/>
            <w:gridSpan w:val="2"/>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9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Other income, net</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2,812</w:t>
            </w:r>
          </w:p>
        </w:tc>
        <w:tc>
          <w:tcPr>
            <w:tcW w:w="24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2,632</w:t>
            </w:r>
          </w:p>
        </w:tc>
        <w:tc>
          <w:tcPr>
            <w:tcW w:w="240" w:type="dxa"/>
            <w:vAlign w:val="bottom"/>
            <w:tcBorders>
              <w:bottom w:val="single" w:sz="8" w:color="D1EDF4"/>
            </w:tcBorders>
          </w:tcPr>
          <w:p>
            <w:pPr>
              <w:spacing w:after="0"/>
              <w:rPr>
                <w:sz w:val="20"/>
                <w:szCs w:val="20"/>
                <w:color w:val="auto"/>
              </w:rPr>
            </w:pPr>
          </w:p>
        </w:tc>
      </w:tr>
      <w:tr>
        <w:trPr>
          <w:trHeight w:val="221"/>
        </w:trPr>
        <w:tc>
          <w:tcPr>
            <w:tcW w:w="7940" w:type="dxa"/>
            <w:vAlign w:val="bottom"/>
            <w:shd w:val="clear" w:color="auto" w:fill="D1EDF4"/>
          </w:tcPr>
          <w:p>
            <w:pPr>
              <w:ind w:left="240"/>
              <w:spacing w:after="0" w:line="221" w:lineRule="exact"/>
              <w:rPr>
                <w:sz w:val="20"/>
                <w:szCs w:val="20"/>
                <w:color w:val="auto"/>
              </w:rPr>
            </w:pPr>
            <w:r>
              <w:rPr>
                <w:rFonts w:ascii="Times New Roman" w:cs="Times New Roman" w:eastAsia="Times New Roman" w:hAnsi="Times New Roman"/>
                <w:sz w:val="20"/>
                <w:szCs w:val="20"/>
                <w:color w:val="auto"/>
              </w:rPr>
              <w:t>Total other income (expense), net</w:t>
            </w:r>
          </w:p>
        </w:tc>
        <w:tc>
          <w:tcPr>
            <w:tcW w:w="16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21,936</w:t>
            </w: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240" w:type="dxa"/>
            <w:vAlign w:val="bottom"/>
            <w:gridSpan w:val="2"/>
            <w:shd w:val="clear" w:color="auto" w:fill="D1EDF4"/>
          </w:tcPr>
          <w:p>
            <w:pPr>
              <w:jc w:val="right"/>
              <w:ind w:right="240"/>
              <w:spacing w:after="0" w:line="221" w:lineRule="exact"/>
              <w:rPr>
                <w:sz w:val="20"/>
                <w:szCs w:val="20"/>
                <w:color w:val="auto"/>
              </w:rPr>
            </w:pPr>
            <w:r>
              <w:rPr>
                <w:rFonts w:ascii="Times New Roman" w:cs="Times New Roman" w:eastAsia="Times New Roman" w:hAnsi="Times New Roman"/>
                <w:sz w:val="20"/>
                <w:szCs w:val="20"/>
                <w:color w:val="auto"/>
              </w:rPr>
              <w:t>(23,330)</w:t>
            </w:r>
          </w:p>
        </w:tc>
      </w:tr>
      <w:tr>
        <w:trPr>
          <w:trHeight w:val="221"/>
        </w:trPr>
        <w:tc>
          <w:tcPr>
            <w:tcW w:w="794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Loss before provision (benefit) for income taxes</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(34,471)</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(56,544)</w:t>
            </w:r>
          </w:p>
        </w:tc>
        <w:tc>
          <w:tcPr>
            <w:tcW w:w="240" w:type="dxa"/>
            <w:vAlign w:val="bottom"/>
          </w:tcPr>
          <w:p>
            <w:pPr>
              <w:spacing w:after="0"/>
              <w:rPr>
                <w:sz w:val="19"/>
                <w:szCs w:val="19"/>
                <w:color w:val="auto"/>
              </w:rPr>
            </w:pPr>
          </w:p>
        </w:tc>
      </w:tr>
      <w:tr>
        <w:trPr>
          <w:trHeight w:val="230"/>
        </w:trPr>
        <w:tc>
          <w:tcPr>
            <w:tcW w:w="7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16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24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(230)</w:t>
            </w:r>
          </w:p>
        </w:tc>
      </w:tr>
      <w:tr>
        <w:trPr>
          <w:trHeight w:val="230"/>
        </w:trPr>
        <w:tc>
          <w:tcPr>
            <w:tcW w:w="7940" w:type="dxa"/>
            <w:vAlign w:val="bottom"/>
            <w:tcBorders>
              <w:bottom w:val="single" w:sz="8" w:color="D1EDF4"/>
            </w:tcBorders>
          </w:tcPr>
          <w:p>
            <w:pPr>
              <w:spacing w:after="0" w:line="221" w:lineRule="exact"/>
              <w:rPr>
                <w:sz w:val="20"/>
                <w:szCs w:val="20"/>
                <w:color w:val="auto"/>
              </w:rPr>
            </w:pPr>
            <w:r>
              <w:rPr>
                <w:rFonts w:ascii="Times New Roman" w:cs="Times New Roman" w:eastAsia="Times New Roman" w:hAnsi="Times New Roman"/>
                <w:sz w:val="20"/>
                <w:szCs w:val="20"/>
                <w:color w:val="auto"/>
              </w:rPr>
              <w:t>Net loss and comprehensive loss</w:t>
            </w:r>
          </w:p>
        </w:tc>
        <w:tc>
          <w:tcPr>
            <w:tcW w:w="1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(34,480)</w:t>
            </w:r>
          </w:p>
        </w:tc>
        <w:tc>
          <w:tcPr>
            <w:tcW w:w="240" w:type="dxa"/>
            <w:vAlign w:val="bottom"/>
            <w:tcBorders>
              <w:bottom w:val="single" w:sz="8" w:color="D1EDF4"/>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(56,314)</w:t>
            </w:r>
          </w:p>
        </w:tc>
        <w:tc>
          <w:tcPr>
            <w:tcW w:w="240" w:type="dxa"/>
            <w:vAlign w:val="bottom"/>
            <w:tcBorders>
              <w:bottom w:val="single" w:sz="8" w:color="D1EDF4"/>
            </w:tcBorders>
          </w:tcPr>
          <w:p>
            <w:pPr>
              <w:spacing w:after="0"/>
              <w:rPr>
                <w:sz w:val="20"/>
                <w:szCs w:val="20"/>
                <w:color w:val="auto"/>
              </w:rPr>
            </w:pPr>
          </w:p>
        </w:tc>
      </w:tr>
      <w:tr>
        <w:trPr>
          <w:trHeight w:val="233"/>
        </w:trPr>
        <w:tc>
          <w:tcPr>
            <w:tcW w:w="79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(0.74)</w:t>
            </w:r>
          </w:p>
        </w:tc>
        <w:tc>
          <w:tcPr>
            <w:tcW w:w="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(2.07)</w:t>
            </w:r>
          </w:p>
        </w:tc>
      </w:tr>
      <w:tr>
        <w:trPr>
          <w:trHeight w:val="210"/>
        </w:trPr>
        <w:tc>
          <w:tcPr>
            <w:tcW w:w="794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Weighted-average shares used in computing net loss per share attributable to common</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67"/>
        </w:trPr>
        <w:tc>
          <w:tcPr>
            <w:tcW w:w="79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basic and diluted</w:t>
            </w: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46,499,850</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27,268,887</w:t>
            </w:r>
          </w:p>
        </w:tc>
        <w:tc>
          <w:tcPr>
            <w:tcW w:w="240" w:type="dxa"/>
            <w:vAlign w:val="bottom"/>
          </w:tcPr>
          <w:p>
            <w:pPr>
              <w:spacing w:after="0"/>
              <w:rPr>
                <w:sz w:val="23"/>
                <w:szCs w:val="23"/>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800"/>
          </w:cols>
          <w:pgMar w:left="720" w:top="696" w:right="720" w:bottom="175"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DEFICIT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spacing w:after="0"/>
              <w:rPr>
                <w:sz w:val="16"/>
                <w:szCs w:val="16"/>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60" w:type="dxa"/>
            <w:vAlign w:val="bottom"/>
          </w:tcPr>
          <w:p>
            <w:pPr>
              <w:spacing w:after="0"/>
              <w:rPr>
                <w:sz w:val="17"/>
                <w:szCs w:val="17"/>
                <w:color w:val="auto"/>
              </w:rPr>
            </w:pPr>
          </w:p>
        </w:tc>
        <w:tc>
          <w:tcPr>
            <w:tcW w:w="13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86"/>
        </w:trPr>
        <w:tc>
          <w:tcPr>
            <w:tcW w:w="3880" w:type="dxa"/>
            <w:vAlign w:val="bottom"/>
            <w:tcBorders>
              <w:bottom w:val="single" w:sz="8" w:color="D1EDF4"/>
            </w:tcBorders>
          </w:tcPr>
          <w:p>
            <w:pPr>
              <w:spacing w:after="0"/>
              <w:rPr>
                <w:sz w:val="16"/>
                <w:szCs w:val="16"/>
                <w:color w:val="auto"/>
              </w:rPr>
            </w:pPr>
          </w:p>
        </w:tc>
        <w:tc>
          <w:tcPr>
            <w:tcW w:w="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D1EDF4"/>
            </w:tcBorders>
          </w:tcPr>
          <w:p>
            <w:pPr>
              <w:spacing w:after="0"/>
              <w:rPr>
                <w:sz w:val="16"/>
                <w:szCs w:val="16"/>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bottom w:val="single" w:sz="8" w:color="D1EDF4"/>
            </w:tcBorders>
          </w:tcPr>
          <w:p>
            <w:pPr>
              <w:spacing w:after="0"/>
              <w:rPr>
                <w:sz w:val="16"/>
                <w:szCs w:val="16"/>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Borders>
              <w:bottom w:val="single" w:sz="8" w:color="D1ED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D1EDF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80" w:type="dxa"/>
            <w:vAlign w:val="bottom"/>
            <w:tcBorders>
              <w:right w:val="single" w:sz="8" w:color="D1EDF4"/>
            </w:tcBorders>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Balance at June 30, 2022</w:t>
            </w:r>
          </w:p>
        </w:tc>
        <w:tc>
          <w:tcPr>
            <w:tcW w:w="8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28,343,420</w:t>
            </w: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28</w:t>
            </w:r>
          </w:p>
        </w:tc>
        <w:tc>
          <w:tcPr>
            <w:tcW w:w="98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6,196,257</w:t>
            </w: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6</w:t>
            </w:r>
          </w:p>
        </w:tc>
        <w:tc>
          <w:tcPr>
            <w:tcW w:w="28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78,290</w:t>
            </w:r>
          </w:p>
        </w:tc>
        <w:tc>
          <w:tcPr>
            <w:tcW w:w="26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right w:val="single" w:sz="8" w:color="D1EDF4"/>
            </w:tcBorders>
            <w:gridSpan w:val="2"/>
            <w:shd w:val="clear" w:color="auto" w:fill="D1EDF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(200,783)</w:t>
            </w:r>
          </w:p>
        </w:tc>
        <w:tc>
          <w:tcPr>
            <w:tcW w:w="8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(122,459)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Retrospective application of recapitalization (Note 1)</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(28,343,420)</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21,778,182</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right w:val="single" w:sz="8" w:color="D1EDF4"/>
            </w:tcBorders>
            <w:vMerge w:val="restart"/>
            <w:shd w:val="clear" w:color="auto" w:fill="D1EDF4"/>
          </w:tcPr>
          <w:p>
            <w:pPr>
              <w:spacing w:after="0"/>
              <w:rPr>
                <w:sz w:val="20"/>
                <w:szCs w:val="20"/>
                <w:color w:val="auto"/>
              </w:rPr>
            </w:pPr>
            <w:r>
              <w:rPr>
                <w:rFonts w:ascii="Times New Roman" w:cs="Times New Roman" w:eastAsia="Times New Roman" w:hAnsi="Times New Roman"/>
                <w:sz w:val="16"/>
                <w:szCs w:val="16"/>
                <w:color w:val="auto"/>
              </w:rPr>
              <w:t>Adjusted balance, beginning of period</w:t>
            </w: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D1EDF4"/>
            </w:tcBorders>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1EDF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880" w:type="dxa"/>
            <w:vAlign w:val="bottom"/>
            <w:tcBorders>
              <w:right w:val="single" w:sz="8" w:color="D1EDF4"/>
            </w:tcBorders>
            <w:vMerge w:val="continue"/>
            <w:shd w:val="clear" w:color="auto" w:fill="D1EDF4"/>
          </w:tcPr>
          <w:p>
            <w:pPr>
              <w:spacing w:after="0"/>
              <w:rPr>
                <w:sz w:val="15"/>
                <w:szCs w:val="15"/>
                <w:color w:val="auto"/>
              </w:rPr>
            </w:pPr>
          </w:p>
        </w:tc>
        <w:tc>
          <w:tcPr>
            <w:tcW w:w="8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34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27,974,439</w:t>
            </w: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4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7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78,321</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tcBorders>
              <w:right w:val="single" w:sz="8" w:color="D1EDF4"/>
            </w:tcBorders>
            <w:gridSpan w:val="2"/>
            <w:shd w:val="clear" w:color="auto" w:fill="D1EDF4"/>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(200,783)</w:t>
            </w:r>
          </w:p>
        </w:tc>
        <w:tc>
          <w:tcPr>
            <w:tcW w:w="80" w:type="dxa"/>
            <w:vAlign w:val="bottom"/>
            <w:shd w:val="clear" w:color="auto" w:fill="D1EDF4"/>
          </w:tcPr>
          <w:p>
            <w:pPr>
              <w:spacing w:after="0"/>
              <w:rPr>
                <w:sz w:val="15"/>
                <w:szCs w:val="15"/>
                <w:color w:val="auto"/>
              </w:rPr>
            </w:pPr>
          </w:p>
        </w:tc>
        <w:tc>
          <w:tcPr>
            <w:tcW w:w="10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(122,459)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120"/>
              <w:spacing w:after="0" w:line="169"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955,062</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Fair value of issued warrants on common stock</w:t>
            </w:r>
          </w:p>
        </w:tc>
        <w:tc>
          <w:tcPr>
            <w:tcW w:w="104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9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upon net exercise of</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136,681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Issuance of commons stock</w:t>
            </w:r>
          </w:p>
        </w:tc>
        <w:tc>
          <w:tcPr>
            <w:tcW w:w="104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4,903,833</w:t>
            </w:r>
          </w:p>
        </w:tc>
        <w:tc>
          <w:tcPr>
            <w:tcW w:w="140" w:type="dxa"/>
            <w:vAlign w:val="bottom"/>
            <w:shd w:val="clear" w:color="auto" w:fill="D1EDF4"/>
          </w:tcPr>
          <w:p>
            <w:pPr>
              <w:spacing w:after="0"/>
              <w:rPr>
                <w:sz w:val="16"/>
                <w:szCs w:val="16"/>
                <w:color w:val="auto"/>
              </w:rPr>
            </w:pP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9,845</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9,845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upon vesting of restricted</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units (Note 11)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1,115,673</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Cancellation of restricted stock awards in connection</w:t>
            </w:r>
          </w:p>
        </w:tc>
        <w:tc>
          <w:tcPr>
            <w:tcW w:w="860" w:type="dxa"/>
            <w:vAlign w:val="bottom"/>
            <w:shd w:val="clear" w:color="auto" w:fill="D1EDF4"/>
          </w:tcPr>
          <w:p>
            <w:pPr>
              <w:spacing w:after="0"/>
              <w:rPr>
                <w:sz w:val="15"/>
                <w:szCs w:val="15"/>
                <w:color w:val="auto"/>
              </w:rPr>
            </w:pP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2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with the CyborgOps acquisition (refer to Note 14)</w:t>
            </w: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D1EDF4"/>
            </w:tcBorders>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4"/>
              </w:rPr>
              <w:t>—</w:t>
            </w:r>
          </w:p>
        </w:tc>
        <w:tc>
          <w:tcPr>
            <w:tcW w:w="160" w:type="dxa"/>
            <w:vAlign w:val="bottom"/>
            <w:tcBorders>
              <w:right w:val="single" w:sz="8" w:color="D1EDF4"/>
            </w:tcBorders>
            <w:shd w:val="clear" w:color="auto" w:fill="D1EDF4"/>
          </w:tcPr>
          <w:p>
            <w:pPr>
              <w:spacing w:after="0"/>
              <w:rPr>
                <w:sz w:val="16"/>
                <w:szCs w:val="16"/>
                <w:color w:val="auto"/>
              </w:rPr>
            </w:pPr>
          </w:p>
        </w:tc>
        <w:tc>
          <w:tcPr>
            <w:tcW w:w="960" w:type="dxa"/>
            <w:vAlign w:val="bottom"/>
            <w:gridSpan w:val="2"/>
            <w:shd w:val="clear" w:color="auto" w:fill="D1EDF4"/>
          </w:tcPr>
          <w:p>
            <w:pPr>
              <w:jc w:val="right"/>
              <w:ind w:right="140"/>
              <w:spacing w:after="0"/>
              <w:rPr>
                <w:sz w:val="20"/>
                <w:szCs w:val="20"/>
                <w:color w:val="auto"/>
              </w:rPr>
            </w:pPr>
            <w:r>
              <w:rPr>
                <w:rFonts w:ascii="Times New Roman" w:cs="Times New Roman" w:eastAsia="Times New Roman" w:hAnsi="Times New Roman"/>
                <w:sz w:val="16"/>
                <w:szCs w:val="16"/>
                <w:color w:val="auto"/>
              </w:rPr>
              <w:t>(256,891)</w:t>
            </w: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80" w:type="dxa"/>
            <w:vAlign w:val="bottom"/>
          </w:tcPr>
          <w:p>
            <w:pPr>
              <w:ind w:left="120"/>
              <w:spacing w:after="0" w:line="170" w:lineRule="exact"/>
              <w:rPr>
                <w:sz w:val="20"/>
                <w:szCs w:val="20"/>
                <w:color w:val="auto"/>
              </w:rPr>
            </w:pPr>
            <w:r>
              <w:rPr>
                <w:rFonts w:ascii="Times New Roman" w:cs="Times New Roman" w:eastAsia="Times New Roman" w:hAnsi="Times New Roman"/>
                <w:sz w:val="16"/>
                <w:szCs w:val="16"/>
                <w:color w:val="auto"/>
              </w:rPr>
              <w:t>Issuance of shares and transfer of warrants upon</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323,968</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termination of convertible note agreement (Note 9)</w:t>
            </w:r>
          </w:p>
        </w:tc>
        <w:tc>
          <w:tcPr>
            <w:tcW w:w="10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Conversion of convertible notes into common stock</w:t>
            </w:r>
          </w:p>
        </w:tc>
        <w:tc>
          <w:tcPr>
            <w:tcW w:w="860" w:type="dxa"/>
            <w:vAlign w:val="bottom"/>
            <w:shd w:val="clear" w:color="auto" w:fill="D1EDF4"/>
          </w:tcPr>
          <w:p>
            <w:pPr>
              <w:spacing w:after="0"/>
              <w:rPr>
                <w:sz w:val="15"/>
                <w:szCs w:val="15"/>
                <w:color w:val="auto"/>
              </w:rPr>
            </w:pP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2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(Note 7)</w:t>
            </w: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D1EDF4"/>
            </w:tcBorders>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4"/>
              </w:rPr>
              <w:t>—</w:t>
            </w:r>
          </w:p>
        </w:tc>
        <w:tc>
          <w:tcPr>
            <w:tcW w:w="160" w:type="dxa"/>
            <w:vAlign w:val="bottom"/>
            <w:tcBorders>
              <w:right w:val="single" w:sz="8" w:color="D1EDF4"/>
            </w:tcBorders>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8,147,938</w:t>
            </w:r>
          </w:p>
        </w:tc>
        <w:tc>
          <w:tcPr>
            <w:tcW w:w="140" w:type="dxa"/>
            <w:vAlign w:val="bottom"/>
            <w:shd w:val="clear" w:color="auto" w:fill="D1EDF4"/>
          </w:tcPr>
          <w:p>
            <w:pPr>
              <w:spacing w:after="0"/>
              <w:rPr>
                <w:sz w:val="16"/>
                <w:szCs w:val="16"/>
                <w:color w:val="auto"/>
              </w:rPr>
            </w:pP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41,391</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41,392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Warrants issued with Credit Agreement (Note 7)</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Reclassification of liability classified warrants to equity</w:t>
            </w:r>
          </w:p>
        </w:tc>
        <w:tc>
          <w:tcPr>
            <w:tcW w:w="860" w:type="dxa"/>
            <w:vAlign w:val="bottom"/>
            <w:shd w:val="clear" w:color="auto" w:fill="D1EDF4"/>
          </w:tcPr>
          <w:p>
            <w:pPr>
              <w:spacing w:after="0"/>
              <w:rPr>
                <w:sz w:val="15"/>
                <w:szCs w:val="15"/>
                <w:color w:val="auto"/>
              </w:rPr>
            </w:pP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spacing w:after="0"/>
              <w:rPr>
                <w:sz w:val="15"/>
                <w:szCs w:val="15"/>
                <w:color w:val="auto"/>
              </w:rPr>
            </w:pP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rPr>
                <w:sz w:val="15"/>
                <w:szCs w:val="15"/>
                <w:color w:val="auto"/>
              </w:rPr>
            </w:pPr>
          </w:p>
        </w:tc>
        <w:tc>
          <w:tcPr>
            <w:tcW w:w="24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spacing w:after="0"/>
              <w:rPr>
                <w:sz w:val="15"/>
                <w:szCs w:val="15"/>
                <w:color w:val="auto"/>
              </w:rPr>
            </w:pPr>
          </w:p>
        </w:tc>
        <w:tc>
          <w:tcPr>
            <w:tcW w:w="76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020" w:type="dxa"/>
            <w:vAlign w:val="bottom"/>
            <w:shd w:val="clear" w:color="auto" w:fill="D1EDF4"/>
          </w:tcPr>
          <w:p>
            <w:pPr>
              <w:spacing w:after="0"/>
              <w:rPr>
                <w:sz w:val="15"/>
                <w:szCs w:val="15"/>
                <w:color w:val="auto"/>
              </w:rPr>
            </w:pPr>
          </w:p>
        </w:tc>
        <w:tc>
          <w:tcPr>
            <w:tcW w:w="160" w:type="dxa"/>
            <w:vAlign w:val="bottom"/>
            <w:tcBorders>
              <w:right w:val="single" w:sz="8" w:color="D1EDF4"/>
            </w:tcBorders>
            <w:shd w:val="clear" w:color="auto" w:fill="D1EDF4"/>
          </w:tcPr>
          <w:p>
            <w:pPr>
              <w:spacing w:after="0"/>
              <w:rPr>
                <w:sz w:val="15"/>
                <w:szCs w:val="15"/>
                <w:color w:val="auto"/>
              </w:rPr>
            </w:pPr>
          </w:p>
        </w:tc>
        <w:tc>
          <w:tcPr>
            <w:tcW w:w="80" w:type="dxa"/>
            <w:vAlign w:val="bottom"/>
            <w:shd w:val="clear" w:color="auto" w:fill="D1EDF4"/>
          </w:tcPr>
          <w:p>
            <w:pPr>
              <w:spacing w:after="0"/>
              <w:rPr>
                <w:sz w:val="15"/>
                <w:szCs w:val="15"/>
                <w:color w:val="auto"/>
              </w:rPr>
            </w:pPr>
          </w:p>
        </w:tc>
        <w:tc>
          <w:tcPr>
            <w:tcW w:w="1060" w:type="dxa"/>
            <w:vAlign w:val="bottom"/>
            <w:shd w:val="clear" w:color="auto" w:fill="D1EDF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(Note 10)</w:t>
            </w: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D1EDF4"/>
            </w:tcBorders>
            <w:shd w:val="clear" w:color="auto" w:fill="D1EDF4"/>
          </w:tcPr>
          <w:p>
            <w:pPr>
              <w:spacing w:after="0"/>
              <w:rPr>
                <w:sz w:val="16"/>
                <w:szCs w:val="16"/>
                <w:color w:val="auto"/>
              </w:rPr>
            </w:pP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shd w:val="clear" w:color="auto" w:fill="D1EDF4"/>
              </w:rPr>
              <w:t>—</w:t>
            </w:r>
          </w:p>
        </w:tc>
        <w:tc>
          <w:tcPr>
            <w:tcW w:w="160" w:type="dxa"/>
            <w:vAlign w:val="bottom"/>
            <w:tcBorders>
              <w:right w:val="single" w:sz="8" w:color="D1EDF4"/>
            </w:tcBorders>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1EDF4"/>
          </w:tcPr>
          <w:p>
            <w:pPr>
              <w:spacing w:after="0"/>
              <w:rPr>
                <w:sz w:val="16"/>
                <w:szCs w:val="16"/>
                <w:color w:val="auto"/>
              </w:rPr>
            </w:pP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D1EDF4"/>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Contribution by shareholder in conjunction with Credit</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Agreement (Note 7)</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Earnout shares stock-based compensation (Note 1)</w:t>
            </w:r>
          </w:p>
        </w:tc>
        <w:tc>
          <w:tcPr>
            <w:tcW w:w="104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9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4,910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PIPE Financing (Note 1)</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13,879,828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Stock-based compensation (Note 11)</w:t>
            </w:r>
          </w:p>
        </w:tc>
        <w:tc>
          <w:tcPr>
            <w:tcW w:w="104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96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20" w:type="dxa"/>
            <w:vAlign w:val="bottom"/>
            <w:shd w:val="clear" w:color="auto" w:fill="D1EDF4"/>
          </w:tcPr>
          <w:p>
            <w:pPr>
              <w:spacing w:after="0"/>
              <w:rPr>
                <w:sz w:val="16"/>
                <w:szCs w:val="16"/>
                <w:color w:val="auto"/>
              </w:rPr>
            </w:pP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9,740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(34,480)</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Borders>
              <w:right w:val="single" w:sz="8" w:color="D1EDF4"/>
            </w:tcBorders>
            <w:vMerge w:val="restart"/>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D1EDF4"/>
            </w:tcBorders>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D1EDF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80" w:type="dxa"/>
            <w:vAlign w:val="bottom"/>
            <w:tcBorders>
              <w:right w:val="single" w:sz="8" w:color="D1EDF4"/>
            </w:tcBorders>
            <w:vMerge w:val="continue"/>
            <w:shd w:val="clear" w:color="auto" w:fill="D1EDF4"/>
          </w:tcPr>
          <w:p>
            <w:pPr>
              <w:spacing w:after="0"/>
              <w:rPr>
                <w:sz w:val="15"/>
                <w:szCs w:val="15"/>
                <w:color w:val="auto"/>
              </w:rPr>
            </w:pPr>
          </w:p>
        </w:tc>
        <w:tc>
          <w:tcPr>
            <w:tcW w:w="8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57,180,531</w:t>
            </w:r>
          </w:p>
        </w:tc>
        <w:tc>
          <w:tcPr>
            <w:tcW w:w="140" w:type="dxa"/>
            <w:vAlign w:val="bottom"/>
            <w:shd w:val="clear" w:color="auto" w:fill="D1EDF4"/>
          </w:tcPr>
          <w:p>
            <w:pPr>
              <w:spacing w:after="0"/>
              <w:rPr>
                <w:sz w:val="15"/>
                <w:szCs w:val="15"/>
                <w:color w:val="auto"/>
              </w:rPr>
            </w:pPr>
          </w:p>
        </w:tc>
        <w:tc>
          <w:tcPr>
            <w:tcW w:w="340" w:type="dxa"/>
            <w:vAlign w:val="bottom"/>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right w:val="single" w:sz="8" w:color="D1EDF4"/>
            </w:tcBorders>
            <w:shd w:val="clear" w:color="auto" w:fill="D1EDF4"/>
          </w:tcPr>
          <w:p>
            <w:pPr>
              <w:spacing w:after="0"/>
              <w:rPr>
                <w:sz w:val="15"/>
                <w:szCs w:val="15"/>
                <w:color w:val="auto"/>
              </w:rPr>
            </w:pPr>
          </w:p>
        </w:tc>
        <w:tc>
          <w:tcPr>
            <w:tcW w:w="12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190,031</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D1EDF4"/>
            </w:tcBorders>
            <w:gridSpan w:val="2"/>
            <w:shd w:val="clear" w:color="auto" w:fill="D1EDF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(235,263)</w:t>
            </w:r>
          </w:p>
        </w:tc>
        <w:tc>
          <w:tcPr>
            <w:tcW w:w="8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(45,227)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8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980" w:type="dxa"/>
            <w:vAlign w:val="bottom"/>
          </w:tcPr>
          <w:p>
            <w:pPr>
              <w:spacing w:after="0"/>
              <w:rPr>
                <w:sz w:val="17"/>
                <w:szCs w:val="17"/>
                <w:color w:val="auto"/>
              </w:rPr>
            </w:pPr>
          </w:p>
        </w:tc>
        <w:tc>
          <w:tcPr>
            <w:tcW w:w="15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60" w:type="dxa"/>
            <w:vAlign w:val="bottom"/>
          </w:tcPr>
          <w:p>
            <w:pPr>
              <w:spacing w:after="0"/>
              <w:rPr>
                <w:sz w:val="17"/>
                <w:szCs w:val="17"/>
                <w:color w:val="auto"/>
              </w:rPr>
            </w:pPr>
          </w:p>
        </w:tc>
        <w:tc>
          <w:tcPr>
            <w:tcW w:w="13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2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860" w:type="dxa"/>
            <w:vAlign w:val="bottom"/>
          </w:tcPr>
          <w:p>
            <w:pPr>
              <w:jc w:val="right"/>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5"/>
                <w:szCs w:val="15"/>
                <w:color w:val="auto"/>
              </w:rPr>
            </w:pPr>
          </w:p>
        </w:tc>
        <w:tc>
          <w:tcPr>
            <w:tcW w:w="5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5"/>
                <w:szCs w:val="15"/>
                <w:color w:val="auto"/>
              </w:rPr>
            </w:pPr>
          </w:p>
        </w:tc>
        <w:tc>
          <w:tcPr>
            <w:tcW w:w="820" w:type="dxa"/>
            <w:vAlign w:val="bottom"/>
          </w:tcPr>
          <w:p>
            <w:pPr>
              <w:jc w:val="right"/>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5"/>
                <w:szCs w:val="15"/>
                <w:color w:val="auto"/>
              </w:rPr>
            </w:pPr>
          </w:p>
        </w:tc>
        <w:tc>
          <w:tcPr>
            <w:tcW w:w="5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6"/>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40"/>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500"/>
              <w:spacing w:after="0" w:line="175" w:lineRule="exact"/>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5"/>
                <w:szCs w:val="15"/>
                <w:color w:val="auto"/>
              </w:rPr>
            </w:pPr>
          </w:p>
        </w:tc>
        <w:tc>
          <w:tcPr>
            <w:tcW w:w="108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r>
        <w:trPr>
          <w:trHeight w:val="20"/>
        </w:trPr>
        <w:tc>
          <w:tcPr>
            <w:tcW w:w="3980" w:type="dxa"/>
            <w:vAlign w:val="bottom"/>
            <w:tcBorders>
              <w:right w:val="single" w:sz="8" w:color="D1EDF4"/>
            </w:tcBorders>
            <w:shd w:val="clear" w:color="auto" w:fill="D1EDF4"/>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tcBorders>
              <w:right w:val="single" w:sz="8" w:color="D1EDF4"/>
            </w:tcBorders>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Balance at June 30, 2021</w:t>
            </w:r>
          </w:p>
        </w:tc>
        <w:tc>
          <w:tcPr>
            <w:tcW w:w="8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28,343,420</w:t>
            </w:r>
          </w:p>
        </w:tc>
        <w:tc>
          <w:tcPr>
            <w:tcW w:w="16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5,132,354</w:t>
            </w:r>
          </w:p>
        </w:tc>
        <w:tc>
          <w:tcPr>
            <w:tcW w:w="480" w:type="dxa"/>
            <w:vAlign w:val="bottom"/>
            <w:gridSpan w:val="2"/>
            <w:shd w:val="clear" w:color="auto" w:fill="D1EDF4"/>
          </w:tcPr>
          <w:p>
            <w:pPr>
              <w:ind w:left="160"/>
              <w:spacing w:after="0" w:line="176"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5</w:t>
            </w:r>
          </w:p>
        </w:tc>
        <w:tc>
          <w:tcPr>
            <w:tcW w:w="26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74,417</w:t>
            </w:r>
          </w:p>
        </w:tc>
        <w:tc>
          <w:tcPr>
            <w:tcW w:w="26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right w:val="single" w:sz="8" w:color="D1EDF4"/>
            </w:tcBorders>
            <w:gridSpan w:val="2"/>
            <w:shd w:val="clear" w:color="auto" w:fill="D1EDF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(144,469)</w:t>
            </w:r>
          </w:p>
        </w:tc>
        <w:tc>
          <w:tcPr>
            <w:tcW w:w="8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(70,019)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9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6"/>
                <w:szCs w:val="16"/>
                <w:color w:val="auto"/>
              </w:rPr>
              <w:t>Retrospective application of recapitalization (Note 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(28,343,420)</w:t>
            </w:r>
          </w:p>
        </w:tc>
        <w:tc>
          <w:tcPr>
            <w:tcW w:w="160" w:type="dxa"/>
            <w:vAlign w:val="bottom"/>
            <w:tcBorders>
              <w:bottom w:val="single" w:sz="8" w:color="D1EDF4"/>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tcBorders>
              <w:bottom w:val="single" w:sz="8" w:color="D1EDF4"/>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21,980,406</w:t>
            </w:r>
          </w:p>
        </w:tc>
        <w:tc>
          <w:tcPr>
            <w:tcW w:w="160" w:type="dxa"/>
            <w:vAlign w:val="bottom"/>
            <w:tcBorders>
              <w:bottom w:val="single" w:sz="8" w:color="D1EDF4"/>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bottom w:val="single" w:sz="8" w:color="D1ED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D1EDF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80" w:type="dxa"/>
            <w:vAlign w:val="bottom"/>
            <w:tcBorders>
              <w:right w:val="single" w:sz="8" w:color="D1EDF4"/>
            </w:tcBorders>
            <w:shd w:val="clear" w:color="auto" w:fill="D1EDF4"/>
          </w:tcPr>
          <w:p>
            <w:pPr>
              <w:spacing w:after="0" w:line="176" w:lineRule="exact"/>
              <w:rPr>
                <w:sz w:val="20"/>
                <w:szCs w:val="20"/>
                <w:color w:val="auto"/>
              </w:rPr>
            </w:pPr>
            <w:r>
              <w:rPr>
                <w:rFonts w:ascii="Times New Roman" w:cs="Times New Roman" w:eastAsia="Times New Roman" w:hAnsi="Times New Roman"/>
                <w:sz w:val="16"/>
                <w:szCs w:val="16"/>
                <w:color w:val="auto"/>
              </w:rPr>
              <w:t>Adjusted balance, beginning of period</w:t>
            </w:r>
          </w:p>
        </w:tc>
        <w:tc>
          <w:tcPr>
            <w:tcW w:w="8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rPr>
                <w:sz w:val="15"/>
                <w:szCs w:val="15"/>
                <w:color w:val="auto"/>
              </w:rPr>
            </w:pPr>
          </w:p>
        </w:tc>
        <w:tc>
          <w:tcPr>
            <w:tcW w:w="3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27,112,760</w:t>
            </w:r>
          </w:p>
        </w:tc>
        <w:tc>
          <w:tcPr>
            <w:tcW w:w="160" w:type="dxa"/>
            <w:vAlign w:val="bottom"/>
            <w:tcBorders>
              <w:right w:val="single" w:sz="8" w:color="D1EDF4"/>
            </w:tcBorders>
            <w:shd w:val="clear" w:color="auto" w:fill="D1EDF4"/>
          </w:tcPr>
          <w:p>
            <w:pPr>
              <w:spacing w:after="0"/>
              <w:rPr>
                <w:sz w:val="15"/>
                <w:szCs w:val="15"/>
                <w:color w:val="auto"/>
              </w:rPr>
            </w:pPr>
          </w:p>
        </w:tc>
        <w:tc>
          <w:tcPr>
            <w:tcW w:w="320" w:type="dxa"/>
            <w:vAlign w:val="bottom"/>
            <w:shd w:val="clear" w:color="auto" w:fill="D1EDF4"/>
          </w:tcPr>
          <w:p>
            <w:pPr>
              <w:spacing w:after="0"/>
              <w:rPr>
                <w:sz w:val="15"/>
                <w:szCs w:val="15"/>
                <w:color w:val="auto"/>
              </w:rPr>
            </w:pPr>
          </w:p>
        </w:tc>
        <w:tc>
          <w:tcPr>
            <w:tcW w:w="24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70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74,447</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spacing w:after="0"/>
              <w:rPr>
                <w:sz w:val="15"/>
                <w:szCs w:val="15"/>
                <w:color w:val="auto"/>
              </w:rPr>
            </w:pPr>
          </w:p>
        </w:tc>
        <w:tc>
          <w:tcPr>
            <w:tcW w:w="1180" w:type="dxa"/>
            <w:vAlign w:val="bottom"/>
            <w:tcBorders>
              <w:right w:val="single" w:sz="8" w:color="D1EDF4"/>
            </w:tcBorders>
            <w:gridSpan w:val="2"/>
            <w:shd w:val="clear" w:color="auto" w:fill="D1EDF4"/>
          </w:tcPr>
          <w:p>
            <w:pPr>
              <w:jc w:val="right"/>
              <w:ind w:right="160"/>
              <w:spacing w:after="0" w:line="176" w:lineRule="exact"/>
              <w:rPr>
                <w:sz w:val="20"/>
                <w:szCs w:val="20"/>
                <w:color w:val="auto"/>
              </w:rPr>
            </w:pPr>
            <w:r>
              <w:rPr>
                <w:rFonts w:ascii="Times New Roman" w:cs="Times New Roman" w:eastAsia="Times New Roman" w:hAnsi="Times New Roman"/>
                <w:sz w:val="16"/>
                <w:szCs w:val="16"/>
                <w:color w:val="auto"/>
              </w:rPr>
              <w:t>(144,469)</w:t>
            </w:r>
          </w:p>
        </w:tc>
        <w:tc>
          <w:tcPr>
            <w:tcW w:w="80" w:type="dxa"/>
            <w:vAlign w:val="bottom"/>
            <w:shd w:val="clear" w:color="auto" w:fill="D1EDF4"/>
          </w:tcPr>
          <w:p>
            <w:pPr>
              <w:spacing w:after="0"/>
              <w:rPr>
                <w:sz w:val="15"/>
                <w:szCs w:val="15"/>
                <w:color w:val="auto"/>
              </w:rPr>
            </w:pPr>
          </w:p>
        </w:tc>
        <w:tc>
          <w:tcPr>
            <w:tcW w:w="1060" w:type="dxa"/>
            <w:vAlign w:val="bottom"/>
            <w:shd w:val="clear" w:color="auto" w:fill="D1EDF4"/>
          </w:tcPr>
          <w:p>
            <w:pPr>
              <w:jc w:val="right"/>
              <w:spacing w:after="0" w:line="176" w:lineRule="exact"/>
              <w:rPr>
                <w:sz w:val="20"/>
                <w:szCs w:val="20"/>
                <w:color w:val="auto"/>
              </w:rPr>
            </w:pPr>
            <w:r>
              <w:rPr>
                <w:rFonts w:ascii="Times New Roman" w:cs="Times New Roman" w:eastAsia="Times New Roman" w:hAnsi="Times New Roman"/>
                <w:sz w:val="16"/>
                <w:szCs w:val="16"/>
                <w:color w:val="auto"/>
              </w:rPr>
              <w:t>(70,019)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20"/>
              <w:spacing w:after="0" w:line="168"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259,915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8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6"/>
                <w:szCs w:val="16"/>
                <w:color w:val="auto"/>
              </w:rPr>
            </w:pPr>
          </w:p>
        </w:tc>
        <w:tc>
          <w:tcPr>
            <w:tcW w:w="32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Fair value of newly issued common stock warrants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80" w:type="dxa"/>
            <w:vAlign w:val="bottom"/>
            <w:tcBorders>
              <w:right w:val="single" w:sz="8" w:color="D1EDF4"/>
            </w:tcBorders>
            <w:shd w:val="clear" w:color="auto" w:fill="D1EDF4"/>
          </w:tcPr>
          <w:p>
            <w:pPr>
              <w:ind w:left="120"/>
              <w:spacing w:after="0"/>
              <w:rPr>
                <w:sz w:val="20"/>
                <w:szCs w:val="20"/>
                <w:color w:val="auto"/>
              </w:rPr>
            </w:pPr>
            <w:r>
              <w:rPr>
                <w:rFonts w:ascii="Times New Roman" w:cs="Times New Roman" w:eastAsia="Times New Roman" w:hAnsi="Times New Roman"/>
                <w:sz w:val="16"/>
                <w:szCs w:val="16"/>
                <w:color w:val="auto"/>
              </w:rPr>
              <w:t>Issuance of common stock for CyborgOps acquisition</w:t>
            </w:r>
          </w:p>
        </w:tc>
        <w:tc>
          <w:tcPr>
            <w:tcW w:w="102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D1EDF4"/>
          </w:tcPr>
          <w:p>
            <w:pPr>
              <w:spacing w:after="0"/>
              <w:rPr>
                <w:sz w:val="16"/>
                <w:szCs w:val="16"/>
                <w:color w:val="auto"/>
              </w:rPr>
            </w:pPr>
          </w:p>
        </w:tc>
        <w:tc>
          <w:tcPr>
            <w:tcW w:w="3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601,764</w:t>
            </w:r>
          </w:p>
        </w:tc>
        <w:tc>
          <w:tcPr>
            <w:tcW w:w="160" w:type="dxa"/>
            <w:vAlign w:val="bottom"/>
            <w:tcBorders>
              <w:right w:val="single" w:sz="8" w:color="D1EDF4"/>
            </w:tcBorders>
            <w:shd w:val="clear" w:color="auto" w:fill="D1EDF4"/>
          </w:tcPr>
          <w:p>
            <w:pPr>
              <w:spacing w:after="0"/>
              <w:rPr>
                <w:sz w:val="16"/>
                <w:szCs w:val="16"/>
                <w:color w:val="auto"/>
              </w:rPr>
            </w:pPr>
          </w:p>
        </w:tc>
        <w:tc>
          <w:tcPr>
            <w:tcW w:w="320" w:type="dxa"/>
            <w:vAlign w:val="bottom"/>
            <w:shd w:val="clear" w:color="auto" w:fill="D1EDF4"/>
          </w:tcPr>
          <w:p>
            <w:pPr>
              <w:spacing w:after="0"/>
              <w:rPr>
                <w:sz w:val="16"/>
                <w:szCs w:val="16"/>
                <w:color w:val="auto"/>
              </w:rPr>
            </w:pPr>
          </w:p>
        </w:tc>
        <w:tc>
          <w:tcPr>
            <w:tcW w:w="2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60" w:type="dxa"/>
            <w:vAlign w:val="bottom"/>
            <w:tcBorders>
              <w:right w:val="single" w:sz="8" w:color="D1EDF4"/>
            </w:tcBorders>
            <w:shd w:val="clear" w:color="auto" w:fill="D1EDF4"/>
          </w:tcPr>
          <w:p>
            <w:pPr>
              <w:spacing w:after="0"/>
              <w:rPr>
                <w:sz w:val="16"/>
                <w:szCs w:val="16"/>
                <w:color w:val="auto"/>
              </w:rPr>
            </w:pPr>
          </w:p>
        </w:tc>
        <w:tc>
          <w:tcPr>
            <w:tcW w:w="100" w:type="dxa"/>
            <w:vAlign w:val="bottom"/>
            <w:shd w:val="clear" w:color="auto" w:fill="D1EDF4"/>
          </w:tcPr>
          <w:p>
            <w:pPr>
              <w:spacing w:after="0"/>
              <w:rPr>
                <w:sz w:val="16"/>
                <w:szCs w:val="16"/>
                <w:color w:val="auto"/>
              </w:rPr>
            </w:pPr>
          </w:p>
        </w:tc>
        <w:tc>
          <w:tcPr>
            <w:tcW w:w="1180" w:type="dxa"/>
            <w:vAlign w:val="bottom"/>
            <w:tcBorders>
              <w:right w:val="single" w:sz="8" w:color="D1EDF4"/>
            </w:tcBorders>
            <w:gridSpan w:val="2"/>
            <w:shd w:val="clear" w:color="auto" w:fill="D1EDF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D1EDF4"/>
          </w:tcPr>
          <w:p>
            <w:pPr>
              <w:spacing w:after="0"/>
              <w:rPr>
                <w:sz w:val="16"/>
                <w:szCs w:val="16"/>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(56,314)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80" w:type="dxa"/>
            <w:vAlign w:val="bottom"/>
            <w:tcBorders>
              <w:right w:val="single" w:sz="8" w:color="D1EDF4"/>
            </w:tcBorders>
            <w:vMerge w:val="restart"/>
            <w:shd w:val="clear" w:color="auto" w:fill="D1EDF4"/>
          </w:tcPr>
          <w:p>
            <w:pPr>
              <w:spacing w:after="0"/>
              <w:rPr>
                <w:sz w:val="20"/>
                <w:szCs w:val="20"/>
                <w:color w:val="auto"/>
              </w:rPr>
            </w:pPr>
            <w:r>
              <w:rPr>
                <w:rFonts w:ascii="Times New Roman" w:cs="Times New Roman" w:eastAsia="Times New Roman" w:hAnsi="Times New Roman"/>
                <w:sz w:val="16"/>
                <w:szCs w:val="16"/>
                <w:color w:val="auto"/>
              </w:rPr>
              <w:t>Balance at June 30, 2022</w:t>
            </w: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D1EDF4"/>
            </w:tcBorders>
            <w:shd w:val="clear" w:color="auto" w:fill="D1EDF4"/>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80" w:type="dxa"/>
            <w:vAlign w:val="bottom"/>
            <w:tcBorders>
              <w:right w:val="single" w:sz="8" w:color="D1EDF4"/>
            </w:tcBorders>
            <w:vMerge w:val="continue"/>
            <w:shd w:val="clear" w:color="auto" w:fill="D1EDF4"/>
          </w:tcPr>
          <w:p>
            <w:pPr>
              <w:spacing w:after="0"/>
              <w:rPr>
                <w:sz w:val="15"/>
                <w:szCs w:val="15"/>
                <w:color w:val="auto"/>
              </w:rPr>
            </w:pPr>
          </w:p>
        </w:tc>
        <w:tc>
          <w:tcPr>
            <w:tcW w:w="8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5"/>
                <w:szCs w:val="15"/>
                <w:color w:val="auto"/>
              </w:rPr>
            </w:pPr>
          </w:p>
        </w:tc>
        <w:tc>
          <w:tcPr>
            <w:tcW w:w="22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D1EDF4"/>
            </w:tcBorders>
            <w:shd w:val="clear" w:color="auto" w:fill="D1EDF4"/>
          </w:tcPr>
          <w:p>
            <w:pPr>
              <w:spacing w:after="0"/>
              <w:rPr>
                <w:sz w:val="15"/>
                <w:szCs w:val="15"/>
                <w:color w:val="auto"/>
              </w:rPr>
            </w:pPr>
          </w:p>
        </w:tc>
        <w:tc>
          <w:tcPr>
            <w:tcW w:w="82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27,974,439</w:t>
            </w:r>
          </w:p>
        </w:tc>
        <w:tc>
          <w:tcPr>
            <w:tcW w:w="160" w:type="dxa"/>
            <w:vAlign w:val="bottom"/>
            <w:tcBorders>
              <w:right w:val="single" w:sz="8" w:color="D1EDF4"/>
            </w:tcBorders>
            <w:shd w:val="clear" w:color="auto" w:fill="D1EDF4"/>
          </w:tcPr>
          <w:p>
            <w:pPr>
              <w:spacing w:after="0"/>
              <w:rPr>
                <w:sz w:val="15"/>
                <w:szCs w:val="15"/>
                <w:color w:val="auto"/>
              </w:rPr>
            </w:pPr>
          </w:p>
        </w:tc>
        <w:tc>
          <w:tcPr>
            <w:tcW w:w="320" w:type="dxa"/>
            <w:vAlign w:val="bottom"/>
            <w:shd w:val="clear" w:color="auto" w:fill="D1EDF4"/>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78,321</w:t>
            </w:r>
          </w:p>
        </w:tc>
        <w:tc>
          <w:tcPr>
            <w:tcW w:w="160" w:type="dxa"/>
            <w:vAlign w:val="bottom"/>
            <w:tcBorders>
              <w:right w:val="single" w:sz="8" w:color="D1EDF4"/>
            </w:tcBorders>
            <w:shd w:val="clear" w:color="auto" w:fill="D1EDF4"/>
          </w:tcPr>
          <w:p>
            <w:pPr>
              <w:spacing w:after="0"/>
              <w:rPr>
                <w:sz w:val="15"/>
                <w:szCs w:val="15"/>
                <w:color w:val="auto"/>
              </w:rPr>
            </w:pPr>
          </w:p>
        </w:tc>
        <w:tc>
          <w:tcPr>
            <w:tcW w:w="10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D1EDF4"/>
            </w:tcBorders>
            <w:gridSpan w:val="2"/>
            <w:shd w:val="clear" w:color="auto" w:fill="D1EDF4"/>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(200,783)</w:t>
            </w:r>
          </w:p>
        </w:tc>
        <w:tc>
          <w:tcPr>
            <w:tcW w:w="8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D1EDF4"/>
          </w:tcPr>
          <w:p>
            <w:pPr>
              <w:jc w:val="right"/>
              <w:spacing w:after="0" w:line="175" w:lineRule="exact"/>
              <w:rPr>
                <w:sz w:val="20"/>
                <w:szCs w:val="20"/>
                <w:color w:val="auto"/>
              </w:rPr>
            </w:pPr>
            <w:r>
              <w:rPr>
                <w:rFonts w:ascii="Times New Roman" w:cs="Times New Roman" w:eastAsia="Times New Roman" w:hAnsi="Times New Roman"/>
                <w:sz w:val="16"/>
                <w:szCs w:val="16"/>
                <w:color w:val="auto"/>
              </w:rPr>
              <w:t>(122,459)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39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800"/>
          </w:cols>
          <w:pgMar w:left="720" w:top="696" w:right="720" w:bottom="175"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
          <w:szCs w:val="2"/>
          <w:b w:val="1"/>
          <w:bCs w:val="1"/>
          <w:i w:val="1"/>
          <w:iCs w:val="1"/>
          <w:color w:val="auto"/>
        </w:rPr>
        <w: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0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tcBorders>
              <w:bottom w:val="single" w:sz="8" w:color="auto"/>
            </w:tcBorders>
          </w:tcPr>
          <w:p>
            <w:pPr>
              <w:jc w:val="right"/>
              <w:ind w:right="22"/>
              <w:spacing w:after="0" w:line="151"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6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D1EDF4"/>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(34,480)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(56,314)</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Earnout share stock-based compensation</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Contra-revenue associated with warrant agreement (Refer to Note 2)</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Noncash expense attributable to fair value liabilities assumed in Merger</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(48,271)</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18,932</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Deferred taxes</w:t>
            </w:r>
          </w:p>
        </w:tc>
        <w:tc>
          <w:tcPr>
            <w:tcW w:w="980" w:type="dxa"/>
            <w:vAlign w:val="bottom"/>
            <w:shd w:val="clear" w:color="auto" w:fill="D1EDF4"/>
          </w:tcPr>
          <w:p>
            <w:pPr>
              <w:spacing w:after="0"/>
              <w:rPr>
                <w:sz w:val="14"/>
                <w:szCs w:val="14"/>
                <w:color w:val="auto"/>
              </w:rPr>
            </w:pPr>
          </w:p>
        </w:tc>
        <w:tc>
          <w:tcPr>
            <w:tcW w:w="8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1EDF4"/>
          </w:tcPr>
          <w:p>
            <w:pPr>
              <w:spacing w:after="0"/>
              <w:rPr>
                <w:sz w:val="14"/>
                <w:szCs w:val="14"/>
                <w:color w:val="auto"/>
              </w:rPr>
            </w:pPr>
          </w:p>
        </w:tc>
        <w:tc>
          <w:tcPr>
            <w:tcW w:w="1480" w:type="dxa"/>
            <w:vAlign w:val="bottom"/>
            <w:gridSpan w:val="2"/>
            <w:shd w:val="clear" w:color="auto" w:fill="D1EDF4"/>
          </w:tcPr>
          <w:p>
            <w:pPr>
              <w:jc w:val="right"/>
              <w:ind w:right="340"/>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extinguishment of debt and financing obligations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8,179</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 and warrant cost on termination of convertible note agreement</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Forgiveness of PPP Loan</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Change in fair value of unvested sponsor shares liability</w:t>
            </w:r>
          </w:p>
        </w:tc>
        <w:tc>
          <w:tcPr>
            <w:tcW w:w="980" w:type="dxa"/>
            <w:vAlign w:val="bottom"/>
            <w:shd w:val="clear" w:color="auto" w:fill="D1EDF4"/>
          </w:tcPr>
          <w:p>
            <w:pPr>
              <w:spacing w:after="0"/>
              <w:rPr>
                <w:sz w:val="14"/>
                <w:szCs w:val="14"/>
                <w:color w:val="auto"/>
              </w:rPr>
            </w:pPr>
          </w:p>
        </w:tc>
        <w:tc>
          <w:tcPr>
            <w:tcW w:w="880" w:type="dxa"/>
            <w:vAlign w:val="bottom"/>
            <w:gridSpan w:val="2"/>
            <w:shd w:val="clear" w:color="auto" w:fill="D1EDF4"/>
          </w:tcPr>
          <w:p>
            <w:pPr>
              <w:jc w:val="right"/>
              <w:ind w:right="320"/>
              <w:spacing w:after="0"/>
              <w:rPr>
                <w:sz w:val="20"/>
                <w:szCs w:val="20"/>
                <w:color w:val="auto"/>
              </w:rPr>
            </w:pPr>
            <w:r>
              <w:rPr>
                <w:rFonts w:ascii="Times New Roman" w:cs="Times New Roman" w:eastAsia="Times New Roman" w:hAnsi="Times New Roman"/>
                <w:sz w:val="14"/>
                <w:szCs w:val="14"/>
                <w:color w:val="auto"/>
              </w:rPr>
              <w:t>(189)</w:t>
            </w:r>
          </w:p>
        </w:tc>
        <w:tc>
          <w:tcPr>
            <w:tcW w:w="400" w:type="dxa"/>
            <w:vAlign w:val="bottom"/>
            <w:shd w:val="clear" w:color="auto" w:fill="D1EDF4"/>
          </w:tcPr>
          <w:p>
            <w:pPr>
              <w:spacing w:after="0"/>
              <w:rPr>
                <w:sz w:val="14"/>
                <w:szCs w:val="14"/>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Loss on disposal off property and equipment</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4"/>
                <w:szCs w:val="14"/>
                <w:color w:val="auto"/>
              </w:rPr>
              <w:t>Deferred costs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9,060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11,361</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(490)</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4"/>
                <w:szCs w:val="14"/>
                <w:color w:val="auto"/>
              </w:rPr>
              <w:t>Other long-term assets</w:t>
            </w:r>
          </w:p>
        </w:tc>
        <w:tc>
          <w:tcPr>
            <w:tcW w:w="980" w:type="dxa"/>
            <w:vAlign w:val="bottom"/>
            <w:shd w:val="clear" w:color="auto" w:fill="D1EDF4"/>
          </w:tcPr>
          <w:p>
            <w:pPr>
              <w:spacing w:after="0"/>
              <w:rPr>
                <w:sz w:val="13"/>
                <w:szCs w:val="13"/>
                <w:color w:val="auto"/>
              </w:rPr>
            </w:pPr>
          </w:p>
        </w:tc>
        <w:tc>
          <w:tcPr>
            <w:tcW w:w="8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980" w:type="dxa"/>
            <w:vAlign w:val="bottom"/>
            <w:shd w:val="clear" w:color="auto" w:fill="D1EDF4"/>
          </w:tcPr>
          <w:p>
            <w:pPr>
              <w:spacing w:after="0"/>
              <w:rPr>
                <w:sz w:val="13"/>
                <w:szCs w:val="13"/>
                <w:color w:val="auto"/>
              </w:rPr>
            </w:pPr>
          </w:p>
        </w:tc>
        <w:tc>
          <w:tcPr>
            <w:tcW w:w="8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(6,792)</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(1,970)</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(9,186)</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(14,854)</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8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(341)</w:t>
            </w:r>
          </w:p>
        </w:tc>
        <w:tc>
          <w:tcPr>
            <w:tcW w:w="40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50"/>
        </w:trPr>
        <w:tc>
          <w:tcPr>
            <w:tcW w:w="7060" w:type="dxa"/>
            <w:vAlign w:val="bottom"/>
            <w:tcBorders>
              <w:top w:val="single" w:sz="8" w:color="D1EDF4"/>
            </w:tcBorders>
            <w:shd w:val="clear" w:color="auto" w:fill="D1EDF4"/>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980" w:type="dxa"/>
            <w:vAlign w:val="bottom"/>
            <w:tcBorders>
              <w:top w:val="single" w:sz="8" w:color="auto"/>
              <w:bottom w:val="single" w:sz="8" w:color="auto"/>
            </w:tcBorders>
            <w:shd w:val="clear" w:color="auto" w:fill="D1EDF4"/>
          </w:tcPr>
          <w:p>
            <w:pPr>
              <w:spacing w:after="0"/>
              <w:rPr>
                <w:sz w:val="13"/>
                <w:szCs w:val="13"/>
                <w:color w:val="auto"/>
              </w:rPr>
            </w:pPr>
          </w:p>
        </w:tc>
        <w:tc>
          <w:tcPr>
            <w:tcW w:w="540" w:type="dxa"/>
            <w:vAlign w:val="bottom"/>
            <w:tcBorders>
              <w:top w:val="single" w:sz="8" w:color="auto"/>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(44,532)</w:t>
            </w:r>
          </w:p>
        </w:tc>
        <w:tc>
          <w:tcPr>
            <w:tcW w:w="340" w:type="dxa"/>
            <w:vAlign w:val="bottom"/>
            <w:tcBorders>
              <w:top w:val="single" w:sz="8" w:color="D1EDF4"/>
            </w:tcBorders>
            <w:shd w:val="clear" w:color="auto" w:fill="D1EDF4"/>
          </w:tcPr>
          <w:p>
            <w:pPr>
              <w:spacing w:after="0"/>
              <w:rPr>
                <w:sz w:val="13"/>
                <w:szCs w:val="13"/>
                <w:color w:val="auto"/>
              </w:rPr>
            </w:pPr>
          </w:p>
        </w:tc>
        <w:tc>
          <w:tcPr>
            <w:tcW w:w="400" w:type="dxa"/>
            <w:vAlign w:val="bottom"/>
            <w:tcBorders>
              <w:top w:val="single" w:sz="8" w:color="auto"/>
              <w:bottom w:val="single" w:sz="8" w:color="auto"/>
            </w:tcBorders>
            <w:shd w:val="clear" w:color="auto" w:fill="D1EDF4"/>
          </w:tcPr>
          <w:p>
            <w:pPr>
              <w:spacing w:after="0"/>
              <w:rPr>
                <w:sz w:val="13"/>
                <w:szCs w:val="13"/>
                <w:color w:val="auto"/>
              </w:rPr>
            </w:pPr>
          </w:p>
        </w:tc>
        <w:tc>
          <w:tcPr>
            <w:tcW w:w="1140" w:type="dxa"/>
            <w:vAlign w:val="bottom"/>
            <w:tcBorders>
              <w:top w:val="single" w:sz="8" w:color="auto"/>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(47,299)</w:t>
            </w:r>
          </w:p>
        </w:tc>
        <w:tc>
          <w:tcPr>
            <w:tcW w:w="340" w:type="dxa"/>
            <w:vAlign w:val="bottom"/>
            <w:tcBorders>
              <w:top w:val="single" w:sz="8" w:color="D1EDF4"/>
            </w:tcBorders>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6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Investment in non-affiliate</w:t>
            </w:r>
          </w:p>
        </w:tc>
        <w:tc>
          <w:tcPr>
            <w:tcW w:w="980" w:type="dxa"/>
            <w:vAlign w:val="bottom"/>
            <w:tcBorders>
              <w:bottom w:val="single" w:sz="8" w:color="auto"/>
            </w:tcBorders>
            <w:shd w:val="clear" w:color="auto" w:fill="D1EDF4"/>
          </w:tcPr>
          <w:p>
            <w:pPr>
              <w:spacing w:after="0"/>
              <w:rPr>
                <w:sz w:val="13"/>
                <w:szCs w:val="13"/>
                <w:color w:val="auto"/>
              </w:rPr>
            </w:pPr>
          </w:p>
        </w:tc>
        <w:tc>
          <w:tcPr>
            <w:tcW w:w="5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40" w:type="dxa"/>
            <w:vAlign w:val="bottom"/>
            <w:shd w:val="clear" w:color="auto" w:fill="D1EDF4"/>
          </w:tcPr>
          <w:p>
            <w:pPr>
              <w:spacing w:after="0"/>
              <w:rPr>
                <w:sz w:val="13"/>
                <w:szCs w:val="13"/>
                <w:color w:val="auto"/>
              </w:rPr>
            </w:pPr>
          </w:p>
        </w:tc>
        <w:tc>
          <w:tcPr>
            <w:tcW w:w="400" w:type="dxa"/>
            <w:vAlign w:val="bottom"/>
            <w:tcBorders>
              <w:bottom w:val="single" w:sz="8" w:color="auto"/>
            </w:tcBorders>
            <w:shd w:val="clear" w:color="auto" w:fill="D1EDF4"/>
          </w:tcPr>
          <w:p>
            <w:pPr>
              <w:spacing w:after="0"/>
              <w:rPr>
                <w:sz w:val="13"/>
                <w:szCs w:val="13"/>
                <w:color w:val="auto"/>
              </w:rPr>
            </w:pPr>
          </w:p>
        </w:tc>
        <w:tc>
          <w:tcPr>
            <w:tcW w:w="1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60" w:type="dxa"/>
            <w:vAlign w:val="bottom"/>
            <w:tcBorders>
              <w:bottom w:val="single" w:sz="8" w:color="D1EDF4"/>
            </w:tcBorders>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(7,892)</w:t>
            </w:r>
          </w:p>
        </w:tc>
        <w:tc>
          <w:tcPr>
            <w:tcW w:w="340" w:type="dxa"/>
            <w:vAlign w:val="bottom"/>
            <w:tcBorders>
              <w:bottom w:val="single" w:sz="8" w:color="D1ED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(2,213)</w:t>
            </w:r>
          </w:p>
        </w:tc>
        <w:tc>
          <w:tcPr>
            <w:tcW w:w="340" w:type="dxa"/>
            <w:vAlign w:val="bottom"/>
            <w:tcBorders>
              <w:bottom w:val="single" w:sz="8" w:color="D1EDF4"/>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06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spacing w:after="0"/>
              <w:rPr>
                <w:sz w:val="13"/>
                <w:szCs w:val="13"/>
                <w:color w:val="auto"/>
              </w:rPr>
            </w:pP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60,250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12,600</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Repayment of term loans</w:t>
            </w:r>
          </w:p>
        </w:tc>
        <w:tc>
          <w:tcPr>
            <w:tcW w:w="980" w:type="dxa"/>
            <w:vAlign w:val="bottom"/>
            <w:shd w:val="clear" w:color="auto" w:fill="D1EDF4"/>
          </w:tcPr>
          <w:p>
            <w:pPr>
              <w:spacing w:after="0"/>
              <w:rPr>
                <w:sz w:val="14"/>
                <w:szCs w:val="14"/>
                <w:color w:val="auto"/>
              </w:rPr>
            </w:pPr>
          </w:p>
        </w:tc>
        <w:tc>
          <w:tcPr>
            <w:tcW w:w="880" w:type="dxa"/>
            <w:vAlign w:val="bottom"/>
            <w:gridSpan w:val="2"/>
            <w:shd w:val="clear" w:color="auto" w:fill="D1EDF4"/>
          </w:tcPr>
          <w:p>
            <w:pPr>
              <w:jc w:val="right"/>
              <w:ind w:right="320"/>
              <w:spacing w:after="0"/>
              <w:rPr>
                <w:sz w:val="20"/>
                <w:szCs w:val="20"/>
                <w:color w:val="auto"/>
              </w:rPr>
            </w:pPr>
            <w:r>
              <w:rPr>
                <w:rFonts w:ascii="Times New Roman" w:cs="Times New Roman" w:eastAsia="Times New Roman" w:hAnsi="Times New Roman"/>
                <w:sz w:val="14"/>
                <w:szCs w:val="14"/>
                <w:color w:val="auto"/>
              </w:rPr>
              <w:t>(32,980)</w:t>
            </w:r>
          </w:p>
        </w:tc>
        <w:tc>
          <w:tcPr>
            <w:tcW w:w="400" w:type="dxa"/>
            <w:vAlign w:val="bottom"/>
            <w:shd w:val="clear" w:color="auto" w:fill="D1EDF4"/>
          </w:tcPr>
          <w:p>
            <w:pPr>
              <w:spacing w:after="0"/>
              <w:rPr>
                <w:sz w:val="14"/>
                <w:szCs w:val="14"/>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penalties and other costs on extinguishment of debt</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980" w:type="dxa"/>
            <w:vAlign w:val="bottom"/>
            <w:shd w:val="clear" w:color="auto" w:fill="D1EDF4"/>
          </w:tcPr>
          <w:p>
            <w:pPr>
              <w:spacing w:after="0"/>
              <w:rPr>
                <w:sz w:val="13"/>
                <w:szCs w:val="13"/>
                <w:color w:val="auto"/>
              </w:rPr>
            </w:pPr>
          </w:p>
        </w:tc>
        <w:tc>
          <w:tcPr>
            <w:tcW w:w="8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financing obligations</w:t>
            </w:r>
          </w:p>
        </w:tc>
        <w:tc>
          <w:tcPr>
            <w:tcW w:w="9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(4,573)</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(2,376)</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06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14"/>
                <w:szCs w:val="14"/>
                <w:color w:val="auto"/>
              </w:rPr>
              <w:t>Contributions from Merger and PIPE financing, net of transaction costs and other payments</w:t>
            </w:r>
          </w:p>
        </w:tc>
        <w:tc>
          <w:tcPr>
            <w:tcW w:w="980" w:type="dxa"/>
            <w:vAlign w:val="bottom"/>
            <w:shd w:val="clear" w:color="auto" w:fill="D1EDF4"/>
          </w:tcPr>
          <w:p>
            <w:pPr>
              <w:spacing w:after="0"/>
              <w:rPr>
                <w:sz w:val="14"/>
                <w:szCs w:val="14"/>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49,840</w:t>
            </w:r>
          </w:p>
        </w:tc>
        <w:tc>
          <w:tcPr>
            <w:tcW w:w="340" w:type="dxa"/>
            <w:vAlign w:val="bottom"/>
            <w:shd w:val="clear" w:color="auto" w:fill="D1EDF4"/>
          </w:tcPr>
          <w:p>
            <w:pPr>
              <w:spacing w:after="0"/>
              <w:rPr>
                <w:sz w:val="14"/>
                <w:szCs w:val="14"/>
                <w:color w:val="auto"/>
              </w:rPr>
            </w:pPr>
          </w:p>
        </w:tc>
        <w:tc>
          <w:tcPr>
            <w:tcW w:w="400" w:type="dxa"/>
            <w:vAlign w:val="bottom"/>
            <w:shd w:val="clear" w:color="auto" w:fill="D1EDF4"/>
          </w:tcPr>
          <w:p>
            <w:pPr>
              <w:spacing w:after="0"/>
              <w:rPr>
                <w:sz w:val="14"/>
                <w:szCs w:val="14"/>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Borders>
              <w:bottom w:val="single" w:sz="8" w:color="D1EDF4"/>
            </w:tcBorders>
          </w:tcPr>
          <w:p>
            <w:pPr>
              <w:ind w:left="12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340" w:type="dxa"/>
            <w:vAlign w:val="bottom"/>
            <w:tcBorders>
              <w:bottom w:val="single" w:sz="8" w:color="D1ED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340" w:type="dxa"/>
            <w:vAlign w:val="bottom"/>
            <w:tcBorders>
              <w:bottom w:val="single" w:sz="8" w:color="D1EDF4"/>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060" w:type="dxa"/>
            <w:vAlign w:val="bottom"/>
            <w:shd w:val="clear" w:color="auto" w:fill="D1EDF4"/>
          </w:tcPr>
          <w:p>
            <w:pPr>
              <w:ind w:left="360"/>
              <w:spacing w:after="0" w:line="151"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80" w:type="dxa"/>
            <w:vAlign w:val="bottom"/>
            <w:tcBorders>
              <w:bottom w:val="single" w:sz="8" w:color="auto"/>
            </w:tcBorders>
            <w:shd w:val="clear" w:color="auto" w:fill="D1EDF4"/>
          </w:tcPr>
          <w:p>
            <w:pPr>
              <w:spacing w:after="0"/>
              <w:rPr>
                <w:sz w:val="13"/>
                <w:szCs w:val="13"/>
                <w:color w:val="auto"/>
              </w:rPr>
            </w:pPr>
          </w:p>
        </w:tc>
        <w:tc>
          <w:tcPr>
            <w:tcW w:w="540" w:type="dxa"/>
            <w:vAlign w:val="bottom"/>
            <w:tcBorders>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74,550</w:t>
            </w:r>
          </w:p>
        </w:tc>
        <w:tc>
          <w:tcPr>
            <w:tcW w:w="340" w:type="dxa"/>
            <w:vAlign w:val="bottom"/>
            <w:shd w:val="clear" w:color="auto" w:fill="D1EDF4"/>
          </w:tcPr>
          <w:p>
            <w:pPr>
              <w:spacing w:after="0"/>
              <w:rPr>
                <w:sz w:val="13"/>
                <w:szCs w:val="13"/>
                <w:color w:val="auto"/>
              </w:rPr>
            </w:pPr>
          </w:p>
        </w:tc>
        <w:tc>
          <w:tcPr>
            <w:tcW w:w="400" w:type="dxa"/>
            <w:vAlign w:val="bottom"/>
            <w:tcBorders>
              <w:bottom w:val="single" w:sz="8" w:color="auto"/>
            </w:tcBorders>
            <w:shd w:val="clear" w:color="auto" w:fill="D1EDF4"/>
          </w:tcPr>
          <w:p>
            <w:pPr>
              <w:spacing w:after="0"/>
              <w:rPr>
                <w:sz w:val="13"/>
                <w:szCs w:val="13"/>
                <w:color w:val="auto"/>
              </w:rPr>
            </w:pPr>
          </w:p>
        </w:tc>
        <w:tc>
          <w:tcPr>
            <w:tcW w:w="1140" w:type="dxa"/>
            <w:vAlign w:val="bottom"/>
            <w:tcBorders>
              <w:bottom w:val="single" w:sz="8" w:color="auto"/>
            </w:tcBorders>
            <w:shd w:val="clear" w:color="auto" w:fill="D1EDF4"/>
          </w:tcPr>
          <w:p>
            <w:pPr>
              <w:jc w:val="right"/>
              <w:spacing w:after="0" w:line="151" w:lineRule="exact"/>
              <w:rPr>
                <w:sz w:val="20"/>
                <w:szCs w:val="20"/>
                <w:color w:val="auto"/>
              </w:rPr>
            </w:pPr>
            <w:r>
              <w:rPr>
                <w:rFonts w:ascii="Times New Roman" w:cs="Times New Roman" w:eastAsia="Times New Roman" w:hAnsi="Times New Roman"/>
                <w:sz w:val="14"/>
                <w:szCs w:val="14"/>
                <w:color w:val="auto"/>
              </w:rPr>
              <w:t>15,620</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(33,892)</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340" w:type="dxa"/>
            <w:vAlign w:val="bottom"/>
            <w:tcBorders>
              <w:bottom w:val="single" w:sz="8" w:color="D1ED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340" w:type="dxa"/>
            <w:vAlign w:val="bottom"/>
            <w:tcBorders>
              <w:bottom w:val="single" w:sz="8" w:color="D1EDF4"/>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6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80" w:type="dxa"/>
            <w:vAlign w:val="bottom"/>
            <w:tcBorders>
              <w:bottom w:val="single" w:sz="8" w:color="auto"/>
            </w:tcBorders>
            <w:shd w:val="clear" w:color="auto" w:fill="D1EDF4"/>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25,143</w:t>
            </w:r>
          </w:p>
        </w:tc>
        <w:tc>
          <w:tcPr>
            <w:tcW w:w="340" w:type="dxa"/>
            <w:vAlign w:val="bottom"/>
            <w:shd w:val="clear" w:color="auto" w:fill="D1EDF4"/>
          </w:tcPr>
          <w:p>
            <w:pPr>
              <w:spacing w:after="0"/>
              <w:rPr>
                <w:sz w:val="13"/>
                <w:szCs w:val="13"/>
                <w:color w:val="auto"/>
              </w:rPr>
            </w:pPr>
          </w:p>
        </w:tc>
        <w:tc>
          <w:tcPr>
            <w:tcW w:w="400" w:type="dxa"/>
            <w:vAlign w:val="bottom"/>
            <w:tcBorders>
              <w:bottom w:val="single" w:sz="8" w:color="auto"/>
            </w:tcBorders>
            <w:shd w:val="clear" w:color="auto" w:fill="D1EDF4"/>
          </w:tcPr>
          <w:p>
            <w:pPr>
              <w:jc w:val="right"/>
              <w:ind w:right="250"/>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3,017</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cash, cash equivalents and restricted cash:</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15,143</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tcBorders>
              <w:bottom w:val="single" w:sz="8" w:color="D1EDF4"/>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D1EDF4"/>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60" w:type="dxa"/>
            <w:vAlign w:val="bottom"/>
            <w:shd w:val="clear" w:color="auto" w:fill="D1EDF4"/>
          </w:tcPr>
          <w:p>
            <w:pPr>
              <w:spacing w:after="0" w:line="152" w:lineRule="exact"/>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980" w:type="dxa"/>
            <w:vAlign w:val="bottom"/>
            <w:tcBorders>
              <w:bottom w:val="single" w:sz="8" w:color="auto"/>
            </w:tcBorders>
            <w:shd w:val="clear" w:color="auto" w:fill="D1EDF4"/>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25,143</w:t>
            </w:r>
          </w:p>
        </w:tc>
        <w:tc>
          <w:tcPr>
            <w:tcW w:w="340" w:type="dxa"/>
            <w:vAlign w:val="bottom"/>
            <w:shd w:val="clear" w:color="auto" w:fill="D1EDF4"/>
          </w:tcPr>
          <w:p>
            <w:pPr>
              <w:spacing w:after="0"/>
              <w:rPr>
                <w:sz w:val="13"/>
                <w:szCs w:val="13"/>
                <w:color w:val="auto"/>
              </w:rPr>
            </w:pPr>
          </w:p>
        </w:tc>
        <w:tc>
          <w:tcPr>
            <w:tcW w:w="400" w:type="dxa"/>
            <w:vAlign w:val="bottom"/>
            <w:tcBorders>
              <w:bottom w:val="single" w:sz="8" w:color="auto"/>
            </w:tcBorders>
            <w:shd w:val="clear" w:color="auto" w:fill="D1EDF4"/>
          </w:tcPr>
          <w:p>
            <w:pPr>
              <w:jc w:val="right"/>
              <w:ind w:right="250"/>
              <w:spacing w:after="0" w:line="15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D1EDF4"/>
          </w:tcPr>
          <w:p>
            <w:pPr>
              <w:jc w:val="right"/>
              <w:spacing w:after="0" w:line="152" w:lineRule="exact"/>
              <w:rPr>
                <w:sz w:val="20"/>
                <w:szCs w:val="20"/>
                <w:color w:val="auto"/>
              </w:rPr>
            </w:pPr>
            <w:r>
              <w:rPr>
                <w:rFonts w:ascii="Times New Roman" w:cs="Times New Roman" w:eastAsia="Times New Roman" w:hAnsi="Times New Roman"/>
                <w:sz w:val="14"/>
                <w:szCs w:val="14"/>
                <w:color w:val="auto"/>
              </w:rPr>
              <w:t>3,017</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7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spacing w:after="0"/>
              <w:rPr>
                <w:sz w:val="13"/>
                <w:szCs w:val="13"/>
                <w:color w:val="auto"/>
              </w:rPr>
            </w:pP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spacing w:after="0"/>
              <w:rPr>
                <w:sz w:val="13"/>
                <w:szCs w:val="13"/>
                <w:color w:val="auto"/>
              </w:rPr>
            </w:pP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 of stock-based compensation expense to capitalized software</w:t>
            </w:r>
          </w:p>
        </w:tc>
        <w:tc>
          <w:tcPr>
            <w:tcW w:w="980" w:type="dxa"/>
            <w:vAlign w:val="bottom"/>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340" w:type="dxa"/>
            <w:vAlign w:val="bottom"/>
          </w:tcPr>
          <w:p>
            <w:pPr>
              <w:spacing w:after="0"/>
              <w:rPr>
                <w:sz w:val="13"/>
                <w:szCs w:val="13"/>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in CyborgOps acquisition</w:t>
            </w:r>
          </w:p>
        </w:tc>
        <w:tc>
          <w:tcPr>
            <w:tcW w:w="98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Deferred consideration - CyborgOps acquisition</w:t>
            </w:r>
          </w:p>
        </w:tc>
        <w:tc>
          <w:tcPr>
            <w:tcW w:w="980" w:type="dxa"/>
            <w:vAlign w:val="bottom"/>
            <w:shd w:val="clear" w:color="auto" w:fill="D1EDF4"/>
          </w:tcPr>
          <w:p>
            <w:pPr>
              <w:spacing w:after="0"/>
              <w:rPr>
                <w:sz w:val="13"/>
                <w:szCs w:val="13"/>
                <w:color w:val="auto"/>
              </w:rPr>
            </w:pPr>
          </w:p>
        </w:tc>
        <w:tc>
          <w:tcPr>
            <w:tcW w:w="8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Deferred transaction costs recorded in accounts payable and accrued liabilities</w:t>
            </w:r>
          </w:p>
        </w:tc>
        <w:tc>
          <w:tcPr>
            <w:tcW w:w="98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Capital contribution from shareholder in conjunction with Credit Agreement</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 in conjunction with Credit Agreement</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8,934</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Issuance of warrants in conjunction with Lago Term Loan</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340" w:type="dxa"/>
            <w:vAlign w:val="bottom"/>
            <w:shd w:val="clear" w:color="auto" w:fill="D1EDF4"/>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note conversion to common stock</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41,392</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Reclassification of warrants from liabilities to equity</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Recognition of liability classified warrants upon Merger</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9,388</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Recognition of Unvested Founder Shares liability</w:t>
            </w:r>
          </w:p>
        </w:tc>
        <w:tc>
          <w:tcPr>
            <w:tcW w:w="980" w:type="dxa"/>
            <w:vAlign w:val="bottom"/>
            <w:shd w:val="clear" w:color="auto" w:fill="D1EDF4"/>
          </w:tcPr>
          <w:p>
            <w:pPr>
              <w:spacing w:after="0"/>
              <w:rPr>
                <w:sz w:val="14"/>
                <w:szCs w:val="14"/>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340" w:type="dxa"/>
            <w:vAlign w:val="bottom"/>
            <w:shd w:val="clear" w:color="auto" w:fill="D1EDF4"/>
          </w:tcPr>
          <w:p>
            <w:pPr>
              <w:spacing w:after="0"/>
              <w:rPr>
                <w:sz w:val="14"/>
                <w:szCs w:val="14"/>
                <w:color w:val="auto"/>
              </w:rPr>
            </w:pPr>
          </w:p>
        </w:tc>
        <w:tc>
          <w:tcPr>
            <w:tcW w:w="400" w:type="dxa"/>
            <w:vAlign w:val="bottom"/>
            <w:shd w:val="clear" w:color="auto" w:fill="D1EDF4"/>
          </w:tcPr>
          <w:p>
            <w:pPr>
              <w:spacing w:after="0"/>
              <w:rPr>
                <w:sz w:val="14"/>
                <w:szCs w:val="14"/>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9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060" w:type="dxa"/>
            <w:vAlign w:val="bottom"/>
            <w:shd w:val="clear" w:color="auto" w:fill="D1EDF4"/>
          </w:tcPr>
          <w:p>
            <w:pPr>
              <w:spacing w:after="0"/>
              <w:rPr>
                <w:sz w:val="20"/>
                <w:szCs w:val="20"/>
                <w:color w:val="auto"/>
              </w:rPr>
            </w:pPr>
            <w:r>
              <w:rPr>
                <w:rFonts w:ascii="Times New Roman" w:cs="Times New Roman" w:eastAsia="Times New Roman" w:hAnsi="Times New Roman"/>
                <w:sz w:val="14"/>
                <w:szCs w:val="14"/>
                <w:color w:val="auto"/>
              </w:rPr>
              <w:t>Right of use asset in exchange for operating lease liability</w:t>
            </w:r>
          </w:p>
        </w:tc>
        <w:tc>
          <w:tcPr>
            <w:tcW w:w="980" w:type="dxa"/>
            <w:vAlign w:val="bottom"/>
            <w:shd w:val="clear" w:color="auto" w:fill="D1EDF4"/>
          </w:tcPr>
          <w:p>
            <w:pPr>
              <w:spacing w:after="0"/>
              <w:rPr>
                <w:sz w:val="13"/>
                <w:szCs w:val="13"/>
                <w:color w:val="auto"/>
              </w:rPr>
            </w:pPr>
          </w:p>
        </w:tc>
        <w:tc>
          <w:tcPr>
            <w:tcW w:w="5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340" w:type="dxa"/>
            <w:vAlign w:val="bottom"/>
            <w:shd w:val="clear" w:color="auto" w:fill="D1EDF4"/>
          </w:tcPr>
          <w:p>
            <w:pPr>
              <w:spacing w:after="0"/>
              <w:rPr>
                <w:sz w:val="13"/>
                <w:szCs w:val="13"/>
                <w:color w:val="auto"/>
              </w:rPr>
            </w:pPr>
          </w:p>
        </w:tc>
        <w:tc>
          <w:tcPr>
            <w:tcW w:w="400" w:type="dxa"/>
            <w:vAlign w:val="bottom"/>
            <w:shd w:val="clear" w:color="auto" w:fill="D1EDF4"/>
          </w:tcPr>
          <w:p>
            <w:pPr>
              <w:spacing w:after="0"/>
              <w:rPr>
                <w:sz w:val="13"/>
                <w:szCs w:val="13"/>
                <w:color w:val="auto"/>
              </w:rPr>
            </w:pPr>
          </w:p>
        </w:tc>
        <w:tc>
          <w:tcPr>
            <w:tcW w:w="1480" w:type="dxa"/>
            <w:vAlign w:val="bottom"/>
            <w:gridSpan w:val="2"/>
            <w:shd w:val="clear" w:color="auto" w:fill="D1EDF4"/>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06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June 2021 Note and related accrued interest, with issuance of February 2022 Note</w:t>
            </w:r>
          </w:p>
        </w:tc>
        <w:tc>
          <w:tcPr>
            <w:tcW w:w="98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r>
        <w:rPr>
          <w:rFonts w:ascii="Times New Roman" w:cs="Times New Roman" w:eastAsia="Times New Roman" w:hAnsi="Times New Roman"/>
          <w:sz w:val="16"/>
          <w:szCs w:val="16"/>
          <w:b w:val="1"/>
          <w:bCs w:val="1"/>
          <w:i w:val="1"/>
          <w:iCs w:val="1"/>
          <w:color w:val="auto"/>
        </w:rPr>
        <w: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800"/>
          </w:cols>
          <w:pgMar w:left="720" w:top="717" w:right="720" w:bottom="175"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ind w:left="2820"/>
        <w:spacing w:after="0"/>
        <w:rPr>
          <w:sz w:val="20"/>
          <w:szCs w:val="20"/>
          <w:color w:val="auto"/>
        </w:rPr>
      </w:pPr>
      <w:r>
        <w:rPr>
          <w:rFonts w:ascii="Times New Roman" w:cs="Times New Roman" w:eastAsia="Times New Roman" w:hAnsi="Times New Roman"/>
          <w:sz w:val="20"/>
          <w:szCs w:val="20"/>
          <w:b w:val="1"/>
          <w:bCs w:val="1"/>
          <w:color w:val="auto"/>
        </w:rPr>
        <w:t>(Amounts in tables are in thousands, unless otherwise noted)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Summary of Business and Significant Accounting Policies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23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 w:cs="Times New Roman" w:eastAsia="Times New Roman" w:hAnsi="Times New Roman"/>
          <w:sz w:val="20"/>
          <w:szCs w:val="20"/>
          <w:b w:val="1"/>
          <w:bCs w:val="1"/>
          <w:color w:val="auto"/>
        </w:rPr>
        <w:t>dba</w:t>
      </w:r>
      <w:r>
        <w:rPr>
          <w:rFonts w:ascii="Times New Roman" w:cs="Times New Roman" w:eastAsia="Times New Roman" w:hAnsi="Times New Roman"/>
          <w:sz w:val="20"/>
          <w:szCs w:val="20"/>
          <w:color w:val="auto"/>
        </w:rPr>
        <w:t>”) name. In February 2019, the Company formed Presto Technology, Inc. as a wholly owned subsidiary located in Ontario, Canada.</w:t>
      </w:r>
    </w:p>
    <w:p>
      <w:pPr>
        <w:spacing w:after="0" w:line="19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The Company is the developer of enterprise grade AI and automation solutions to the restaurant technology industry that are designed to decrease labor costs, improve staff productivity, increase revenue and enhance the guest experience. The Company offers an AI solution (“Presto Voice”) to quick service restaurants (QSR) and a pay-at-table tablet solution (“Presto Touch”) to casual dining chains. Presto Voice can complete complex orders, including large orders with multiple menu modifications and add-ons with limited on-site restaurant staff intervention. Some of the most recognized restaurant names in the United States are among the Company’s customers including Carl’s Jr., Hardee’s, Del Taco and Checkers for Presto Voice and Applebee’s, Chili’s and Red Lobster for Presto Touch.</w:t>
      </w:r>
    </w:p>
    <w:p>
      <w:pPr>
        <w:spacing w:after="0" w:line="200"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Following the Company’s founding in 2008, the Company initially focused exclusively on Presto Touch. As of June 30, 2023, the Company had shipped over 277,000 Presto Touch tablets to three of the largest casual dining chains in the United States. While Presto Touch has accounted for substantially all of the Company’s historical revenues, the Company believes that Presto Voice will contribute an increasing portion of its revenues in the future. Presto Voice addresses the pressing needs of restaurant operators by improving order accuracy, reducing labor costs and increasing revenue through menu upselling, while also providing guests with an improved drive-thru experience. The Company believes its solutions help restaurant operators address their business challenges with compelling end-to-end solutions that seamlessly integrate into a restaurant’s existing technology stacks.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Year</w:t>
      </w:r>
    </w:p>
    <w:p>
      <w:pPr>
        <w:spacing w:after="0" w:line="239" w:lineRule="exact"/>
        <w:rPr>
          <w:sz w:val="20"/>
          <w:szCs w:val="20"/>
          <w:color w:val="auto"/>
        </w:rPr>
      </w:pPr>
    </w:p>
    <w:p>
      <w:pPr>
        <w:ind w:right="480" w:firstLine="720"/>
        <w:spacing w:after="0" w:line="278" w:lineRule="auto"/>
        <w:rPr>
          <w:sz w:val="20"/>
          <w:szCs w:val="20"/>
          <w:color w:val="auto"/>
        </w:rPr>
      </w:pPr>
      <w:r>
        <w:rPr>
          <w:rFonts w:ascii="Times New Roman" w:cs="Times New Roman" w:eastAsia="Times New Roman" w:hAnsi="Times New Roman"/>
          <w:sz w:val="20"/>
          <w:szCs w:val="20"/>
          <w:color w:val="auto"/>
        </w:rPr>
        <w:t>The Company’s fiscal year ends on June 30. References to fiscal 2023 or year 2023, for example, refer to the fiscal year ended June 30, 2023.</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239"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generally accepted accounting principles in the United States of America (“</w:t>
      </w:r>
      <w:r>
        <w:rPr>
          <w:rFonts w:ascii="Times New Roman" w:cs="Times New Roman" w:eastAsia="Times New Roman" w:hAnsi="Times New Roman"/>
          <w:sz w:val="20"/>
          <w:szCs w:val="20"/>
          <w:b w:val="1"/>
          <w:bCs w:val="1"/>
          <w:color w:val="auto"/>
        </w:rPr>
        <w:t>U.S. GAAP</w:t>
      </w:r>
      <w:r>
        <w:rPr>
          <w:rFonts w:ascii="Times New Roman" w:cs="Times New Roman" w:eastAsia="Times New Roman" w:hAnsi="Times New Roman"/>
          <w:sz w:val="20"/>
          <w:szCs w:val="20"/>
          <w:color w:val="auto"/>
        </w:rPr>
        <w:t>”) and the rules and regulations of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w:cs="Times New Roman" w:eastAsia="Times New Roman" w:hAnsi="Times New Roman"/>
          <w:sz w:val="20"/>
          <w:szCs w:val="20"/>
          <w:b w:val="1"/>
          <w:bCs w:val="1"/>
          <w:color w:val="auto"/>
        </w:rPr>
        <w:t>FASB</w:t>
      </w:r>
      <w:r>
        <w:rPr>
          <w:rFonts w:ascii="Times New Roman" w:cs="Times New Roman" w:eastAsia="Times New Roman" w:hAnsi="Times New Roman"/>
          <w:sz w:val="20"/>
          <w:szCs w:val="20"/>
          <w:color w:val="auto"/>
        </w:rPr>
        <w:t>”) as the source of authoritative U.S. GAAP.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9" w:lineRule="exact"/>
        <w:rPr>
          <w:sz w:val="20"/>
          <w:szCs w:val="20"/>
          <w:color w:val="auto"/>
        </w:rPr>
      </w:pPr>
    </w:p>
    <w:p>
      <w:pPr>
        <w:jc w:val="both"/>
        <w:ind w:right="80" w:firstLine="720"/>
        <w:spacing w:after="0" w:line="259"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86"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800"/>
          </w:cols>
          <w:pgMar w:left="720" w:top="696" w:right="720" w:bottom="175"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i w:val="1"/>
          <w:iCs w:val="1"/>
          <w:color w:val="auto"/>
        </w:rPr>
        <w:t>Merger with Ventoux CCM Acquisition Corp.</w:t>
      </w:r>
    </w:p>
    <w:p>
      <w:pPr>
        <w:spacing w:after="0" w:line="239"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Trust Proceeds and PIPE investment</w:t>
      </w:r>
    </w:p>
    <w:p>
      <w:pPr>
        <w:spacing w:after="0" w:line="237" w:lineRule="exact"/>
        <w:rPr>
          <w:sz w:val="20"/>
          <w:szCs w:val="20"/>
          <w:color w:val="auto"/>
        </w:rPr>
      </w:pPr>
    </w:p>
    <w:p>
      <w:pPr>
        <w:jc w:val="both"/>
        <w:ind w:right="340" w:firstLine="720"/>
        <w:spacing w:after="0" w:line="259" w:lineRule="auto"/>
        <w:rPr>
          <w:sz w:val="20"/>
          <w:szCs w:val="20"/>
          <w:color w:val="auto"/>
        </w:rPr>
      </w:pPr>
      <w:r>
        <w:rPr>
          <w:rFonts w:ascii="Times New Roman" w:cs="Times New Roman" w:eastAsia="Times New Roman" w:hAnsi="Times New Roman"/>
          <w:sz w:val="20"/>
          <w:szCs w:val="20"/>
          <w:color w:val="auto"/>
        </w:rPr>
        <w:t>Following the closing of the Ventoux’s initial public offering on December 30, 2020, $151.5 million was placed in a trust account, (the “Trust”), from which various redemptions of amounts in the Trust were made up until the date of the Merger. On the closing date of the Merger, $9.5 million of unredeemed funds were released to Ventoux from the Trust.</w:t>
      </w:r>
    </w:p>
    <w:p>
      <w:pPr>
        <w:spacing w:after="0" w:line="186"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In connection with the execution of the Merger, Ventoux entered into separate subscriptions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93" w:lineRule="exact"/>
        <w:rPr>
          <w:sz w:val="20"/>
          <w:szCs w:val="20"/>
          <w:color w:val="auto"/>
        </w:rPr>
      </w:pPr>
    </w:p>
    <w:p>
      <w:pPr>
        <w:ind w:right="100" w:firstLine="720"/>
        <w:spacing w:after="0" w:line="278" w:lineRule="auto"/>
        <w:rPr>
          <w:sz w:val="20"/>
          <w:szCs w:val="20"/>
          <w:color w:val="auto"/>
        </w:rPr>
      </w:pPr>
      <w:r>
        <w:rPr>
          <w:rFonts w:ascii="Times New Roman" w:cs="Times New Roman" w:eastAsia="Times New Roman" w:hAnsi="Times New Roman"/>
          <w:sz w:val="20"/>
          <w:szCs w:val="20"/>
          <w:color w:val="auto"/>
        </w:rPr>
        <w:t>Upon consummation of the Merger, Presto received approximately $49.8 million from the Trust and PIPE, net of transaction costs and other payments as set forth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Net Cash</w:t>
            </w:r>
          </w:p>
        </w:tc>
      </w:tr>
      <w:tr>
        <w:trPr>
          <w:trHeight w:val="221"/>
        </w:trPr>
        <w:tc>
          <w:tcPr>
            <w:tcW w:w="948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Cash—Ventoux Trust and working capital cash</w:t>
            </w:r>
          </w:p>
        </w:tc>
        <w:tc>
          <w:tcPr>
            <w:tcW w:w="220" w:type="dxa"/>
            <w:vAlign w:val="bottom"/>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9,584</w:t>
            </w:r>
          </w:p>
        </w:tc>
      </w:tr>
      <w:tr>
        <w:trPr>
          <w:trHeight w:val="230"/>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Cash—PIPE investment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55,400</w:t>
            </w:r>
          </w:p>
        </w:tc>
      </w:tr>
      <w:tr>
        <w:trPr>
          <w:trHeight w:val="232"/>
        </w:trPr>
        <w:tc>
          <w:tcPr>
            <w:tcW w:w="9480" w:type="dxa"/>
            <w:vAlign w:val="bottom"/>
            <w:gridSpan w:val="2"/>
            <w:shd w:val="clear" w:color="auto" w:fill="D1EDF4"/>
          </w:tcPr>
          <w:p>
            <w:pPr>
              <w:spacing w:after="0" w:line="232" w:lineRule="exact"/>
              <w:rPr>
                <w:sz w:val="20"/>
                <w:szCs w:val="20"/>
                <w:color w:val="auto"/>
              </w:rPr>
            </w:pPr>
            <w:r>
              <w:rPr>
                <w:rFonts w:ascii="Times New Roman" w:cs="Times New Roman" w:eastAsia="Times New Roman" w:hAnsi="Times New Roman"/>
                <w:sz w:val="20"/>
                <w:szCs w:val="20"/>
                <w:color w:val="auto"/>
              </w:rPr>
              <w:t>Less: transaction costs and other payments</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shd w:val="clear" w:color="auto" w:fill="D1EDF4"/>
          </w:tcPr>
          <w:p>
            <w:pPr>
              <w:spacing w:after="0"/>
              <w:rPr>
                <w:sz w:val="20"/>
                <w:szCs w:val="20"/>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(15,144)</w:t>
            </w:r>
          </w:p>
        </w:tc>
      </w:tr>
      <w:tr>
        <w:trPr>
          <w:trHeight w:val="230"/>
        </w:trPr>
        <w:tc>
          <w:tcPr>
            <w:tcW w:w="946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49,840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107315</wp:posOffset>
                </wp:positionV>
                <wp:extent cx="17145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5pt" to="135pt,8.45pt" o:allowincell="f" strokecolor="#000000" strokeweight="1.02pt"/>
            </w:pict>
          </mc:Fallback>
        </mc:AlternateContent>
      </w:r>
    </w:p>
    <w:p>
      <w:pPr>
        <w:spacing w:after="0" w:line="191" w:lineRule="exact"/>
        <w:rPr>
          <w:sz w:val="20"/>
          <w:szCs w:val="20"/>
          <w:color w:val="auto"/>
        </w:rPr>
      </w:pPr>
    </w:p>
    <w:p>
      <w:pPr>
        <w:ind w:left="360" w:right="200" w:hanging="360"/>
        <w:spacing w:after="0" w:line="246" w:lineRule="auto"/>
        <w:tabs>
          <w:tab w:leader="none" w:pos="3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 Legacy Presto also incurred $2.1 million in transaction costs which were paid via the issuance of 260,000 Company shares. Further in conjunction with the Merger, Legacy Presto incurred $3.2 million in transaction costs which were either paid prior to or after the Merger. As of June 30, 2023, all of the transaction costs incurred by Legacy Presto have been fully paid. Accordingly, in total Legacy Presto incurred transaction costs amounting to $10.4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Legacy Presto Convertible Promissory Notes and Equity and the Exchange</w:t>
      </w:r>
    </w:p>
    <w:p>
      <w:pPr>
        <w:spacing w:after="0" w:line="238"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warrants, stock options and RSUs) of Legacy Presto were canceled and converted using the Exchange Ratio with the holders receiving equivalent outstanding equity awards (including warrants, stock options and RSUs) in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Earnout Arrangement with holders of Legacy Presto Common Stock and Outstanding Equity Awards</w:t>
      </w:r>
    </w:p>
    <w:p>
      <w:pPr>
        <w:spacing w:after="0" w:line="237"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200" w:lineRule="exact"/>
        <w:rPr>
          <w:sz w:val="20"/>
          <w:szCs w:val="20"/>
          <w:color w:val="auto"/>
        </w:rPr>
      </w:pPr>
    </w:p>
    <w:p>
      <w:pPr>
        <w:jc w:val="both"/>
        <w:ind w:left="1080" w:right="100" w:hanging="360"/>
        <w:spacing w:after="0" w:line="279" w:lineRule="auto"/>
        <w:tabs>
          <w:tab w:leader="none" w:pos="1080" w:val="left"/>
        </w:tabs>
        <w:numPr>
          <w:ilvl w:val="0"/>
          <w:numId w:val="27"/>
        </w:numPr>
        <w:rPr>
          <w:rFonts w:ascii="Arial" w:cs="Arial" w:eastAsia="Arial" w:hAnsi="Arial"/>
          <w:sz w:val="19"/>
          <w:szCs w:val="19"/>
          <w:color w:val="auto"/>
        </w:rPr>
      </w:pPr>
      <w:r>
        <w:rPr>
          <w:rFonts w:ascii="Times New Roman" w:cs="Times New Roman" w:eastAsia="Times New Roman" w:hAnsi="Times New Roman"/>
          <w:sz w:val="19"/>
          <w:szCs w:val="19"/>
          <w:color w:val="auto"/>
        </w:rPr>
        <w:t>7,500,000 shares, if, during the period from and after the closing of the Merger until the third anniversary of the closing of the Merger, the Volume Weighted Average Price (“</w:t>
      </w:r>
      <w:r>
        <w:rPr>
          <w:rFonts w:ascii="Times New Roman" w:cs="Times New Roman" w:eastAsia="Times New Roman" w:hAnsi="Times New Roman"/>
          <w:sz w:val="19"/>
          <w:szCs w:val="19"/>
          <w:b w:val="1"/>
          <w:bCs w:val="1"/>
          <w:color w:val="auto"/>
        </w:rPr>
        <w:t>VWAP</w:t>
      </w:r>
      <w:r>
        <w:rPr>
          <w:rFonts w:ascii="Times New Roman" w:cs="Times New Roman" w:eastAsia="Times New Roman" w:hAnsi="Times New Roman"/>
          <w:sz w:val="19"/>
          <w:szCs w:val="19"/>
          <w:color w:val="auto"/>
        </w:rPr>
        <w:t>” as defined in the Agreement and Plan of Merger among Ventoux CCM Acquisition Corp., as Acquiror, Ventoux Merger Sub I Inc. as First Merger Sub., Ventoux Merger Sub II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700" w:right="720" w:bottom="175" w:gutter="0" w:footer="0" w:header="0"/>
        </w:sectPr>
      </w:pPr>
    </w:p>
    <w:bookmarkStart w:id="65" w:name="page66"/>
    <w:bookmarkEnd w:id="65"/>
    <w:p>
      <w:pPr>
        <w:ind w:left="1080"/>
        <w:spacing w:after="0" w:line="258" w:lineRule="auto"/>
        <w:rPr>
          <w:sz w:val="20"/>
          <w:szCs w:val="20"/>
          <w:color w:val="auto"/>
        </w:rPr>
      </w:pPr>
      <w:r>
        <w:rPr>
          <w:rFonts w:ascii="Times New Roman" w:cs="Times New Roman" w:eastAsia="Times New Roman" w:hAnsi="Times New Roman"/>
          <w:sz w:val="20"/>
          <w:szCs w:val="20"/>
          <w:color w:val="auto"/>
        </w:rPr>
        <w:t>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203" w:lineRule="exact"/>
        <w:rPr>
          <w:sz w:val="20"/>
          <w:szCs w:val="20"/>
          <w:color w:val="auto"/>
        </w:rPr>
      </w:pPr>
    </w:p>
    <w:p>
      <w:pPr>
        <w:ind w:left="1080" w:right="20" w:hanging="360"/>
        <w:spacing w:after="0" w:line="258" w:lineRule="auto"/>
        <w:tabs>
          <w:tab w:leader="none" w:pos="10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earnout shares are equity classified since they do not meet the liability classification criteria outlined in ASC</w:t>
      </w:r>
    </w:p>
    <w:p>
      <w:pPr>
        <w:spacing w:after="0" w:line="2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 xml:space="preserve">480, </w:t>
      </w:r>
      <w:r>
        <w:rPr>
          <w:rFonts w:ascii="Times New Roman" w:cs="Times New Roman" w:eastAsia="Times New Roman" w:hAnsi="Times New Roman"/>
          <w:sz w:val="20"/>
          <w:szCs w:val="20"/>
          <w:i w:val="1"/>
          <w:iCs w:val="1"/>
          <w:color w:val="auto"/>
        </w:rPr>
        <w:t>Distinguishing Liabilities from Equity</w:t>
      </w:r>
      <w:r>
        <w:rPr>
          <w:rFonts w:ascii="Times New Roman" w:cs="Times New Roman" w:eastAsia="Times New Roman" w:hAnsi="Times New Roman"/>
          <w:sz w:val="20"/>
          <w:szCs w:val="20"/>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 -out shares, 4,771,116 earnout shares were given to common stock, option and RSU holders that are held by current employees and directors and are accounted for under ASC 718. During the period from the date of the Merger through</w:t>
      </w:r>
    </w:p>
    <w:p>
      <w:pPr>
        <w:spacing w:after="0" w:line="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June 30, 2023, the Company recorded stock-based compensation expense associated with earnouts in the amount of $4.9 million to equity award holders who held awards associated with the Company’s equity incentive plan and to common stock holders who are current employees and directors, of which $3.2 million, $1.3 million, and $0.4 million are recorded within general and administrative, research and development and sales and marketing expenses, respectively, on the consolidated statement of operations and comprehensive loss. There was no expense associated with the earnout shares in the year ended June 30, 2022.</w:t>
      </w:r>
    </w:p>
    <w:p>
      <w:pPr>
        <w:spacing w:after="0" w:line="202" w:lineRule="exact"/>
        <w:rPr>
          <w:sz w:val="20"/>
          <w:szCs w:val="20"/>
          <w:color w:val="auto"/>
        </w:rPr>
      </w:pPr>
    </w:p>
    <w:p>
      <w:pPr>
        <w:ind w:right="140" w:firstLine="721"/>
        <w:spacing w:after="0" w:line="246" w:lineRule="auto"/>
        <w:rPr>
          <w:sz w:val="20"/>
          <w:szCs w:val="20"/>
          <w:color w:val="auto"/>
        </w:rPr>
      </w:pPr>
      <w:r>
        <w:rPr>
          <w:rFonts w:ascii="Times New Roman" w:cs="Times New Roman" w:eastAsia="Times New Roman" w:hAnsi="Times New Roman"/>
          <w:sz w:val="20"/>
          <w:szCs w:val="20"/>
          <w:color w:val="auto"/>
        </w:rPr>
        <w:t>As of June 30, 2023, unrecognized stock-based compensation expense is $7.3 million which is expected to be recognized over a weighted-average period of 1.3 years. Stock-based compensation for awards with a performance-based vesting condition that was previously deemed not probable to occur, was modified during the year ended June 30, 2023 to waive the performance condition which resulted in an immaterial recognition of expense. As of June 30, 2023, 602,978 earnout shares held by current employees and directors were forfeited. The earnout shares given to common stockholders who are not current employees and directors and warrant holders have been recorded with equal and offsetting effects on additional paid-in capital on its consolidated balance sheet. As of June 30, 2023, all of the earnout shares remain unissued as the conditions to issuance have not been achieved.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Unvested Sponsor Share Arrangement with Sponsors</w:t>
      </w:r>
    </w:p>
    <w:p>
      <w:pPr>
        <w:spacing w:after="0" w:line="237" w:lineRule="exact"/>
        <w:rPr>
          <w:sz w:val="20"/>
          <w:szCs w:val="20"/>
          <w:color w:val="auto"/>
        </w:rPr>
      </w:pPr>
    </w:p>
    <w:p>
      <w:pPr>
        <w:ind w:right="580" w:firstLine="720"/>
        <w:spacing w:after="0" w:line="278" w:lineRule="auto"/>
        <w:rPr>
          <w:sz w:val="20"/>
          <w:szCs w:val="20"/>
          <w:color w:val="auto"/>
        </w:rPr>
      </w:pPr>
      <w:r>
        <w:rPr>
          <w:rFonts w:ascii="Times New Roman" w:cs="Times New Roman" w:eastAsia="Times New Roman" w:hAnsi="Times New Roman"/>
          <w:sz w:val="20"/>
          <w:szCs w:val="20"/>
          <w:color w:val="auto"/>
        </w:rPr>
        <w:t>At the Closing, 444,500 shares held by the Sponsors (the “Unvested Sponsor Shares”) became subject to the following vesting and forfeiture provisions:</w:t>
      </w:r>
    </w:p>
    <w:p>
      <w:pPr>
        <w:spacing w:after="0" w:line="167" w:lineRule="exact"/>
        <w:rPr>
          <w:sz w:val="20"/>
          <w:szCs w:val="20"/>
          <w:color w:val="auto"/>
        </w:rPr>
      </w:pPr>
    </w:p>
    <w:p>
      <w:pPr>
        <w:ind w:left="1080" w:right="60" w:hanging="360"/>
        <w:spacing w:after="0" w:line="27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25% of such Unvested Sponsor Shares owned by the Sponsors vest at such time as a $12.00 Stock Price Level is achieved on or before the date that is five years after the Closing Date,</w:t>
      </w:r>
    </w:p>
    <w:p>
      <w:pPr>
        <w:spacing w:after="0" w:line="168" w:lineRule="exact"/>
        <w:rPr>
          <w:rFonts w:ascii="Times New Roman" w:cs="Times New Roman" w:eastAsia="Times New Roman" w:hAnsi="Times New Roman"/>
          <w:sz w:val="20"/>
          <w:szCs w:val="20"/>
          <w:color w:val="auto"/>
        </w:rPr>
      </w:pPr>
    </w:p>
    <w:p>
      <w:pPr>
        <w:ind w:left="1080" w:right="140" w:hanging="360"/>
        <w:spacing w:after="0" w:line="27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next 25% of such Unvested Sponsor Shares owned by the Sponsors vests at such time as a $15.00 Stock Price Level is achieved on or before the date that is five years after the Closing Date,</w:t>
      </w:r>
    </w:p>
    <w:p>
      <w:pPr>
        <w:spacing w:after="0" w:line="166" w:lineRule="exact"/>
        <w:rPr>
          <w:rFonts w:ascii="Times New Roman" w:cs="Times New Roman" w:eastAsia="Times New Roman" w:hAnsi="Times New Roman"/>
          <w:sz w:val="20"/>
          <w:szCs w:val="20"/>
          <w:color w:val="auto"/>
        </w:rPr>
      </w:pPr>
    </w:p>
    <w:p>
      <w:pPr>
        <w:ind w:left="1080" w:right="20" w:hanging="360"/>
        <w:spacing w:after="0" w:line="27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next 25% of such Unvested Sponsor Shares owned by the Sponsors vest at such time as a $20.00 Stock Price Level is achieved on or before the date that is five years after the Closing Date, and</w:t>
      </w:r>
    </w:p>
    <w:p>
      <w:pPr>
        <w:spacing w:after="0" w:line="166" w:lineRule="exact"/>
        <w:rPr>
          <w:rFonts w:ascii="Times New Roman" w:cs="Times New Roman" w:eastAsia="Times New Roman" w:hAnsi="Times New Roman"/>
          <w:sz w:val="20"/>
          <w:szCs w:val="20"/>
          <w:color w:val="auto"/>
        </w:rPr>
      </w:pPr>
    </w:p>
    <w:p>
      <w:pPr>
        <w:ind w:left="1080" w:right="280" w:hanging="360"/>
        <w:spacing w:after="0" w:line="278"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remaining 25% of such Unvested Sponsor Shares owned by the Sponsors shall vest at such time as a $25.00 Stock Price Level is achieved on or before the date that is five years after the Closing Date.</w:t>
      </w:r>
    </w:p>
    <w:p>
      <w:pPr>
        <w:spacing w:after="0" w:line="16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A “Stock Price Level” is considered achieved when the VWAP of the common stock is greater than or equal to the applicable threshold for any 40 consecutive trading days within a 60-trading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June 30, 2023, all of the Unvested Sponsor Shares remain unvested as the vesting conditions have not been achieved.</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Company has concluded that the Unvested Sponsor Shares are accounted for as equity-linked instruments under</w:t>
      </w:r>
    </w:p>
    <w:p>
      <w:pPr>
        <w:spacing w:after="0" w:line="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ASC 815-40 and are not indexed to the entity’s own stock and accordingly, such financial instruments are classified as liabilities. With the closing of the Merger, the Company recorded $1.6 million within other long-term liabilities. During the period from the closing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800"/>
          </w:cols>
          <w:pgMar w:left="720" w:top="700" w:right="720" w:bottom="175" w:gutter="0" w:footer="0" w:header="0"/>
        </w:sectPr>
      </w:pPr>
    </w:p>
    <w:bookmarkStart w:id="66" w:name="page67"/>
    <w:bookmarkEnd w:id="66"/>
    <w:p>
      <w:pPr>
        <w:ind w:right="280"/>
        <w:spacing w:after="0" w:line="278" w:lineRule="auto"/>
        <w:rPr>
          <w:sz w:val="20"/>
          <w:szCs w:val="20"/>
          <w:color w:val="auto"/>
        </w:rPr>
      </w:pPr>
      <w:r>
        <w:rPr>
          <w:rFonts w:ascii="Times New Roman" w:cs="Times New Roman" w:eastAsia="Times New Roman" w:hAnsi="Times New Roman"/>
          <w:sz w:val="20"/>
          <w:szCs w:val="20"/>
          <w:color w:val="auto"/>
        </w:rPr>
        <w:t>the Merger until June 30, 2023 the Company recorded a gain on remeasurement of $0.2 million, which is included in change in fair value of warrants and convertible promissory notes in the consolidated statement of operations and comprehensive loss.</w:t>
      </w:r>
    </w:p>
    <w:p>
      <w:pPr>
        <w:spacing w:after="0" w:line="167"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$ 0.0001 par value per share. Immediately following the closing of the Merger, there were 50,639,837 shares of the Company’s common stock issued and outstanding and warrants to purchase 18,415,453 shares of the Company’s common stock outstanding.</w:t>
      </w:r>
    </w:p>
    <w:p>
      <w:pPr>
        <w:spacing w:after="0" w:line="196"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 xml:space="preserve">The Merger is accounted for as a reverse recapitalization in accordance with </w:t>
      </w:r>
      <w:r>
        <w:rPr>
          <w:rFonts w:ascii="Times New Roman" w:cs="Times New Roman" w:eastAsia="Times New Roman" w:hAnsi="Times New Roman"/>
          <w:sz w:val="20"/>
          <w:szCs w:val="20"/>
          <w:b w:val="1"/>
          <w:bCs w:val="1"/>
          <w:color w:val="auto"/>
        </w:rPr>
        <w:t>U.S. GAAP</w:t>
      </w:r>
      <w:r>
        <w:rPr>
          <w:rFonts w:ascii="Times New Roman" w:cs="Times New Roman" w:eastAsia="Times New Roman" w:hAnsi="Times New Roman"/>
          <w:sz w:val="20"/>
          <w:szCs w:val="20"/>
          <w:color w:val="auto"/>
        </w:rPr>
        <w:t xml:space="preserve">. Under the guidance in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Ventoux was treated as the “acquired” company for financial reporting purposes. This determination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consolidated financial statements represents the accounts of Presto and its wholly-owned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206" w:lineRule="exact"/>
        <w:rPr>
          <w:sz w:val="20"/>
          <w:szCs w:val="20"/>
          <w:color w:val="auto"/>
        </w:rPr>
      </w:pPr>
    </w:p>
    <w:p>
      <w:pPr>
        <w:ind w:right="260" w:firstLine="720"/>
        <w:spacing w:after="0" w:line="259" w:lineRule="auto"/>
        <w:rPr>
          <w:sz w:val="20"/>
          <w:szCs w:val="20"/>
          <w:color w:val="auto"/>
        </w:rPr>
      </w:pPr>
      <w:r>
        <w:rPr>
          <w:rFonts w:ascii="Times New Roman" w:cs="Times New Roman" w:eastAsia="Times New Roman" w:hAnsi="Times New Roman"/>
          <w:sz w:val="20"/>
          <w:szCs w:val="20"/>
          <w:color w:val="auto"/>
        </w:rPr>
        <w:t>Total net liabilities of Ventoux assumed by the Company were $ 9.8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CyborgOps</w:t>
      </w:r>
    </w:p>
    <w:p>
      <w:pPr>
        <w:spacing w:after="0" w:line="239"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As a consequence to the closing of the Merger, bonus and deferred consideration amounts owed to certain founding members of CyborgOps Inc. (“CyborgOps”), the entity to which the Company entered into an asset purchase agreement with on May 23, 2022 (refer to Note 14), became due and payable resulting in an expense of $1.3 million, of which $1.2 million and $0.1 million have been recorded within research and development and sales and marketing expenses, respectively, in the consolidated statement of operations and comprehensive loss for year ended June 30,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Emerging Growth Company Status</w:t>
      </w:r>
    </w:p>
    <w:p>
      <w:pPr>
        <w:spacing w:after="0" w:line="239"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6"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financial statements of issuers who are required to comply with the effective dates for new or revised accounting standards based on public company effective dates.</w:t>
      </w:r>
    </w:p>
    <w:p>
      <w:pPr>
        <w:spacing w:after="0" w:line="197"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780"/>
          </w:cols>
          <w:pgMar w:left="720" w:top="700" w:right="740" w:bottom="175"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i w:val="1"/>
          <w:iCs w:val="1"/>
          <w:color w:val="auto"/>
        </w:rPr>
        <w:t>Risk and Uncertainties</w:t>
      </w:r>
    </w:p>
    <w:p>
      <w:pPr>
        <w:spacing w:after="0" w:line="23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Company is subject to a number of risks common to emerging, technology-based companies, including a limited operating history, dependence on key individuals, the need to expand the number of its customers, long sales cycles, competition from alternative products and larger companies, the need for additional financing to fund future operations, and the need to reduce the number of human agents required for Presto Voice.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Impact of COVID-19</w:t>
      </w:r>
    </w:p>
    <w:p>
      <w:pPr>
        <w:spacing w:after="0" w:line="24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Company took several actions to mitigate the effects of the COVID-19 pandemic on its operations and customers. In April 2020, the Company received a loan of approximately $2.6 million under the U.S. Small Business Administration (“SBA”) Paycheck Protection Program (“</w:t>
      </w:r>
      <w:r>
        <w:rPr>
          <w:rFonts w:ascii="Times New Roman" w:cs="Times New Roman" w:eastAsia="Times New Roman" w:hAnsi="Times New Roman"/>
          <w:sz w:val="20"/>
          <w:szCs w:val="20"/>
          <w:b w:val="1"/>
          <w:bCs w:val="1"/>
          <w:color w:val="auto"/>
        </w:rPr>
        <w:t>PPP</w:t>
      </w:r>
      <w:r>
        <w:rPr>
          <w:rFonts w:ascii="Times New Roman" w:cs="Times New Roman" w:eastAsia="Times New Roman" w:hAnsi="Times New Roman"/>
          <w:sz w:val="20"/>
          <w:szCs w:val="20"/>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9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In the year ended June 30,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The commercial cleaning products solution leaked into the hardware causing significant damage to the devices and requiring replacement of such devices. To prevent disruption to customers’ businesses, the Company incurred losses on infrequent customer repairs related to the issue of $0.6 million for the year ended June 30, 2022. The Company has an outstanding claim to recover the costs from its third-party subcontractor who manufactures the hardware, for which the Company received a favorable arbitrator ruling in June 2022. Refer to Note 8 for further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239" w:lineRule="exact"/>
        <w:rPr>
          <w:sz w:val="20"/>
          <w:szCs w:val="20"/>
          <w:color w:val="auto"/>
        </w:rPr>
      </w:pPr>
    </w:p>
    <w:p>
      <w:pPr>
        <w:ind w:right="200" w:firstLine="720"/>
        <w:spacing w:after="0" w:line="278" w:lineRule="auto"/>
        <w:rPr>
          <w:sz w:val="20"/>
          <w:szCs w:val="20"/>
          <w:color w:val="auto"/>
        </w:rPr>
      </w:pPr>
      <w:r>
        <w:rPr>
          <w:rFonts w:ascii="Times New Roman" w:cs="Times New Roman" w:eastAsia="Times New Roman" w:hAnsi="Times New Roman"/>
          <w:sz w:val="20"/>
          <w:szCs w:val="20"/>
          <w:color w:val="auto"/>
        </w:rPr>
        <w:t>As of June 30, 2023 the Company’s principal sources of liquidity were cash and cash equivalents of $15.1 which were held for working capital purposes. This excludes $10.0 million of restricted cash as of June 30, 2023.</w:t>
      </w:r>
    </w:p>
    <w:p>
      <w:pPr>
        <w:spacing w:after="0" w:line="168"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$56.4 million for the year ended June 30, 2023. As of June 30, 2023 the Company had an accumulated deficit of $235.3 million. The Company expects to generate operating and net losses for the near term. Cash from operations could also be affected by various risks and uncertainties, including, but not limited to, timing of cash collections from customers and other risks.</w:t>
      </w:r>
    </w:p>
    <w:p>
      <w:pPr>
        <w:spacing w:after="0" w:line="20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While the Company received net cash of $49.8 million from the completion of the Merger, raised net cash proceeds of $13.7 million from the issuance of new debt net of the payment of certain legacy debt obligations and received $9.5 million from the sale of common stock in a May 31, 2023 private placement (the “Private Placement”), additional capital infusions will be necessary in order to fund operating expenses, currently anticipated expenditures, and other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spacing w:after="0" w:line="199"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intends to mitigate the conditions or events that raise substantial doubt about the Company’s ability to continue as a going concern, however as the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consolidated financial statements have been prepared on a going concern basis, which contemplates the realization of assets and satisfaction of liabilities in the normal course of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Risks, Significant Customers and Investments</w:t>
      </w:r>
    </w:p>
    <w:p>
      <w:pPr>
        <w:spacing w:after="0" w:line="239" w:lineRule="exact"/>
        <w:rPr>
          <w:sz w:val="20"/>
          <w:szCs w:val="20"/>
          <w:color w:val="auto"/>
        </w:rPr>
      </w:pPr>
    </w:p>
    <w:p>
      <w:pPr>
        <w:ind w:right="120" w:firstLine="720"/>
        <w:spacing w:after="0" w:line="279" w:lineRule="auto"/>
        <w:rPr>
          <w:sz w:val="20"/>
          <w:szCs w:val="20"/>
          <w:color w:val="auto"/>
        </w:rPr>
      </w:pPr>
      <w:r>
        <w:rPr>
          <w:rFonts w:ascii="Times New Roman" w:cs="Times New Roman" w:eastAsia="Times New Roman" w:hAnsi="Times New Roman"/>
          <w:sz w:val="19"/>
          <w:szCs w:val="19"/>
          <w:color w:val="auto"/>
        </w:rPr>
        <w:t>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780"/>
          </w:cols>
          <w:pgMar w:left="720" w:top="700" w:right="740" w:bottom="175" w:gutter="0" w:footer="0" w:header="0"/>
        </w:sectPr>
      </w:pPr>
    </w:p>
    <w:bookmarkStart w:id="68" w:name="page69"/>
    <w:bookmarkEnd w:id="68"/>
    <w:p>
      <w:pPr>
        <w:ind w:right="460"/>
        <w:spacing w:after="0" w:line="278" w:lineRule="auto"/>
        <w:rPr>
          <w:sz w:val="20"/>
          <w:szCs w:val="20"/>
          <w:color w:val="auto"/>
        </w:rPr>
      </w:pPr>
      <w:r>
        <w:rPr>
          <w:rFonts w:ascii="Times New Roman" w:cs="Times New Roman" w:eastAsia="Times New Roman" w:hAnsi="Times New Roman"/>
          <w:sz w:val="20"/>
          <w:szCs w:val="20"/>
          <w:color w:val="auto"/>
        </w:rPr>
        <w:t>maintains deposits, it may lose timely access to its funds and incur losses to the extent its deposits exceed amounts insured by the Federal Deposit Insurance Corporation, as described below.</w:t>
      </w:r>
    </w:p>
    <w:p>
      <w:pPr>
        <w:spacing w:after="0" w:line="167"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The following three largest restaurant brands (including, as applicable, the franchisees of such restaurants aggregated as a single customer for reporting purposes) accounted for more than 10% of revenues: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46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204"/>
        </w:trPr>
        <w:tc>
          <w:tcPr>
            <w:tcW w:w="8340" w:type="dxa"/>
            <w:vAlign w:val="bottom"/>
            <w:tcBorders>
              <w:bottom w:val="single" w:sz="8" w:color="D1EDF4"/>
            </w:tcBorders>
          </w:tcPr>
          <w:p>
            <w:pPr>
              <w:spacing w:after="0"/>
              <w:rPr>
                <w:sz w:val="17"/>
                <w:szCs w:val="17"/>
                <w:color w:val="auto"/>
              </w:rPr>
            </w:pPr>
          </w:p>
        </w:tc>
        <w:tc>
          <w:tcPr>
            <w:tcW w:w="10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D1EDF4"/>
            </w:tcBorders>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4"/>
            </w:tcBorders>
          </w:tcPr>
          <w:p>
            <w:pPr>
              <w:spacing w:after="0"/>
              <w:rPr>
                <w:sz w:val="17"/>
                <w:szCs w:val="17"/>
                <w:color w:val="auto"/>
              </w:rPr>
            </w:pPr>
          </w:p>
        </w:tc>
      </w:tr>
      <w:tr>
        <w:trPr>
          <w:trHeight w:val="221"/>
        </w:trPr>
        <w:tc>
          <w:tcPr>
            <w:tcW w:w="834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Customer A</w:t>
            </w:r>
          </w:p>
        </w:tc>
        <w:tc>
          <w:tcPr>
            <w:tcW w:w="128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59 %</w:t>
            </w:r>
          </w:p>
        </w:tc>
        <w:tc>
          <w:tcPr>
            <w:tcW w:w="118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53 %</w:t>
            </w:r>
          </w:p>
        </w:tc>
      </w:tr>
      <w:tr>
        <w:trPr>
          <w:trHeight w:val="232"/>
        </w:trPr>
        <w:tc>
          <w:tcPr>
            <w:tcW w:w="8340" w:type="dxa"/>
            <w:vAlign w:val="bottom"/>
          </w:tcPr>
          <w:p>
            <w:pPr>
              <w:spacing w:after="0"/>
              <w:rPr>
                <w:sz w:val="20"/>
                <w:szCs w:val="20"/>
                <w:color w:val="auto"/>
              </w:rPr>
            </w:pPr>
            <w:r>
              <w:rPr>
                <w:rFonts w:ascii="Times New Roman" w:cs="Times New Roman" w:eastAsia="Times New Roman" w:hAnsi="Times New Roman"/>
                <w:sz w:val="20"/>
                <w:szCs w:val="20"/>
                <w:color w:val="auto"/>
              </w:rPr>
              <w:t>Customer B</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25 %</w:t>
            </w:r>
          </w:p>
        </w:tc>
      </w:tr>
      <w:tr>
        <w:trPr>
          <w:trHeight w:val="230"/>
        </w:trPr>
        <w:tc>
          <w:tcPr>
            <w:tcW w:w="83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C</w:t>
            </w:r>
          </w:p>
        </w:tc>
        <w:tc>
          <w:tcPr>
            <w:tcW w:w="12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16 %</w:t>
            </w:r>
          </w:p>
        </w:tc>
        <w:tc>
          <w:tcPr>
            <w:tcW w:w="11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256"/>
        </w:trPr>
        <w:tc>
          <w:tcPr>
            <w:tcW w:w="8340" w:type="dxa"/>
            <w:vAlign w:val="bottom"/>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85090</wp:posOffset>
                </wp:positionV>
                <wp:extent cx="17145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pt" to="135pt,6.7pt" o:allowincell="f" strokecolor="#000000" strokeweight="1.02pt"/>
            </w:pict>
          </mc:Fallback>
        </mc:AlternateContent>
      </w:r>
    </w:p>
    <w:p>
      <w:pPr>
        <w:spacing w:after="0" w:line="155"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20"/>
          <w:szCs w:val="20"/>
          <w:color w:val="auto"/>
        </w:rPr>
        <w:t>The following restaurant brands (including, as applicable, the franchisees of such restaurants aggregated as a single customer for reporting purposes) accounted for more than 10% of accounts receivable: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04"/>
        </w:trPr>
        <w:tc>
          <w:tcPr>
            <w:tcW w:w="8200" w:type="dxa"/>
            <w:vAlign w:val="bottom"/>
            <w:tcBorders>
              <w:bottom w:val="single" w:sz="8" w:color="D1EDF4"/>
            </w:tcBorders>
          </w:tcPr>
          <w:p>
            <w:pPr>
              <w:spacing w:after="0"/>
              <w:rPr>
                <w:sz w:val="17"/>
                <w:szCs w:val="17"/>
                <w:color w:val="auto"/>
              </w:rPr>
            </w:pPr>
          </w:p>
        </w:tc>
        <w:tc>
          <w:tcPr>
            <w:tcW w:w="11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7"/>
                <w:szCs w:val="17"/>
                <w:color w:val="auto"/>
              </w:rPr>
            </w:pPr>
          </w:p>
        </w:tc>
        <w:tc>
          <w:tcPr>
            <w:tcW w:w="60" w:type="dxa"/>
            <w:vAlign w:val="bottom"/>
            <w:tcBorders>
              <w:bottom w:val="single" w:sz="8" w:color="D1EDF4"/>
            </w:tcBorders>
          </w:tcPr>
          <w:p>
            <w:pPr>
              <w:spacing w:after="0"/>
              <w:rPr>
                <w:sz w:val="17"/>
                <w:szCs w:val="17"/>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D1EDF4"/>
            </w:tcBorders>
          </w:tcPr>
          <w:p>
            <w:pPr>
              <w:spacing w:after="0"/>
              <w:rPr>
                <w:sz w:val="17"/>
                <w:szCs w:val="17"/>
                <w:color w:val="auto"/>
              </w:rPr>
            </w:pPr>
          </w:p>
        </w:tc>
      </w:tr>
      <w:tr>
        <w:trPr>
          <w:trHeight w:val="221"/>
        </w:trPr>
        <w:tc>
          <w:tcPr>
            <w:tcW w:w="820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Customer A</w:t>
            </w:r>
          </w:p>
        </w:tc>
        <w:tc>
          <w:tcPr>
            <w:tcW w:w="138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43 %</w:t>
            </w:r>
          </w:p>
        </w:tc>
        <w:tc>
          <w:tcPr>
            <w:tcW w:w="1220" w:type="dxa"/>
            <w:vAlign w:val="bottom"/>
            <w:gridSpan w:val="3"/>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31 %</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20"/>
                <w:szCs w:val="20"/>
                <w:color w:val="auto"/>
              </w:rPr>
              <w:t>Customer B</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232"/>
        </w:trPr>
        <w:tc>
          <w:tcPr>
            <w:tcW w:w="82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Customer D</w:t>
            </w:r>
          </w:p>
        </w:tc>
        <w:tc>
          <w:tcPr>
            <w:tcW w:w="138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122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11 %</w:t>
            </w:r>
          </w:p>
        </w:tc>
      </w:tr>
      <w:tr>
        <w:trPr>
          <w:trHeight w:val="256"/>
        </w:trPr>
        <w:tc>
          <w:tcPr>
            <w:tcW w:w="8200" w:type="dxa"/>
            <w:vAlign w:val="bottom"/>
          </w:tcPr>
          <w:p>
            <w:pPr>
              <w:spacing w:after="0"/>
              <w:rPr>
                <w:sz w:val="22"/>
                <w:szCs w:val="22"/>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6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3"/>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17145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135pt,6.65pt" o:allowincell="f" strokecolor="#000000" strokeweight="1.02pt"/>
            </w:pict>
          </mc:Fallback>
        </mc:AlternateContent>
      </w:r>
    </w:p>
    <w:p>
      <w:pPr>
        <w:spacing w:after="0" w:line="159" w:lineRule="exact"/>
        <w:rPr>
          <w:sz w:val="20"/>
          <w:szCs w:val="20"/>
          <w:color w:val="auto"/>
        </w:rPr>
      </w:pPr>
    </w:p>
    <w:p>
      <w:pPr>
        <w:ind w:left="360" w:hanging="360"/>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C represents less than 10% of accounts receivable and therefore was omitted from the above schedule.</w:t>
      </w:r>
    </w:p>
    <w:p>
      <w:pPr>
        <w:spacing w:after="0" w:line="236"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Company is exposed to vendor concentration risk as it purchases its next generation version of Presto Touch tablets and other equipment from one supplier. The Company’s operating results could be adversely affected in the event that the vendor increases its prices or incurs disruptions in its supply of goods or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Institutions</w:t>
      </w:r>
    </w:p>
    <w:p>
      <w:pPr>
        <w:spacing w:after="0" w:line="24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cash and cash equivalents and restricted cash as needed, the Company’s financial position and ability to operate its business could be adversely affected. The Company had $24.6 million in deposits in excess of the FDIC limits at June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9"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The Company considers all highly liquid financial instruments purchased with original maturities of three months or less to be cash equivalents. As of June 30, 2023 and 2022, cash and cash equivalents consist of cash and money market funds held in financial institutions.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50" w:lineRule="exact"/>
        <w:rPr>
          <w:sz w:val="20"/>
          <w:szCs w:val="20"/>
          <w:color w:val="auto"/>
        </w:rPr>
      </w:pPr>
    </w:p>
    <w:p>
      <w:pPr>
        <w:ind w:right="300" w:firstLine="720"/>
        <w:spacing w:after="0" w:line="260" w:lineRule="auto"/>
        <w:rPr>
          <w:sz w:val="20"/>
          <w:szCs w:val="20"/>
          <w:color w:val="auto"/>
        </w:rPr>
      </w:pPr>
      <w:r>
        <w:rPr>
          <w:rFonts w:ascii="Times New Roman" w:cs="Times New Roman" w:eastAsia="Times New Roman" w:hAnsi="Times New Roman"/>
          <w:sz w:val="20"/>
          <w:szCs w:val="20"/>
          <w:color w:val="auto"/>
        </w:rPr>
        <w:t>Restricted cash consists primarily of cash that is required to be held as collateral pursuant to the Company’s Credit Agreement (refer to Note 7). Any cash that is legally restricted from use is classified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in other current assets in the consolidated balance sheets.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280"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Comprehensive loss is comprised of net loss and other comprehensive income (loss). The Company has no components of other comprehensive loss. Therefore, net loss equals comprehensive loss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700" w:right="720" w:bottom="17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8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2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 and Allowance for Doubtful Accounts</w:t>
      </w:r>
    </w:p>
    <w:p>
      <w:pPr>
        <w:spacing w:after="0" w:line="24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2023 and 2022 was $0.7 million and $0.4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239" w:lineRule="exact"/>
        <w:rPr>
          <w:sz w:val="20"/>
          <w:szCs w:val="20"/>
          <w:color w:val="auto"/>
        </w:rPr>
      </w:pPr>
    </w:p>
    <w:p>
      <w:pPr>
        <w:ind w:firstLine="721"/>
        <w:spacing w:after="0" w:line="244" w:lineRule="auto"/>
        <w:rPr>
          <w:sz w:val="20"/>
          <w:szCs w:val="20"/>
          <w:color w:val="auto"/>
        </w:rPr>
      </w:pPr>
      <w:r>
        <w:rPr>
          <w:rFonts w:ascii="Times New Roman" w:cs="Times New Roman" w:eastAsia="Times New Roman" w:hAnsi="Times New Roman"/>
          <w:sz w:val="20"/>
          <w:szCs w:val="20"/>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2023 and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23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p>
      <w:pPr>
        <w:spacing w:after="0" w:line="240" w:lineRule="exact"/>
        <w:rPr>
          <w:sz w:val="20"/>
          <w:szCs w:val="20"/>
          <w:color w:val="auto"/>
        </w:rPr>
      </w:pPr>
    </w:p>
    <w:p>
      <w:pPr>
        <w:ind w:right="180" w:firstLine="720"/>
        <w:spacing w:after="0" w:line="244" w:lineRule="auto"/>
        <w:rPr>
          <w:sz w:val="20"/>
          <w:szCs w:val="20"/>
          <w:color w:val="auto"/>
        </w:rPr>
      </w:pPr>
      <w:r>
        <w:rPr>
          <w:rFonts w:ascii="Times New Roman" w:cs="Times New Roman" w:eastAsia="Times New Roman" w:hAnsi="Times New Roman"/>
          <w:sz w:val="20"/>
          <w:szCs w:val="20"/>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are amortized on a straight-line basis over their estimated useful lives, which is generally 4 years. Software development costs include costs to develop software to be used to meet internal needs and applications used to deliver its services. Refer to Note 4 for further details of the developed technology. The Company accounts for its internal use software in accordance with the guidance in Accounting Standard Codification (“ASC”) 350-40, Internal-Use Software.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$6.7 million and $1.8 million, respectively, for the years ended June 30, 2023, and 2022.</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700" w:right="720" w:bottom="17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3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Property and equipment, net, are stated at cost, less accumulated depreciation. Substantially all of the Company’s property and equipment is comprised of Presto Touch tablets which are leased to customers. Property and equipment, net also includes equipment and software for general employee use. Depreciation is recognized using the straight-line method over the estimated useful lives of the respective assets, which is four years for Presto Touch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20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For Presto Touch tablets classified as property and equipment, net, the Company has historically entered into equipment financing facilities to finance the tablets while transferring ownership of the tablets to the financing partner. The Company accounts for these as property and equipment with a corresponding financing obligation, as the Company retains substantially all of the benefits and risks of ownership of the property sold.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4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2023 and 2022, the Company recorded nil and $0.6 million, respectively, in write offs related to the impairment of tablets. Refer to Note 4 for further details.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Obligations</w:t>
      </w:r>
    </w:p>
    <w:p>
      <w:pPr>
        <w:spacing w:after="0" w:line="24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3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20"/>
          <w:szCs w:val="20"/>
          <w:b w:val="1"/>
          <w:bCs w:val="1"/>
          <w:color w:val="auto"/>
        </w:rPr>
        <w:t>CODM</w:t>
      </w:r>
      <w:r>
        <w:rPr>
          <w:rFonts w:ascii="Times New Roman" w:cs="Times New Roman" w:eastAsia="Times New Roman" w:hAnsi="Times New Roman"/>
          <w:sz w:val="20"/>
          <w:szCs w:val="20"/>
          <w:color w:val="auto"/>
        </w:rPr>
        <w:t>”) in deciding how to allocate resources and in assessing performance. The Company’s CODM was the Chief Executive Officer and the Chief Financial Officer through March 2023 then subsequently upon the departure of the Chief Executive Officer, the CODM comprised a team of the Interim Chief Executive Officer, the President and the Chief Operating Officer, who reviews financial information presented on a consolidated basis for purposes of allocating resources and evaluating financial performance. As such, the Company’s operations constitute a single operating segment and one reportable segment.</w:t>
      </w:r>
    </w:p>
    <w:p>
      <w:pPr>
        <w:spacing w:after="0" w:line="201" w:lineRule="exact"/>
        <w:rPr>
          <w:sz w:val="20"/>
          <w:szCs w:val="20"/>
          <w:color w:val="auto"/>
        </w:rPr>
      </w:pPr>
    </w:p>
    <w:p>
      <w:pPr>
        <w:ind w:right="320" w:firstLine="720"/>
        <w:spacing w:after="0" w:line="278" w:lineRule="auto"/>
        <w:rPr>
          <w:sz w:val="20"/>
          <w:szCs w:val="20"/>
          <w:color w:val="auto"/>
        </w:rPr>
      </w:pPr>
      <w:r>
        <w:rPr>
          <w:rFonts w:ascii="Times New Roman" w:cs="Times New Roman" w:eastAsia="Times New Roman" w:hAnsi="Times New Roman"/>
          <w:sz w:val="20"/>
          <w:szCs w:val="20"/>
          <w:color w:val="auto"/>
        </w:rPr>
        <w:t>The Company has operations in the United States, Canada and subsequent to June 30, 2023, in India. The Company earns substantially all of its revenue in the United States and all of its long-lived assets are held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in Non-Affiliate</w:t>
      </w:r>
    </w:p>
    <w:p>
      <w:pPr>
        <w:spacing w:after="0" w:line="24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consolidated statements of operations and comprehensive loss.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40" w:lineRule="exact"/>
        <w:rPr>
          <w:sz w:val="20"/>
          <w:szCs w:val="20"/>
          <w:color w:val="auto"/>
        </w:rPr>
      </w:pPr>
    </w:p>
    <w:p>
      <w:pPr>
        <w:jc w:val="both"/>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80"/>
          </w:cols>
          <w:pgMar w:left="720" w:top="700" w:right="740" w:bottom="175" w:gutter="0" w:footer="0" w:header="0"/>
        </w:sectPr>
      </w:pPr>
    </w:p>
    <w:bookmarkStart w:id="71" w:name="page72"/>
    <w:bookmarkEnd w:id="71"/>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Company adopted ASU No. 2016-02,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Topic 842</w:t>
      </w:r>
      <w:r>
        <w:rPr>
          <w:rFonts w:ascii="Times New Roman" w:cs="Times New Roman" w:eastAsia="Times New Roman" w:hAnsi="Times New Roman"/>
          <w:sz w:val="20"/>
          <w:szCs w:val="20"/>
          <w:color w:val="auto"/>
        </w:rPr>
        <w:t>) on July 1, 2022, using the modified retrospective approach. Upon adoption, the Company recorded a right of use asset (“ROU”) and an operating lease liability. The operating lease ROU asset represents the Company’s right to use the underlying asset for the lease term and the lease liability represents the Company’s obligation to make lease payments arising from the lease.</w:t>
      </w:r>
    </w:p>
    <w:p>
      <w:pPr>
        <w:spacing w:after="0" w:line="193"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operating lease ROU asset is measured based on the corresponding operating lease liability adjusted for</w:t>
      </w:r>
    </w:p>
    <w:p>
      <w:pPr>
        <w:spacing w:after="0" w:line="28" w:lineRule="exact"/>
        <w:rPr>
          <w:sz w:val="20"/>
          <w:szCs w:val="20"/>
          <w:color w:val="auto"/>
        </w:rPr>
      </w:pPr>
    </w:p>
    <w:p>
      <w:pPr>
        <w:ind w:right="120"/>
        <w:spacing w:after="0" w:line="241" w:lineRule="auto"/>
        <w:tabs>
          <w:tab w:leader="none" w:pos="23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lease expense from these leases is recognized on a straight-line basis over the lease term.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9"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years ended June 30, 2023 and 2022, the Company derived its revenues from two revenue streams: (1) sales and leases of the Presto Touch and Presto Voice solutions and leases of the Presto Touch solution, which includes hardware, hardware accessories, software and customer support and maintenance (“</w:t>
      </w:r>
      <w:r>
        <w:rPr>
          <w:rFonts w:ascii="Times New Roman" w:cs="Times New Roman" w:eastAsia="Times New Roman" w:hAnsi="Times New Roman"/>
          <w:sz w:val="20"/>
          <w:szCs w:val="20"/>
          <w:b w:val="1"/>
          <w:bCs w:val="1"/>
          <w:color w:val="auto"/>
        </w:rPr>
        <w:t>Platform revenue</w:t>
      </w:r>
      <w:r>
        <w:rPr>
          <w:rFonts w:ascii="Times New Roman" w:cs="Times New Roman" w:eastAsia="Times New Roman" w:hAnsi="Times New Roman"/>
          <w:sz w:val="20"/>
          <w:szCs w:val="20"/>
          <w:color w:val="auto"/>
        </w:rPr>
        <w:t>”), and (2) Premium Content (gaming) and other revenue, which includes professional services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Platform Revenue</w:t>
      </w:r>
    </w:p>
    <w:p>
      <w:pPr>
        <w:spacing w:after="0" w:line="228" w:lineRule="exact"/>
        <w:rPr>
          <w:sz w:val="20"/>
          <w:szCs w:val="20"/>
          <w:color w:val="auto"/>
        </w:rPr>
      </w:pPr>
    </w:p>
    <w:p>
      <w:pPr>
        <w:jc w:val="both"/>
        <w:ind w:firstLine="720"/>
        <w:spacing w:after="0" w:line="263" w:lineRule="auto"/>
        <w:rPr>
          <w:sz w:val="20"/>
          <w:szCs w:val="20"/>
          <w:color w:val="auto"/>
        </w:rPr>
      </w:pPr>
      <w:r>
        <w:rPr>
          <w:rFonts w:ascii="Times New Roman" w:cs="Times New Roman" w:eastAsia="Times New Roman" w:hAnsi="Times New Roman"/>
          <w:sz w:val="19"/>
          <w:szCs w:val="19"/>
          <w:color w:val="auto"/>
        </w:rPr>
        <w:t>The Platform revenue stream is generated from fees charged to customers for access to the Company’s Presto Touch and Presto Voice solutions, which are recognized ratably over the life of the contract. Part of the total contract value is due upon execution of the contract, and the remainder is due monthly over the term of the contract. Revenue from the Presto Touch related to continuous access to the Company’s SaaS platform, is satisfied ratably over the contract period as the service is provided. The master service agreements with customers are generally for a term ranging from 12 to 36 months. Amounts invoiced in excess of revenue recognized are recorded as deferred revenue. Revenue generated from the Presto Voice was not material for the years ended June 30, 2023 and 2022.</w:t>
      </w:r>
    </w:p>
    <w:p>
      <w:pPr>
        <w:spacing w:after="0" w:line="174"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0"/>
          <w:szCs w:val="20"/>
          <w:color w:val="auto"/>
        </w:rPr>
        <w:t>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years ended June 30, 2023 and 2022. Revenue for the year ended June 30, 2023 from Checkers also reflects, as a reduction to transaction price, the fair value of the warrant issued to them (refer to Note 2). The impact of the fair value of the warrant in 2022 was immaterial. The Company also pay Hi Auto a fee that is accounted for as cost of revenue which was $1.2 million for the year ended June 30, 2023.</w:t>
      </w:r>
    </w:p>
    <w:p>
      <w:pPr>
        <w:spacing w:after="0" w:line="20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Company also maintains an agreement with a legacy customer whereby it leases Presto Touch to that customer. Revenue associated with the lease is recognized on a straight-line basis as Platform revenue over the lease term in the consolidated statements of operations and comprehensive loss.</w:t>
      </w:r>
    </w:p>
    <w:p>
      <w:pPr>
        <w:spacing w:after="0" w:line="18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Transaction Revenue</w:t>
      </w:r>
    </w:p>
    <w:p>
      <w:pPr>
        <w:spacing w:after="0" w:line="22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19"/>
          <w:szCs w:val="19"/>
          <w:color w:val="auto"/>
        </w:rPr>
        <w:t>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700" w:right="720" w:bottom="175"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20"/>
          <w:szCs w:val="20"/>
          <w:color w:val="auto"/>
        </w:rPr>
        <w:t>guest. The restaurant acts as a sales agent between the Company and the guest to upsell premium gaming content purchases during the dining experience. A portion of Transaction revenue collections is owed to the restaurant operator and is recorded in Transaction cost of revenue.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determines revenue recognition through the following steps:</w:t>
      </w:r>
    </w:p>
    <w:p>
      <w:pPr>
        <w:spacing w:after="0" w:line="231" w:lineRule="exact"/>
        <w:rPr>
          <w:sz w:val="20"/>
          <w:szCs w:val="20"/>
          <w:color w:val="auto"/>
        </w:rPr>
      </w:pPr>
    </w:p>
    <w:p>
      <w:pPr>
        <w:jc w:val="both"/>
        <w:ind w:left="1080" w:hanging="360"/>
        <w:spacing w:after="0" w:line="24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Identification of the contract, or contracts, with a customer — in connection with the Presto Touch solution, the Company enters into a master sales agreement (“</w:t>
      </w:r>
      <w:r>
        <w:rPr>
          <w:rFonts w:ascii="Times New Roman" w:cs="Times New Roman" w:eastAsia="Times New Roman" w:hAnsi="Times New Roman"/>
          <w:sz w:val="20"/>
          <w:szCs w:val="20"/>
          <w:b w:val="1"/>
          <w:bCs w:val="1"/>
          <w:color w:val="auto"/>
        </w:rPr>
        <w:t>MSA</w:t>
      </w:r>
      <w:r>
        <w:rPr>
          <w:rFonts w:ascii="Times New Roman" w:cs="Times New Roman" w:eastAsia="Times New Roman" w:hAnsi="Times New Roman"/>
          <w:sz w:val="20"/>
          <w:szCs w:val="20"/>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p>
      <w:pPr>
        <w:spacing w:after="0" w:line="189"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7" w:lineRule="exact"/>
        <w:rPr>
          <w:rFonts w:ascii="Times New Roman" w:cs="Times New Roman" w:eastAsia="Times New Roman" w:hAnsi="Times New Roman"/>
          <w:sz w:val="19"/>
          <w:szCs w:val="19"/>
          <w:color w:val="auto"/>
        </w:rPr>
      </w:pPr>
    </w:p>
    <w:p>
      <w:pPr>
        <w:jc w:val="both"/>
        <w:ind w:left="108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Company identified the following performance obligations: (1) for the MSAs and license agreements, sales or leases of hardware, software-as-a-service (“</w:t>
      </w:r>
      <w:r>
        <w:rPr>
          <w:rFonts w:ascii="Times New Roman" w:cs="Times New Roman" w:eastAsia="Times New Roman" w:hAnsi="Times New Roman"/>
          <w:sz w:val="20"/>
          <w:szCs w:val="20"/>
          <w:b w:val="1"/>
          <w:bCs w:val="1"/>
          <w:color w:val="auto"/>
        </w:rPr>
        <w:t>SaaS</w:t>
      </w:r>
      <w:r>
        <w:rPr>
          <w:rFonts w:ascii="Times New Roman" w:cs="Times New Roman" w:eastAsia="Times New Roman" w:hAnsi="Times New Roman"/>
          <w:sz w:val="20"/>
          <w:szCs w:val="20"/>
          <w:color w:val="auto"/>
        </w:rPr>
        <w:t>”) and maintenance is one combined performance obligation (“</w:t>
      </w:r>
      <w:r>
        <w:rPr>
          <w:rFonts w:ascii="Times New Roman" w:cs="Times New Roman" w:eastAsia="Times New Roman" w:hAnsi="Times New Roman"/>
          <w:sz w:val="20"/>
          <w:szCs w:val="20"/>
          <w:b w:val="1"/>
          <w:bCs w:val="1"/>
          <w:color w:val="auto"/>
        </w:rPr>
        <w:t>Presto Touch</w:t>
      </w:r>
      <w:r>
        <w:rPr>
          <w:rFonts w:ascii="Times New Roman" w:cs="Times New Roman" w:eastAsia="Times New Roman" w:hAnsi="Times New Roman"/>
          <w:sz w:val="20"/>
          <w:szCs w:val="20"/>
          <w:color w:val="auto"/>
        </w:rPr>
        <w:t>”) and (2) for gaming agreements, the provision premium content, or gaming. Professional services were insignificant during the years ended June 30, 2023 and 2022.</w:t>
      </w:r>
    </w:p>
    <w:p>
      <w:pPr>
        <w:spacing w:after="0" w:line="183" w:lineRule="exact"/>
        <w:rPr>
          <w:rFonts w:ascii="Times New Roman" w:cs="Times New Roman" w:eastAsia="Times New Roman" w:hAnsi="Times New Roman"/>
          <w:sz w:val="19"/>
          <w:szCs w:val="19"/>
          <w:color w:val="auto"/>
        </w:rPr>
      </w:pPr>
    </w:p>
    <w:p>
      <w:pPr>
        <w:jc w:val="both"/>
        <w:ind w:left="108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spacing w:after="0" w:line="177" w:lineRule="exact"/>
        <w:rPr>
          <w:rFonts w:ascii="Times New Roman" w:cs="Times New Roman" w:eastAsia="Times New Roman" w:hAnsi="Times New Roman"/>
          <w:sz w:val="19"/>
          <w:szCs w:val="19"/>
          <w:color w:val="auto"/>
        </w:rPr>
      </w:pPr>
    </w:p>
    <w:p>
      <w:pPr>
        <w:jc w:val="both"/>
        <w:ind w:left="108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spacing w:after="0" w:line="191" w:lineRule="exact"/>
        <w:rPr>
          <w:rFonts w:ascii="Times New Roman" w:cs="Times New Roman" w:eastAsia="Times New Roman" w:hAnsi="Times New Roman"/>
          <w:sz w:val="19"/>
          <w:szCs w:val="19"/>
          <w:color w:val="auto"/>
        </w:rPr>
      </w:pPr>
    </w:p>
    <w:p>
      <w:pPr>
        <w:jc w:val="both"/>
        <w:ind w:left="1080" w:hanging="360"/>
        <w:spacing w:after="0" w:line="246"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 of the transaction price — the Company’s MSAs stipulate the terms and conditions of providing the Presto Touch solution and separate license agreements dictate the transaction price and typically outline as a price per store location or price per number of Presto Touch devices used. The transaction price is generally a fixed fee, with a portion due upfront upon signing of the contract and the remainder due upon installation of the Presto Touch solution.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89"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p>
      <w:pPr>
        <w:spacing w:after="0" w:line="174" w:lineRule="exact"/>
        <w:rPr>
          <w:rFonts w:ascii="Times New Roman" w:cs="Times New Roman" w:eastAsia="Times New Roman" w:hAnsi="Times New Roman"/>
          <w:sz w:val="20"/>
          <w:szCs w:val="20"/>
          <w:color w:val="auto"/>
        </w:rPr>
      </w:pPr>
    </w:p>
    <w:p>
      <w:pPr>
        <w:jc w:val="both"/>
        <w:ind w:left="1080" w:hanging="359"/>
        <w:spacing w:after="0" w:line="249" w:lineRule="auto"/>
        <w:tabs>
          <w:tab w:leader="none" w:pos="1081"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700" w:right="720" w:bottom="175"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auto"/>
        </w:rPr>
        <w:t>Costs Capitalized to Obtain Revenue Contracts</w:t>
      </w:r>
    </w:p>
    <w:p>
      <w:pPr>
        <w:spacing w:after="0" w:line="239" w:lineRule="exact"/>
        <w:rPr>
          <w:sz w:val="20"/>
          <w:szCs w:val="20"/>
          <w:color w:val="auto"/>
        </w:rPr>
      </w:pPr>
    </w:p>
    <w:p>
      <w:pPr>
        <w:jc w:val="both"/>
        <w:ind w:right="460" w:firstLine="720"/>
        <w:spacing w:after="0" w:line="278" w:lineRule="auto"/>
        <w:rPr>
          <w:sz w:val="20"/>
          <w:szCs w:val="20"/>
          <w:color w:val="auto"/>
        </w:rPr>
      </w:pPr>
      <w:r>
        <w:rPr>
          <w:rFonts w:ascii="Times New Roman" w:cs="Times New Roman" w:eastAsia="Times New Roman" w:hAnsi="Times New Roman"/>
          <w:sz w:val="20"/>
          <w:szCs w:val="20"/>
          <w:color w:val="auto"/>
        </w:rPr>
        <w:t>Sales commissions and associated payroll taxes paid to internal sales personnel that are incremental costs resulting from obtaining a non-cancellable contract with a customer are capitalized and recognized over the estimated customer life, if material.</w:t>
      </w:r>
    </w:p>
    <w:p>
      <w:pPr>
        <w:spacing w:after="0" w:line="1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Incremental costs incurred to obtain a contract were immaterial during the years ended June 30, 2023, and 2022.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Deferred Revenue and Deferred Costs</w:t>
      </w:r>
    </w:p>
    <w:p>
      <w:pPr>
        <w:spacing w:after="0" w:line="24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solution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Platform Cost of Revenue</w:t>
      </w:r>
    </w:p>
    <w:p>
      <w:pPr>
        <w:spacing w:after="0" w:line="237"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Platform cost of revenue consists of four categories: product costs, shipping/freight costs, installation costs, and other costs. Product costs consist primarily of the cost to purchase the hardware and hardware accessories for the Presto Touch and Presto Voice solutions. Shipping/freight costs consist of all costs to transport equipment to restaurants. Installation costs consists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spacing w:after="0" w:line="20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Company also incurs costs to refurbish and repair its Presto Touch tablets. These costs are expensed in the period in which they are incurred. As the costs are expected to be linear, they, therefore, will match with the timing of revenue recognition over time. In connection with these costs, the Company also accrues a liability at each reporting period for expected repair costs for customer tablets currently in the Company’s return merchandise authorization (“RMA”) process as of the reporting period, which gets charged to platform cost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Transaction Cost of Revenue</w:t>
      </w:r>
    </w:p>
    <w:p>
      <w:pPr>
        <w:spacing w:after="0" w:line="23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Transaction cost of revenue consists primarily of the portion of the fees collected from guests that are paid to the restaurant as part of the revenue share agreement with each restaurant. As the Company bears the primary responsibility of the platform, the Company is the principal in the premium content transactions and restaurants act as the agent, whereby the Company records the restaurant portion of the revenue share as cost of revenue. The commissions paid to restaurants under the Company’s revenue share agreement range on average between 83% to 90% and 81% to 90% of premium gaming content revenue by customer brand for the years ended June 30, 2023 and 2022,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Impairment Cost of Revenue</w:t>
      </w:r>
    </w:p>
    <w:p>
      <w:pPr>
        <w:spacing w:after="0" w:line="239" w:lineRule="exact"/>
        <w:rPr>
          <w:sz w:val="20"/>
          <w:szCs w:val="20"/>
          <w:color w:val="auto"/>
        </w:rPr>
      </w:pPr>
    </w:p>
    <w:p>
      <w:pPr>
        <w:ind w:right="640" w:firstLine="720"/>
        <w:spacing w:after="0" w:line="278" w:lineRule="auto"/>
        <w:rPr>
          <w:sz w:val="20"/>
          <w:szCs w:val="20"/>
          <w:color w:val="auto"/>
        </w:rPr>
      </w:pPr>
      <w:r>
        <w:rPr>
          <w:rFonts w:ascii="Times New Roman" w:cs="Times New Roman" w:eastAsia="Times New Roman" w:hAnsi="Times New Roman"/>
          <w:sz w:val="20"/>
          <w:szCs w:val="20"/>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39"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w:t>
      </w:r>
    </w:p>
    <w:p>
      <w:pPr>
        <w:spacing w:after="0" w:line="186"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consist primarily of employee-related costs associated with maintenance and the development of the Company’s solutions, and expenses associated with the use of third-party software directly related to the preliminary development and maintenance of the Company’s solutions and services, as well as allocated overhead. These costs are expensed as incurred as they do not meet the requirements for capitalization.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700" w:right="720" w:bottom="175" w:gutter="0" w:footer="0" w:header="0"/>
        </w:sectPr>
      </w:pPr>
    </w:p>
    <w:bookmarkStart w:id="74" w:name="page75"/>
    <w:bookmarkEnd w:id="74"/>
    <w:p>
      <w:pPr>
        <w:jc w:val="both"/>
        <w:ind w:right="320" w:firstLine="720"/>
        <w:spacing w:after="0" w:line="258" w:lineRule="auto"/>
        <w:rPr>
          <w:sz w:val="20"/>
          <w:szCs w:val="20"/>
          <w:color w:val="auto"/>
        </w:rPr>
      </w:pPr>
      <w:r>
        <w:rPr>
          <w:rFonts w:ascii="Times New Roman" w:cs="Times New Roman" w:eastAsia="Times New Roman" w:hAnsi="Times New Roman"/>
          <w:sz w:val="20"/>
          <w:szCs w:val="20"/>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88" w:lineRule="exact"/>
        <w:rPr>
          <w:sz w:val="20"/>
          <w:szCs w:val="20"/>
          <w:color w:val="auto"/>
        </w:rPr>
      </w:pPr>
    </w:p>
    <w:p>
      <w:pPr>
        <w:ind w:right="740" w:firstLine="720"/>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88"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Loss on infrequent product repairs. </w:t>
      </w:r>
      <w:r>
        <w:rPr>
          <w:rFonts w:ascii="Times New Roman" w:cs="Times New Roman" w:eastAsia="Times New Roman" w:hAnsi="Times New Roman"/>
          <w:sz w:val="20"/>
          <w:szCs w:val="20"/>
          <w:color w:val="auto"/>
        </w:rPr>
        <w:t>Loss on infrequent product repairs expenses consist primarily of charges incurred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connection with Presto Touch hardware returned for repair or replacement using an RMA. While the Company has incurred RMA charges in the past, in the year ended June 30, 2022, the volume of repair charges was extremely unusual and very high due to a liquid ingress issue resulting from COVID-19 related actions by restaurant operators. The Company’s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The Company provided repair and replacement of its hardware devices to all of its customers as a one-time only offer due to COVID-19. Expenses for the years ended June 30, 2023 and 2022 were nil and $0.6 million in losses, respectively, on infrequent product repairs. See “</w:t>
      </w:r>
      <w:r>
        <w:rPr>
          <w:rFonts w:ascii="Times New Roman" w:cs="Times New Roman" w:eastAsia="Times New Roman" w:hAnsi="Times New Roman"/>
          <w:sz w:val="20"/>
          <w:szCs w:val="20"/>
          <w:i w:val="1"/>
          <w:iCs w:val="1"/>
          <w:color w:val="auto"/>
        </w:rPr>
        <w:t>Impact of COVID-19”</w:t>
      </w:r>
      <w:r>
        <w:rPr>
          <w:rFonts w:ascii="Times New Roman" w:cs="Times New Roman" w:eastAsia="Times New Roman" w:hAnsi="Times New Roman"/>
          <w:sz w:val="20"/>
          <w:szCs w:val="20"/>
          <w:color w:val="auto"/>
        </w:rPr>
        <w:t xml:space="preserve"> above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Costs</w:t>
      </w:r>
    </w:p>
    <w:p>
      <w:pPr>
        <w:spacing w:after="0" w:line="239"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The Company’s advertising and promotional costs are expensed as incurred. Advertising costs were $75 thousand and $36 thousand for the years ended June 30, 2023 and 2022, respectively, and are included in sales and marketing expense.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239" w:lineRule="exact"/>
        <w:rPr>
          <w:sz w:val="20"/>
          <w:szCs w:val="20"/>
          <w:color w:val="auto"/>
        </w:rPr>
      </w:pPr>
    </w:p>
    <w:p>
      <w:pPr>
        <w:ind w:right="280" w:firstLine="720"/>
        <w:spacing w:after="0" w:line="249" w:lineRule="auto"/>
        <w:rPr>
          <w:sz w:val="20"/>
          <w:szCs w:val="20"/>
          <w:color w:val="auto"/>
        </w:rPr>
      </w:pPr>
      <w:r>
        <w:rPr>
          <w:rFonts w:ascii="Times New Roman" w:cs="Times New Roman" w:eastAsia="Times New Roman" w:hAnsi="Times New Roman"/>
          <w:sz w:val="20"/>
          <w:szCs w:val="20"/>
          <w:color w:val="auto"/>
        </w:rPr>
        <w:t>The Company computes net loss per share, or earnings per share (“EPS”), following ASC Topic 260, Earnings per Share. 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w:t>
      </w:r>
    </w:p>
    <w:p>
      <w:pPr>
        <w:spacing w:after="0" w:line="197"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The Company’s potentially dilutive securities, which include stock options and RSUs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w:t>
      </w:r>
    </w:p>
    <w:p>
      <w:pPr>
        <w:spacing w:after="0" w:line="191" w:lineRule="exact"/>
        <w:rPr>
          <w:sz w:val="20"/>
          <w:szCs w:val="20"/>
          <w:color w:val="auto"/>
        </w:rPr>
      </w:pPr>
    </w:p>
    <w:p>
      <w:pPr>
        <w:jc w:val="both"/>
        <w:ind w:right="60" w:firstLine="720"/>
        <w:spacing w:after="0" w:line="252" w:lineRule="auto"/>
        <w:rPr>
          <w:sz w:val="20"/>
          <w:szCs w:val="20"/>
          <w:color w:val="auto"/>
        </w:rPr>
      </w:pPr>
      <w:r>
        <w:rPr>
          <w:rFonts w:ascii="Times New Roman" w:cs="Times New Roman" w:eastAsia="Times New Roman" w:hAnsi="Times New Roman"/>
          <w:sz w:val="20"/>
          <w:szCs w:val="20"/>
          <w:color w:val="auto"/>
        </w:rPr>
        <w:t>Diluted EPS, when presented for net income, represents the dilutive effect on a per-share basis from the potential exercise of options and or warrants; the potentially dilutive effect of options or warrants are computed using the treasury stock method. Securities that that have a potentially anti-dilutive effect (i.e., those that increase income per share or decrease loss per share) are excluded from diluted EPS calculation.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9"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The Company has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fiscal year 2023. The fair value of the Company’s common stock underlying the awards granted in fiscal year 2022 and up to the close of the Merger had been determined by the Board of Directors of the Company (the “Board”) with input from management and third-party valuation specialists, as there was no public market for the Company’s common stock. The Board determined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w:t>
      </w:r>
    </w:p>
    <w:p>
      <w:pPr>
        <w:spacing w:after="0" w:line="209"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700" w:right="720" w:bottom="175" w:gutter="0" w:footer="0" w:header="0"/>
        </w:sectPr>
      </w:pPr>
    </w:p>
    <w:bookmarkStart w:id="75" w:name="page76"/>
    <w:bookmarkEnd w:id="75"/>
    <w:p>
      <w:pPr>
        <w:ind w:right="60"/>
        <w:spacing w:after="0" w:line="258" w:lineRule="auto"/>
        <w:rPr>
          <w:sz w:val="20"/>
          <w:szCs w:val="20"/>
          <w:color w:val="auto"/>
        </w:rPr>
      </w:pPr>
      <w:r>
        <w:rPr>
          <w:rFonts w:ascii="Times New Roman" w:cs="Times New Roman" w:eastAsia="Times New Roman" w:hAnsi="Times New Roman"/>
          <w:sz w:val="20"/>
          <w:szCs w:val="20"/>
          <w:color w:val="auto"/>
        </w:rPr>
        <w:t>straight-line basis over the requisite service period of the awards, which is generally four to five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8"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The earnout shares are equity classified. The initial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Benefit Plans</w:t>
      </w:r>
    </w:p>
    <w:p>
      <w:pPr>
        <w:spacing w:after="0" w:line="239"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The Company sponsors a 401(k) defined contribution plan covering eligible employees who elect to participate. The plan does not provide for any Company contributions.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Shipping and handling costs and sales tax</w:t>
      </w:r>
    </w:p>
    <w:p>
      <w:pPr>
        <w:spacing w:after="0" w:line="239"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Shipping and handling costs are classified as a component of cost of revenue. Fees charged to customers for shipping and handling are recorded as revenue.</w:t>
      </w:r>
    </w:p>
    <w:p>
      <w:pPr>
        <w:spacing w:after="0" w:line="167" w:lineRule="exact"/>
        <w:rPr>
          <w:sz w:val="20"/>
          <w:szCs w:val="20"/>
          <w:color w:val="auto"/>
        </w:rPr>
      </w:pPr>
    </w:p>
    <w:p>
      <w:pPr>
        <w:ind w:right="360" w:firstLine="720"/>
        <w:spacing w:after="0" w:line="278" w:lineRule="auto"/>
        <w:rPr>
          <w:sz w:val="20"/>
          <w:szCs w:val="20"/>
          <w:color w:val="auto"/>
        </w:rPr>
      </w:pPr>
      <w:r>
        <w:rPr>
          <w:rFonts w:ascii="Times New Roman" w:cs="Times New Roman" w:eastAsia="Times New Roman" w:hAnsi="Times New Roman"/>
          <w:sz w:val="20"/>
          <w:szCs w:val="20"/>
          <w:color w:val="auto"/>
        </w:rPr>
        <w:t>Sales tax collected from customers and remitted to taxing authorities is excluded from revenue and is included in accrued liabilities on the Company’s consolidated balance sheets.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239"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4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20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Company is required to evaluate whether tax positions are “more-likely-than-not” of being sustained by the applicable tax authority. Tax benefits of positions not deemed to meet the more-likely-than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97" w:lineRule="exact"/>
        <w:rPr>
          <w:sz w:val="20"/>
          <w:szCs w:val="20"/>
          <w:color w:val="auto"/>
        </w:rPr>
      </w:pPr>
    </w:p>
    <w:p>
      <w:pPr>
        <w:ind w:right="300" w:firstLine="720"/>
        <w:spacing w:after="0" w:line="278" w:lineRule="auto"/>
        <w:rPr>
          <w:sz w:val="20"/>
          <w:szCs w:val="20"/>
          <w:color w:val="auto"/>
        </w:rPr>
      </w:pPr>
      <w:r>
        <w:rPr>
          <w:rFonts w:ascii="Times New Roman" w:cs="Times New Roman" w:eastAsia="Times New Roman" w:hAnsi="Times New Roman"/>
          <w:sz w:val="20"/>
          <w:szCs w:val="20"/>
          <w:color w:val="auto"/>
        </w:rPr>
        <w:t>The Company records interest and penalties related to income tax matters in income tax expense. As of June 30, 2023 and 2022, the Company has no accrued interest and penalties related to uncertain tax positions.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4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780"/>
          </w:cols>
          <w:pgMar w:left="720" w:top="700" w:right="740" w:bottom="175" w:gutter="0" w:footer="0" w:header="0"/>
        </w:sectPr>
      </w:pPr>
    </w:p>
    <w:bookmarkStart w:id="76" w:name="page77"/>
    <w:bookmarkEnd w:id="76"/>
    <w:p>
      <w:pPr>
        <w:ind w:right="440"/>
        <w:spacing w:after="0" w:line="278" w:lineRule="auto"/>
        <w:rPr>
          <w:sz w:val="20"/>
          <w:szCs w:val="20"/>
          <w:color w:val="auto"/>
        </w:rPr>
      </w:pPr>
      <w:r>
        <w:rPr>
          <w:rFonts w:ascii="Times New Roman" w:cs="Times New Roman" w:eastAsia="Times New Roman" w:hAnsi="Times New Roman"/>
          <w:sz w:val="20"/>
          <w:szCs w:val="20"/>
          <w:color w:val="auto"/>
        </w:rPr>
        <w:t>existing leases. The Company did not elect the practical expedient to use hindsight in determining the lease term and in assessing impairment of ROU assets.</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adoption of the new standard resulted in the recognition of an operating lease ROU asset and operating lease liability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$0.5 million and $0.5 million, respectively, as of July 1, 2022. There was no cumulative impact of transition to retained earnings as</w:t>
      </w:r>
    </w:p>
    <w:p>
      <w:pPr>
        <w:spacing w:after="0"/>
        <w:rPr>
          <w:sz w:val="20"/>
          <w:szCs w:val="20"/>
          <w:color w:val="auto"/>
        </w:rPr>
      </w:pPr>
      <w:r>
        <w:rPr>
          <w:rFonts w:ascii="Times New Roman" w:cs="Times New Roman" w:eastAsia="Times New Roman" w:hAnsi="Times New Roman"/>
          <w:sz w:val="20"/>
          <w:szCs w:val="20"/>
          <w:color w:val="auto"/>
        </w:rPr>
        <w:t>of the adoption date. The standard did not impact the accompanying consolidated statements of operations and comprehensive loss</w:t>
      </w:r>
    </w:p>
    <w:p>
      <w:pPr>
        <w:spacing w:after="0"/>
        <w:rPr>
          <w:sz w:val="20"/>
          <w:szCs w:val="20"/>
          <w:color w:val="auto"/>
        </w:rPr>
      </w:pPr>
      <w:r>
        <w:rPr>
          <w:rFonts w:ascii="Times New Roman" w:cs="Times New Roman" w:eastAsia="Times New Roman" w:hAnsi="Times New Roman"/>
          <w:sz w:val="20"/>
          <w:szCs w:val="20"/>
          <w:color w:val="auto"/>
        </w:rPr>
        <w:t>and the accompanying consolidated statements of cash flows.</w:t>
      </w:r>
    </w:p>
    <w:p>
      <w:pPr>
        <w:spacing w:after="0" w:line="212"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 December 2019, the FASB issued ASU No. 2019-12, </w:t>
      </w:r>
      <w:r>
        <w:rPr>
          <w:rFonts w:ascii="Times New Roman" w:cs="Times New Roman" w:eastAsia="Times New Roman" w:hAnsi="Times New Roman"/>
          <w:sz w:val="20"/>
          <w:szCs w:val="20"/>
          <w:i w:val="1"/>
          <w:iCs w:val="1"/>
          <w:color w:val="auto"/>
        </w:rPr>
        <w:t>Income Taxes (Topic 740): Simplifying the Accounting for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Taxes</w:t>
      </w:r>
      <w:r>
        <w:rPr>
          <w:rFonts w:ascii="Times New Roman" w:cs="Times New Roman" w:eastAsia="Times New Roman" w:hAnsi="Times New Roman"/>
          <w:sz w:val="20"/>
          <w:szCs w:val="20"/>
          <w:color w:val="auto"/>
        </w:rPr>
        <w:t>, which simplifies the accounting for income taxes by eliminating some exceptions to the general approach in ASC 740 in order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 reduce the cost and complexity of its application. Most amendments within this guidance are required to be applied on a prospective basis, while certain amendments must be applied on a retrospective or modified retrospective basis. The Company adopted this guidance on July 1, 2022 and it did not have a material impact at the time of adoption on the Company’s consolidated financial statements.</w:t>
      </w:r>
    </w:p>
    <w:p>
      <w:pPr>
        <w:spacing w:after="0" w:line="199"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 xml:space="preserve">In October 2021, the FASB issued ASU 2021-08, </w:t>
      </w:r>
      <w:r>
        <w:rPr>
          <w:rFonts w:ascii="Times New Roman" w:cs="Times New Roman" w:eastAsia="Times New Roman" w:hAnsi="Times New Roman"/>
          <w:sz w:val="20"/>
          <w:szCs w:val="20"/>
          <w:i w:val="1"/>
          <w:iCs w:val="1"/>
          <w:color w:val="auto"/>
        </w:rPr>
        <w:t>Business Combinations (Topic 805): Accounting for Contract Assets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Contract Liabilities from Contracts with Customers, </w:t>
      </w:r>
      <w:r>
        <w:rPr>
          <w:rFonts w:ascii="Times New Roman" w:cs="Times New Roman" w:eastAsia="Times New Roman" w:hAnsi="Times New Roman"/>
          <w:sz w:val="20"/>
          <w:szCs w:val="20"/>
          <w:color w:val="auto"/>
        </w:rPr>
        <w:t>which requires an acquirer to recognize and measure contract assets and contract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liabilities acquired in a business combination in accordance with ASC 606. The Company adopted this guidance on July 1, 2022 and it did not have a material impact at the time of adoption on the Company’s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Standards Not Yet Adopted</w:t>
      </w:r>
    </w:p>
    <w:p>
      <w:pPr>
        <w:spacing w:after="0" w:line="24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 xml:space="preserve">In June 2016, the FASB issued ASU No. 2016-13, </w:t>
      </w:r>
      <w:r>
        <w:rPr>
          <w:rFonts w:ascii="Times New Roman" w:cs="Times New Roman" w:eastAsia="Times New Roman" w:hAnsi="Times New Roman"/>
          <w:sz w:val="20"/>
          <w:szCs w:val="20"/>
          <w:i w:val="1"/>
          <w:iCs w:val="1"/>
          <w:color w:val="auto"/>
        </w:rPr>
        <w:t>Financial Instruments Topic 326: Credit Losses Measurement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Losses on Financial Instruments (Topic 326)</w:t>
      </w:r>
      <w:r>
        <w:rPr>
          <w:rFonts w:ascii="Times New Roman" w:cs="Times New Roman" w:eastAsia="Times New Roman" w:hAnsi="Times New Roman"/>
          <w:sz w:val="20"/>
          <w:szCs w:val="20"/>
          <w:color w:val="auto"/>
        </w:rPr>
        <w:t>, which requires an entity to utilize a new impairment model known as the current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202"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August 2020, the FASB issued ASU 2020 06, </w:t>
      </w:r>
      <w:r>
        <w:rPr>
          <w:rFonts w:ascii="Times New Roman" w:cs="Times New Roman" w:eastAsia="Times New Roman" w:hAnsi="Times New Roman"/>
          <w:sz w:val="20"/>
          <w:szCs w:val="20"/>
          <w:i w:val="1"/>
          <w:iCs w:val="1"/>
          <w:color w:val="auto"/>
        </w:rPr>
        <w:t>Debt — Debt with Conversion and Other Options (Subtopic 470-20)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Derivatives and Hedging — Contracts in Entity’s Own Equity</w:t>
      </w:r>
      <w:r>
        <w:rPr>
          <w:rFonts w:ascii="Times New Roman" w:cs="Times New Roman" w:eastAsia="Times New Roman" w:hAnsi="Times New Roman"/>
          <w:sz w:val="20"/>
          <w:szCs w:val="20"/>
          <w:color w:val="auto"/>
        </w:rPr>
        <w:t>, which simplifies the accounting for convertible debt and convertible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Balances</w:t>
      </w:r>
    </w:p>
    <w:p>
      <w:pPr>
        <w:spacing w:after="0" w:line="23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$0.7 million, $0.5 million and $0.4 million as of June 30, 2023, June 30, 2022 and July 1, 2021, respectively. The beginning balance of accounts receivable as of July 1, 2021 was $1.2 million. The amount of contract assets including deferred costs, in the consolidated balance sheets was $2.4 million, $11.3 million and $21.9 million, as of June 30, 2023 and 2022, and July 1, 2021, respectively.</w:t>
      </w:r>
    </w:p>
    <w:p>
      <w:pPr>
        <w:spacing w:after="0" w:line="199" w:lineRule="exact"/>
        <w:rPr>
          <w:sz w:val="20"/>
          <w:szCs w:val="20"/>
          <w:color w:val="auto"/>
        </w:rPr>
      </w:pPr>
    </w:p>
    <w:p>
      <w:pPr>
        <w:ind w:right="200" w:firstLine="720"/>
        <w:spacing w:after="0" w:line="258" w:lineRule="auto"/>
        <w:rPr>
          <w:sz w:val="20"/>
          <w:szCs w:val="20"/>
          <w:color w:val="auto"/>
        </w:rPr>
      </w:pPr>
      <w:r>
        <w:rPr>
          <w:rFonts w:ascii="Times New Roman" w:cs="Times New Roman" w:eastAsia="Times New Roman" w:hAnsi="Times New Roman"/>
          <w:sz w:val="20"/>
          <w:szCs w:val="20"/>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80"/>
          </w:cols>
          <w:pgMar w:left="720" w:top="700" w:right="740" w:bottom="175" w:gutter="0" w:footer="0" w:header="0"/>
        </w:sectPr>
      </w:pPr>
    </w:p>
    <w:bookmarkStart w:id="77" w:name="page78"/>
    <w:bookmarkEnd w:id="77"/>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activity in deferred revenue: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4"/>
        </w:trPr>
        <w:tc>
          <w:tcPr>
            <w:tcW w:w="94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21"/>
        </w:trPr>
        <w:tc>
          <w:tcPr>
            <w:tcW w:w="94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Balance as of June 30, 2021</w:t>
            </w:r>
          </w:p>
        </w:tc>
        <w:tc>
          <w:tcPr>
            <w:tcW w:w="240" w:type="dxa"/>
            <w:vAlign w:val="bottom"/>
            <w:gridSpan w:val="2"/>
            <w:shd w:val="clear" w:color="auto" w:fill="D1EDF4"/>
          </w:tcPr>
          <w:p>
            <w:pPr>
              <w:jc w:val="right"/>
              <w:ind w:right="55"/>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25,623</w:t>
            </w:r>
          </w:p>
        </w:tc>
      </w:tr>
      <w:tr>
        <w:trPr>
          <w:trHeight w:val="232"/>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4,481</w:t>
            </w:r>
          </w:p>
        </w:tc>
      </w:tr>
      <w:tr>
        <w:trPr>
          <w:trHeight w:val="230"/>
        </w:trPr>
        <w:tc>
          <w:tcPr>
            <w:tcW w:w="94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20" w:type="dxa"/>
            <w:vAlign w:val="bottom"/>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(19,335)</w:t>
            </w:r>
          </w:p>
        </w:tc>
      </w:tr>
      <w:tr>
        <w:trPr>
          <w:trHeight w:val="231"/>
        </w:trPr>
        <w:tc>
          <w:tcPr>
            <w:tcW w:w="94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as of June 30, 2022</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10,769</w:t>
            </w:r>
          </w:p>
        </w:tc>
      </w:tr>
      <w:tr>
        <w:trPr>
          <w:trHeight w:val="415"/>
        </w:trPr>
        <w:tc>
          <w:tcPr>
            <w:tcW w:w="9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5"/>
        </w:trPr>
        <w:tc>
          <w:tcPr>
            <w:tcW w:w="94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20"/>
        </w:trPr>
        <w:tc>
          <w:tcPr>
            <w:tcW w:w="94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as of June 30, 2022</w:t>
            </w:r>
          </w:p>
        </w:tc>
        <w:tc>
          <w:tcPr>
            <w:tcW w:w="20" w:type="dxa"/>
            <w:vAlign w:val="bottom"/>
            <w:shd w:val="clear" w:color="auto" w:fill="D1EDF4"/>
          </w:tcPr>
          <w:p>
            <w:pPr>
              <w:spacing w:after="0"/>
              <w:rPr>
                <w:sz w:val="19"/>
                <w:szCs w:val="19"/>
                <w:color w:val="auto"/>
              </w:rPr>
            </w:pPr>
          </w:p>
        </w:tc>
        <w:tc>
          <w:tcPr>
            <w:tcW w:w="220" w:type="dxa"/>
            <w:vAlign w:val="bottom"/>
            <w:shd w:val="clear" w:color="auto" w:fill="D1EDF4"/>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10,769</w:t>
            </w:r>
          </w:p>
        </w:tc>
      </w:tr>
      <w:tr>
        <w:trPr>
          <w:trHeight w:val="232"/>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w:t>
            </w:r>
          </w:p>
        </w:tc>
      </w:tr>
      <w:tr>
        <w:trPr>
          <w:trHeight w:val="230"/>
        </w:trPr>
        <w:tc>
          <w:tcPr>
            <w:tcW w:w="94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Revenue recognized</w:t>
            </w:r>
          </w:p>
        </w:tc>
        <w:tc>
          <w:tcPr>
            <w:tcW w:w="20" w:type="dxa"/>
            <w:vAlign w:val="bottom"/>
            <w:shd w:val="clear" w:color="auto" w:fill="D1EDF4"/>
          </w:tcPr>
          <w:p>
            <w:pPr>
              <w:spacing w:after="0"/>
              <w:rPr>
                <w:sz w:val="20"/>
                <w:szCs w:val="20"/>
                <w:color w:val="auto"/>
              </w:rPr>
            </w:pPr>
          </w:p>
        </w:tc>
        <w:tc>
          <w:tcPr>
            <w:tcW w:w="220" w:type="dxa"/>
            <w:vAlign w:val="bottom"/>
            <w:tcBorders>
              <w:bottom w:val="single" w:sz="8" w:color="auto"/>
            </w:tcBorders>
            <w:shd w:val="clear" w:color="auto" w:fill="D1EDF4"/>
          </w:tcPr>
          <w:p>
            <w:pPr>
              <w:spacing w:after="0"/>
              <w:rPr>
                <w:sz w:val="20"/>
                <w:szCs w:val="20"/>
                <w:color w:val="auto"/>
              </w:rPr>
            </w:pPr>
          </w:p>
        </w:tc>
        <w:tc>
          <w:tcPr>
            <w:tcW w:w="11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(12,432)</w:t>
            </w:r>
          </w:p>
        </w:tc>
      </w:tr>
      <w:tr>
        <w:trPr>
          <w:trHeight w:val="231"/>
        </w:trPr>
        <w:tc>
          <w:tcPr>
            <w:tcW w:w="94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Balance as of June 30, 2023</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1,583</w:t>
            </w:r>
          </w:p>
        </w:tc>
      </w:tr>
    </w:tbl>
    <w:p>
      <w:pPr>
        <w:spacing w:after="0" w:line="210" w:lineRule="exact"/>
        <w:rPr>
          <w:sz w:val="20"/>
          <w:szCs w:val="20"/>
          <w:color w:val="auto"/>
        </w:rPr>
      </w:pPr>
    </w:p>
    <w:p>
      <w:pPr>
        <w:ind w:right="440" w:firstLine="770"/>
        <w:spacing w:after="0" w:line="259" w:lineRule="auto"/>
        <w:rPr>
          <w:sz w:val="20"/>
          <w:szCs w:val="20"/>
          <w:color w:val="auto"/>
        </w:rPr>
      </w:pPr>
      <w:r>
        <w:rPr>
          <w:rFonts w:ascii="Times New Roman" w:cs="Times New Roman" w:eastAsia="Times New Roman" w:hAnsi="Times New Roman"/>
          <w:sz w:val="20"/>
          <w:szCs w:val="20"/>
          <w:color w:val="auto"/>
        </w:rPr>
        <w:t>As of June 30, 2023, approximately $4.3 million of revenue is expected to be recognized from remaining performance obligations for customer contracts. The Company expects to recognize revenue on approximately $4.0 million of these remaining performance obligations over the next 12 months with the balance recognized thereafter.</w:t>
      </w:r>
    </w:p>
    <w:p>
      <w:pPr>
        <w:spacing w:after="0" w:line="176"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On July 29, 2019, the Company entered into an arrangement with Customer A whereby the Company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June 30, 2023 and June 30, 2022, the Company had incurred $0 and $0.2 million of accrued interest expense, respectively.</w:t>
      </w:r>
    </w:p>
    <w:p>
      <w:pPr>
        <w:spacing w:after="0" w:line="197"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On September 29, 2021, the Company entered into a settlement agreement with Customer A regarding the payment of a $5.0 million marketing development payment and related accrued interest to be made to the customer and $2.0 million in handheld services to be provided to the customer under a previous contract. Through the settlement agreement, the Company agreed to provide certain alternative installation and replacement services with a value of $2.0 million and cover expenses on behalf of the customer related to a liquid ingress issue resulting from COVID-19 of $3.3 million.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 million to $3.2 million, waive the related accrued interest of $0.8 million and no longer request a refund on a $2.0 million payment it had previously made for handheld services. Subsequently, $0.2 million interest expense was recognized against the prepaid interest balance, and $3.2 million was recognized as a reduction to accounts payable for the payment of the outstanding marketing development amount in October 2021. Revenue relating to the installation and replacement services provided as a part of the contract modification was $0.5 million and $1.2 million for the year ended June 30, 2023 and 2022, respectively. The Company will continue to offset revenue recognized based on the original $5.0 million marketing development fund.</w:t>
      </w:r>
    </w:p>
    <w:p>
      <w:pPr>
        <w:spacing w:after="0" w:line="20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October 29, 2021, the Company entered into an arrangement with a customer whereby it issued a warrant to purchase</w:t>
      </w:r>
    </w:p>
    <w:p>
      <w:pPr>
        <w:spacing w:after="0" w:line="2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404,961 shares of common stock. Refer to Note 10 for further details. The fair value of the warrant is treated as a reduction to the transaction price of the customer contract and is being recorded as contra-revenue over the term of the customer arrangement, with the corresponding credit to additional paid-in capital. Contra-revenue recognized related to the warrant was $1.2 million for the year ended June 30, 2023. Contra-revenue recognized related to the warrant was not material for the year ended June 30,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AI Platform</w:t>
      </w:r>
    </w:p>
    <w:p>
      <w:pPr>
        <w:spacing w:after="0" w:line="24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8" w:lineRule="exact"/>
        <w:rPr>
          <w:sz w:val="20"/>
          <w:szCs w:val="20"/>
          <w:color w:val="auto"/>
        </w:rPr>
      </w:pPr>
    </w:p>
    <w:p>
      <w:pPr>
        <w:ind w:right="340" w:firstLine="720"/>
        <w:spacing w:after="0" w:line="278" w:lineRule="auto"/>
        <w:rPr>
          <w:sz w:val="20"/>
          <w:szCs w:val="20"/>
          <w:color w:val="auto"/>
        </w:rPr>
      </w:pPr>
      <w:r>
        <w:rPr>
          <w:rFonts w:ascii="Times New Roman" w:cs="Times New Roman" w:eastAsia="Times New Roman" w:hAnsi="Times New Roman"/>
          <w:sz w:val="20"/>
          <w:szCs w:val="20"/>
          <w:color w:val="auto"/>
        </w:rPr>
        <w:t>The revenue share paid to the Company’s hardware and software vendor under the Company’s AI Platform revenue share agreement ranged from 64% - 68% of the gross billings to the customer for the year ended June 30,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Revenue</w:t>
      </w:r>
    </w:p>
    <w:p>
      <w:pPr>
        <w:spacing w:after="0" w:line="240" w:lineRule="exact"/>
        <w:rPr>
          <w:sz w:val="20"/>
          <w:szCs w:val="20"/>
          <w:color w:val="auto"/>
        </w:rPr>
      </w:pPr>
    </w:p>
    <w:p>
      <w:pPr>
        <w:ind w:right="280" w:firstLine="720"/>
        <w:spacing w:after="0" w:line="278" w:lineRule="auto"/>
        <w:rPr>
          <w:sz w:val="20"/>
          <w:szCs w:val="20"/>
          <w:color w:val="auto"/>
        </w:rPr>
      </w:pPr>
      <w:r>
        <w:rPr>
          <w:rFonts w:ascii="Times New Roman" w:cs="Times New Roman" w:eastAsia="Times New Roman" w:hAnsi="Times New Roman"/>
          <w:sz w:val="20"/>
          <w:szCs w:val="20"/>
          <w:color w:val="auto"/>
        </w:rPr>
        <w:t>The commissions paid to restaurants under the Company’s gaming revenue share agreements ranged between 83% to 90% and 81% to 90% premium content revenue by customer brand for the year ended June 30, 2023 and 2022, respectively.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700" w:right="720" w:bottom="175"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Revenue</w:t>
      </w:r>
    </w:p>
    <w:p>
      <w:pPr>
        <w:spacing w:after="0" w:line="239" w:lineRule="exact"/>
        <w:rPr>
          <w:sz w:val="20"/>
          <w:szCs w:val="20"/>
          <w:color w:val="auto"/>
        </w:rPr>
      </w:pPr>
    </w:p>
    <w:p>
      <w:pPr>
        <w:ind w:right="560" w:firstLine="720"/>
        <w:spacing w:after="0" w:line="278" w:lineRule="auto"/>
        <w:rPr>
          <w:sz w:val="20"/>
          <w:szCs w:val="20"/>
          <w:color w:val="auto"/>
        </w:rPr>
      </w:pPr>
      <w:r>
        <w:rPr>
          <w:rFonts w:ascii="Times New Roman" w:cs="Times New Roman" w:eastAsia="Times New Roman" w:hAnsi="Times New Roman"/>
          <w:sz w:val="20"/>
          <w:szCs w:val="20"/>
          <w:color w:val="auto"/>
        </w:rPr>
        <w:t>No single country other than the United States represented 10% or more of the Company’s revenue during years ended June 30, 2023 and 2022.</w:t>
      </w:r>
    </w:p>
    <w:p>
      <w:pPr>
        <w:spacing w:after="0" w:line="168"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For the years ended June 30, 2023 and 2022, $2.0 million and $2.3 million of revenue was from leasing arrangements or with predominant leasing components,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provides a summary of all financial instruments measured at fair value: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4"/>
        </w:trPr>
        <w:tc>
          <w:tcPr>
            <w:tcW w:w="6320" w:type="dxa"/>
            <w:vAlign w:val="bottom"/>
            <w:tcBorders>
              <w:bottom w:val="single" w:sz="8" w:color="D1EDF4"/>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4"/>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4"/>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1"/>
        </w:trPr>
        <w:tc>
          <w:tcPr>
            <w:tcW w:w="63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Financial assets:</w:t>
            </w: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720" w:type="dxa"/>
            <w:vAlign w:val="bottom"/>
            <w:shd w:val="clear" w:color="auto" w:fill="D1EDF4"/>
          </w:tcPr>
          <w:p>
            <w:pPr>
              <w:spacing w:after="0"/>
              <w:rPr>
                <w:sz w:val="19"/>
                <w:szCs w:val="19"/>
                <w:color w:val="auto"/>
              </w:rPr>
            </w:pPr>
          </w:p>
        </w:tc>
      </w:tr>
      <w:tr>
        <w:trPr>
          <w:trHeight w:val="230"/>
        </w:trPr>
        <w:tc>
          <w:tcPr>
            <w:tcW w:w="65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Cash equivalents: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2"/>
        </w:trPr>
        <w:tc>
          <w:tcPr>
            <w:tcW w:w="632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Money market funds</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13,884</w:t>
            </w:r>
          </w:p>
        </w:tc>
        <w:tc>
          <w:tcPr>
            <w:tcW w:w="3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1EDF4"/>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3"/>
            <w:shd w:val="clear" w:color="auto" w:fill="D1EDF4"/>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13,884</w:t>
            </w:r>
          </w:p>
        </w:tc>
      </w:tr>
      <w:tr>
        <w:trPr>
          <w:trHeight w:val="244"/>
        </w:trPr>
        <w:tc>
          <w:tcPr>
            <w:tcW w:w="6540" w:type="dxa"/>
            <w:vAlign w:val="bottom"/>
            <w:tcBorders>
              <w:bottom w:val="single" w:sz="8" w:color="D1EDF4"/>
            </w:tcBorders>
            <w:gridSpan w:val="3"/>
          </w:tcPr>
          <w:p>
            <w:pPr>
              <w:ind w:left="240"/>
              <w:spacing w:after="0"/>
              <w:rPr>
                <w:sz w:val="20"/>
                <w:szCs w:val="20"/>
                <w:color w:val="auto"/>
              </w:rPr>
            </w:pPr>
            <w:r>
              <w:rPr>
                <w:rFonts w:ascii="Times New Roman" w:cs="Times New Roman" w:eastAsia="Times New Roman" w:hAnsi="Times New Roman"/>
                <w:sz w:val="20"/>
                <w:szCs w:val="20"/>
                <w:color w:val="auto"/>
              </w:rPr>
              <w:t>Total financial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13,884</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13,884</w:t>
            </w:r>
          </w:p>
        </w:tc>
      </w:tr>
      <w:tr>
        <w:trPr>
          <w:trHeight w:val="232"/>
        </w:trPr>
        <w:tc>
          <w:tcPr>
            <w:tcW w:w="632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76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76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76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720" w:type="dxa"/>
            <w:vAlign w:val="bottom"/>
            <w:shd w:val="clear" w:color="auto" w:fill="D1EDF4"/>
          </w:tcPr>
          <w:p>
            <w:pPr>
              <w:spacing w:after="0"/>
              <w:rPr>
                <w:sz w:val="20"/>
                <w:szCs w:val="20"/>
                <w:color w:val="auto"/>
              </w:rPr>
            </w:pPr>
          </w:p>
        </w:tc>
      </w:tr>
      <w:tr>
        <w:trPr>
          <w:trHeight w:val="232"/>
        </w:trPr>
        <w:tc>
          <w:tcPr>
            <w:tcW w:w="65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5"/>
        </w:trPr>
        <w:tc>
          <w:tcPr>
            <w:tcW w:w="632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Unvested Sponsor Shares liability</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D1EDF4"/>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1EDF4"/>
              </w:rPr>
              <w:t>$</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1,399</w:t>
            </w:r>
          </w:p>
        </w:tc>
        <w:tc>
          <w:tcPr>
            <w:tcW w:w="20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180" w:type="dxa"/>
            <w:vAlign w:val="bottom"/>
            <w:shd w:val="clear" w:color="auto" w:fill="D1EDF4"/>
          </w:tcPr>
          <w:p>
            <w:pPr>
              <w:spacing w:after="0"/>
              <w:rPr>
                <w:sz w:val="21"/>
                <w:szCs w:val="21"/>
                <w:color w:val="auto"/>
              </w:rPr>
            </w:pPr>
          </w:p>
        </w:tc>
        <w:tc>
          <w:tcPr>
            <w:tcW w:w="7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1,399</w:t>
            </w:r>
          </w:p>
        </w:tc>
      </w:tr>
      <w:tr>
        <w:trPr>
          <w:trHeight w:val="245"/>
        </w:trPr>
        <w:tc>
          <w:tcPr>
            <w:tcW w:w="6540" w:type="dxa"/>
            <w:vAlign w:val="bottom"/>
            <w:tcBorders>
              <w:bottom w:val="single" w:sz="8" w:color="D1EDF4"/>
            </w:tcBorders>
            <w:gridSpan w:val="3"/>
          </w:tcPr>
          <w:p>
            <w:pPr>
              <w:ind w:left="120"/>
              <w:spacing w:after="0"/>
              <w:rPr>
                <w:sz w:val="20"/>
                <w:szCs w:val="20"/>
                <w:color w:val="auto"/>
              </w:rPr>
            </w:pPr>
            <w:r>
              <w:rPr>
                <w:rFonts w:ascii="Times New Roman" w:cs="Times New Roman" w:eastAsia="Times New Roman" w:hAnsi="Times New Roman"/>
                <w:sz w:val="20"/>
                <w:szCs w:val="20"/>
                <w:color w:val="auto"/>
              </w:rPr>
              <w:t>Warrant liabilities</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25,867</w:t>
            </w:r>
          </w:p>
        </w:tc>
        <w:tc>
          <w:tcPr>
            <w:tcW w:w="20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25,867</w:t>
            </w:r>
          </w:p>
        </w:tc>
      </w:tr>
      <w:tr>
        <w:trPr>
          <w:trHeight w:val="246"/>
        </w:trPr>
        <w:tc>
          <w:tcPr>
            <w:tcW w:w="6320" w:type="dxa"/>
            <w:vAlign w:val="bottom"/>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200" w:type="dxa"/>
            <w:vAlign w:val="bottom"/>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D1EDF4"/>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1EDF4"/>
              </w:rPr>
              <w:t>$</w:t>
            </w: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27,266</w:t>
            </w:r>
          </w:p>
        </w:tc>
        <w:tc>
          <w:tcPr>
            <w:tcW w:w="200" w:type="dxa"/>
            <w:vAlign w:val="bottom"/>
            <w:shd w:val="clear" w:color="auto" w:fill="D1EDF4"/>
          </w:tcPr>
          <w:p>
            <w:pPr>
              <w:spacing w:after="0"/>
              <w:rPr>
                <w:sz w:val="21"/>
                <w:szCs w:val="21"/>
                <w:color w:val="auto"/>
              </w:rPr>
            </w:pPr>
          </w:p>
        </w:tc>
        <w:tc>
          <w:tcPr>
            <w:tcW w:w="20" w:type="dxa"/>
            <w:vAlign w:val="bottom"/>
            <w:tcBorders>
              <w:bottom w:val="single" w:sz="8" w:color="auto"/>
            </w:tcBorders>
            <w:shd w:val="clear" w:color="auto" w:fill="D1EDF4"/>
          </w:tcPr>
          <w:p>
            <w:pPr>
              <w:spacing w:after="0"/>
              <w:rPr>
                <w:sz w:val="21"/>
                <w:szCs w:val="21"/>
                <w:color w:val="auto"/>
              </w:rPr>
            </w:pPr>
          </w:p>
        </w:tc>
        <w:tc>
          <w:tcPr>
            <w:tcW w:w="180" w:type="dxa"/>
            <w:vAlign w:val="bottom"/>
            <w:tcBorders>
              <w:bottom w:val="single" w:sz="8" w:color="auto"/>
            </w:tcBorders>
            <w:shd w:val="clear" w:color="auto" w:fill="D1EDF4"/>
          </w:tcPr>
          <w:p>
            <w:pPr>
              <w:jc w:val="right"/>
              <w:ind w:right="15"/>
              <w:spacing w:after="0"/>
              <w:rPr>
                <w:sz w:val="20"/>
                <w:szCs w:val="20"/>
                <w:color w:val="auto"/>
              </w:rPr>
            </w:pPr>
            <w:r>
              <w:rPr>
                <w:rFonts w:ascii="Times New Roman" w:cs="Times New Roman" w:eastAsia="Times New Roman" w:hAnsi="Times New Roman"/>
                <w:sz w:val="17"/>
                <w:szCs w:val="17"/>
                <w:color w:val="auto"/>
                <w:w w:val="70"/>
                <w:shd w:val="clear" w:color="auto" w:fill="D1EDF4"/>
              </w:rPr>
              <w:t>$</w:t>
            </w:r>
          </w:p>
        </w:tc>
        <w:tc>
          <w:tcPr>
            <w:tcW w:w="7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shd w:val="clear" w:color="auto" w:fill="D1EDF4"/>
              </w:rPr>
              <w:t>27,266</w:t>
            </w:r>
          </w:p>
        </w:tc>
      </w:tr>
      <w:tr>
        <w:trPr>
          <w:trHeight w:val="439"/>
        </w:trPr>
        <w:tc>
          <w:tcPr>
            <w:tcW w:w="6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264"/>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74"/>
        </w:trPr>
        <w:tc>
          <w:tcPr>
            <w:tcW w:w="6320" w:type="dxa"/>
            <w:vAlign w:val="bottom"/>
            <w:tcBorders>
              <w:bottom w:val="single" w:sz="8" w:color="D1EDF4"/>
            </w:tcBorders>
          </w:tcPr>
          <w:p>
            <w:pPr>
              <w:spacing w:after="0"/>
              <w:rPr>
                <w:sz w:val="15"/>
                <w:szCs w:val="15"/>
                <w:color w:val="auto"/>
              </w:rPr>
            </w:pP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4"/>
              <w:spacing w:after="0" w:line="175" w:lineRule="exact"/>
              <w:rPr>
                <w:sz w:val="20"/>
                <w:szCs w:val="20"/>
                <w:color w:val="auto"/>
              </w:rPr>
            </w:pPr>
            <w:r>
              <w:rPr>
                <w:rFonts w:ascii="Times New Roman" w:cs="Times New Roman" w:eastAsia="Times New Roman" w:hAnsi="Times New Roman"/>
                <w:sz w:val="16"/>
                <w:szCs w:val="16"/>
                <w:b w:val="1"/>
                <w:bCs w:val="1"/>
                <w:color w:val="auto"/>
              </w:rPr>
              <w:t>Level 1</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4"/>
              <w:spacing w:after="0" w:line="175"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4"/>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1"/>
        </w:trPr>
        <w:tc>
          <w:tcPr>
            <w:tcW w:w="6540" w:type="dxa"/>
            <w:vAlign w:val="bottom"/>
            <w:gridSpan w:val="3"/>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Financial liabilities:</w:t>
            </w: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720" w:type="dxa"/>
            <w:vAlign w:val="bottom"/>
            <w:shd w:val="clear" w:color="auto" w:fill="D1EDF4"/>
          </w:tcPr>
          <w:p>
            <w:pPr>
              <w:spacing w:after="0"/>
              <w:rPr>
                <w:sz w:val="19"/>
                <w:szCs w:val="19"/>
                <w:color w:val="auto"/>
              </w:rPr>
            </w:pPr>
          </w:p>
        </w:tc>
      </w:tr>
      <w:tr>
        <w:trPr>
          <w:trHeight w:val="230"/>
        </w:trPr>
        <w:tc>
          <w:tcPr>
            <w:tcW w:w="65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Convertible promissory notes and embedded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89,663</w:t>
            </w:r>
          </w:p>
        </w:tc>
        <w:tc>
          <w:tcPr>
            <w:tcW w:w="400" w:type="dxa"/>
            <w:vAlign w:val="bottom"/>
            <w:gridSpan w:val="3"/>
          </w:tcPr>
          <w:p>
            <w:pPr>
              <w:jc w:val="right"/>
              <w:ind w:right="1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89,663</w:t>
            </w:r>
          </w:p>
        </w:tc>
      </w:tr>
      <w:tr>
        <w:trPr>
          <w:trHeight w:val="232"/>
        </w:trPr>
        <w:tc>
          <w:tcPr>
            <w:tcW w:w="6540" w:type="dxa"/>
            <w:vAlign w:val="bottom"/>
            <w:gridSpan w:val="3"/>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Warrant liabilities</w:t>
            </w:r>
          </w:p>
        </w:tc>
        <w:tc>
          <w:tcPr>
            <w:tcW w:w="140" w:type="dxa"/>
            <w:vAlign w:val="bottom"/>
            <w:tcBorders>
              <w:bottom w:val="single" w:sz="8" w:color="auto"/>
            </w:tcBorders>
            <w:shd w:val="clear" w:color="auto" w:fill="D1EDF4"/>
          </w:tcPr>
          <w:p>
            <w:pPr>
              <w:spacing w:after="0"/>
              <w:rPr>
                <w:sz w:val="20"/>
                <w:szCs w:val="20"/>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760" w:type="dxa"/>
            <w:vAlign w:val="bottom"/>
            <w:tcBorders>
              <w:bottom w:val="single" w:sz="8" w:color="auto"/>
            </w:tcBorders>
            <w:shd w:val="clear" w:color="auto" w:fill="D1EDF4"/>
          </w:tcPr>
          <w:p>
            <w:pPr>
              <w:ind w:left="50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tcBorders>
              <w:bottom w:val="single" w:sz="8" w:color="auto"/>
            </w:tcBorders>
            <w:shd w:val="clear" w:color="auto" w:fill="D1EDF4"/>
          </w:tcPr>
          <w:p>
            <w:pPr>
              <w:spacing w:after="0"/>
              <w:rPr>
                <w:sz w:val="20"/>
                <w:szCs w:val="20"/>
                <w:color w:val="auto"/>
              </w:rPr>
            </w:pPr>
          </w:p>
        </w:tc>
        <w:tc>
          <w:tcPr>
            <w:tcW w:w="7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4,149</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spacing w:after="0"/>
              <w:rPr>
                <w:sz w:val="20"/>
                <w:szCs w:val="20"/>
                <w:color w:val="auto"/>
              </w:rPr>
            </w:pPr>
          </w:p>
        </w:tc>
        <w:tc>
          <w:tcPr>
            <w:tcW w:w="7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4,149</w:t>
            </w:r>
          </w:p>
        </w:tc>
      </w:tr>
      <w:tr>
        <w:trPr>
          <w:trHeight w:val="231"/>
        </w:trPr>
        <w:tc>
          <w:tcPr>
            <w:tcW w:w="6520" w:type="dxa"/>
            <w:vAlign w:val="bottom"/>
            <w:gridSpan w:val="2"/>
          </w:tcPr>
          <w:p>
            <w:pPr>
              <w:ind w:left="240"/>
              <w:spacing w:after="0" w:line="223" w:lineRule="exact"/>
              <w:rPr>
                <w:sz w:val="20"/>
                <w:szCs w:val="20"/>
                <w:color w:val="auto"/>
              </w:rPr>
            </w:pPr>
            <w:r>
              <w:rPr>
                <w:rFonts w:ascii="Times New Roman" w:cs="Times New Roman" w:eastAsia="Times New Roman" w:hAnsi="Times New Roman"/>
                <w:sz w:val="20"/>
                <w:szCs w:val="20"/>
                <w:color w:val="auto"/>
              </w:rPr>
              <w:t>Total financial liabilities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500"/>
              <w:spacing w:after="0" w:line="223"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93,812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93,812</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Assumptions Related to Unvested Sponsor Share Liability</w:t>
      </w:r>
    </w:p>
    <w:p>
      <w:pPr>
        <w:spacing w:after="0" w:line="238" w:lineRule="exact"/>
        <w:rPr>
          <w:sz w:val="20"/>
          <w:szCs w:val="20"/>
          <w:color w:val="auto"/>
        </w:rPr>
      </w:pPr>
    </w:p>
    <w:p>
      <w:pPr>
        <w:jc w:val="both"/>
        <w:ind w:right="520" w:firstLine="720"/>
        <w:spacing w:after="0" w:line="258" w:lineRule="auto"/>
        <w:rPr>
          <w:sz w:val="20"/>
          <w:szCs w:val="20"/>
          <w:color w:val="auto"/>
        </w:rPr>
      </w:pPr>
      <w:r>
        <w:rPr>
          <w:rFonts w:ascii="Times New Roman" w:cs="Times New Roman" w:eastAsia="Times New Roman" w:hAnsi="Times New Roman"/>
          <w:sz w:val="20"/>
          <w:szCs w:val="20"/>
          <w:color w:val="auto"/>
        </w:rPr>
        <w:t>The fair value of the Unvested Sponsor Shares liability was determined by the Company using a Monte Carlo valuation model, which requires significant estimates including the expected volatility of the common stock of the Company based on the historical volatility of comparable publicly traded companies and the risk-free rate.</w:t>
      </w:r>
    </w:p>
    <w:p>
      <w:pPr>
        <w:spacing w:after="0" w:line="188" w:lineRule="exact"/>
        <w:rPr>
          <w:sz w:val="20"/>
          <w:szCs w:val="20"/>
          <w:color w:val="auto"/>
        </w:rPr>
      </w:pPr>
    </w:p>
    <w:p>
      <w:pPr>
        <w:ind w:right="760" w:firstLine="720"/>
        <w:spacing w:after="0" w:line="278" w:lineRule="auto"/>
        <w:rPr>
          <w:sz w:val="20"/>
          <w:szCs w:val="20"/>
          <w:color w:val="auto"/>
        </w:rPr>
      </w:pPr>
      <w:r>
        <w:rPr>
          <w:rFonts w:ascii="Times New Roman" w:cs="Times New Roman" w:eastAsia="Times New Roman" w:hAnsi="Times New Roman"/>
          <w:sz w:val="20"/>
          <w:szCs w:val="20"/>
          <w:color w:val="auto"/>
        </w:rPr>
        <w:t>The Company estimated the fair value of the Unvested Sponsor Share liability using the following weighted 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Borders>
              <w:bottom w:val="single" w:sz="8" w:color="D1EDF4"/>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260" w:type="dxa"/>
            <w:vAlign w:val="bottom"/>
            <w:tcBorders>
              <w:bottom w:val="single" w:sz="8" w:color="D1EDF4"/>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Merger Date</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D1EDF4"/>
            </w:tcBorders>
          </w:tcPr>
          <w:p>
            <w:pPr>
              <w:spacing w:after="0"/>
              <w:rPr>
                <w:sz w:val="17"/>
                <w:szCs w:val="17"/>
                <w:color w:val="auto"/>
              </w:rPr>
            </w:pPr>
          </w:p>
        </w:tc>
      </w:tr>
      <w:tr>
        <w:trPr>
          <w:trHeight w:val="221"/>
        </w:trPr>
        <w:tc>
          <w:tcPr>
            <w:tcW w:w="746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Expected volatility</w:t>
            </w:r>
          </w:p>
        </w:tc>
        <w:tc>
          <w:tcPr>
            <w:tcW w:w="144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70.4</w:t>
            </w:r>
          </w:p>
        </w:tc>
        <w:tc>
          <w:tcPr>
            <w:tcW w:w="2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83"/>
              </w:rPr>
              <w:t>%</w:t>
            </w:r>
          </w:p>
        </w:tc>
        <w:tc>
          <w:tcPr>
            <w:tcW w:w="1640" w:type="dxa"/>
            <w:vAlign w:val="bottom"/>
            <w:gridSpan w:val="3"/>
            <w:shd w:val="clear" w:color="auto" w:fill="D1EDF4"/>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rPr>
              <w:t>76.2 %</w:t>
            </w:r>
          </w:p>
        </w:tc>
      </w:tr>
      <w:tr>
        <w:trPr>
          <w:trHeight w:val="232"/>
        </w:trPr>
        <w:tc>
          <w:tcPr>
            <w:tcW w:w="74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74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14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40" w:type="dxa"/>
            <w:vAlign w:val="bottom"/>
            <w:gridSpan w:val="2"/>
            <w:shd w:val="clear" w:color="auto" w:fill="D1EDF4"/>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-451485</wp:posOffset>
            </wp:positionV>
            <wp:extent cx="9347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extLst>
                    </a:blip>
                    <a:srcRect/>
                    <a:stretch>
                      <a:fillRect/>
                    </a:stretch>
                  </pic:blipFill>
                  <pic:spPr bwMode="auto">
                    <a:xfrm>
                      <a:off x="0" y="0"/>
                      <a:ext cx="934720" cy="171450"/>
                    </a:xfrm>
                    <a:prstGeom prst="rect">
                      <a:avLst/>
                    </a:prstGeom>
                    <a:noFill/>
                  </pic:spPr>
                </pic:pic>
              </a:graphicData>
            </a:graphic>
          </wp:anchor>
        </w:drawing>
        <w:drawing>
          <wp:anchor simplePos="0" relativeHeight="251657728" behindDoc="1" locked="0" layoutInCell="0" allowOverlap="1">
            <wp:simplePos x="0" y="0"/>
            <wp:positionH relativeFrom="column">
              <wp:posOffset>4725670</wp:posOffset>
            </wp:positionH>
            <wp:positionV relativeFrom="paragraph">
              <wp:posOffset>-158115</wp:posOffset>
            </wp:positionV>
            <wp:extent cx="9347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extLst>
                    </a:blip>
                    <a:srcRect/>
                    <a:stretch>
                      <a:fillRect/>
                    </a:stretch>
                  </pic:blipFill>
                  <pic:spPr bwMode="auto">
                    <a:xfrm>
                      <a:off x="0" y="0"/>
                      <a:ext cx="934720" cy="17145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Assumptions and Other Information Related to Convertible Promissory Notes and Embedded Warrants</w:t>
      </w:r>
    </w:p>
    <w:p>
      <w:pPr>
        <w:spacing w:after="0" w:line="23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700" w:right="720" w:bottom="175" w:gutter="0" w:footer="0" w:header="0"/>
        </w:sectPr>
      </w:pPr>
    </w:p>
    <w:bookmarkStart w:id="79" w:name="page80"/>
    <w:bookmarkEnd w:id="79"/>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93"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20"/>
          <w:szCs w:val="20"/>
          <w:color w:val="auto"/>
        </w:rPr>
        <w:t>The Company estimated the fair value of the convertible promissory notes, embedded warrants and accrued interest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7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154"/>
        </w:trPr>
        <w:tc>
          <w:tcPr>
            <w:tcW w:w="4980" w:type="dxa"/>
            <w:vAlign w:val="bottom"/>
          </w:tcPr>
          <w:p>
            <w:pPr>
              <w:spacing w:after="0"/>
              <w:rPr>
                <w:sz w:val="13"/>
                <w:szCs w:val="13"/>
                <w:color w:val="auto"/>
              </w:rPr>
            </w:pPr>
          </w:p>
        </w:tc>
        <w:tc>
          <w:tcPr>
            <w:tcW w:w="1580" w:type="dxa"/>
            <w:vAlign w:val="bottom"/>
            <w:gridSpan w:val="2"/>
          </w:tcPr>
          <w:p>
            <w:pPr>
              <w:jc w:val="right"/>
              <w:ind w:right="760"/>
              <w:spacing w:after="0" w:line="154" w:lineRule="exact"/>
              <w:rPr>
                <w:sz w:val="20"/>
                <w:szCs w:val="20"/>
                <w:color w:val="auto"/>
              </w:rPr>
            </w:pPr>
            <w:r>
              <w:rPr>
                <w:rFonts w:ascii="Times New Roman" w:cs="Times New Roman" w:eastAsia="Times New Roman" w:hAnsi="Times New Roman"/>
                <w:sz w:val="16"/>
                <w:szCs w:val="16"/>
                <w:b w:val="1"/>
                <w:bCs w:val="1"/>
                <w:color w:val="auto"/>
              </w:rPr>
              <w:t>Next</w:t>
            </w:r>
          </w:p>
        </w:tc>
        <w:tc>
          <w:tcPr>
            <w:tcW w:w="1520" w:type="dxa"/>
            <w:vAlign w:val="bottom"/>
            <w:gridSpan w:val="2"/>
          </w:tcPr>
          <w:p>
            <w:pPr>
              <w:jc w:val="right"/>
              <w:ind w:right="740"/>
              <w:spacing w:after="0" w:line="154" w:lineRule="exact"/>
              <w:rPr>
                <w:sz w:val="20"/>
                <w:szCs w:val="20"/>
                <w:color w:val="auto"/>
              </w:rPr>
            </w:pPr>
            <w:r>
              <w:rPr>
                <w:rFonts w:ascii="Times New Roman" w:cs="Times New Roman" w:eastAsia="Times New Roman" w:hAnsi="Times New Roman"/>
                <w:sz w:val="16"/>
                <w:szCs w:val="16"/>
                <w:b w:val="1"/>
                <w:bCs w:val="1"/>
                <w:color w:val="auto"/>
              </w:rPr>
              <w:t>Next</w:t>
            </w:r>
          </w:p>
        </w:tc>
        <w:tc>
          <w:tcPr>
            <w:tcW w:w="980" w:type="dxa"/>
            <w:vAlign w:val="bottom"/>
            <w:gridSpan w:val="2"/>
          </w:tcPr>
          <w:p>
            <w:pPr>
              <w:jc w:val="right"/>
              <w:ind w:right="280"/>
              <w:spacing w:after="0" w:line="154" w:lineRule="exact"/>
              <w:rPr>
                <w:sz w:val="20"/>
                <w:szCs w:val="20"/>
                <w:color w:val="auto"/>
              </w:rPr>
            </w:pPr>
            <w:r>
              <w:rPr>
                <w:rFonts w:ascii="Times New Roman" w:cs="Times New Roman" w:eastAsia="Times New Roman" w:hAnsi="Times New Roman"/>
                <w:sz w:val="16"/>
                <w:szCs w:val="16"/>
                <w:b w:val="1"/>
                <w:bCs w:val="1"/>
                <w:color w:val="auto"/>
                <w:w w:val="97"/>
              </w:rPr>
              <w:t>Change in</w:t>
            </w:r>
          </w:p>
        </w:tc>
        <w:tc>
          <w:tcPr>
            <w:tcW w:w="1000" w:type="dxa"/>
            <w:vAlign w:val="bottom"/>
            <w:gridSpan w:val="2"/>
          </w:tcPr>
          <w:p>
            <w:pPr>
              <w:jc w:val="right"/>
              <w:ind w:right="320"/>
              <w:spacing w:after="0" w:line="154"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740" w:type="dxa"/>
            <w:vAlign w:val="bottom"/>
          </w:tcPr>
          <w:p>
            <w:pPr>
              <w:spacing w:after="0"/>
              <w:rPr>
                <w:sz w:val="13"/>
                <w:szCs w:val="13"/>
                <w:color w:val="auto"/>
              </w:rPr>
            </w:pPr>
          </w:p>
        </w:tc>
      </w:tr>
      <w:tr>
        <w:trPr>
          <w:trHeight w:val="204"/>
        </w:trPr>
        <w:tc>
          <w:tcPr>
            <w:tcW w:w="4980" w:type="dxa"/>
            <w:vAlign w:val="bottom"/>
            <w:tcBorders>
              <w:bottom w:val="single" w:sz="8" w:color="D1EDF4"/>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Financing - Private</w:t>
            </w:r>
          </w:p>
        </w:tc>
        <w:tc>
          <w:tcPr>
            <w:tcW w:w="260" w:type="dxa"/>
            <w:vAlign w:val="bottom"/>
            <w:tcBorders>
              <w:bottom w:val="single" w:sz="8" w:color="D1EDF4"/>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Financing - Public</w:t>
            </w:r>
          </w:p>
        </w:tc>
        <w:tc>
          <w:tcPr>
            <w:tcW w:w="260" w:type="dxa"/>
            <w:vAlign w:val="bottom"/>
            <w:tcBorders>
              <w:bottom w:val="single" w:sz="8" w:color="D1EDF4"/>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280" w:type="dxa"/>
            <w:vAlign w:val="bottom"/>
            <w:tcBorders>
              <w:bottom w:val="single" w:sz="8" w:color="D1EDF4"/>
            </w:tcBorders>
          </w:tcPr>
          <w:p>
            <w:pPr>
              <w:spacing w:after="0"/>
              <w:rPr>
                <w:sz w:val="17"/>
                <w:szCs w:val="17"/>
                <w:color w:val="auto"/>
              </w:rPr>
            </w:pPr>
          </w:p>
        </w:tc>
        <w:tc>
          <w:tcPr>
            <w:tcW w:w="7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Date</w:t>
            </w:r>
          </w:p>
        </w:tc>
        <w:tc>
          <w:tcPr>
            <w:tcW w:w="260" w:type="dxa"/>
            <w:vAlign w:val="bottom"/>
            <w:tcBorders>
              <w:bottom w:val="single" w:sz="8" w:color="D1EDF4"/>
            </w:tcBorders>
          </w:tcPr>
          <w:p>
            <w:pPr>
              <w:spacing w:after="0"/>
              <w:rPr>
                <w:sz w:val="17"/>
                <w:szCs w:val="17"/>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219"/>
        </w:trPr>
        <w:tc>
          <w:tcPr>
            <w:tcW w:w="4980" w:type="dxa"/>
            <w:vAlign w:val="bottom"/>
            <w:shd w:val="clear" w:color="auto" w:fill="D1EDF4"/>
          </w:tcPr>
          <w:p>
            <w:pPr>
              <w:spacing w:after="0" w:line="219" w:lineRule="exact"/>
              <w:rPr>
                <w:sz w:val="20"/>
                <w:szCs w:val="20"/>
                <w:color w:val="auto"/>
              </w:rPr>
            </w:pPr>
            <w:r>
              <w:rPr>
                <w:rFonts w:ascii="Times New Roman" w:cs="Times New Roman" w:eastAsia="Times New Roman" w:hAnsi="Times New Roman"/>
                <w:sz w:val="20"/>
                <w:szCs w:val="20"/>
                <w:color w:val="auto"/>
              </w:rPr>
              <w:t>Probability of conversion</w:t>
            </w:r>
          </w:p>
        </w:tc>
        <w:tc>
          <w:tcPr>
            <w:tcW w:w="1580" w:type="dxa"/>
            <w:vAlign w:val="bottom"/>
            <w:gridSpan w:val="2"/>
            <w:shd w:val="clear" w:color="auto" w:fill="D1EDF4"/>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10.0 %</w:t>
            </w:r>
          </w:p>
        </w:tc>
        <w:tc>
          <w:tcPr>
            <w:tcW w:w="1520" w:type="dxa"/>
            <w:vAlign w:val="bottom"/>
            <w:gridSpan w:val="2"/>
            <w:shd w:val="clear" w:color="auto" w:fill="D1EDF4"/>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80.0 %</w:t>
            </w:r>
          </w:p>
        </w:tc>
        <w:tc>
          <w:tcPr>
            <w:tcW w:w="980" w:type="dxa"/>
            <w:vAlign w:val="bottom"/>
            <w:gridSpan w:val="2"/>
            <w:shd w:val="clear" w:color="auto" w:fill="D1EDF4"/>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5.0 %</w:t>
            </w:r>
          </w:p>
        </w:tc>
        <w:tc>
          <w:tcPr>
            <w:tcW w:w="1000" w:type="dxa"/>
            <w:vAlign w:val="bottom"/>
            <w:gridSpan w:val="2"/>
            <w:shd w:val="clear" w:color="auto" w:fill="D1EDF4"/>
          </w:tcPr>
          <w:p>
            <w:pPr>
              <w:jc w:val="right"/>
              <w:ind w:right="100"/>
              <w:spacing w:after="0" w:line="219" w:lineRule="exact"/>
              <w:rPr>
                <w:sz w:val="20"/>
                <w:szCs w:val="20"/>
                <w:color w:val="auto"/>
              </w:rPr>
            </w:pPr>
            <w:r>
              <w:rPr>
                <w:rFonts w:ascii="Times New Roman" w:cs="Times New Roman" w:eastAsia="Times New Roman" w:hAnsi="Times New Roman"/>
                <w:sz w:val="20"/>
                <w:szCs w:val="20"/>
                <w:color w:val="auto"/>
              </w:rPr>
              <w:t>5.0 %</w:t>
            </w:r>
          </w:p>
        </w:tc>
        <w:tc>
          <w:tcPr>
            <w:tcW w:w="740" w:type="dxa"/>
            <w:vAlign w:val="bottom"/>
            <w:shd w:val="clear" w:color="auto" w:fill="D1EDF4"/>
          </w:tcPr>
          <w:p>
            <w:pPr>
              <w:ind w:left="480"/>
              <w:spacing w:after="0" w:line="219"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6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49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5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16.5 %</w:t>
            </w:r>
          </w:p>
        </w:tc>
        <w:tc>
          <w:tcPr>
            <w:tcW w:w="152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16.5 %</w:t>
            </w:r>
          </w:p>
        </w:tc>
        <w:tc>
          <w:tcPr>
            <w:tcW w:w="98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16.5 %</w:t>
            </w:r>
          </w:p>
        </w:tc>
        <w:tc>
          <w:tcPr>
            <w:tcW w:w="1000" w:type="dxa"/>
            <w:vAlign w:val="bottom"/>
            <w:gridSpan w:val="2"/>
            <w:shd w:val="clear" w:color="auto" w:fill="D1EDF4"/>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740" w:type="dxa"/>
            <w:vAlign w:val="bottom"/>
            <w:shd w:val="clear" w:color="auto" w:fill="D1EDF4"/>
          </w:tcPr>
          <w:p>
            <w:pPr>
              <w:ind w:left="480"/>
              <w:spacing w:after="0"/>
              <w:rPr>
                <w:sz w:val="20"/>
                <w:szCs w:val="20"/>
                <w:color w:val="auto"/>
              </w:rPr>
            </w:pPr>
            <w:r>
              <w:rPr>
                <w:rFonts w:ascii="Times New Roman" w:cs="Times New Roman" w:eastAsia="Times New Roman" w:hAnsi="Times New Roman"/>
                <w:sz w:val="20"/>
                <w:szCs w:val="20"/>
                <w:color w:val="auto"/>
              </w:rPr>
              <w:t>—</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a summary of the cumulative difference between the carrying amount and the fair value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convertible promissory notes and embedded warrants for which the fair value option was elected: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9"/>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As of and for the Year Ended June 30, 2022</w:t>
            </w:r>
          </w:p>
        </w:tc>
      </w:tr>
      <w:tr>
        <w:trPr>
          <w:trHeight w:val="166"/>
        </w:trPr>
        <w:tc>
          <w:tcPr>
            <w:tcW w:w="6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32"/>
              <w:spacing w:after="0" w:line="166"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right"/>
              <w:ind w:right="607"/>
              <w:spacing w:after="0" w:line="166" w:lineRule="exact"/>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5"/>
        </w:trPr>
        <w:tc>
          <w:tcPr>
            <w:tcW w:w="67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Charged to Earnings to Date</w:t>
            </w: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0"/>
        </w:trPr>
        <w:tc>
          <w:tcPr>
            <w:tcW w:w="67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Convertible promissory notes and embedded warrants</w:t>
            </w:r>
          </w:p>
        </w:tc>
        <w:tc>
          <w:tcPr>
            <w:tcW w:w="1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7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51,816</w:t>
            </w:r>
          </w:p>
        </w:tc>
        <w:tc>
          <w:tcPr>
            <w:tcW w:w="580" w:type="dxa"/>
            <w:vAlign w:val="bottom"/>
            <w:gridSpan w:val="3"/>
            <w:shd w:val="clear" w:color="auto" w:fill="D1EDF4"/>
          </w:tcPr>
          <w:p>
            <w:pPr>
              <w:ind w:left="18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37,847</w:t>
            </w:r>
          </w:p>
        </w:tc>
        <w:tc>
          <w:tcPr>
            <w:tcW w:w="36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89,663</w:t>
            </w:r>
          </w:p>
        </w:tc>
      </w:tr>
      <w:tr>
        <w:trPr>
          <w:trHeight w:val="222"/>
        </w:trPr>
        <w:tc>
          <w:tcPr>
            <w:tcW w:w="6700" w:type="dxa"/>
            <w:vAlign w:val="bottom"/>
          </w:tcPr>
          <w:p>
            <w:pPr>
              <w:ind w:left="12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51,816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37,847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89,663</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had no outstanding convertible promissory notes and embedded warrants as of June 30,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Valuation Assumptions Related to Warrants</w:t>
      </w:r>
    </w:p>
    <w:p>
      <w:pPr>
        <w:spacing w:after="0" w:line="229"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60" w:type="dxa"/>
            <w:vAlign w:val="bottom"/>
          </w:tcPr>
          <w:p>
            <w:pPr>
              <w:spacing w:after="0"/>
              <w:rPr>
                <w:sz w:val="16"/>
                <w:szCs w:val="16"/>
                <w:color w:val="auto"/>
              </w:rPr>
            </w:pPr>
          </w:p>
        </w:tc>
      </w:tr>
      <w:tr>
        <w:trPr>
          <w:trHeight w:val="185"/>
        </w:trPr>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6"/>
                <w:szCs w:val="16"/>
                <w:color w:val="auto"/>
              </w:rPr>
            </w:pPr>
          </w:p>
        </w:tc>
      </w:tr>
      <w:tr>
        <w:trPr>
          <w:trHeight w:val="203"/>
        </w:trPr>
        <w:tc>
          <w:tcPr>
            <w:tcW w:w="5040" w:type="dxa"/>
            <w:vAlign w:val="bottom"/>
            <w:tcBorders>
              <w:bottom w:val="single" w:sz="8" w:color="D1EDF4"/>
            </w:tcBorders>
          </w:tcPr>
          <w:p>
            <w:pPr>
              <w:spacing w:after="0"/>
              <w:rPr>
                <w:sz w:val="17"/>
                <w:szCs w:val="17"/>
                <w:color w:val="auto"/>
              </w:rPr>
            </w:pPr>
          </w:p>
        </w:tc>
        <w:tc>
          <w:tcPr>
            <w:tcW w:w="306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Borders>
              <w:bottom w:val="single" w:sz="8" w:color="D1EDF4"/>
            </w:tcBorders>
          </w:tcPr>
          <w:p>
            <w:pPr>
              <w:spacing w:after="0"/>
              <w:rPr>
                <w:sz w:val="17"/>
                <w:szCs w:val="17"/>
                <w:color w:val="auto"/>
              </w:rPr>
            </w:pPr>
          </w:p>
        </w:tc>
      </w:tr>
      <w:tr>
        <w:trPr>
          <w:trHeight w:val="220"/>
        </w:trPr>
        <w:tc>
          <w:tcPr>
            <w:tcW w:w="50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30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4.19</w:t>
            </w:r>
          </w:p>
        </w:tc>
        <w:tc>
          <w:tcPr>
            <w:tcW w:w="2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c>
          <w:tcPr>
            <w:tcW w:w="18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3.00</w:t>
            </w:r>
          </w:p>
        </w:tc>
        <w:tc>
          <w:tcPr>
            <w:tcW w:w="1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w:t>
            </w:r>
          </w:p>
        </w:tc>
        <w:tc>
          <w:tcPr>
            <w:tcW w:w="160" w:type="dxa"/>
            <w:vAlign w:val="bottom"/>
          </w:tcPr>
          <w:p>
            <w:pPr>
              <w:spacing w:after="0"/>
              <w:rPr>
                <w:sz w:val="20"/>
                <w:szCs w:val="20"/>
                <w:color w:val="auto"/>
              </w:rPr>
            </w:pPr>
          </w:p>
        </w:tc>
      </w:tr>
      <w:tr>
        <w:trPr>
          <w:trHeight w:val="229"/>
        </w:trPr>
        <w:tc>
          <w:tcPr>
            <w:tcW w:w="50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30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56.76 %</w:t>
            </w:r>
          </w:p>
        </w:tc>
        <w:tc>
          <w:tcPr>
            <w:tcW w:w="180" w:type="dxa"/>
            <w:vAlign w:val="bottom"/>
            <w:shd w:val="clear" w:color="auto" w:fill="D1EDF4"/>
          </w:tcPr>
          <w:p>
            <w:pPr>
              <w:spacing w:after="0"/>
              <w:rPr>
                <w:sz w:val="19"/>
                <w:szCs w:val="19"/>
                <w:color w:val="auto"/>
              </w:rPr>
            </w:pPr>
          </w:p>
        </w:tc>
        <w:tc>
          <w:tcPr>
            <w:tcW w:w="11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65.72 %</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0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Exercise price</w:t>
            </w:r>
          </w:p>
        </w:tc>
        <w:tc>
          <w:tcPr>
            <w:tcW w:w="324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44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160" w:type="dxa"/>
            <w:vAlign w:val="bottom"/>
            <w:shd w:val="clear" w:color="auto" w:fill="D1EDF4"/>
          </w:tcPr>
          <w:p>
            <w:pPr>
              <w:spacing w:after="0"/>
              <w:rPr>
                <w:sz w:val="20"/>
                <w:szCs w:val="20"/>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Level 3 Rollforward</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sets forth a summary of changes in the fair value of the Company’s Level 3 liabilities: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Convertible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Promissory</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Unvested</w:t>
            </w:r>
          </w:p>
        </w:tc>
      </w:tr>
      <w:tr>
        <w:trPr>
          <w:trHeight w:val="185"/>
        </w:trPr>
        <w:tc>
          <w:tcPr>
            <w:tcW w:w="7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Sponsor</w:t>
            </w:r>
          </w:p>
        </w:tc>
      </w:tr>
      <w:tr>
        <w:trPr>
          <w:trHeight w:val="185"/>
        </w:trPr>
        <w:tc>
          <w:tcPr>
            <w:tcW w:w="7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120" w:type="dxa"/>
            <w:vAlign w:val="bottom"/>
          </w:tcPr>
          <w:p>
            <w:pPr>
              <w:spacing w:after="0"/>
              <w:rPr>
                <w:sz w:val="16"/>
                <w:szCs w:val="16"/>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4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204"/>
        </w:trPr>
        <w:tc>
          <w:tcPr>
            <w:tcW w:w="7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7"/>
                <w:szCs w:val="17"/>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7"/>
                <w:szCs w:val="17"/>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Liability</w:t>
            </w:r>
          </w:p>
        </w:tc>
      </w:tr>
      <w:tr>
        <w:trPr>
          <w:trHeight w:val="221"/>
        </w:trPr>
        <w:tc>
          <w:tcPr>
            <w:tcW w:w="7300" w:type="dxa"/>
            <w:vAlign w:val="bottom"/>
            <w:tcBorders>
              <w:top w:val="single" w:sz="8" w:color="D1EDF4"/>
            </w:tcBorders>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Balance at June 30, 2022</w:t>
            </w:r>
          </w:p>
        </w:tc>
        <w:tc>
          <w:tcPr>
            <w:tcW w:w="8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89,663</w:t>
            </w:r>
          </w:p>
        </w:tc>
        <w:tc>
          <w:tcPr>
            <w:tcW w:w="20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4,149</w:t>
            </w:r>
          </w:p>
        </w:tc>
        <w:tc>
          <w:tcPr>
            <w:tcW w:w="20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4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r>
      <w:tr>
        <w:trPr>
          <w:trHeight w:val="232"/>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Reclassification of liability classified warrants to equity</w:t>
            </w:r>
          </w:p>
        </w:tc>
        <w:tc>
          <w:tcPr>
            <w:tcW w:w="8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73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Issuance of warrants</w:t>
            </w:r>
          </w:p>
        </w:tc>
        <w:tc>
          <w:tcPr>
            <w:tcW w:w="80" w:type="dxa"/>
            <w:vAlign w:val="bottom"/>
            <w:shd w:val="clear" w:color="auto" w:fill="D1EDF4"/>
          </w:tcPr>
          <w:p>
            <w:pPr>
              <w:spacing w:after="0"/>
              <w:rPr>
                <w:sz w:val="20"/>
                <w:szCs w:val="20"/>
                <w:color w:val="auto"/>
              </w:rPr>
            </w:pPr>
          </w:p>
        </w:tc>
        <w:tc>
          <w:tcPr>
            <w:tcW w:w="1160" w:type="dxa"/>
            <w:vAlign w:val="bottom"/>
            <w:gridSpan w:val="3"/>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spacing w:after="0"/>
              <w:rPr>
                <w:sz w:val="20"/>
                <w:szCs w:val="20"/>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7,701</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2"/>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Recognition of warrants and unvested sponsor shares liabilities assumed upon Merger</w:t>
            </w:r>
          </w:p>
        </w:tc>
        <w:tc>
          <w:tcPr>
            <w:tcW w:w="80" w:type="dxa"/>
            <w:vAlign w:val="bottom"/>
          </w:tcPr>
          <w:p>
            <w:pPr>
              <w:spacing w:after="0"/>
              <w:rPr>
                <w:sz w:val="20"/>
                <w:szCs w:val="20"/>
                <w:color w:val="auto"/>
              </w:rPr>
            </w:pPr>
          </w:p>
        </w:tc>
        <w:tc>
          <w:tcPr>
            <w:tcW w:w="116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w:t>
            </w:r>
          </w:p>
        </w:tc>
        <w:tc>
          <w:tcPr>
            <w:tcW w:w="20" w:type="dxa"/>
            <w:vAlign w:val="bottom"/>
          </w:tcPr>
          <w:p>
            <w:pPr>
              <w:spacing w:after="0"/>
              <w:rPr>
                <w:sz w:val="20"/>
                <w:szCs w:val="20"/>
                <w:color w:val="auto"/>
              </w:rPr>
            </w:pPr>
          </w:p>
        </w:tc>
      </w:tr>
      <w:tr>
        <w:trPr>
          <w:trHeight w:val="230"/>
        </w:trPr>
        <w:tc>
          <w:tcPr>
            <w:tcW w:w="730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Change in fair value</w:t>
            </w:r>
          </w:p>
        </w:tc>
        <w:tc>
          <w:tcPr>
            <w:tcW w:w="80" w:type="dxa"/>
            <w:vAlign w:val="bottom"/>
            <w:shd w:val="clear" w:color="auto" w:fill="D1EDF4"/>
          </w:tcPr>
          <w:p>
            <w:pPr>
              <w:spacing w:after="0"/>
              <w:rPr>
                <w:sz w:val="20"/>
                <w:szCs w:val="20"/>
                <w:color w:val="auto"/>
              </w:rPr>
            </w:pPr>
          </w:p>
        </w:tc>
        <w:tc>
          <w:tcPr>
            <w:tcW w:w="1140" w:type="dxa"/>
            <w:vAlign w:val="bottom"/>
            <w:gridSpan w:val="2"/>
            <w:shd w:val="clear" w:color="auto" w:fill="D1EDF4"/>
          </w:tcPr>
          <w:p>
            <w:pPr>
              <w:jc w:val="right"/>
              <w:ind w:right="200"/>
              <w:spacing w:after="0"/>
              <w:rPr>
                <w:sz w:val="20"/>
                <w:szCs w:val="20"/>
                <w:color w:val="auto"/>
              </w:rPr>
            </w:pPr>
            <w:r>
              <w:rPr>
                <w:rFonts w:ascii="Times New Roman" w:cs="Times New Roman" w:eastAsia="Times New Roman" w:hAnsi="Times New Roman"/>
                <w:sz w:val="20"/>
                <w:szCs w:val="20"/>
                <w:color w:val="auto"/>
              </w:rPr>
              <w:t>(48,271)</w:t>
            </w: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5,459</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8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0" w:type="dxa"/>
            <w:vAlign w:val="bottom"/>
          </w:tcPr>
          <w:p>
            <w:pPr>
              <w:spacing w:after="0"/>
              <w:rPr>
                <w:sz w:val="20"/>
                <w:szCs w:val="20"/>
                <w:color w:val="auto"/>
              </w:rPr>
            </w:pPr>
          </w:p>
        </w:tc>
      </w:tr>
      <w:tr>
        <w:trPr>
          <w:trHeight w:val="232"/>
        </w:trPr>
        <w:tc>
          <w:tcPr>
            <w:tcW w:w="73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Conversion of warrant liabilities and convertible promissory notes</w:t>
            </w:r>
          </w:p>
        </w:tc>
        <w:tc>
          <w:tcPr>
            <w:tcW w:w="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(41,392)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r>
        <w:trPr>
          <w:trHeight w:val="230"/>
        </w:trPr>
        <w:tc>
          <w:tcPr>
            <w:tcW w:w="728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at June 30, 2023</w:t>
            </w: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80" w:type="dxa"/>
            <w:vAlign w:val="bottom"/>
            <w:tcBorders>
              <w:top w:val="single" w:sz="8" w:color="auto"/>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25,867</w:t>
            </w:r>
          </w:p>
        </w:tc>
        <w:tc>
          <w:tcPr>
            <w:tcW w:w="20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4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1,399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700" w:right="720" w:bottom="175"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6"/>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Convertible</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4"/>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Promissory</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Unvested</w:t>
            </w:r>
          </w:p>
        </w:tc>
      </w:tr>
      <w:tr>
        <w:trPr>
          <w:trHeight w:val="185"/>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9"/>
              </w:rPr>
              <w:t>Sponsor</w:t>
            </w:r>
          </w:p>
        </w:tc>
      </w:tr>
      <w:tr>
        <w:trPr>
          <w:trHeight w:val="184"/>
        </w:trPr>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203"/>
        </w:trPr>
        <w:tc>
          <w:tcPr>
            <w:tcW w:w="728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8"/>
              </w:rPr>
              <w:t>Liability</w:t>
            </w:r>
          </w:p>
        </w:tc>
      </w:tr>
      <w:tr>
        <w:trPr>
          <w:trHeight w:val="220"/>
        </w:trPr>
        <w:tc>
          <w:tcPr>
            <w:tcW w:w="72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at June 30, 2021</w:t>
            </w:r>
          </w:p>
        </w:tc>
        <w:tc>
          <w:tcPr>
            <w:tcW w:w="1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62,581</w:t>
            </w:r>
          </w:p>
        </w:tc>
        <w:tc>
          <w:tcPr>
            <w:tcW w:w="340" w:type="dxa"/>
            <w:vAlign w:val="bottom"/>
            <w:gridSpan w:val="3"/>
            <w:shd w:val="clear" w:color="auto" w:fill="D1EDF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1,434</w:t>
            </w:r>
          </w:p>
        </w:tc>
        <w:tc>
          <w:tcPr>
            <w:tcW w:w="360" w:type="dxa"/>
            <w:vAlign w:val="bottom"/>
            <w:gridSpan w:val="3"/>
            <w:shd w:val="clear" w:color="auto" w:fill="D1EDF4"/>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1EDF4"/>
          </w:tcPr>
          <w:p>
            <w:pPr>
              <w:ind w:left="62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convertible promissory notes</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Issuance of warrants</w:t>
            </w:r>
          </w:p>
        </w:tc>
        <w:tc>
          <w:tcPr>
            <w:tcW w:w="100" w:type="dxa"/>
            <w:vAlign w:val="bottom"/>
            <w:shd w:val="clear" w:color="auto" w:fill="D1EDF4"/>
          </w:tcPr>
          <w:p>
            <w:pPr>
              <w:spacing w:after="0"/>
              <w:rPr>
                <w:sz w:val="20"/>
                <w:szCs w:val="20"/>
                <w:color w:val="auto"/>
              </w:rPr>
            </w:pPr>
          </w:p>
        </w:tc>
        <w:tc>
          <w:tcPr>
            <w:tcW w:w="9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9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20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880" w:type="dxa"/>
            <w:vAlign w:val="bottom"/>
            <w:shd w:val="clear" w:color="auto" w:fill="D1EDF4"/>
          </w:tcPr>
          <w:p>
            <w:pPr>
              <w:spacing w:after="0"/>
              <w:rPr>
                <w:sz w:val="20"/>
                <w:szCs w:val="20"/>
                <w:color w:val="auto"/>
              </w:rPr>
            </w:pPr>
          </w:p>
        </w:tc>
      </w:tr>
      <w:tr>
        <w:trPr>
          <w:trHeight w:val="229"/>
        </w:trPr>
        <w:tc>
          <w:tcPr>
            <w:tcW w:w="728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Change in fair value</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18,932</w:t>
            </w: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1,597</w:t>
            </w:r>
          </w:p>
        </w:tc>
        <w:tc>
          <w:tcPr>
            <w:tcW w:w="2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28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Balance at June 30, 2022</w:t>
            </w:r>
          </w:p>
        </w:tc>
        <w:tc>
          <w:tcPr>
            <w:tcW w:w="1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89,663</w:t>
            </w:r>
          </w:p>
        </w:tc>
        <w:tc>
          <w:tcPr>
            <w:tcW w:w="200" w:type="dxa"/>
            <w:vAlign w:val="bottom"/>
            <w:shd w:val="clear" w:color="auto" w:fill="D1EDF4"/>
          </w:tcPr>
          <w:p>
            <w:pPr>
              <w:spacing w:after="0"/>
              <w:rPr>
                <w:sz w:val="20"/>
                <w:szCs w:val="20"/>
                <w:color w:val="auto"/>
              </w:rPr>
            </w:pPr>
          </w:p>
        </w:tc>
        <w:tc>
          <w:tcPr>
            <w:tcW w:w="140" w:type="dxa"/>
            <w:vAlign w:val="bottom"/>
            <w:tcBorders>
              <w:bottom w:val="single" w:sz="8" w:color="auto"/>
            </w:tcBorders>
            <w:gridSpan w:val="2"/>
            <w:shd w:val="clear" w:color="auto" w:fill="D1EDF4"/>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4,149</w:t>
            </w:r>
          </w:p>
        </w:tc>
        <w:tc>
          <w:tcPr>
            <w:tcW w:w="200" w:type="dxa"/>
            <w:vAlign w:val="bottom"/>
            <w:shd w:val="clear" w:color="auto" w:fill="D1EDF4"/>
          </w:tcPr>
          <w:p>
            <w:pPr>
              <w:spacing w:after="0"/>
              <w:rPr>
                <w:sz w:val="20"/>
                <w:szCs w:val="20"/>
                <w:color w:val="auto"/>
              </w:rPr>
            </w:pPr>
          </w:p>
        </w:tc>
        <w:tc>
          <w:tcPr>
            <w:tcW w:w="160" w:type="dxa"/>
            <w:vAlign w:val="bottom"/>
            <w:tcBorders>
              <w:bottom w:val="single" w:sz="8" w:color="auto"/>
            </w:tcBorders>
            <w:gridSpan w:val="2"/>
            <w:shd w:val="clear" w:color="auto" w:fill="D1EDF4"/>
          </w:tcPr>
          <w:p>
            <w:pPr>
              <w:jc w:val="right"/>
              <w:ind w:right="40"/>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shd w:val="clear" w:color="auto" w:fill="D1EDF4"/>
          </w:tcPr>
          <w:p>
            <w:pPr>
              <w:ind w:left="620"/>
              <w:spacing w:after="0" w:line="221" w:lineRule="exact"/>
              <w:rPr>
                <w:sz w:val="20"/>
                <w:szCs w:val="20"/>
                <w:color w:val="auto"/>
              </w:rPr>
            </w:pPr>
            <w:r>
              <w:rPr>
                <w:rFonts w:ascii="Times New Roman" w:cs="Times New Roman" w:eastAsia="Times New Roman" w:hAnsi="Times New Roman"/>
                <w:sz w:val="20"/>
                <w:szCs w:val="20"/>
                <w:color w:val="auto"/>
              </w:rPr>
              <w:t>—</w:t>
            </w:r>
          </w:p>
        </w:tc>
      </w:tr>
    </w:tbl>
    <w:p>
      <w:pPr>
        <w:spacing w:after="0" w:line="210" w:lineRule="exact"/>
        <w:rPr>
          <w:sz w:val="20"/>
          <w:szCs w:val="20"/>
          <w:color w:val="auto"/>
        </w:rPr>
      </w:pPr>
    </w:p>
    <w:p>
      <w:pPr>
        <w:ind w:right="320" w:firstLine="725"/>
        <w:spacing w:after="0" w:line="278" w:lineRule="auto"/>
        <w:rPr>
          <w:sz w:val="20"/>
          <w:szCs w:val="20"/>
          <w:color w:val="auto"/>
        </w:rPr>
      </w:pPr>
      <w:r>
        <w:rPr>
          <w:rFonts w:ascii="Times New Roman" w:cs="Times New Roman" w:eastAsia="Times New Roman" w:hAnsi="Times New Roman"/>
          <w:sz w:val="20"/>
          <w:szCs w:val="20"/>
          <w:color w:val="auto"/>
        </w:rPr>
        <w:t>For the Company’s investments without readily determinable fair values, the investment is adjusted if any impairments or observable price changes are identified, which is considered fair value.</w:t>
      </w:r>
    </w:p>
    <w:p>
      <w:pPr>
        <w:spacing w:after="0" w:line="16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has determined that impairment indicators exist for its property and equipment, so the fair value of the property and equipment was compared to its carrying value (refer to “</w:t>
      </w:r>
      <w:r>
        <w:rPr>
          <w:rFonts w:ascii="Times New Roman" w:cs="Times New Roman" w:eastAsia="Times New Roman" w:hAnsi="Times New Roman"/>
          <w:sz w:val="20"/>
          <w:szCs w:val="20"/>
          <w:i w:val="1"/>
          <w:iCs w:val="1"/>
          <w:color w:val="auto"/>
        </w:rPr>
        <w:t>Property and Equipment, Net</w:t>
      </w:r>
      <w:r>
        <w:rPr>
          <w:rFonts w:ascii="Times New Roman" w:cs="Times New Roman" w:eastAsia="Times New Roman" w:hAnsi="Times New Roman"/>
          <w:sz w:val="20"/>
          <w:szCs w:val="20"/>
          <w:color w:val="auto"/>
        </w:rPr>
        <w:t>”). The fair value was calculated using a discounted cash flow model determined using “Level 3” inputs, due to the lack of relevant observable market data over fair value inputs.</w:t>
      </w:r>
    </w:p>
    <w:p>
      <w:pPr>
        <w:spacing w:after="0" w:line="189"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4 for further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Consolidated Balance Sheet Components</w:t>
      </w: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 net</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Company’s allowance for doubtful accounts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2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4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4"/>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980" w:type="dxa"/>
            <w:vAlign w:val="bottom"/>
            <w:tcBorders>
              <w:bottom w:val="single" w:sz="8" w:color="D1EDF4"/>
            </w:tcBorders>
          </w:tcPr>
          <w:p>
            <w:pPr>
              <w:spacing w:after="0"/>
              <w:rPr>
                <w:sz w:val="17"/>
                <w:szCs w:val="17"/>
                <w:color w:val="auto"/>
              </w:rPr>
            </w:pPr>
          </w:p>
        </w:tc>
        <w:tc>
          <w:tcPr>
            <w:tcW w:w="6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1"/>
        </w:trPr>
        <w:tc>
          <w:tcPr>
            <w:tcW w:w="824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Allowance for doubtful accounts, beginning of year - June 30, 2021</w:t>
            </w: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60" w:type="dxa"/>
            <w:vAlign w:val="bottom"/>
            <w:shd w:val="clear" w:color="auto" w:fill="D1EDF4"/>
          </w:tcPr>
          <w:p>
            <w:pPr>
              <w:spacing w:after="0"/>
              <w:rPr>
                <w:sz w:val="19"/>
                <w:szCs w:val="19"/>
                <w:color w:val="auto"/>
              </w:rPr>
            </w:pPr>
          </w:p>
        </w:tc>
        <w:tc>
          <w:tcPr>
            <w:tcW w:w="1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902</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32"/>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Recoveries</w:t>
            </w: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Write-offs</w:t>
            </w:r>
          </w:p>
        </w:tc>
        <w:tc>
          <w:tcPr>
            <w:tcW w:w="180" w:type="dxa"/>
            <w:vAlign w:val="bottom"/>
            <w:tcBorders>
              <w:bottom w:val="single" w:sz="8" w:color="D1EDF4"/>
            </w:tcBorders>
          </w:tcPr>
          <w:p>
            <w:pPr>
              <w:spacing w:after="0"/>
              <w:rPr>
                <w:sz w:val="20"/>
                <w:szCs w:val="20"/>
                <w:color w:val="auto"/>
              </w:rPr>
            </w:pPr>
          </w:p>
        </w:tc>
        <w:tc>
          <w:tcPr>
            <w:tcW w:w="980" w:type="dxa"/>
            <w:vAlign w:val="bottom"/>
            <w:tcBorders>
              <w:bottom w:val="single" w:sz="8" w:color="D1EDF4"/>
            </w:tcBorders>
          </w:tcPr>
          <w:p>
            <w:pPr>
              <w:spacing w:after="0"/>
              <w:rPr>
                <w:sz w:val="20"/>
                <w:szCs w:val="20"/>
                <w:color w:val="auto"/>
              </w:rPr>
            </w:pPr>
          </w:p>
        </w:tc>
        <w:tc>
          <w:tcPr>
            <w:tcW w:w="60" w:type="dxa"/>
            <w:vAlign w:val="bottom"/>
            <w:tcBorders>
              <w:bottom w:val="single" w:sz="8" w:color="D1ED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w:t>
            </w:r>
          </w:p>
        </w:tc>
        <w:tc>
          <w:tcPr>
            <w:tcW w:w="0" w:type="dxa"/>
            <w:vAlign w:val="bottom"/>
          </w:tcPr>
          <w:p>
            <w:pPr>
              <w:spacing w:after="0"/>
              <w:rPr>
                <w:sz w:val="1"/>
                <w:szCs w:val="1"/>
                <w:color w:val="auto"/>
              </w:rPr>
            </w:pPr>
          </w:p>
        </w:tc>
      </w:tr>
      <w:tr>
        <w:trPr>
          <w:trHeight w:val="221"/>
        </w:trPr>
        <w:tc>
          <w:tcPr>
            <w:tcW w:w="824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Allowance for doubtful accounts, end of year - June 30, 2022</w:t>
            </w: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02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353</w:t>
            </w:r>
          </w:p>
        </w:tc>
        <w:tc>
          <w:tcPr>
            <w:tcW w:w="0" w:type="dxa"/>
            <w:vAlign w:val="bottom"/>
          </w:tcPr>
          <w:p>
            <w:pPr>
              <w:spacing w:after="0"/>
              <w:rPr>
                <w:sz w:val="1"/>
                <w:szCs w:val="1"/>
                <w:color w:val="auto"/>
              </w:rPr>
            </w:pPr>
          </w:p>
        </w:tc>
      </w:tr>
      <w:tr>
        <w:trPr>
          <w:trHeight w:val="232"/>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Additions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Recoveries</w:t>
            </w: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824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Write-offs</w:t>
            </w:r>
          </w:p>
        </w:tc>
        <w:tc>
          <w:tcPr>
            <w:tcW w:w="180" w:type="dxa"/>
            <w:vAlign w:val="bottom"/>
            <w:tcBorders>
              <w:bottom w:val="single" w:sz="8" w:color="D1EDF4"/>
            </w:tcBorders>
          </w:tcPr>
          <w:p>
            <w:pPr>
              <w:spacing w:after="0"/>
              <w:rPr>
                <w:sz w:val="20"/>
                <w:szCs w:val="20"/>
                <w:color w:val="auto"/>
              </w:rPr>
            </w:pPr>
          </w:p>
        </w:tc>
        <w:tc>
          <w:tcPr>
            <w:tcW w:w="980" w:type="dxa"/>
            <w:vAlign w:val="bottom"/>
            <w:tcBorders>
              <w:bottom w:val="single" w:sz="8" w:color="D1EDF4"/>
            </w:tcBorders>
          </w:tcPr>
          <w:p>
            <w:pPr>
              <w:spacing w:after="0"/>
              <w:rPr>
                <w:sz w:val="20"/>
                <w:szCs w:val="20"/>
                <w:color w:val="auto"/>
              </w:rPr>
            </w:pPr>
          </w:p>
        </w:tc>
        <w:tc>
          <w:tcPr>
            <w:tcW w:w="60" w:type="dxa"/>
            <w:vAlign w:val="bottom"/>
            <w:tcBorders>
              <w:bottom w:val="single" w:sz="8" w:color="D1ED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Allowance for doubtful accounts, end of year - June 30, 2023</w:t>
            </w: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spacing w:after="0"/>
              <w:rPr>
                <w:sz w:val="20"/>
                <w:szCs w:val="20"/>
                <w:color w:val="auto"/>
              </w:rPr>
            </w:pPr>
          </w:p>
        </w:tc>
        <w:tc>
          <w:tcPr>
            <w:tcW w:w="102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746</w:t>
            </w:r>
          </w:p>
        </w:tc>
        <w:tc>
          <w:tcPr>
            <w:tcW w:w="0" w:type="dxa"/>
            <w:vAlign w:val="bottom"/>
          </w:tcPr>
          <w:p>
            <w:pPr>
              <w:spacing w:after="0"/>
              <w:rPr>
                <w:sz w:val="1"/>
                <w:szCs w:val="1"/>
                <w:color w:val="auto"/>
              </w:rPr>
            </w:pPr>
          </w:p>
        </w:tc>
      </w:tr>
      <w:tr>
        <w:trPr>
          <w:trHeight w:val="511"/>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Inventories consisted of the following:</w:t>
            </w:r>
          </w:p>
        </w:tc>
        <w:tc>
          <w:tcPr>
            <w:tcW w:w="18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70"/>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Finished goods</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629</w:t>
            </w:r>
          </w:p>
        </w:tc>
        <w:tc>
          <w:tcPr>
            <w:tcW w:w="60" w:type="dxa"/>
            <w:vAlign w:val="bottom"/>
            <w:shd w:val="clear" w:color="auto" w:fill="D1EDF4"/>
          </w:tcPr>
          <w:p>
            <w:pPr>
              <w:spacing w:after="0"/>
              <w:rPr>
                <w:sz w:val="19"/>
                <w:szCs w:val="19"/>
                <w:color w:val="auto"/>
              </w:rPr>
            </w:pPr>
          </w:p>
        </w:tc>
        <w:tc>
          <w:tcPr>
            <w:tcW w:w="32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869</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Total inventories</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962" w:right="720" w:bottom="175" w:gutter="0" w:footer="0" w:header="0"/>
        </w:sectPr>
      </w:pPr>
    </w:p>
    <w:bookmarkStart w:id="81" w:name="page82"/>
    <w:bookmarkEnd w:id="81"/>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04"/>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D1ED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1"/>
        </w:trPr>
        <w:tc>
          <w:tcPr>
            <w:tcW w:w="824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Security deposits</w:t>
            </w:r>
          </w:p>
        </w:tc>
        <w:tc>
          <w:tcPr>
            <w:tcW w:w="1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27</w:t>
            </w:r>
          </w:p>
        </w:tc>
        <w:tc>
          <w:tcPr>
            <w:tcW w:w="440" w:type="dxa"/>
            <w:vAlign w:val="bottom"/>
            <w:gridSpan w:val="2"/>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351</w:t>
            </w: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receivables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432</w:t>
            </w: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263</w:t>
            </w:r>
          </w:p>
        </w:tc>
      </w:tr>
      <w:tr>
        <w:trPr>
          <w:trHeight w:val="230"/>
        </w:trPr>
        <w:tc>
          <w:tcPr>
            <w:tcW w:w="824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24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1"/>
        </w:trPr>
        <w:tc>
          <w:tcPr>
            <w:tcW w:w="8220" w:type="dxa"/>
            <w:vAlign w:val="bottom"/>
            <w:shd w:val="clear" w:color="auto" w:fill="D1EDF4"/>
          </w:tcPr>
          <w:p>
            <w:pPr>
              <w:ind w:left="120"/>
              <w:spacing w:after="0" w:line="222" w:lineRule="exact"/>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20" w:type="dxa"/>
            <w:vAlign w:val="bottom"/>
            <w:tcBorders>
              <w:bottom w:val="single" w:sz="8" w:color="auto"/>
            </w:tcBorders>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1,162</w:t>
            </w:r>
          </w:p>
        </w:tc>
        <w:tc>
          <w:tcPr>
            <w:tcW w:w="240" w:type="dxa"/>
            <w:vAlign w:val="bottom"/>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D1EDF4"/>
          </w:tcPr>
          <w:p>
            <w:pPr>
              <w:jc w:val="right"/>
              <w:spacing w:after="0" w:line="222" w:lineRule="exact"/>
              <w:rPr>
                <w:sz w:val="20"/>
                <w:szCs w:val="20"/>
                <w:color w:val="auto"/>
              </w:rPr>
            </w:pPr>
            <w:r>
              <w:rPr>
                <w:rFonts w:ascii="Times New Roman" w:cs="Times New Roman" w:eastAsia="Times New Roman" w:hAnsi="Times New Roman"/>
                <w:sz w:val="20"/>
                <w:szCs w:val="20"/>
                <w:color w:val="auto"/>
              </w:rPr>
              <w:t>707</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 in Non-Affiliates</w:t>
      </w:r>
    </w:p>
    <w:p>
      <w:pPr>
        <w:spacing w:after="0" w:line="239"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In December 2022, the Company entered into a simple agreement for future equity (SAFE) with a non-affiliated entity, with the Company making a $2.0 million investment in the entity. The non-affiliated entity is a closely 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Company has determined that the Company’s investment in the non-affiliate is an equity security, whereby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and possesses no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 whereby the investment is measured at cost less any impairment recorded or adjustments for observable price changes. During the year ended June 30, 2023, no 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0" w:type="dxa"/>
            <w:vAlign w:val="bottom"/>
          </w:tcPr>
          <w:p>
            <w:pPr>
              <w:spacing w:after="0"/>
              <w:rPr>
                <w:sz w:val="16"/>
                <w:szCs w:val="16"/>
                <w:color w:val="auto"/>
              </w:rPr>
            </w:pPr>
          </w:p>
        </w:tc>
        <w:tc>
          <w:tcPr>
            <w:tcW w:w="96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84"/>
        </w:trPr>
        <w:tc>
          <w:tcPr>
            <w:tcW w:w="8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0" w:type="dxa"/>
            <w:vAlign w:val="bottom"/>
          </w:tcPr>
          <w:p>
            <w:pPr>
              <w:spacing w:after="0"/>
              <w:rPr>
                <w:sz w:val="15"/>
                <w:szCs w:val="15"/>
                <w:color w:val="auto"/>
              </w:rPr>
            </w:pPr>
          </w:p>
        </w:tc>
        <w:tc>
          <w:tcPr>
            <w:tcW w:w="960" w:type="dxa"/>
            <w:vAlign w:val="bottom"/>
          </w:tcPr>
          <w:p>
            <w:pPr>
              <w:jc w:val="center"/>
              <w:ind w:right="147"/>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03"/>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D1ED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Tablets</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5,774</w:t>
            </w: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5,663</w:t>
            </w: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Software</w:t>
            </w:r>
          </w:p>
        </w:tc>
        <w:tc>
          <w:tcPr>
            <w:tcW w:w="18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40" w:type="dxa"/>
            <w:vAlign w:val="bottom"/>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spacing w:after="0"/>
              <w:rPr>
                <w:sz w:val="20"/>
                <w:szCs w:val="20"/>
                <w:color w:val="auto"/>
              </w:rPr>
            </w:pPr>
          </w:p>
        </w:tc>
        <w:tc>
          <w:tcPr>
            <w:tcW w:w="9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562</w:t>
            </w:r>
          </w:p>
        </w:tc>
      </w:tr>
      <w:tr>
        <w:trPr>
          <w:trHeight w:val="219"/>
        </w:trPr>
        <w:tc>
          <w:tcPr>
            <w:tcW w:w="8240" w:type="dxa"/>
            <w:vAlign w:val="bottom"/>
            <w:gridSpan w:val="2"/>
          </w:tcPr>
          <w:p>
            <w:pPr>
              <w:spacing w:after="0" w:line="219" w:lineRule="exact"/>
              <w:rPr>
                <w:sz w:val="20"/>
                <w:szCs w:val="20"/>
                <w:color w:val="auto"/>
              </w:rPr>
            </w:pPr>
            <w:r>
              <w:rPr>
                <w:rFonts w:ascii="Times New Roman" w:cs="Times New Roman" w:eastAsia="Times New Roman" w:hAnsi="Times New Roman"/>
                <w:sz w:val="20"/>
                <w:szCs w:val="20"/>
                <w:color w:val="auto"/>
              </w:rPr>
              <w:t>Total property and equipment</w:t>
            </w:r>
          </w:p>
        </w:tc>
        <w:tc>
          <w:tcPr>
            <w:tcW w:w="180" w:type="dxa"/>
            <w:vAlign w:val="bottom"/>
          </w:tcPr>
          <w:p>
            <w:pPr>
              <w:spacing w:after="0"/>
              <w:rPr>
                <w:sz w:val="19"/>
                <w:szCs w:val="19"/>
                <w:color w:val="auto"/>
              </w:rPr>
            </w:pPr>
          </w:p>
        </w:tc>
        <w:tc>
          <w:tcPr>
            <w:tcW w:w="9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6,412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auto"/>
              </w:rPr>
              <w:t>6,744</w:t>
            </w: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80" w:type="dxa"/>
            <w:vAlign w:val="bottom"/>
            <w:shd w:val="clear" w:color="auto" w:fill="D1EDF4"/>
          </w:tcPr>
          <w:p>
            <w:pPr>
              <w:spacing w:after="0"/>
              <w:rPr>
                <w:sz w:val="20"/>
                <w:szCs w:val="20"/>
                <w:color w:val="auto"/>
              </w:rPr>
            </w:pPr>
          </w:p>
        </w:tc>
        <w:tc>
          <w:tcPr>
            <w:tcW w:w="1220" w:type="dxa"/>
            <w:vAlign w:val="bottom"/>
            <w:gridSpan w:val="2"/>
            <w:shd w:val="clear" w:color="auto" w:fill="D1EDF4"/>
          </w:tcPr>
          <w:p>
            <w:pPr>
              <w:jc w:val="right"/>
              <w:ind w:right="240"/>
              <w:spacing w:after="0"/>
              <w:rPr>
                <w:sz w:val="20"/>
                <w:szCs w:val="20"/>
                <w:color w:val="auto"/>
              </w:rPr>
            </w:pPr>
            <w:r>
              <w:rPr>
                <w:rFonts w:ascii="Times New Roman" w:cs="Times New Roman" w:eastAsia="Times New Roman" w:hAnsi="Times New Roman"/>
                <w:sz w:val="20"/>
                <w:szCs w:val="20"/>
                <w:color w:val="auto"/>
              </w:rPr>
              <w:t>(5,503)</w:t>
            </w:r>
          </w:p>
        </w:tc>
        <w:tc>
          <w:tcPr>
            <w:tcW w:w="2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(4,769)</w:t>
            </w:r>
          </w:p>
        </w:tc>
      </w:tr>
      <w:tr>
        <w:trPr>
          <w:trHeight w:val="230"/>
        </w:trPr>
        <w:tc>
          <w:tcPr>
            <w:tcW w:w="822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909</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1,975</w:t>
            </w:r>
          </w:p>
        </w:tc>
      </w:tr>
    </w:tbl>
    <w:p>
      <w:pPr>
        <w:spacing w:after="0" w:line="3"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Depreciation expense was $1.3 million and $1.6 million for the years ended June 30, 2023 and 2022, respectively, of which $1.2 million and $1.5 million, respectively, was related to capital leased equipment and was recorded in cost of revenue in the Company’s consolidated statement of operations and comprehensive loss. The remainder of depreciation expense was recorded in operating expenses for the years ended June 30, 2023 and 2022.</w:t>
      </w:r>
    </w:p>
    <w:p>
      <w:pPr>
        <w:spacing w:after="0" w:line="195"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19"/>
          <w:szCs w:val="19"/>
          <w:color w:val="auto"/>
        </w:rPr>
        <w:t>During the year ended June 30, 2022, the Company recognized a loss on impairment of $ 0.6 million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700" w:right="720" w:bottom="175" w:gutter="0" w:footer="0" w:header="0"/>
        </w:sectPr>
      </w:pPr>
    </w:p>
    <w:bookmarkStart w:id="82" w:name="page83"/>
    <w:bookmarkEnd w:id="82"/>
    <w:p>
      <w:pPr>
        <w:ind w:right="60"/>
        <w:spacing w:after="0" w:line="278" w:lineRule="auto"/>
        <w:rPr>
          <w:sz w:val="20"/>
          <w:szCs w:val="20"/>
          <w:color w:val="auto"/>
        </w:rPr>
      </w:pPr>
      <w:r>
        <w:rPr>
          <w:rFonts w:ascii="Times New Roman" w:cs="Times New Roman" w:eastAsia="Times New Roman" w:hAnsi="Times New Roman"/>
          <w:sz w:val="20"/>
          <w:szCs w:val="20"/>
          <w:color w:val="auto"/>
        </w:rPr>
        <w:t>in the extent the property and equipment were being used. The Company evaluated the recoverability of the assets and concluded they were not recoverable. There was no impairment charge in the year ended June 30,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340" w:type="dxa"/>
            <w:vAlign w:val="bottom"/>
            <w:tcBorders>
              <w:bottom w:val="single" w:sz="8" w:color="D1EDF4"/>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center"/>
              <w:ind w:right="625"/>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221"/>
        </w:trPr>
        <w:tc>
          <w:tcPr>
            <w:tcW w:w="824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Tablets</w:t>
            </w:r>
          </w:p>
        </w:tc>
        <w:tc>
          <w:tcPr>
            <w:tcW w:w="180" w:type="dxa"/>
            <w:vAlign w:val="bottom"/>
            <w:shd w:val="clear" w:color="auto" w:fill="D1EDF4"/>
          </w:tcPr>
          <w:p>
            <w:pPr>
              <w:spacing w:after="0"/>
              <w:rPr>
                <w:sz w:val="19"/>
                <w:szCs w:val="19"/>
                <w:color w:val="auto"/>
              </w:rPr>
            </w:pPr>
          </w:p>
        </w:tc>
        <w:tc>
          <w:tcPr>
            <w:tcW w:w="340" w:type="dxa"/>
            <w:vAlign w:val="bottom"/>
            <w:shd w:val="clear" w:color="auto" w:fill="D1EDF4"/>
          </w:tcPr>
          <w:p>
            <w:pPr>
              <w:spacing w:after="0"/>
              <w:rPr>
                <w:sz w:val="19"/>
                <w:szCs w:val="19"/>
                <w:color w:val="auto"/>
              </w:rPr>
            </w:pPr>
          </w:p>
        </w:tc>
        <w:tc>
          <w:tcPr>
            <w:tcW w:w="640" w:type="dxa"/>
            <w:vAlign w:val="bottom"/>
            <w:shd w:val="clear" w:color="auto" w:fill="D1EDF4"/>
          </w:tcPr>
          <w:p>
            <w:pPr>
              <w:spacing w:after="0"/>
              <w:rPr>
                <w:sz w:val="19"/>
                <w:szCs w:val="19"/>
                <w:color w:val="auto"/>
              </w:rPr>
            </w:pPr>
          </w:p>
        </w:tc>
        <w:tc>
          <w:tcPr>
            <w:tcW w:w="8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060" w:type="dxa"/>
            <w:vAlign w:val="bottom"/>
            <w:shd w:val="clear" w:color="auto" w:fill="D1EDF4"/>
          </w:tcPr>
          <w:p>
            <w:pPr>
              <w:jc w:val="right"/>
              <w:ind w:right="845"/>
              <w:spacing w:after="0" w:line="221" w:lineRule="exact"/>
              <w:rPr>
                <w:sz w:val="20"/>
                <w:szCs w:val="20"/>
                <w:color w:val="auto"/>
              </w:rPr>
            </w:pPr>
            <w:r>
              <w:rPr>
                <w:rFonts w:ascii="Times New Roman" w:cs="Times New Roman" w:eastAsia="Times New Roman" w:hAnsi="Times New Roman"/>
                <w:sz w:val="20"/>
                <w:szCs w:val="20"/>
                <w:color w:val="auto"/>
                <w:w w:val="99"/>
              </w:rPr>
              <w:t>4</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845"/>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32"/>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Software</w:t>
            </w:r>
          </w:p>
        </w:tc>
        <w:tc>
          <w:tcPr>
            <w:tcW w:w="180" w:type="dxa"/>
            <w:vAlign w:val="bottom"/>
            <w:shd w:val="clear" w:color="auto" w:fill="D1EDF4"/>
          </w:tcPr>
          <w:p>
            <w:pPr>
              <w:spacing w:after="0"/>
              <w:rPr>
                <w:sz w:val="20"/>
                <w:szCs w:val="20"/>
                <w:color w:val="auto"/>
              </w:rPr>
            </w:pPr>
          </w:p>
        </w:tc>
        <w:tc>
          <w:tcPr>
            <w:tcW w:w="340" w:type="dxa"/>
            <w:vAlign w:val="bottom"/>
            <w:shd w:val="clear" w:color="auto" w:fill="D1EDF4"/>
          </w:tcPr>
          <w:p>
            <w:pPr>
              <w:spacing w:after="0"/>
              <w:rPr>
                <w:sz w:val="20"/>
                <w:szCs w:val="20"/>
                <w:color w:val="auto"/>
              </w:rPr>
            </w:pPr>
          </w:p>
        </w:tc>
        <w:tc>
          <w:tcPr>
            <w:tcW w:w="640" w:type="dxa"/>
            <w:vAlign w:val="bottom"/>
            <w:shd w:val="clear" w:color="auto" w:fill="D1EDF4"/>
          </w:tcPr>
          <w:p>
            <w:pPr>
              <w:spacing w:after="0"/>
              <w:rPr>
                <w:sz w:val="20"/>
                <w:szCs w:val="20"/>
                <w:color w:val="auto"/>
              </w:rPr>
            </w:pPr>
          </w:p>
        </w:tc>
        <w:tc>
          <w:tcPr>
            <w:tcW w:w="8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060" w:type="dxa"/>
            <w:vAlign w:val="bottom"/>
            <w:shd w:val="clear" w:color="auto" w:fill="D1EDF4"/>
          </w:tcPr>
          <w:p>
            <w:pPr>
              <w:jc w:val="right"/>
              <w:ind w:right="845"/>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10"/>
        </w:trPr>
        <w:tc>
          <w:tcPr>
            <w:tcW w:w="8240" w:type="dxa"/>
            <w:vAlign w:val="bottom"/>
            <w:gridSpan w:val="2"/>
          </w:tcPr>
          <w:p>
            <w:pPr>
              <w:spacing w:after="0" w:line="210" w:lineRule="exact"/>
              <w:rPr>
                <w:sz w:val="20"/>
                <w:szCs w:val="20"/>
                <w:color w:val="auto"/>
              </w:rPr>
            </w:pPr>
            <w:r>
              <w:rPr>
                <w:rFonts w:ascii="Times New Roman" w:cs="Times New Roman" w:eastAsia="Times New Roman" w:hAnsi="Times New Roman"/>
                <w:sz w:val="20"/>
                <w:szCs w:val="20"/>
                <w:color w:val="auto"/>
              </w:rPr>
              <w:t>Leasehold improvements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6"/>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Shorter of estimated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w w:val="99"/>
              </w:rPr>
              <w:t>useful life or remaining</w:t>
            </w:r>
          </w:p>
        </w:tc>
        <w:tc>
          <w:tcPr>
            <w:tcW w:w="0" w:type="dxa"/>
            <w:vAlign w:val="bottom"/>
          </w:tcPr>
          <w:p>
            <w:pPr>
              <w:spacing w:after="0"/>
              <w:rPr>
                <w:sz w:val="1"/>
                <w:szCs w:val="1"/>
                <w:color w:val="auto"/>
              </w:rPr>
            </w:pPr>
          </w:p>
        </w:tc>
      </w:tr>
      <w:tr>
        <w:trPr>
          <w:trHeight w:val="267"/>
        </w:trPr>
        <w:tc>
          <w:tcPr>
            <w:tcW w:w="8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4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w w:val="97"/>
              </w:rPr>
              <w:t>lease term</w:t>
            </w:r>
          </w:p>
        </w:tc>
        <w:tc>
          <w:tcPr>
            <w:tcW w:w="0" w:type="dxa"/>
            <w:vAlign w:val="bottom"/>
          </w:tcPr>
          <w:p>
            <w:pPr>
              <w:spacing w:after="0"/>
              <w:rPr>
                <w:sz w:val="1"/>
                <w:szCs w:val="1"/>
                <w:color w:val="auto"/>
              </w:rPr>
            </w:pPr>
          </w:p>
        </w:tc>
      </w:tr>
      <w:tr>
        <w:trPr>
          <w:trHeight w:val="30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 net</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8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Intangible assets, net consisted of the following:</w:t>
            </w:r>
          </w:p>
        </w:tc>
        <w:tc>
          <w:tcPr>
            <w:tcW w:w="180" w:type="dxa"/>
            <w:vAlign w:val="bottom"/>
          </w:tcPr>
          <w:p>
            <w:pPr>
              <w:spacing w:after="0"/>
              <w:rPr>
                <w:sz w:val="24"/>
                <w:szCs w:val="24"/>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4"/>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D1EDF4"/>
            </w:tcBorders>
          </w:tcPr>
          <w:p>
            <w:pPr>
              <w:spacing w:after="0"/>
              <w:rPr>
                <w:sz w:val="17"/>
                <w:szCs w:val="17"/>
                <w:color w:val="auto"/>
              </w:rPr>
            </w:pPr>
          </w:p>
        </w:tc>
        <w:tc>
          <w:tcPr>
            <w:tcW w:w="1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Capitalized software</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9,754</w:t>
            </w:r>
          </w:p>
        </w:tc>
        <w:tc>
          <w:tcPr>
            <w:tcW w:w="80" w:type="dxa"/>
            <w:vAlign w:val="bottom"/>
            <w:shd w:val="clear" w:color="auto" w:fill="D1EDF4"/>
          </w:tcPr>
          <w:p>
            <w:pPr>
              <w:spacing w:after="0"/>
              <w:rPr>
                <w:sz w:val="19"/>
                <w:szCs w:val="19"/>
                <w:color w:val="auto"/>
              </w:rPr>
            </w:pPr>
          </w:p>
        </w:tc>
        <w:tc>
          <w:tcPr>
            <w:tcW w:w="26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3,135</w:t>
            </w: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Domain name</w:t>
            </w:r>
          </w:p>
        </w:tc>
        <w:tc>
          <w:tcPr>
            <w:tcW w:w="180" w:type="dxa"/>
            <w:vAlign w:val="bottom"/>
            <w:tcBorders>
              <w:bottom w:val="single" w:sz="8" w:color="auto"/>
            </w:tcBorders>
            <w:shd w:val="clear" w:color="auto" w:fill="D1EDF4"/>
          </w:tcPr>
          <w:p>
            <w:pPr>
              <w:spacing w:after="0"/>
              <w:rPr>
                <w:sz w:val="20"/>
                <w:szCs w:val="20"/>
                <w:color w:val="auto"/>
              </w:rPr>
            </w:pPr>
          </w:p>
        </w:tc>
        <w:tc>
          <w:tcPr>
            <w:tcW w:w="980" w:type="dxa"/>
            <w:vAlign w:val="bottom"/>
            <w:tcBorders>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tcBorders>
              <w:bottom w:val="single" w:sz="8" w:color="auto"/>
            </w:tcBorders>
            <w:shd w:val="clear" w:color="auto" w:fill="D1EDF4"/>
          </w:tcPr>
          <w:p>
            <w:pPr>
              <w:spacing w:after="0"/>
              <w:rPr>
                <w:sz w:val="20"/>
                <w:szCs w:val="20"/>
                <w:color w:val="auto"/>
              </w:rPr>
            </w:pPr>
          </w:p>
        </w:tc>
        <w:tc>
          <w:tcPr>
            <w:tcW w:w="10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0" w:type="dxa"/>
            <w:vAlign w:val="bottom"/>
          </w:tcPr>
          <w:p>
            <w:pPr>
              <w:spacing w:after="0"/>
              <w:rPr>
                <w:sz w:val="1"/>
                <w:szCs w:val="1"/>
                <w:color w:val="auto"/>
              </w:rPr>
            </w:pPr>
          </w:p>
        </w:tc>
      </w:tr>
      <w:tr>
        <w:trPr>
          <w:trHeight w:val="220"/>
        </w:trPr>
        <w:tc>
          <w:tcPr>
            <w:tcW w:w="8240" w:type="dxa"/>
            <w:vAlign w:val="bottom"/>
            <w:gridSpan w:val="2"/>
          </w:tcPr>
          <w:p>
            <w:pPr>
              <w:ind w:left="120"/>
              <w:spacing w:after="0" w:line="220" w:lineRule="exact"/>
              <w:rPr>
                <w:sz w:val="20"/>
                <w:szCs w:val="20"/>
                <w:color w:val="auto"/>
              </w:rPr>
            </w:pPr>
            <w:r>
              <w:rPr>
                <w:rFonts w:ascii="Times New Roman" w:cs="Times New Roman" w:eastAsia="Times New Roman" w:hAnsi="Times New Roman"/>
                <w:sz w:val="20"/>
                <w:szCs w:val="20"/>
                <w:color w:val="auto"/>
              </w:rPr>
              <w:t>Intangible assets, gross</w:t>
            </w:r>
          </w:p>
        </w:tc>
        <w:tc>
          <w:tcPr>
            <w:tcW w:w="180" w:type="dxa"/>
            <w:vAlign w:val="bottom"/>
          </w:tcPr>
          <w:p>
            <w:pPr>
              <w:spacing w:after="0"/>
              <w:rPr>
                <w:sz w:val="19"/>
                <w:szCs w:val="19"/>
                <w:color w:val="auto"/>
              </w:rPr>
            </w:pPr>
          </w:p>
        </w:tc>
        <w:tc>
          <w:tcPr>
            <w:tcW w:w="98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11,205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4,586</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Less: accumulated amortization</w:t>
            </w:r>
          </w:p>
        </w:tc>
        <w:tc>
          <w:tcPr>
            <w:tcW w:w="180" w:type="dxa"/>
            <w:vAlign w:val="bottom"/>
            <w:shd w:val="clear" w:color="auto" w:fill="D1EDF4"/>
          </w:tcPr>
          <w:p>
            <w:pPr>
              <w:spacing w:after="0"/>
              <w:rPr>
                <w:sz w:val="20"/>
                <w:szCs w:val="20"/>
                <w:color w:val="auto"/>
              </w:rPr>
            </w:pPr>
          </w:p>
        </w:tc>
        <w:tc>
          <w:tcPr>
            <w:tcW w:w="1060" w:type="dxa"/>
            <w:vAlign w:val="bottom"/>
            <w:gridSpan w:val="3"/>
            <w:shd w:val="clear" w:color="auto" w:fill="D1EDF4"/>
          </w:tcPr>
          <w:p>
            <w:pPr>
              <w:jc w:val="right"/>
              <w:ind w:right="80"/>
              <w:spacing w:after="0"/>
              <w:rPr>
                <w:sz w:val="20"/>
                <w:szCs w:val="20"/>
                <w:color w:val="auto"/>
              </w:rPr>
            </w:pPr>
            <w:r>
              <w:rPr>
                <w:rFonts w:ascii="Times New Roman" w:cs="Times New Roman" w:eastAsia="Times New Roman" w:hAnsi="Times New Roman"/>
                <w:sz w:val="20"/>
                <w:szCs w:val="20"/>
                <w:color w:val="auto"/>
              </w:rPr>
              <w:t>(677)</w:t>
            </w: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line="221" w:lineRule="exact"/>
              <w:rPr>
                <w:sz w:val="20"/>
                <w:szCs w:val="20"/>
                <w:color w:val="auto"/>
              </w:rPr>
            </w:pPr>
            <w:r>
              <w:rPr>
                <w:rFonts w:ascii="Times New Roman" w:cs="Times New Roman" w:eastAsia="Times New Roman" w:hAnsi="Times New Roman"/>
                <w:sz w:val="20"/>
                <w:szCs w:val="20"/>
                <w:color w:val="auto"/>
              </w:rPr>
              <w:t>Intangible assets, net</w:t>
            </w:r>
          </w:p>
        </w:tc>
        <w:tc>
          <w:tcPr>
            <w:tcW w:w="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10,528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4,226</w:t>
            </w:r>
          </w:p>
        </w:tc>
        <w:tc>
          <w:tcPr>
            <w:tcW w:w="0" w:type="dxa"/>
            <w:vAlign w:val="bottom"/>
          </w:tcPr>
          <w:p>
            <w:pPr>
              <w:spacing w:after="0"/>
              <w:rPr>
                <w:sz w:val="1"/>
                <w:szCs w:val="1"/>
                <w:color w:val="auto"/>
              </w:rPr>
            </w:pPr>
          </w:p>
        </w:tc>
      </w:tr>
      <w:tr>
        <w:trPr>
          <w:trHeight w:val="476"/>
        </w:trPr>
        <w:tc>
          <w:tcPr>
            <w:tcW w:w="824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Intangible assets have weighted-average amortization periods as follows: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190"/>
        </w:trPr>
        <w:tc>
          <w:tcPr>
            <w:tcW w:w="8220" w:type="dxa"/>
            <w:vAlign w:val="bottom"/>
            <w:tcBorders>
              <w:bottom w:val="single" w:sz="8" w:color="D1EDF4"/>
            </w:tcBorders>
          </w:tcPr>
          <w:p>
            <w:pPr>
              <w:spacing w:after="0"/>
              <w:rPr>
                <w:sz w:val="16"/>
                <w:szCs w:val="16"/>
                <w:color w:val="auto"/>
              </w:rPr>
            </w:pPr>
          </w:p>
        </w:tc>
        <w:tc>
          <w:tcPr>
            <w:tcW w:w="20" w:type="dxa"/>
            <w:vAlign w:val="bottom"/>
            <w:tcBorders>
              <w:bottom w:val="single" w:sz="8" w:color="D1EDF4"/>
            </w:tcBorders>
          </w:tcPr>
          <w:p>
            <w:pPr>
              <w:spacing w:after="0"/>
              <w:rPr>
                <w:sz w:val="16"/>
                <w:szCs w:val="16"/>
                <w:color w:val="auto"/>
              </w:rPr>
            </w:pPr>
          </w:p>
        </w:tc>
        <w:tc>
          <w:tcPr>
            <w:tcW w:w="180" w:type="dxa"/>
            <w:vAlign w:val="bottom"/>
            <w:tcBorders>
              <w:bottom w:val="single" w:sz="8" w:color="D1EDF4"/>
            </w:tcBorders>
          </w:tcPr>
          <w:p>
            <w:pPr>
              <w:spacing w:after="0"/>
              <w:rPr>
                <w:sz w:val="16"/>
                <w:szCs w:val="16"/>
                <w:color w:val="auto"/>
              </w:rPr>
            </w:pPr>
          </w:p>
        </w:tc>
        <w:tc>
          <w:tcPr>
            <w:tcW w:w="340" w:type="dxa"/>
            <w:vAlign w:val="bottom"/>
            <w:tcBorders>
              <w:bottom w:val="single" w:sz="8" w:color="D1EDF4"/>
            </w:tcBorders>
          </w:tcPr>
          <w:p>
            <w:pPr>
              <w:spacing w:after="0"/>
              <w:rPr>
                <w:sz w:val="16"/>
                <w:szCs w:val="16"/>
                <w:color w:val="auto"/>
              </w:rPr>
            </w:pPr>
          </w:p>
        </w:tc>
        <w:tc>
          <w:tcPr>
            <w:tcW w:w="640" w:type="dxa"/>
            <w:vAlign w:val="bottom"/>
            <w:tcBorders>
              <w:bottom w:val="single" w:sz="8" w:color="D1EDF4"/>
            </w:tcBorders>
          </w:tcPr>
          <w:p>
            <w:pPr>
              <w:spacing w:after="0"/>
              <w:rPr>
                <w:sz w:val="16"/>
                <w:szCs w:val="16"/>
                <w:color w:val="auto"/>
              </w:rPr>
            </w:pPr>
          </w:p>
        </w:tc>
        <w:tc>
          <w:tcPr>
            <w:tcW w:w="80" w:type="dxa"/>
            <w:vAlign w:val="bottom"/>
            <w:tcBorders>
              <w:bottom w:val="single" w:sz="8" w:color="D1EDF4"/>
            </w:tcBorders>
          </w:tcPr>
          <w:p>
            <w:pPr>
              <w:spacing w:after="0"/>
              <w:rPr>
                <w:sz w:val="16"/>
                <w:szCs w:val="16"/>
                <w:color w:val="auto"/>
              </w:rPr>
            </w:pPr>
          </w:p>
        </w:tc>
        <w:tc>
          <w:tcPr>
            <w:tcW w:w="140" w:type="dxa"/>
            <w:vAlign w:val="bottom"/>
            <w:tcBorders>
              <w:bottom w:val="single" w:sz="8" w:color="D1EDF4"/>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Capitalized software</w:t>
            </w:r>
          </w:p>
        </w:tc>
        <w:tc>
          <w:tcPr>
            <w:tcW w:w="180" w:type="dxa"/>
            <w:vAlign w:val="bottom"/>
            <w:shd w:val="clear" w:color="auto" w:fill="D1EDF4"/>
          </w:tcPr>
          <w:p>
            <w:pPr>
              <w:spacing w:after="0"/>
              <w:rPr>
                <w:sz w:val="19"/>
                <w:szCs w:val="19"/>
                <w:color w:val="auto"/>
              </w:rPr>
            </w:pPr>
          </w:p>
        </w:tc>
        <w:tc>
          <w:tcPr>
            <w:tcW w:w="340" w:type="dxa"/>
            <w:vAlign w:val="bottom"/>
            <w:shd w:val="clear" w:color="auto" w:fill="D1EDF4"/>
          </w:tcPr>
          <w:p>
            <w:pPr>
              <w:spacing w:after="0"/>
              <w:rPr>
                <w:sz w:val="19"/>
                <w:szCs w:val="19"/>
                <w:color w:val="auto"/>
              </w:rPr>
            </w:pPr>
          </w:p>
        </w:tc>
        <w:tc>
          <w:tcPr>
            <w:tcW w:w="640" w:type="dxa"/>
            <w:vAlign w:val="bottom"/>
            <w:shd w:val="clear" w:color="auto" w:fill="D1EDF4"/>
          </w:tcPr>
          <w:p>
            <w:pPr>
              <w:spacing w:after="0"/>
              <w:rPr>
                <w:sz w:val="19"/>
                <w:szCs w:val="19"/>
                <w:color w:val="auto"/>
              </w:rPr>
            </w:pPr>
          </w:p>
        </w:tc>
        <w:tc>
          <w:tcPr>
            <w:tcW w:w="80" w:type="dxa"/>
            <w:vAlign w:val="bottom"/>
            <w:shd w:val="clear" w:color="auto" w:fill="D1EDF4"/>
          </w:tcPr>
          <w:p>
            <w:pPr>
              <w:spacing w:after="0"/>
              <w:rPr>
                <w:sz w:val="19"/>
                <w:szCs w:val="19"/>
                <w:color w:val="auto"/>
              </w:rPr>
            </w:pPr>
          </w:p>
        </w:tc>
        <w:tc>
          <w:tcPr>
            <w:tcW w:w="14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0" w:type="dxa"/>
            <w:vAlign w:val="bottom"/>
            <w:shd w:val="clear" w:color="auto" w:fill="D1EDF4"/>
          </w:tcPr>
          <w:p>
            <w:pPr>
              <w:spacing w:after="0"/>
              <w:rPr>
                <w:sz w:val="19"/>
                <w:szCs w:val="19"/>
                <w:color w:val="auto"/>
              </w:rPr>
            </w:pPr>
          </w:p>
        </w:tc>
        <w:tc>
          <w:tcPr>
            <w:tcW w:w="10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Developed technology</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Domain Name</w:t>
            </w:r>
          </w:p>
        </w:tc>
        <w:tc>
          <w:tcPr>
            <w:tcW w:w="180" w:type="dxa"/>
            <w:vAlign w:val="bottom"/>
            <w:shd w:val="clear" w:color="auto" w:fill="D1EDF4"/>
          </w:tcPr>
          <w:p>
            <w:pPr>
              <w:spacing w:after="0"/>
              <w:rPr>
                <w:sz w:val="20"/>
                <w:szCs w:val="20"/>
                <w:color w:val="auto"/>
              </w:rPr>
            </w:pPr>
          </w:p>
        </w:tc>
        <w:tc>
          <w:tcPr>
            <w:tcW w:w="340" w:type="dxa"/>
            <w:vAlign w:val="bottom"/>
            <w:shd w:val="clear" w:color="auto" w:fill="D1EDF4"/>
          </w:tcPr>
          <w:p>
            <w:pPr>
              <w:spacing w:after="0"/>
              <w:rPr>
                <w:sz w:val="20"/>
                <w:szCs w:val="20"/>
                <w:color w:val="auto"/>
              </w:rPr>
            </w:pPr>
          </w:p>
        </w:tc>
        <w:tc>
          <w:tcPr>
            <w:tcW w:w="640" w:type="dxa"/>
            <w:vAlign w:val="bottom"/>
            <w:shd w:val="clear" w:color="auto" w:fill="D1EDF4"/>
          </w:tcPr>
          <w:p>
            <w:pPr>
              <w:spacing w:after="0"/>
              <w:rPr>
                <w:sz w:val="20"/>
                <w:szCs w:val="20"/>
                <w:color w:val="auto"/>
              </w:rPr>
            </w:pPr>
          </w:p>
        </w:tc>
        <w:tc>
          <w:tcPr>
            <w:tcW w:w="80" w:type="dxa"/>
            <w:vAlign w:val="bottom"/>
            <w:shd w:val="clear" w:color="auto" w:fill="D1EDF4"/>
          </w:tcPr>
          <w:p>
            <w:pPr>
              <w:spacing w:after="0"/>
              <w:rPr>
                <w:sz w:val="20"/>
                <w:szCs w:val="20"/>
                <w:color w:val="auto"/>
              </w:rPr>
            </w:pPr>
          </w:p>
        </w:tc>
        <w:tc>
          <w:tcPr>
            <w:tcW w:w="14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00" w:type="dxa"/>
            <w:vAlign w:val="bottom"/>
            <w:shd w:val="clear" w:color="auto" w:fill="D1EDF4"/>
          </w:tcPr>
          <w:p>
            <w:pPr>
              <w:spacing w:after="0"/>
              <w:rPr>
                <w:sz w:val="20"/>
                <w:szCs w:val="20"/>
                <w:color w:val="auto"/>
              </w:rPr>
            </w:pPr>
          </w:p>
        </w:tc>
        <w:tc>
          <w:tcPr>
            <w:tcW w:w="10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Amortization expense of intangible assets was $0.3 million and $0.1 for the years ended June 30, 2023 and 2022, respectively. Within capitalized software as of June 30, 2023 and 2022, $9.4 million and $2.8 million are in-process capitalized software costs, respectively, and accordingly, the amortization of such costs is excluded from the table below. During the year ended June 30, 2022, the Company recognized a loss on impairment of $0.1 million related to its capitalized software in cost of revenue in the Company’s consolidated statement of operations and comprehensive loss.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future amortization expense for intangible assets was estimated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2024</w:t>
            </w:r>
          </w:p>
        </w:tc>
        <w:tc>
          <w:tcPr>
            <w:tcW w:w="33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60" w:type="dxa"/>
            <w:vAlign w:val="bottom"/>
            <w:shd w:val="clear" w:color="auto" w:fill="D1EDF4"/>
          </w:tcPr>
          <w:p>
            <w:pPr>
              <w:spacing w:after="0"/>
              <w:rPr>
                <w:sz w:val="19"/>
                <w:szCs w:val="19"/>
                <w:color w:val="auto"/>
              </w:rPr>
            </w:pPr>
          </w:p>
        </w:tc>
        <w:tc>
          <w:tcPr>
            <w:tcW w:w="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0" w:type="dxa"/>
            <w:vAlign w:val="bottom"/>
          </w:tcPr>
          <w:p>
            <w:pPr>
              <w:spacing w:after="0"/>
              <w:rPr>
                <w:sz w:val="1"/>
                <w:szCs w:val="1"/>
                <w:color w:val="auto"/>
              </w:rPr>
            </w:pPr>
          </w:p>
        </w:tc>
      </w:tr>
      <w:tr>
        <w:trPr>
          <w:trHeight w:val="229"/>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2026</w:t>
            </w:r>
          </w:p>
        </w:tc>
        <w:tc>
          <w:tcPr>
            <w:tcW w:w="33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spacing w:after="0"/>
              <w:rPr>
                <w:sz w:val="19"/>
                <w:szCs w:val="19"/>
                <w:color w:val="auto"/>
              </w:rPr>
            </w:pPr>
          </w:p>
        </w:tc>
        <w:tc>
          <w:tcPr>
            <w:tcW w:w="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30"/>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2028</w:t>
            </w:r>
          </w:p>
        </w:tc>
        <w:tc>
          <w:tcPr>
            <w:tcW w:w="33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Thereafter</w:t>
            </w:r>
          </w:p>
        </w:tc>
        <w:tc>
          <w:tcPr>
            <w:tcW w:w="338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80" w:type="dxa"/>
            <w:vAlign w:val="bottom"/>
            <w:tcBorders>
              <w:bottom w:val="single" w:sz="8" w:color="D1EDF4"/>
            </w:tcBorders>
          </w:tcPr>
          <w:p>
            <w:pPr>
              <w:spacing w:after="0"/>
              <w:rPr>
                <w:sz w:val="19"/>
                <w:szCs w:val="19"/>
                <w:color w:val="auto"/>
              </w:rPr>
            </w:pPr>
          </w:p>
        </w:tc>
        <w:tc>
          <w:tcPr>
            <w:tcW w:w="980" w:type="dxa"/>
            <w:vAlign w:val="bottom"/>
            <w:tcBorders>
              <w:bottom w:val="single" w:sz="8" w:color="D1EDF4"/>
            </w:tcBorders>
          </w:tcPr>
          <w:p>
            <w:pPr>
              <w:spacing w:after="0"/>
              <w:rPr>
                <w:sz w:val="19"/>
                <w:szCs w:val="19"/>
                <w:color w:val="auto"/>
              </w:rPr>
            </w:pPr>
          </w:p>
        </w:tc>
        <w:tc>
          <w:tcPr>
            <w:tcW w:w="60" w:type="dxa"/>
            <w:vAlign w:val="bottom"/>
            <w:tcBorders>
              <w:bottom w:val="single" w:sz="8" w:color="D1EDF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30"/>
        </w:trPr>
        <w:tc>
          <w:tcPr>
            <w:tcW w:w="48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w:t>
            </w:r>
          </w:p>
        </w:tc>
        <w:tc>
          <w:tcPr>
            <w:tcW w:w="33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200" w:type="dxa"/>
            <w:vAlign w:val="bottom"/>
            <w:tcBorders>
              <w:bottom w:val="single" w:sz="8" w:color="auto"/>
            </w:tcBorders>
            <w:shd w:val="clear" w:color="auto" w:fill="D1EDF4"/>
          </w:tcPr>
          <w:p>
            <w:pPr>
              <w:spacing w:after="0"/>
              <w:rPr>
                <w:sz w:val="20"/>
                <w:szCs w:val="20"/>
                <w:color w:val="auto"/>
              </w:rPr>
            </w:pPr>
          </w:p>
        </w:tc>
        <w:tc>
          <w:tcPr>
            <w:tcW w:w="960" w:type="dxa"/>
            <w:vAlign w:val="bottom"/>
            <w:tcBorders>
              <w:bottom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1,044</w:t>
            </w:r>
          </w:p>
        </w:tc>
        <w:tc>
          <w:tcPr>
            <w:tcW w:w="0" w:type="dxa"/>
            <w:vAlign w:val="bottom"/>
          </w:tcPr>
          <w:p>
            <w:pPr>
              <w:spacing w:after="0"/>
              <w:rPr>
                <w:sz w:val="1"/>
                <w:szCs w:val="1"/>
                <w:color w:val="auto"/>
              </w:rPr>
            </w:pPr>
          </w:p>
        </w:tc>
      </w:tr>
      <w:tr>
        <w:trPr>
          <w:trHeight w:val="478"/>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Liabilities</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48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Accrued liabilities consisted of the following:</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D1EDF4"/>
            </w:tcBorders>
          </w:tcPr>
          <w:p>
            <w:pPr>
              <w:spacing w:after="0"/>
              <w:rPr>
                <w:sz w:val="17"/>
                <w:szCs w:val="17"/>
                <w:color w:val="auto"/>
              </w:rPr>
            </w:pPr>
          </w:p>
        </w:tc>
        <w:tc>
          <w:tcPr>
            <w:tcW w:w="338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Borders>
              <w:bottom w:val="single" w:sz="8" w:color="D1EDF4"/>
            </w:tcBorders>
          </w:tcPr>
          <w:p>
            <w:pPr>
              <w:spacing w:after="0"/>
              <w:rPr>
                <w:sz w:val="17"/>
                <w:szCs w:val="17"/>
                <w:color w:val="auto"/>
              </w:rPr>
            </w:pPr>
          </w:p>
        </w:tc>
        <w:tc>
          <w:tcPr>
            <w:tcW w:w="180" w:type="dxa"/>
            <w:vAlign w:val="bottom"/>
            <w:tcBorders>
              <w:bottom w:val="single" w:sz="8" w:color="D1ED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220"/>
        </w:trPr>
        <w:tc>
          <w:tcPr>
            <w:tcW w:w="484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Accrued expenses</w:t>
            </w:r>
          </w:p>
        </w:tc>
        <w:tc>
          <w:tcPr>
            <w:tcW w:w="3580" w:type="dxa"/>
            <w:vAlign w:val="bottom"/>
            <w:gridSpan w:val="3"/>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253</w:t>
            </w:r>
          </w:p>
        </w:tc>
        <w:tc>
          <w:tcPr>
            <w:tcW w:w="60" w:type="dxa"/>
            <w:vAlign w:val="bottom"/>
            <w:shd w:val="clear" w:color="auto" w:fill="D1EDF4"/>
          </w:tcPr>
          <w:p>
            <w:pPr>
              <w:spacing w:after="0"/>
              <w:rPr>
                <w:sz w:val="19"/>
                <w:szCs w:val="19"/>
                <w:color w:val="auto"/>
              </w:rPr>
            </w:pPr>
          </w:p>
        </w:tc>
        <w:tc>
          <w:tcPr>
            <w:tcW w:w="380" w:type="dxa"/>
            <w:vAlign w:val="bottom"/>
            <w:gridSpan w:val="2"/>
            <w:shd w:val="clear" w:color="auto" w:fill="D1ED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2,176</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Accrued vacation</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w:t>
            </w:r>
          </w:p>
        </w:tc>
        <w:tc>
          <w:tcPr>
            <w:tcW w:w="0" w:type="dxa"/>
            <w:vAlign w:val="bottom"/>
          </w:tcPr>
          <w:p>
            <w:pPr>
              <w:spacing w:after="0"/>
              <w:rPr>
                <w:sz w:val="1"/>
                <w:szCs w:val="1"/>
                <w:color w:val="auto"/>
              </w:rPr>
            </w:pPr>
          </w:p>
        </w:tc>
      </w:tr>
      <w:tr>
        <w:trPr>
          <w:trHeight w:val="230"/>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payroll</w:t>
            </w:r>
          </w:p>
        </w:tc>
        <w:tc>
          <w:tcPr>
            <w:tcW w:w="33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1,208</w:t>
            </w:r>
          </w:p>
        </w:tc>
        <w:tc>
          <w:tcPr>
            <w:tcW w:w="6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current</w:t>
            </w:r>
          </w:p>
        </w:tc>
        <w:tc>
          <w:tcPr>
            <w:tcW w:w="3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33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375</w:t>
            </w:r>
          </w:p>
        </w:tc>
        <w:tc>
          <w:tcPr>
            <w:tcW w:w="60" w:type="dxa"/>
            <w:vAlign w:val="bottom"/>
            <w:shd w:val="clear" w:color="auto" w:fill="D1EDF4"/>
          </w:tcPr>
          <w:p>
            <w:pPr>
              <w:spacing w:after="0"/>
              <w:rPr>
                <w:sz w:val="20"/>
                <w:szCs w:val="20"/>
                <w:color w:val="auto"/>
              </w:rPr>
            </w:pPr>
          </w:p>
        </w:tc>
        <w:tc>
          <w:tcPr>
            <w:tcW w:w="18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Accrued repair cost (Refer to Note 8)</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0" w:type="dxa"/>
            <w:vAlign w:val="bottom"/>
          </w:tcPr>
          <w:p>
            <w:pPr>
              <w:spacing w:after="0"/>
              <w:rPr>
                <w:sz w:val="1"/>
                <w:szCs w:val="1"/>
                <w:color w:val="auto"/>
              </w:rPr>
            </w:pPr>
          </w:p>
        </w:tc>
      </w:tr>
      <w:tr>
        <w:trPr>
          <w:trHeight w:val="229"/>
        </w:trPr>
        <w:tc>
          <w:tcPr>
            <w:tcW w:w="484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Accrued sales tax</w:t>
            </w:r>
          </w:p>
        </w:tc>
        <w:tc>
          <w:tcPr>
            <w:tcW w:w="338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9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6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9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338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60" w:type="dxa"/>
            <w:vAlign w:val="bottom"/>
            <w:tcBorders>
              <w:bottom w:val="single" w:sz="8" w:color="D1EDF4"/>
            </w:tcBorders>
          </w:tcPr>
          <w:p>
            <w:pPr>
              <w:spacing w:after="0"/>
              <w:rPr>
                <w:sz w:val="20"/>
                <w:szCs w:val="20"/>
                <w:color w:val="auto"/>
              </w:rPr>
            </w:pPr>
          </w:p>
        </w:tc>
        <w:tc>
          <w:tcPr>
            <w:tcW w:w="18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w:t>
            </w:r>
          </w:p>
        </w:tc>
        <w:tc>
          <w:tcPr>
            <w:tcW w:w="0" w:type="dxa"/>
            <w:vAlign w:val="bottom"/>
          </w:tcPr>
          <w:p>
            <w:pPr>
              <w:spacing w:after="0"/>
              <w:rPr>
                <w:sz w:val="1"/>
                <w:szCs w:val="1"/>
                <w:color w:val="auto"/>
              </w:rPr>
            </w:pPr>
          </w:p>
        </w:tc>
      </w:tr>
      <w:tr>
        <w:trPr>
          <w:trHeight w:val="230"/>
        </w:trPr>
        <w:tc>
          <w:tcPr>
            <w:tcW w:w="4840" w:type="dxa"/>
            <w:vAlign w:val="bottom"/>
            <w:shd w:val="clear" w:color="auto" w:fill="D1EDF4"/>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accrued liabilities</w:t>
            </w:r>
          </w:p>
        </w:tc>
        <w:tc>
          <w:tcPr>
            <w:tcW w:w="3380" w:type="dxa"/>
            <w:vAlign w:val="bottom"/>
            <w:shd w:val="clear" w:color="auto" w:fill="D1EDF4"/>
          </w:tcPr>
          <w:p>
            <w:pPr>
              <w:spacing w:after="0"/>
              <w:rPr>
                <w:sz w:val="20"/>
                <w:szCs w:val="20"/>
                <w:color w:val="auto"/>
              </w:rPr>
            </w:pPr>
          </w:p>
        </w:tc>
        <w:tc>
          <w:tcPr>
            <w:tcW w:w="20" w:type="dxa"/>
            <w:vAlign w:val="bottom"/>
            <w:shd w:val="clear" w:color="auto" w:fill="D1EDF4"/>
          </w:tcPr>
          <w:p>
            <w:pPr>
              <w:spacing w:after="0"/>
              <w:rPr>
                <w:sz w:val="20"/>
                <w:szCs w:val="20"/>
                <w:color w:val="auto"/>
              </w:rPr>
            </w:pP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4,319</w:t>
            </w:r>
          </w:p>
        </w:tc>
        <w:tc>
          <w:tcPr>
            <w:tcW w:w="60" w:type="dxa"/>
            <w:vAlign w:val="bottom"/>
            <w:shd w:val="clear" w:color="auto" w:fill="D1EDF4"/>
          </w:tcPr>
          <w:p>
            <w:pPr>
              <w:spacing w:after="0"/>
              <w:rPr>
                <w:sz w:val="20"/>
                <w:szCs w:val="20"/>
                <w:color w:val="auto"/>
              </w:rPr>
            </w:pPr>
          </w:p>
        </w:tc>
        <w:tc>
          <w:tcPr>
            <w:tcW w:w="380" w:type="dxa"/>
            <w:vAlign w:val="bottom"/>
            <w:gridSpan w:val="2"/>
            <w:shd w:val="clear" w:color="auto" w:fill="D1EDF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6,215</w:t>
            </w:r>
          </w:p>
        </w:tc>
        <w:tc>
          <w:tcPr>
            <w:tcW w:w="0" w:type="dxa"/>
            <w:vAlign w:val="bottom"/>
          </w:tcPr>
          <w:p>
            <w:pPr>
              <w:spacing w:after="0"/>
              <w:rPr>
                <w:sz w:val="1"/>
                <w:szCs w:val="1"/>
                <w:color w:val="auto"/>
              </w:rPr>
            </w:pPr>
          </w:p>
        </w:tc>
      </w:tr>
      <w:tr>
        <w:trPr>
          <w:trHeight w:val="820"/>
        </w:trPr>
        <w:tc>
          <w:tcPr>
            <w:tcW w:w="4840" w:type="dxa"/>
            <w:vAlign w:val="bottom"/>
          </w:tcPr>
          <w:p>
            <w:pPr>
              <w:spacing w:after="0"/>
              <w:rPr>
                <w:sz w:val="24"/>
                <w:szCs w:val="24"/>
                <w:color w:val="auto"/>
              </w:rPr>
            </w:pPr>
          </w:p>
        </w:tc>
        <w:tc>
          <w:tcPr>
            <w:tcW w:w="3380" w:type="dxa"/>
            <w:vAlign w:val="bottom"/>
          </w:tcPr>
          <w:p>
            <w:pPr>
              <w:jc w:val="right"/>
              <w:ind w:right="2620"/>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0800"/>
          </w:cols>
          <w:pgMar w:left="720" w:top="700" w:right="720" w:bottom="139"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i w:val="1"/>
          <w:iCs w:val="1"/>
          <w:color w:val="auto"/>
        </w:rPr>
        <w:t>Other Long-term Liabilities</w:t>
      </w:r>
    </w:p>
    <w:p>
      <w:pPr>
        <w:spacing w:after="0" w:line="2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Other long-term liabilities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85"/>
        </w:trPr>
        <w:tc>
          <w:tcPr>
            <w:tcW w:w="8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203"/>
        </w:trPr>
        <w:tc>
          <w:tcPr>
            <w:tcW w:w="8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Borders>
              <w:bottom w:val="single" w:sz="8" w:color="D1EDF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0"/>
        </w:trPr>
        <w:tc>
          <w:tcPr>
            <w:tcW w:w="824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Unvested Sponsor Shares liability</w:t>
            </w:r>
          </w:p>
        </w:tc>
        <w:tc>
          <w:tcPr>
            <w:tcW w:w="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1,399</w:t>
            </w:r>
          </w:p>
        </w:tc>
        <w:tc>
          <w:tcPr>
            <w:tcW w:w="44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1EDF4"/>
          </w:tcPr>
          <w:p>
            <w:pPr>
              <w:ind w:left="700"/>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824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Operating lease liability, net of current portion</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240" w:type="dxa"/>
            <w:vAlign w:val="bottom"/>
            <w:tcBorders>
              <w:bottom w:val="single" w:sz="8" w:color="D1EDF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8220" w:type="dxa"/>
            <w:vAlign w:val="bottom"/>
            <w:shd w:val="clear" w:color="auto" w:fill="D1EDF4"/>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other long-term liabilities</w:t>
            </w:r>
          </w:p>
        </w:tc>
        <w:tc>
          <w:tcPr>
            <w:tcW w:w="20" w:type="dxa"/>
            <w:vAlign w:val="bottom"/>
            <w:tcBorders>
              <w:bottom w:val="single" w:sz="8" w:color="auto"/>
            </w:tcBorders>
            <w:shd w:val="clear" w:color="auto" w:fill="D1EDF4"/>
          </w:tcPr>
          <w:p>
            <w:pPr>
              <w:spacing w:after="0"/>
              <w:rPr>
                <w:sz w:val="20"/>
                <w:szCs w:val="20"/>
                <w:color w:val="auto"/>
              </w:rPr>
            </w:pPr>
          </w:p>
        </w:tc>
        <w:tc>
          <w:tcPr>
            <w:tcW w:w="1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1,535</w:t>
            </w:r>
          </w:p>
        </w:tc>
        <w:tc>
          <w:tcPr>
            <w:tcW w:w="240" w:type="dxa"/>
            <w:vAlign w:val="bottom"/>
            <w:shd w:val="clear" w:color="auto" w:fill="D1EDF4"/>
          </w:tcPr>
          <w:p>
            <w:pPr>
              <w:spacing w:after="0"/>
              <w:rPr>
                <w:sz w:val="20"/>
                <w:szCs w:val="20"/>
                <w:color w:val="auto"/>
              </w:rPr>
            </w:pPr>
          </w:p>
        </w:tc>
        <w:tc>
          <w:tcPr>
            <w:tcW w:w="2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bottom w:val="single" w:sz="8" w:color="auto"/>
            </w:tcBorders>
            <w:shd w:val="clear" w:color="auto" w:fill="D1EDF4"/>
          </w:tcPr>
          <w:p>
            <w:pPr>
              <w:ind w:left="700"/>
              <w:spacing w:after="0" w:line="221" w:lineRule="exact"/>
              <w:rPr>
                <w:sz w:val="20"/>
                <w:szCs w:val="20"/>
                <w:color w:val="auto"/>
              </w:rPr>
            </w:pPr>
            <w:r>
              <w:rPr>
                <w:rFonts w:ascii="Times New Roman" w:cs="Times New Roman" w:eastAsia="Times New Roman" w:hAnsi="Times New Roman"/>
                <w:sz w:val="20"/>
                <w:szCs w:val="20"/>
                <w:color w:val="auto"/>
              </w:rPr>
              <w:t>—</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Leases</w:t>
      </w:r>
    </w:p>
    <w:p>
      <w:pPr>
        <w:spacing w:after="0" w:line="243"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As of June 30, 2023, the Company recorded a ROU asset of $0.5 million within other long-term assets on the consolidated balance sheet. As of June 30, 2023, the Company also recorded operating lease liabilities of $0.5 million, of which $0.4 million and $0.1 million were included in accrued liabilities and other long-term liabilities, respectively, on the consolidated balance sheet. The Company adopted ASC 842 on July 1, 2022, and accordingly, no amounts were recorded for ROU assets or operating lease liabilities as of June 30, 2022. Refer to Note 1 for further details.</w:t>
      </w:r>
    </w:p>
    <w:p>
      <w:pPr>
        <w:spacing w:after="0" w:line="197" w:lineRule="exact"/>
        <w:rPr>
          <w:sz w:val="20"/>
          <w:szCs w:val="20"/>
          <w:color w:val="auto"/>
        </w:rPr>
      </w:pPr>
    </w:p>
    <w:p>
      <w:pPr>
        <w:ind w:right="140" w:firstLine="720"/>
        <w:spacing w:after="0" w:line="278" w:lineRule="auto"/>
        <w:rPr>
          <w:sz w:val="20"/>
          <w:szCs w:val="20"/>
          <w:color w:val="auto"/>
        </w:rPr>
      </w:pPr>
      <w:r>
        <w:rPr>
          <w:rFonts w:ascii="Times New Roman" w:cs="Times New Roman" w:eastAsia="Times New Roman" w:hAnsi="Times New Roman"/>
          <w:sz w:val="20"/>
          <w:szCs w:val="20"/>
          <w:color w:val="auto"/>
        </w:rPr>
        <w:t>For the year ended June 30, 2023, the Company recorded operating lease costs of $0.4 million. The operating lease costs for the year ended June 30, 2023 included variable operating lease costs of less than $0.1.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Supplemental information related to the Company’s operating lease was as follows for the year ended June 30,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Operating cash flows used for operating lease</w:t>
            </w:r>
          </w:p>
        </w:tc>
        <w:tc>
          <w:tcPr>
            <w:tcW w:w="2560" w:type="dxa"/>
            <w:vAlign w:val="bottom"/>
            <w:shd w:val="clear" w:color="auto" w:fill="D1EDF4"/>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1EDF4"/>
          </w:tcPr>
          <w:p>
            <w:pPr>
              <w:jc w:val="right"/>
              <w:ind w:right="380"/>
              <w:spacing w:after="0"/>
              <w:rPr>
                <w:sz w:val="20"/>
                <w:szCs w:val="20"/>
                <w:color w:val="auto"/>
              </w:rPr>
            </w:pPr>
            <w:r>
              <w:rPr>
                <w:rFonts w:ascii="Times New Roman" w:cs="Times New Roman" w:eastAsia="Times New Roman" w:hAnsi="Times New Roman"/>
                <w:sz w:val="20"/>
                <w:szCs w:val="20"/>
                <w:color w:val="auto"/>
              </w:rPr>
              <w:t>432</w:t>
            </w:r>
          </w:p>
        </w:tc>
      </w:tr>
      <w:tr>
        <w:trPr>
          <w:trHeight w:val="232"/>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liability arising from obtaining ROU asset (1)</w:t>
            </w:r>
          </w:p>
        </w:tc>
        <w:tc>
          <w:tcPr>
            <w:tcW w:w="256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rPr>
              <w:t>491</w:t>
            </w:r>
          </w:p>
        </w:tc>
      </w:tr>
      <w:tr>
        <w:trPr>
          <w:trHeight w:val="230"/>
        </w:trPr>
        <w:tc>
          <w:tcPr>
            <w:tcW w:w="70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2560" w:type="dxa"/>
            <w:vAlign w:val="bottom"/>
            <w:shd w:val="clear" w:color="auto" w:fill="D1EDF4"/>
          </w:tcPr>
          <w:p>
            <w:pPr>
              <w:spacing w:after="0"/>
              <w:rPr>
                <w:sz w:val="20"/>
                <w:szCs w:val="20"/>
                <w:color w:val="auto"/>
              </w:rPr>
            </w:pPr>
          </w:p>
        </w:tc>
        <w:tc>
          <w:tcPr>
            <w:tcW w:w="1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 years</w:t>
            </w:r>
          </w:p>
        </w:tc>
      </w:tr>
      <w:tr>
        <w:trPr>
          <w:trHeight w:val="267"/>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256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15 %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17145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135pt,6.65pt" o:allowincell="f" strokecolor="#000000" strokeweight="1.02pt"/>
            </w:pict>
          </mc:Fallback>
        </mc:AlternateContent>
      </w:r>
    </w:p>
    <w:p>
      <w:pPr>
        <w:spacing w:after="0" w:line="155" w:lineRule="exact"/>
        <w:rPr>
          <w:sz w:val="20"/>
          <w:szCs w:val="20"/>
          <w:color w:val="auto"/>
        </w:rPr>
      </w:pPr>
    </w:p>
    <w:p>
      <w:pPr>
        <w:ind w:left="360" w:right="200" w:hanging="360"/>
        <w:spacing w:after="0" w:line="305" w:lineRule="auto"/>
        <w:tabs>
          <w:tab w:leader="none" w:pos="3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Amount includes $0.5 million related to the adoption of ASC 842 for existing operating leases on July 1, 2022, and $0.3 million related to the Company entering into a new non-cancellable operating lease agreement during the year ended June 30, 2023.</w:t>
      </w:r>
    </w:p>
    <w:p>
      <w:pPr>
        <w:spacing w:after="0" w:line="135" w:lineRule="exact"/>
        <w:rPr>
          <w:sz w:val="20"/>
          <w:szCs w:val="20"/>
          <w:color w:val="auto"/>
        </w:rPr>
      </w:pPr>
    </w:p>
    <w:p>
      <w:pPr>
        <w:ind w:right="20" w:firstLine="720"/>
        <w:spacing w:after="0" w:line="278" w:lineRule="auto"/>
        <w:rPr>
          <w:sz w:val="20"/>
          <w:szCs w:val="20"/>
          <w:color w:val="auto"/>
        </w:rPr>
      </w:pPr>
      <w:r>
        <w:rPr>
          <w:rFonts w:ascii="Times New Roman" w:cs="Times New Roman" w:eastAsia="Times New Roman" w:hAnsi="Times New Roman"/>
          <w:sz w:val="20"/>
          <w:szCs w:val="20"/>
          <w:color w:val="auto"/>
        </w:rPr>
        <w:t>Future minimum lease payments under the Company’s non-cancellable operating leases with an initial lease term in excess of one year subsequent to June 30, 2023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r>
      <w:tr>
        <w:trPr>
          <w:trHeight w:val="252"/>
        </w:trPr>
        <w:tc>
          <w:tcPr>
            <w:tcW w:w="946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0"/>
        </w:trPr>
        <w:tc>
          <w:tcPr>
            <w:tcW w:w="94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404</w:t>
            </w:r>
          </w:p>
        </w:tc>
      </w:tr>
      <w:tr>
        <w:trPr>
          <w:trHeight w:val="230"/>
        </w:trPr>
        <w:tc>
          <w:tcPr>
            <w:tcW w:w="946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Borders>
              <w:bottom w:val="single" w:sz="8" w:color="D1ED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20"/>
        </w:trPr>
        <w:tc>
          <w:tcPr>
            <w:tcW w:w="948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Gross lease payments</w:t>
            </w:r>
          </w:p>
        </w:tc>
        <w:tc>
          <w:tcPr>
            <w:tcW w:w="120" w:type="dxa"/>
            <w:vAlign w:val="bottom"/>
            <w:shd w:val="clear" w:color="auto" w:fill="D1EDF4"/>
          </w:tcPr>
          <w:p>
            <w:pPr>
              <w:spacing w:after="0"/>
              <w:rPr>
                <w:sz w:val="19"/>
                <w:szCs w:val="19"/>
                <w:color w:val="auto"/>
              </w:rPr>
            </w:pPr>
          </w:p>
        </w:tc>
        <w:tc>
          <w:tcPr>
            <w:tcW w:w="12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547</w:t>
            </w:r>
          </w:p>
        </w:tc>
      </w:tr>
      <w:tr>
        <w:trPr>
          <w:trHeight w:val="230"/>
        </w:trPr>
        <w:tc>
          <w:tcPr>
            <w:tcW w:w="948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94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Present value of net future minimum lease payments</w:t>
            </w:r>
          </w:p>
        </w:tc>
        <w:tc>
          <w:tcPr>
            <w:tcW w:w="20" w:type="dxa"/>
            <w:vAlign w:val="bottom"/>
            <w:tcBorders>
              <w:bottom w:val="single" w:sz="8" w:color="auto"/>
            </w:tcBorders>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491</w:t>
            </w:r>
          </w:p>
        </w:tc>
      </w:tr>
      <w:tr>
        <w:trPr>
          <w:trHeight w:val="440"/>
        </w:trPr>
        <w:tc>
          <w:tcPr>
            <w:tcW w:w="10800" w:type="dxa"/>
            <w:vAlign w:val="bottom"/>
            <w:gridSpan w:val="4"/>
          </w:tcPr>
          <w:p>
            <w:pPr>
              <w:ind w:left="720"/>
              <w:spacing w:after="0"/>
              <w:rPr>
                <w:sz w:val="20"/>
                <w:szCs w:val="20"/>
                <w:color w:val="auto"/>
              </w:rPr>
            </w:pPr>
            <w:r>
              <w:rPr>
                <w:rFonts w:ascii="Times New Roman" w:cs="Times New Roman" w:eastAsia="Times New Roman" w:hAnsi="Times New Roman"/>
                <w:sz w:val="20"/>
                <w:szCs w:val="20"/>
                <w:color w:val="auto"/>
              </w:rPr>
              <w:t xml:space="preserve">Under the previous lease accounting standard ASC 840,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aggregate future minimum lease payments under the</w:t>
            </w:r>
          </w:p>
        </w:tc>
      </w:tr>
      <w:tr>
        <w:trPr>
          <w:trHeight w:val="267"/>
        </w:trPr>
        <w:tc>
          <w:tcPr>
            <w:tcW w:w="9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non-cancellable operating leases, as of June 30, 2022, was as follows:</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17"/>
        </w:trPr>
        <w:tc>
          <w:tcPr>
            <w:tcW w:w="9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66"/>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r>
      <w:tr>
        <w:trPr>
          <w:trHeight w:val="253"/>
        </w:trPr>
        <w:tc>
          <w:tcPr>
            <w:tcW w:w="946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20"/>
        </w:trPr>
        <w:tc>
          <w:tcPr>
            <w:tcW w:w="94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2023</w:t>
            </w: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273</w:t>
            </w: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r>
      <w:tr>
        <w:trPr>
          <w:trHeight w:val="230"/>
        </w:trPr>
        <w:tc>
          <w:tcPr>
            <w:tcW w:w="94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shd w:val="clear" w:color="auto" w:fill="D1EDF4"/>
          </w:tcPr>
          <w:p>
            <w:pPr>
              <w:spacing w:after="0"/>
              <w:rPr>
                <w:sz w:val="20"/>
                <w:szCs w:val="20"/>
                <w:color w:val="auto"/>
              </w:rPr>
            </w:pPr>
          </w:p>
        </w:tc>
        <w:tc>
          <w:tcPr>
            <w:tcW w:w="120" w:type="dxa"/>
            <w:vAlign w:val="bottom"/>
            <w:tcBorders>
              <w:bottom w:val="single" w:sz="8" w:color="auto"/>
            </w:tcBorders>
            <w:shd w:val="clear" w:color="auto" w:fill="D1EDF4"/>
          </w:tcPr>
          <w:p>
            <w:pPr>
              <w:spacing w:after="0"/>
              <w:rPr>
                <w:sz w:val="20"/>
                <w:szCs w:val="20"/>
                <w:color w:val="auto"/>
              </w:rPr>
            </w:pPr>
          </w:p>
        </w:tc>
        <w:tc>
          <w:tcPr>
            <w:tcW w:w="12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94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618</w:t>
            </w:r>
          </w:p>
        </w:tc>
      </w:tr>
    </w:tbl>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Rent expense for the year ended June 30, 2023 and 2022 was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700" w:right="720" w:bottom="175"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6. Financing Obligations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financing obligations, net of discounts, consist of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04"/>
        </w:trPr>
        <w:tc>
          <w:tcPr>
            <w:tcW w:w="79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7"/>
                <w:szCs w:val="17"/>
                <w:color w:val="auto"/>
              </w:rPr>
            </w:pPr>
          </w:p>
        </w:tc>
      </w:tr>
      <w:tr>
        <w:trPr>
          <w:trHeight w:val="220"/>
        </w:trPr>
        <w:tc>
          <w:tcPr>
            <w:tcW w:w="79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Receivable financing facility</w:t>
            </w: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4,067</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5,911</w:t>
            </w:r>
          </w:p>
        </w:tc>
        <w:tc>
          <w:tcPr>
            <w:tcW w:w="20" w:type="dxa"/>
            <w:vAlign w:val="bottom"/>
          </w:tcPr>
          <w:p>
            <w:pPr>
              <w:spacing w:after="0"/>
              <w:rPr>
                <w:sz w:val="19"/>
                <w:szCs w:val="19"/>
                <w:color w:val="auto"/>
              </w:rPr>
            </w:pPr>
          </w:p>
        </w:tc>
      </w:tr>
      <w:tr>
        <w:trPr>
          <w:trHeight w:val="229"/>
        </w:trPr>
        <w:tc>
          <w:tcPr>
            <w:tcW w:w="796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Equipment financing facility</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22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2,929</w:t>
            </w:r>
          </w:p>
        </w:tc>
        <w:tc>
          <w:tcPr>
            <w:tcW w:w="20" w:type="dxa"/>
            <w:vAlign w:val="bottom"/>
          </w:tcPr>
          <w:p>
            <w:pPr>
              <w:spacing w:after="0"/>
              <w:rPr>
                <w:sz w:val="19"/>
                <w:szCs w:val="19"/>
                <w:color w:val="auto"/>
              </w:rPr>
            </w:pPr>
          </w:p>
        </w:tc>
      </w:tr>
      <w:tr>
        <w:trPr>
          <w:trHeight w:val="220"/>
        </w:trPr>
        <w:tc>
          <w:tcPr>
            <w:tcW w:w="7960" w:type="dxa"/>
            <w:vAlign w:val="bottom"/>
            <w:gridSpan w:val="2"/>
            <w:shd w:val="clear" w:color="auto" w:fill="D1EDF4"/>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financing obligations</w:t>
            </w:r>
          </w:p>
        </w:tc>
        <w:tc>
          <w:tcPr>
            <w:tcW w:w="12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4,676</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8,840</w:t>
            </w:r>
          </w:p>
        </w:tc>
        <w:tc>
          <w:tcPr>
            <w:tcW w:w="20" w:type="dxa"/>
            <w:vAlign w:val="bottom"/>
          </w:tcPr>
          <w:p>
            <w:pPr>
              <w:spacing w:after="0"/>
              <w:rPr>
                <w:sz w:val="19"/>
                <w:szCs w:val="19"/>
                <w:color w:val="auto"/>
              </w:rPr>
            </w:pPr>
          </w:p>
        </w:tc>
      </w:tr>
      <w:tr>
        <w:trPr>
          <w:trHeight w:val="230"/>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financing obligations, current</w:t>
            </w: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(1,676)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(8,840)</w:t>
            </w:r>
          </w:p>
        </w:tc>
        <w:tc>
          <w:tcPr>
            <w:tcW w:w="20" w:type="dxa"/>
            <w:vAlign w:val="bottom"/>
          </w:tcPr>
          <w:p>
            <w:pPr>
              <w:spacing w:after="0"/>
              <w:rPr>
                <w:sz w:val="20"/>
                <w:szCs w:val="20"/>
                <w:color w:val="auto"/>
              </w:rPr>
            </w:pPr>
          </w:p>
        </w:tc>
      </w:tr>
      <w:tr>
        <w:trPr>
          <w:trHeight w:val="230"/>
        </w:trPr>
        <w:tc>
          <w:tcPr>
            <w:tcW w:w="7940" w:type="dxa"/>
            <w:vAlign w:val="bottom"/>
            <w:tcBorders>
              <w:top w:val="single" w:sz="8" w:color="D1EDF4"/>
            </w:tcBorders>
            <w:shd w:val="clear" w:color="auto" w:fill="D1EDF4"/>
          </w:tcPr>
          <w:p>
            <w:pPr>
              <w:ind w:left="240"/>
              <w:spacing w:after="0" w:line="220" w:lineRule="exact"/>
              <w:rPr>
                <w:sz w:val="20"/>
                <w:szCs w:val="20"/>
                <w:color w:val="auto"/>
              </w:rPr>
            </w:pPr>
            <w:r>
              <w:rPr>
                <w:rFonts w:ascii="Times New Roman" w:cs="Times New Roman" w:eastAsia="Times New Roman" w:hAnsi="Times New Roman"/>
                <w:sz w:val="20"/>
                <w:szCs w:val="20"/>
                <w:color w:val="auto"/>
              </w:rPr>
              <w:t>Total financing obligations, noncurrent</w:t>
            </w: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3,000</w:t>
            </w:r>
          </w:p>
        </w:tc>
        <w:tc>
          <w:tcPr>
            <w:tcW w:w="22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Receivable Financing Facility</w:t>
      </w:r>
    </w:p>
    <w:p>
      <w:pPr>
        <w:spacing w:after="0" w:line="239"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On April 27, 2021, the Company entered into an investment arrangement to enable an outside investor to invest in the Company’s future receivables, in exchange for an upfront payment. Through this arrangement, the Company obtained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investor to mutually agree to roll forward the Company’s borrowings as they come due.</w:t>
      </w:r>
    </w:p>
    <w:p>
      <w:pPr>
        <w:spacing w:after="0" w:line="201" w:lineRule="exact"/>
        <w:rPr>
          <w:sz w:val="20"/>
          <w:szCs w:val="20"/>
          <w:color w:val="auto"/>
        </w:rPr>
      </w:pPr>
    </w:p>
    <w:p>
      <w:pPr>
        <w:ind w:right="300" w:firstLine="720"/>
        <w:spacing w:after="0" w:line="253" w:lineRule="auto"/>
        <w:rPr>
          <w:sz w:val="20"/>
          <w:szCs w:val="20"/>
          <w:color w:val="auto"/>
        </w:rPr>
      </w:pPr>
      <w:r>
        <w:rPr>
          <w:rFonts w:ascii="Times New Roman" w:cs="Times New Roman" w:eastAsia="Times New Roman" w:hAnsi="Times New Roman"/>
          <w:sz w:val="20"/>
          <w:szCs w:val="20"/>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investor, the Company may continue rolling forward the receivable financing facility.</w:t>
      </w:r>
    </w:p>
    <w:p>
      <w:pPr>
        <w:spacing w:after="0" w:line="191"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On April 14, 2023, the Company entered into an amended and restated investment arrangement to amend the periodic payment amounts under the investment agreement for which the Company evaluated under ASC 470-60, “Troubled Debt Restructurings by Debtors.” Due to indicators of financial difficulty for the Company at this date, and the lenders granting concession resulting in the effective borrowing rate under the amended agreement being less than the effective borrowing rate under the previous agreement, the amendments were accounted for as a troubled debt restructuring. The Company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spacing w:after="0" w:line="202"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On June 20, 2023, the Company entered into a second consolidated and amended and restated investment arrangement to amend the periodic payment amounts to be made under the investment agreement. The Company did not pay or provide any consideration in exchange for this amendment. The amended arrangement calls for monthly payments of principal and interest totaling an aggregate of $1.5 million and $3.0 million in fiscal years 2024 and 2025, respectively. This arrangement amended the amended and restated investment arrangement the Company entered into on April 14, 2023, which amended the payment due dates and periodic payment amounts to be made under the investment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Financing Facility</w:t>
      </w:r>
    </w:p>
    <w:p>
      <w:pPr>
        <w:spacing w:after="0" w:line="240"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Beginning in 2019, the Company entered into equipment financing facilities with third-party financing partners to finance certain tablet purchases. The arrangements generally have terms ranging from three – five years and interest rates ranging from 8%-14%. The Company then leases the tablets to one of its customers through operating leases with 4-year terms.</w:t>
      </w:r>
    </w:p>
    <w:p>
      <w:pPr>
        <w:spacing w:after="0" w:line="18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During the year ended June 30, 2023, due to the Company’s liquidity position and other commitments, the Company postponed certain payments on certain equipment financing facilities, which resulted in the Company defaulting on the arrangement. The Company remedied the matter with the following repayment agreements. On November 4, 2022, the Company executed an amendment with one of its equipment financing facilities to defer the non-payments, which increased the monthly payments due for the remaining term of the arrangement. On November 21, 2022, the Company entered into an agreement to terminate one of its equipment financing facilities early and repaid the arrangement by making a cash disbursement of $0.4 million, which extinguished all obligations and resulted in $0.3 million being recorded as a loss on extinguishment of debt and financial obligations on the consolidated statement of operations and comprehensive loss. As a result of the amendment executed on November 4, 2022 and early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696" w:right="720" w:bottom="175" w:gutter="0" w:footer="0" w:header="0"/>
        </w:sectPr>
      </w:pPr>
    </w:p>
    <w:bookmarkStart w:id="85" w:name="page86"/>
    <w:bookmarkEnd w:id="85"/>
    <w:p>
      <w:pPr>
        <w:ind w:right="280"/>
        <w:spacing w:after="0" w:line="305" w:lineRule="auto"/>
        <w:rPr>
          <w:sz w:val="20"/>
          <w:szCs w:val="20"/>
          <w:color w:val="auto"/>
        </w:rPr>
      </w:pPr>
      <w:r>
        <w:rPr>
          <w:rFonts w:ascii="Times New Roman" w:cs="Times New Roman" w:eastAsia="Times New Roman" w:hAnsi="Times New Roman"/>
          <w:sz w:val="19"/>
          <w:szCs w:val="19"/>
          <w:color w:val="auto"/>
        </w:rPr>
        <w:t>termination executed on November 21, 2022, the default on payments due as described above was waived and the Company is in compliance as of June 30, 2023. The obligations under these arrangements are in financing obligations, current as of June 30, 2023.</w:t>
      </w:r>
    </w:p>
    <w:p>
      <w:pPr>
        <w:spacing w:after="0" w:line="144"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In fiscal year 2022, the Company defaulted on certain equipment financing facilities due to non-payment of rent. Default under the arrangements permits the financing partner to declare the amounts owed under the arrangement due and payable and exercise its right to secure the tablets under lease. As a result, the Company reclassified all of its obligations under these arrangements that were in default as short-term within financing obligations, current as of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Debt Arrangements</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outstanding debt, net of debt discounts, consists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20" w:type="dxa"/>
            <w:vAlign w:val="bottom"/>
          </w:tcPr>
          <w:p>
            <w:pPr>
              <w:spacing w:after="0"/>
              <w:rPr>
                <w:sz w:val="16"/>
                <w:szCs w:val="16"/>
                <w:color w:val="auto"/>
              </w:rPr>
            </w:pP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9"/>
              </w:rPr>
              <w:t>As of June 30,</w:t>
            </w:r>
          </w:p>
        </w:tc>
      </w:tr>
      <w:tr>
        <w:trPr>
          <w:trHeight w:val="203"/>
        </w:trPr>
        <w:tc>
          <w:tcPr>
            <w:tcW w:w="794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7"/>
                <w:szCs w:val="17"/>
                <w:color w:val="auto"/>
              </w:rPr>
            </w:pPr>
          </w:p>
        </w:tc>
        <w:tc>
          <w:tcPr>
            <w:tcW w:w="20" w:type="dxa"/>
            <w:vAlign w:val="bottom"/>
            <w:tcBorders>
              <w:bottom w:val="single" w:sz="8" w:color="D1ED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796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Convertible promissory notes</w:t>
            </w: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3"/>
            <w:shd w:val="clear" w:color="auto" w:fill="D1EDF4"/>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89,663</w:t>
            </w:r>
          </w:p>
        </w:tc>
      </w:tr>
      <w:tr>
        <w:trPr>
          <w:trHeight w:val="230"/>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Credit Agreement</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796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Term loans</w:t>
            </w:r>
          </w:p>
        </w:tc>
        <w:tc>
          <w:tcPr>
            <w:tcW w:w="120" w:type="dxa"/>
            <w:vAlign w:val="bottom"/>
            <w:shd w:val="clear" w:color="auto" w:fill="D1EDF4"/>
          </w:tcPr>
          <w:p>
            <w:pPr>
              <w:spacing w:after="0"/>
              <w:rPr>
                <w:sz w:val="20"/>
                <w:szCs w:val="20"/>
                <w:color w:val="auto"/>
              </w:rPr>
            </w:pPr>
          </w:p>
        </w:tc>
        <w:tc>
          <w:tcPr>
            <w:tcW w:w="1420" w:type="dxa"/>
            <w:vAlign w:val="bottom"/>
            <w:gridSpan w:val="3"/>
            <w:shd w:val="clear" w:color="auto" w:fill="D1EDF4"/>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1EDF4"/>
          </w:tcPr>
          <w:p>
            <w:pPr>
              <w:spacing w:after="0"/>
              <w:rPr>
                <w:sz w:val="20"/>
                <w:szCs w:val="20"/>
                <w:color w:val="auto"/>
              </w:rPr>
            </w:pPr>
          </w:p>
        </w:tc>
        <w:tc>
          <w:tcPr>
            <w:tcW w:w="118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25,443</w:t>
            </w:r>
          </w:p>
        </w:tc>
      </w:tr>
      <w:tr>
        <w:trPr>
          <w:trHeight w:val="229"/>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PPP Loan</w:t>
            </w:r>
          </w:p>
        </w:tc>
        <w:tc>
          <w:tcPr>
            <w:tcW w:w="120" w:type="dxa"/>
            <w:vAlign w:val="bottom"/>
          </w:tcPr>
          <w:p>
            <w:pPr>
              <w:spacing w:after="0"/>
              <w:rPr>
                <w:sz w:val="19"/>
                <w:szCs w:val="19"/>
                <w:color w:val="auto"/>
              </w:rPr>
            </w:pPr>
          </w:p>
        </w:tc>
        <w:tc>
          <w:tcPr>
            <w:tcW w:w="14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w:t>
            </w:r>
          </w:p>
        </w:tc>
      </w:tr>
      <w:tr>
        <w:trPr>
          <w:trHeight w:val="220"/>
        </w:trPr>
        <w:tc>
          <w:tcPr>
            <w:tcW w:w="7960" w:type="dxa"/>
            <w:vAlign w:val="bottom"/>
            <w:tcBorders>
              <w:top w:val="single" w:sz="8" w:color="D1EDF4"/>
            </w:tcBorders>
            <w:gridSpan w:val="2"/>
            <w:shd w:val="clear" w:color="auto" w:fill="D1EDF4"/>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debt</w:t>
            </w:r>
          </w:p>
        </w:tc>
        <w:tc>
          <w:tcPr>
            <w:tcW w:w="120" w:type="dxa"/>
            <w:vAlign w:val="bottom"/>
            <w:tcBorders>
              <w:top w:val="single" w:sz="8" w:color="auto"/>
            </w:tcBorders>
            <w:shd w:val="clear" w:color="auto" w:fill="D1EDF4"/>
          </w:tcPr>
          <w:p>
            <w:pPr>
              <w:spacing w:after="0"/>
              <w:rPr>
                <w:sz w:val="19"/>
                <w:szCs w:val="19"/>
                <w:color w:val="auto"/>
              </w:rPr>
            </w:pPr>
          </w:p>
        </w:tc>
        <w:tc>
          <w:tcPr>
            <w:tcW w:w="118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50,639</w:t>
            </w:r>
          </w:p>
        </w:tc>
        <w:tc>
          <w:tcPr>
            <w:tcW w:w="220" w:type="dxa"/>
            <w:vAlign w:val="bottom"/>
            <w:tcBorders>
              <w:top w:val="single" w:sz="8" w:color="D1EDF4"/>
            </w:tcBorders>
            <w:shd w:val="clear" w:color="auto" w:fill="D1EDF4"/>
          </w:tcPr>
          <w:p>
            <w:pPr>
              <w:spacing w:after="0"/>
              <w:rPr>
                <w:sz w:val="19"/>
                <w:szCs w:val="19"/>
                <w:color w:val="auto"/>
              </w:rPr>
            </w:pPr>
          </w:p>
        </w:tc>
        <w:tc>
          <w:tcPr>
            <w:tcW w:w="2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tcBorders>
            <w:shd w:val="clear" w:color="auto" w:fill="D1EDF4"/>
          </w:tcPr>
          <w:p>
            <w:pPr>
              <w:spacing w:after="0"/>
              <w:rPr>
                <w:sz w:val="19"/>
                <w:szCs w:val="19"/>
                <w:color w:val="auto"/>
              </w:rPr>
            </w:pPr>
          </w:p>
        </w:tc>
        <w:tc>
          <w:tcPr>
            <w:tcW w:w="118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117,106</w:t>
            </w:r>
          </w:p>
        </w:tc>
      </w:tr>
      <w:tr>
        <w:trPr>
          <w:trHeight w:val="230"/>
        </w:trPr>
        <w:tc>
          <w:tcPr>
            <w:tcW w:w="7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debt, current</w:t>
            </w:r>
          </w:p>
        </w:tc>
        <w:tc>
          <w:tcPr>
            <w:tcW w:w="1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(50,639)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(115,106)</w:t>
            </w:r>
          </w:p>
        </w:tc>
      </w:tr>
      <w:tr>
        <w:trPr>
          <w:trHeight w:val="230"/>
        </w:trPr>
        <w:tc>
          <w:tcPr>
            <w:tcW w:w="7940" w:type="dxa"/>
            <w:vAlign w:val="bottom"/>
            <w:tcBorders>
              <w:top w:val="single" w:sz="8" w:color="D1EDF4"/>
            </w:tcBorders>
            <w:shd w:val="clear" w:color="auto" w:fill="D1EDF4"/>
          </w:tcPr>
          <w:p>
            <w:pPr>
              <w:ind w:left="120"/>
              <w:spacing w:after="0" w:line="220" w:lineRule="exact"/>
              <w:rPr>
                <w:sz w:val="20"/>
                <w:szCs w:val="20"/>
                <w:color w:val="auto"/>
              </w:rPr>
            </w:pPr>
            <w:r>
              <w:rPr>
                <w:rFonts w:ascii="Times New Roman" w:cs="Times New Roman" w:eastAsia="Times New Roman" w:hAnsi="Times New Roman"/>
                <w:sz w:val="20"/>
                <w:szCs w:val="20"/>
                <w:color w:val="auto"/>
              </w:rPr>
              <w:t>Total debt, noncurrent</w:t>
            </w: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D1EDF4"/>
            </w:tcBorders>
            <w:shd w:val="clear" w:color="auto" w:fill="D1EDF4"/>
          </w:tcPr>
          <w:p>
            <w:pPr>
              <w:spacing w:after="0"/>
              <w:rPr>
                <w:sz w:val="20"/>
                <w:szCs w:val="20"/>
                <w:color w:val="auto"/>
              </w:rPr>
            </w:pP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2,000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Agreement</w:t>
      </w:r>
    </w:p>
    <w:p>
      <w:pPr>
        <w:spacing w:after="0" w:line="239"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On September 21, 2022, in connection with the consummation of the Merger, the Company entered into a Credit Agreement (the “Credit Agreement”) with the subsidiary guarantors party thereto, Metropolitan Partners Group Administration, LLC (“Metropolitan”), as administrative, payment and collateral agent (the “Agent”), the lenders (“Lenders”) and other parties party thereto, pursuant to which the Lenders extended term loans having an aggregate original principal amount of $55.0 million (the “Term Loans”).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warrants.</w:t>
      </w:r>
    </w:p>
    <w:p>
      <w:pPr>
        <w:spacing w:after="0" w:line="202"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18-month anniversary of the closing date, the Company may elect for 50% of the interest payment to be capitalized as PIK Interest on a monthly basis. Refer to Note 16 for details on revisions to the Credit Agreement. The Term Loans mature on March 21, 2025.</w:t>
      </w:r>
    </w:p>
    <w:p>
      <w:pPr>
        <w:spacing w:after="0" w:line="206"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Term Loans may be prepaid by the Company; however, any voluntary or mandatory prepayment made prior to the 18-month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99"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As a condition to entering into the Credit Agreement, the Sponsors agreed to transfer 600,000 Presto. shares to the Lender. The share transfer by the Sponsor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discount of $2.8 million in the consolidated balance sheet with an offsetting increase to additional paid-in capital for the contribution.</w:t>
      </w:r>
    </w:p>
    <w:p>
      <w:pPr>
        <w:spacing w:after="0" w:line="198" w:lineRule="exact"/>
        <w:rPr>
          <w:sz w:val="20"/>
          <w:szCs w:val="20"/>
          <w:color w:val="auto"/>
        </w:rPr>
      </w:pPr>
    </w:p>
    <w:p>
      <w:pPr>
        <w:ind w:right="420" w:firstLine="720"/>
        <w:spacing w:after="0" w:line="278" w:lineRule="auto"/>
        <w:rPr>
          <w:sz w:val="20"/>
          <w:szCs w:val="20"/>
          <w:color w:val="auto"/>
        </w:rPr>
      </w:pPr>
      <w:r>
        <w:rPr>
          <w:rFonts w:ascii="Times New Roman" w:cs="Times New Roman" w:eastAsia="Times New Roman" w:hAnsi="Times New Roman"/>
          <w:sz w:val="20"/>
          <w:szCs w:val="20"/>
          <w:color w:val="auto"/>
        </w:rPr>
        <w:t>The Company incurred other debt issuance costs associated with professional services and fees paid to the lender of $1.0 million in conjunction with the signing of the Credit Agreement which were recorded as a debt discount.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700" w:right="720" w:bottom="175" w:gutter="0" w:footer="0" w:header="0"/>
        </w:sectPr>
      </w:pPr>
    </w:p>
    <w:bookmarkStart w:id="86" w:name="page87"/>
    <w:bookmarkEnd w:id="86"/>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 March 2023, the Company entered into the First Amendment to the Credit Agreement (the “First Amendment”) in which the parties amended certain covenants and payment provisions of the Credit Agreement. In connection with the First Amendment, the Company entered into the Amended and Restated Fee Letter (the “Fee Letter”) with Metropolitan, for which the Company paid an amendment fee equal to $0.2 million and granted warrants to purchase 400,000 shares of common stock of the Company with an exercise price of $0.01 per share (the “First Amendment Warrants”) to the Lenders. The First Amendment Warrants met the criteria for classification as liabilities. The Company recorded a debt discount of $0.8 million which represents the amendment fee plus the fair value of the First Amendment Warrants. Refer to Note 10.</w:t>
      </w:r>
    </w:p>
    <w:p>
      <w:pPr>
        <w:spacing w:after="0" w:line="19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In addition, the Company obtained a waiver, pursuant to the First Amendment, of the minimum cash covenant for February 28, 2023 and March 31, 2023, the net leverage ratio for the period from February 28, 2023 through May 31, 2023 and any default occurring from the Company’s failure to notify the Lenders of the separation of the Company’s chief executive officer from the Board in March 2023.</w:t>
      </w:r>
    </w:p>
    <w:p>
      <w:pPr>
        <w:spacing w:after="0" w:line="19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On May 22, 2023, the Company entered into the Second Amendment to Credit Agreement (the “Second Amendment”) pursuant to which certain covenants in the Credit Agreement, as previously amended in the First Amendment and the Lenders agreed to the exchange of an aggregate of $1.0 million of accrued and previously capitalized interest for warrants to purchase 500,000 shares of the Company’s Common Stock at an exercise price of $ 0.01 per share (the “Second Amendment Conversion Warrants”). The effectiveness of the Second Amendment was conditioned, in part, upon evidence of a gross amount of additional equity investments of $9.0 million, to be used for working capital purposes, which the Company received upon closing of the Private Placement.</w:t>
      </w:r>
    </w:p>
    <w:p>
      <w:pPr>
        <w:spacing w:after="0" w:line="200" w:lineRule="exact"/>
        <w:rPr>
          <w:sz w:val="20"/>
          <w:szCs w:val="20"/>
          <w:color w:val="auto"/>
        </w:rPr>
      </w:pPr>
    </w:p>
    <w:p>
      <w:pPr>
        <w:jc w:val="both"/>
        <w:ind w:firstLine="720"/>
        <w:spacing w:after="0" w:line="246" w:lineRule="auto"/>
        <w:rPr>
          <w:sz w:val="20"/>
          <w:szCs w:val="20"/>
          <w:color w:val="auto"/>
        </w:rPr>
      </w:pPr>
      <w:r>
        <w:rPr>
          <w:rFonts w:ascii="Times New Roman" w:cs="Times New Roman" w:eastAsia="Times New Roman" w:hAnsi="Times New Roman"/>
          <w:sz w:val="20"/>
          <w:szCs w:val="20"/>
          <w:color w:val="auto"/>
        </w:rPr>
        <w:t>In connection with the effectiveness of the Second Amendment and in consideration for the Lenders entering into the Second Amendment, the Company entered into the Second Amended and Restated Fee Letter (the “Second Fee Letter”) with the Agent, pursuant to which the Company issued warrants to purchase 2,000,000 shares of the Company’s Common Stock, with an exercise price of $0.01 per share (the “Second Amendment Fee Warrants” and, together with the Second Amendment Conversion Warrants, the “Second Amendment Warrants”), to the Lenders as an amendment fee. The Second Amendment Warrants met the criteria for classification as liabilities. The Company recorded a debt discount of $5.2 million which represents the amendment fee plus the fair value of the Second Amendment Warrants. Refer to Note 10.</w:t>
      </w:r>
    </w:p>
    <w:p>
      <w:pPr>
        <w:spacing w:after="0" w:line="190"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During the year ended June 30, 2023, the Company recorded PIK interest expense amounts of $5.4 million, which has been reflected as an increase to the outstanding debt balance. Further, during the year ended June 30, 2023, the Company recorded interest expense associated with the amortization of debt discounts of $2.2 million. Accordingly, as at June 30, 2023, the term loans, noncurrent balance of $50.6 million reflects $55.0 million of principal and $5.4 million of PIK interest accrual, reduced by $9.8 million of unamortized debt issuance costs. The Company also pays a debt monitoring fee under the Credit Agreement of $0.1 million per quarter which is recorded as interest expense in the consolidated statement of operations and comprehensive loss. The Company had no outstanding amounts related to the Credit Agreement as of June 30, 2022.</w:t>
      </w:r>
    </w:p>
    <w:p>
      <w:pPr>
        <w:spacing w:after="0" w:line="199"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The Company must comply with certain financial covenants as set forth in the Credit Agreement, including a minimum cash covenant and maximum net leverage ratio of 1.20 to 1.00. The net leverage ratio covenant was removed subsequent to the end of fiscal year ended June 30, 2023. Refer to Note 16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 The Company was not in compliance with the maximum net leverage ratio and other instances of default occurred as of June 30, 2023 and subsequent to year end. Refer to Note 16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consolidated balance sheet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700" w:right="720" w:bottom="175"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i w:val="1"/>
          <w:iCs w:val="1"/>
          <w:color w:val="auto"/>
        </w:rPr>
        <w:t>Warrants to Purchase Common Stock</w:t>
      </w:r>
    </w:p>
    <w:p>
      <w:pPr>
        <w:spacing w:after="0" w:line="228"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 xml:space="preserve">In connection with the Second Amendment, the Company issued the second amendment metropolitan warrants (the “Second Amendment Warrants”). The Second Amendment Warrants may be exercised for cash or a net exercise at any time on or before the date that is the five year anniversary of the date of the issuance of the Second Amendment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shall not affect the exercise of any portion of the warrant where the effect is the holder, together with its affiliates would beneficially own in excess of 4.99% of the Common Stock outstanding immediately after giving effect to such exercise.</w:t>
      </w:r>
    </w:p>
    <w:p>
      <w:pPr>
        <w:spacing w:after="0" w:line="187"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In connection with the issuance of the Second Amendment Warrants, the Company entered into a customary registration right for the shares of Common Stock issuable upon exercise of the Second Amendment Warrants for which the Registration Statement was declared effective by the SEC on July 6,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Promissory Notes</w:t>
      </w:r>
    </w:p>
    <w:p>
      <w:pPr>
        <w:spacing w:after="0" w:line="239"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As of June 30, 2022, the Company had convertible notes outstanding to various investors, all of which were accounted for under the fair value option. As of June 30 2022, the fair value of such convertible promissory notes was $ 89.7 million. In conjunction with the Merger, all convertible promissory notes were converted into shares of the Company’s Common Stock. Further, also on the date of the Merger, certain convertible notes which were issued with warrants also had the related warrants converted into shares of Common Stock. As a consequence of the note and warrant conversion, 8,147,938 shares of Common Stock were issued. Immediately prior to conversion, the convertible promissory notes were remeasured to the-then fair value of $41.4 million, resulting in a gain on remeasurement of $48.3 million which was recorded within change in fair value of warrants and convertible promissory notes on the consolidated statement of operations and comprehensive loss for the year ended June 30, 2023. As a consequence of the conversion, $41.4 million was reclassified into additional paid-in capital.</w:t>
      </w:r>
    </w:p>
    <w:p>
      <w:pPr>
        <w:spacing w:after="0" w:line="206" w:lineRule="exact"/>
        <w:rPr>
          <w:sz w:val="20"/>
          <w:szCs w:val="20"/>
          <w:color w:val="auto"/>
        </w:rPr>
      </w:pPr>
    </w:p>
    <w:p>
      <w:pPr>
        <w:ind w:firstLine="821"/>
        <w:spacing w:after="0" w:line="249" w:lineRule="auto"/>
        <w:rPr>
          <w:sz w:val="20"/>
          <w:szCs w:val="20"/>
          <w:color w:val="auto"/>
        </w:rPr>
      </w:pPr>
      <w:r>
        <w:rPr>
          <w:rFonts w:ascii="Times New Roman" w:cs="Times New Roman" w:eastAsia="Times New Roman" w:hAnsi="Times New Roman"/>
          <w:sz w:val="20"/>
          <w:szCs w:val="20"/>
          <w:color w:val="auto"/>
        </w:rPr>
        <w:t>During the year ended June 30, 2022 the Company issued the convertible promissory notes for $0.5 million in July 2021 and $25.7 million in February 2022. The convertible promissory notes issued in February 2022 repaid convertible promissory notes issued in June 2021 for $20.0 million. During the year ended June 30, 2022, the Company recorded a loss on remeasurement of $18.9 million, on all outstanding convertible promissory notes, which were recorded within change in fair value of warrants and convertible promissory notes on the consolidated statement of operations and comprehensive loss.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Term Loans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Horizon Term Loan</w:t>
      </w:r>
    </w:p>
    <w:p>
      <w:pPr>
        <w:spacing w:after="0" w:line="238"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202"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On September 21, 2022, in connection with the entry into the Credit Agreement,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consolidated statement of operations and comprehensive loss for the year ended June 30,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Lago Term Loans</w:t>
      </w:r>
    </w:p>
    <w:p>
      <w:pPr>
        <w:spacing w:after="0" w:line="23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On March 11, 2022, the Company entered into a loan agreement (the “Lago Loan”) with Lago Innovation Fund I &amp; II, LLC, which provided the Company with $12.6 million, bears interest at the greater of 12% plus the greater of 1% or 30-day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the Company’s Common Stock in connection with the Lago Loan. Refer to Note 10 for further details.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800"/>
          </w:cols>
          <w:pgMar w:left="720" w:top="702" w:right="720" w:bottom="175" w:gutter="0" w:footer="0" w:header="0"/>
        </w:sectPr>
      </w:pPr>
    </w:p>
    <w:bookmarkStart w:id="88" w:name="page89"/>
    <w:bookmarkEnd w:id="88"/>
    <w:p>
      <w:pPr>
        <w:ind w:firstLine="720"/>
        <w:spacing w:after="0" w:line="247" w:lineRule="auto"/>
        <w:rPr>
          <w:sz w:val="20"/>
          <w:szCs w:val="20"/>
          <w:color w:val="auto"/>
        </w:rPr>
      </w:pPr>
      <w:r>
        <w:rPr>
          <w:rFonts w:ascii="Times New Roman" w:cs="Times New Roman" w:eastAsia="Times New Roman" w:hAnsi="Times New Roman"/>
          <w:sz w:val="20"/>
          <w:szCs w:val="20"/>
          <w:color w:val="auto"/>
        </w:rPr>
        <w:t>On August 4, 2022, the Company amended the Lago Loan which provided the Company with $5.3 million. Further, as part of the amendment to the Lago Loan, the Company issued an additional 169,310 warrants to purchase Common Stock in connection with the additional tranche. Refer to Note 10 for further details. The warrants met the criteria for liability classification and are valued at $0.4 million at June 30, 2023. The Company determined that the amendment with the lender should be accounted for as an extinguishment and recorded as a loss on extinguishment of debt and financial obligations of $6.0 million on its consolidated statement of operations and comprehensive loss for the year ended June 30, 2023.</w:t>
      </w:r>
    </w:p>
    <w:p>
      <w:pPr>
        <w:spacing w:after="0" w:line="200"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In connection with the entry into the Credit Agreement (described above) on September 21, 2022, the Company repaid all outstanding loans by making a cash disbursement of $22.4 million, of which $ 17.9 million was repayment of principal and $0.1 million was payment of payable in-kind interest. Further, $4.4 million of cash was paid related to prepayment and other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Paycheck Protection Program Loans</w:t>
      </w:r>
    </w:p>
    <w:p>
      <w:pPr>
        <w:spacing w:after="0" w:line="23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In April 2020, the Company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No collateral or personal guarantees were required for the loan. The PPP loans would bear an interest rate of 1% and a maturity of two years for the first loan and five years for the second loan. The Company’s accounting policy provides that if the loans are forgiven, the forgiven loan balance will be recognized as income in the period of forgiveness. During the year ended June 30, 2022, the Company received forgiveness of the first PPP loan of $2.6 million and recognized income on forgiveness within other income, net. During the year ended June 30, 2023, the Company received forgiveness of the second PPP loan of $2.0 million and recognized income on forgiveness within other income, net.</w:t>
      </w:r>
    </w:p>
    <w:p>
      <w:pPr>
        <w:spacing w:after="0" w:line="20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Future principal payments on debt including interest payments elected to be capitalized as PIK Interest for the Company’s fiscal years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38"/>
        </w:trPr>
        <w:tc>
          <w:tcPr>
            <w:tcW w:w="928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1"/>
        </w:trPr>
        <w:tc>
          <w:tcPr>
            <w:tcW w:w="928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shd w:val="clear" w:color="auto" w:fill="D1EDF4"/>
          </w:tcPr>
          <w:p>
            <w:pPr>
              <w:spacing w:after="0"/>
              <w:rPr>
                <w:sz w:val="19"/>
                <w:szCs w:val="19"/>
                <w:color w:val="auto"/>
              </w:rPr>
            </w:pPr>
          </w:p>
        </w:tc>
        <w:tc>
          <w:tcPr>
            <w:tcW w:w="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r>
      <w:tr>
        <w:trPr>
          <w:trHeight w:val="230"/>
        </w:trPr>
        <w:tc>
          <w:tcPr>
            <w:tcW w:w="92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2"/>
        </w:trPr>
        <w:tc>
          <w:tcPr>
            <w:tcW w:w="92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shd w:val="clear" w:color="auto" w:fill="D1EDF4"/>
          </w:tcPr>
          <w:p>
            <w:pPr>
              <w:spacing w:after="0"/>
              <w:rPr>
                <w:sz w:val="20"/>
                <w:szCs w:val="20"/>
                <w:color w:val="auto"/>
              </w:rPr>
            </w:pPr>
          </w:p>
        </w:tc>
        <w:tc>
          <w:tcPr>
            <w:tcW w:w="160" w:type="dxa"/>
            <w:vAlign w:val="bottom"/>
            <w:tcBorders>
              <w:bottom w:val="single" w:sz="8" w:color="auto"/>
            </w:tcBorders>
            <w:shd w:val="clear" w:color="auto" w:fill="D1EDF4"/>
          </w:tcPr>
          <w:p>
            <w:pPr>
              <w:spacing w:after="0"/>
              <w:rPr>
                <w:sz w:val="20"/>
                <w:szCs w:val="20"/>
                <w:color w:val="auto"/>
              </w:rPr>
            </w:pPr>
          </w:p>
        </w:tc>
        <w:tc>
          <w:tcPr>
            <w:tcW w:w="13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60,448</w:t>
            </w:r>
          </w:p>
        </w:tc>
      </w:tr>
      <w:tr>
        <w:trPr>
          <w:trHeight w:val="231"/>
        </w:trPr>
        <w:tc>
          <w:tcPr>
            <w:tcW w:w="9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future payments on debt obligations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60,448</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Warranties, Indemnification, and Contingencies</w:t>
      </w:r>
    </w:p>
    <w:p>
      <w:pPr>
        <w:spacing w:after="0" w:line="239"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 ended June 30, 2023 and 2022, the Company has incurred costs to refurbish Presto Touch tablets of $1.5 million and $3.0 million, respectively, recorded in cost of Platform revenue in the Company’s consolidated statements of operations and comprehensive loss. In connection with the service level agreements, the Company has recorded $0.4 million and $0.7 million in accrued liabilities in the consolidated balance sheets as of June 30, 2023 and June 30, 2022, respectively, for expected repair costs for Presto Touch tablets currently in the Company’s RMA process.</w:t>
      </w:r>
    </w:p>
    <w:p>
      <w:pPr>
        <w:spacing w:after="0" w:line="201"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99" w:lineRule="exact"/>
        <w:rPr>
          <w:sz w:val="20"/>
          <w:szCs w:val="20"/>
          <w:color w:val="auto"/>
        </w:rPr>
      </w:pPr>
    </w:p>
    <w:p>
      <w:pPr>
        <w:ind w:right="100" w:firstLine="720"/>
        <w:spacing w:after="0" w:line="270" w:lineRule="auto"/>
        <w:rPr>
          <w:sz w:val="20"/>
          <w:szCs w:val="20"/>
          <w:color w:val="auto"/>
        </w:rPr>
      </w:pPr>
      <w:r>
        <w:rPr>
          <w:rFonts w:ascii="Times New Roman" w:cs="Times New Roman" w:eastAsia="Times New Roman" w:hAnsi="Times New Roman"/>
          <w:sz w:val="19"/>
          <w:szCs w:val="19"/>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800"/>
          </w:cols>
          <w:pgMar w:left="720" w:top="700" w:right="720" w:bottom="175" w:gutter="0" w:footer="0" w:header="0"/>
        </w:sectPr>
      </w:pPr>
    </w:p>
    <w:bookmarkStart w:id="89" w:name="page90"/>
    <w:bookmarkEnd w:id="89"/>
    <w:p>
      <w:pPr>
        <w:ind w:right="140"/>
        <w:spacing w:after="0" w:line="278" w:lineRule="auto"/>
        <w:rPr>
          <w:sz w:val="20"/>
          <w:szCs w:val="20"/>
          <w:color w:val="auto"/>
        </w:rPr>
      </w:pPr>
      <w:r>
        <w:rPr>
          <w:rFonts w:ascii="Times New Roman" w:cs="Times New Roman" w:eastAsia="Times New Roman" w:hAnsi="Times New Roman"/>
          <w:sz w:val="20"/>
          <w:szCs w:val="20"/>
          <w:color w:val="auto"/>
        </w:rPr>
        <w:t>any other company or enterprise at the Company’s request. The Company maintains director and officer insurance coverage that may enable the Company to recover a portion of any future amounts paid.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Infrequent Product Repairs</w:t>
      </w:r>
    </w:p>
    <w:p>
      <w:pPr>
        <w:spacing w:after="0" w:line="238"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During the year ended June 30, 2022, the Company continued to experience higher than normal hardware returns for repair or replacement using an RMA.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that leaked into the hardware causing significant damage to the devices and requiring replacement of such devices.</w:t>
      </w:r>
    </w:p>
    <w:p>
      <w:pPr>
        <w:spacing w:after="0" w:line="200"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standard warranty the Company provides covers regular wear and tear and does not cover any damage caused by mishandling of the product. However, given the nature of issues, the Company, in order to prevent disruption to the Company’s customers’ businesses, incurred approximately $0.6 million of repair and replacement expenses related to this issue during the year ended June 30, 2022. The Company provided repair and replacement of its hardware devices to all of its customers as a one-time only accommodation due to COVID-19. The Company has also made a claim to recover the costs from its third-party subcontractor who manufactures the hardware. Refer to </w:t>
      </w:r>
      <w:r>
        <w:rPr>
          <w:rFonts w:ascii="Times New Roman" w:cs="Times New Roman" w:eastAsia="Times New Roman" w:hAnsi="Times New Roman"/>
          <w:sz w:val="20"/>
          <w:szCs w:val="20"/>
          <w:i w:val="1"/>
          <w:iCs w:val="1"/>
          <w:color w:val="auto"/>
        </w:rPr>
        <w:t>Legal Proceedings</w:t>
      </w:r>
      <w:r>
        <w:rPr>
          <w:rFonts w:ascii="Times New Roman" w:cs="Times New Roman" w:eastAsia="Times New Roman" w:hAnsi="Times New Roman"/>
          <w:sz w:val="20"/>
          <w:szCs w:val="20"/>
          <w:color w:val="auto"/>
        </w:rPr>
        <w:t xml:space="preserve"> below. The Company incurred no repair and replacement expenses related to this issue in the year ended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4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spacing w:after="0" w:line="206" w:lineRule="exact"/>
        <w:rPr>
          <w:sz w:val="20"/>
          <w:szCs w:val="20"/>
          <w:color w:val="auto"/>
        </w:rPr>
      </w:pPr>
    </w:p>
    <w:p>
      <w:pPr>
        <w:ind w:right="80" w:firstLine="720"/>
        <w:spacing w:after="0" w:line="257" w:lineRule="auto"/>
        <w:rPr>
          <w:sz w:val="20"/>
          <w:szCs w:val="20"/>
          <w:color w:val="auto"/>
        </w:rPr>
      </w:pPr>
      <w:r>
        <w:rPr>
          <w:rFonts w:ascii="Times New Roman" w:cs="Times New Roman" w:eastAsia="Times New Roman" w:hAnsi="Times New Roman"/>
          <w:sz w:val="19"/>
          <w:szCs w:val="19"/>
          <w:color w:val="auto"/>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 -based/natural language order process system.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U.S. District Court for the district of Delaware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8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June 30, 2023. As a result, the Company has not recognized any gain related to this settlement in its consolidated statement of operations and comprehensive loss.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July 2023, the Company and certain of its current and former executive officers received notices of preservation</w:t>
      </w:r>
    </w:p>
    <w:p>
      <w:pPr>
        <w:spacing w:after="0" w:line="27"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and subpoenas from the staff of the U.S. Securities and Exchange Commission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700" w:right="720" w:bottom="175" w:gutter="0" w:footer="0" w:header="0"/>
        </w:sectPr>
      </w:pPr>
    </w:p>
    <w:bookmarkStart w:id="90" w:name="page91"/>
    <w:bookmarkEnd w:id="90"/>
    <w:p>
      <w:pPr>
        <w:ind w:right="660"/>
        <w:spacing w:after="0" w:line="277" w:lineRule="auto"/>
        <w:rPr>
          <w:sz w:val="20"/>
          <w:szCs w:val="20"/>
          <w:color w:val="auto"/>
        </w:rPr>
      </w:pPr>
      <w:r>
        <w:rPr>
          <w:rFonts w:ascii="Times New Roman" w:cs="Times New Roman" w:eastAsia="Times New Roman" w:hAnsi="Times New Roman"/>
          <w:sz w:val="20"/>
          <w:szCs w:val="20"/>
          <w:color w:val="auto"/>
        </w:rPr>
        <w:t>unable to assess whether any material loss is reasonably possible as a result of these investigations or estimate the range of any potential loss.</w:t>
      </w:r>
    </w:p>
    <w:p>
      <w:pPr>
        <w:spacing w:after="0" w:line="159" w:lineRule="exact"/>
        <w:rPr>
          <w:sz w:val="20"/>
          <w:szCs w:val="20"/>
          <w:color w:val="auto"/>
        </w:rPr>
      </w:pPr>
    </w:p>
    <w:p>
      <w:pPr>
        <w:ind w:right="80" w:firstLine="480"/>
        <w:spacing w:after="0" w:line="247" w:lineRule="auto"/>
        <w:rPr>
          <w:sz w:val="20"/>
          <w:szCs w:val="20"/>
          <w:color w:val="auto"/>
        </w:rPr>
      </w:pPr>
      <w:r>
        <w:rPr>
          <w:rFonts w:ascii="Times New Roman" w:cs="Times New Roman" w:eastAsia="Times New Roman" w:hAnsi="Times New Roman"/>
          <w:sz w:val="20"/>
          <w:szCs w:val="20"/>
          <w:color w:val="auto"/>
        </w:rPr>
        <w:t>During fiscal year 2023, the Company received a legal demand with certain former employees who were part of its May 2022 acquisition of Cyborg Ops, Inc. The demand relates to the basis of their change in employment status and whether certain unvested equity in the amount of 256,891 restricted stock awards, which were forfeited and cancelled upon their departure in accordance with the terms of their employment contracts, warranted full and accelerated vestiture upon their last date of employment with the Company. The Company maintains that it is not probable that there is a financial obligation related to this matter nor can the Company estimate any reasonable possible loss at this time, accordingly the Company has not recorded a charge for this matter.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Stockholders’ Deficit</w:t>
      </w:r>
    </w:p>
    <w:p>
      <w:pPr>
        <w:spacing w:after="0" w:line="243"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93"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On May 22, 2023, the Company entered into a securities purchase agreement, pursuant to which the Company agreed to sell an aggregate of 4,760,500 newly issued shares of the Company’s Common Stock, at a purchase price of $2.00 per share for an aggregate purchase price of approximately $9.5 million. The investors include existing shareholders of the Company and new investors.</w:t>
      </w:r>
    </w:p>
    <w:p>
      <w:pPr>
        <w:spacing w:after="0" w:line="168"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On September 15, 2022, the Company (then Legacy Presto), received an equity investment of $1.0 million from an investor in exchange for 133,333 shares in the Company Common Stock. Further, such investor held a significant portion of outstanding convertible notes on the date the investment was made. The Company recorded the proceeds received as an increase to additional paid-in capital.</w:t>
      </w:r>
    </w:p>
    <w:p>
      <w:pPr>
        <w:spacing w:after="0" w:line="191" w:lineRule="exact"/>
        <w:rPr>
          <w:sz w:val="20"/>
          <w:szCs w:val="20"/>
          <w:color w:val="auto"/>
        </w:rPr>
      </w:pPr>
    </w:p>
    <w:p>
      <w:pPr>
        <w:ind w:right="40" w:firstLine="720"/>
        <w:spacing w:after="0" w:line="242" w:lineRule="auto"/>
        <w:rPr>
          <w:sz w:val="20"/>
          <w:szCs w:val="20"/>
          <w:color w:val="auto"/>
        </w:rPr>
      </w:pPr>
      <w:r>
        <w:rPr>
          <w:rFonts w:ascii="Times New Roman" w:cs="Times New Roman" w:eastAsia="Times New Roman" w:hAnsi="Times New Roman"/>
          <w:sz w:val="20"/>
          <w:szCs w:val="20"/>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consolidated statement of operations and comprehensive loss, with an offsetting increase to additional paid-in capital. The Company also agreed to pay certain expenses of Silver Rock in the amount of $0.5 million which is recorded within other financing and financial instrument (costs) income, net on the consolidated statement of operations and comprehensive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other financing cost of $0.8 million within other financing and financial instrument (costs) income, net on the consolidated statement of operations and comprehensive loss with an offsetting increase to additional paid-in capital for the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700" w:right="720" w:bottom="175"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i w:val="1"/>
          <w:iCs w:val="1"/>
          <w:color w:val="auto"/>
        </w:rPr>
        <w:t>Convertible Preferred Stock</w:t>
      </w:r>
    </w:p>
    <w:p>
      <w:pPr>
        <w:spacing w:after="0" w:line="160" w:lineRule="exact"/>
        <w:rPr>
          <w:sz w:val="20"/>
          <w:szCs w:val="20"/>
          <w:color w:val="auto"/>
        </w:rPr>
      </w:pPr>
    </w:p>
    <w:p>
      <w:pPr>
        <w:jc w:val="both"/>
        <w:ind w:right="120" w:firstLine="480"/>
        <w:spacing w:after="0" w:line="258" w:lineRule="auto"/>
        <w:rPr>
          <w:sz w:val="20"/>
          <w:szCs w:val="20"/>
          <w:color w:val="auto"/>
        </w:rPr>
      </w:pPr>
      <w:r>
        <w:rPr>
          <w:rFonts w:ascii="Times New Roman" w:cs="Times New Roman" w:eastAsia="Times New Roman" w:hAnsi="Times New Roman"/>
          <w:sz w:val="20"/>
          <w:szCs w:val="20"/>
          <w:color w:val="auto"/>
        </w:rPr>
        <w:t>Prior to the retroactive impact of the recapitalization, the summary of the Convertible Preferred Stock outstanding and other related information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287"/>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5"/>
        </w:trPr>
        <w:tc>
          <w:tcPr>
            <w:tcW w:w="4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42"/>
        </w:trPr>
        <w:tc>
          <w:tcPr>
            <w:tcW w:w="4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46"/>
        </w:trPr>
        <w:tc>
          <w:tcPr>
            <w:tcW w:w="4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Issuable</w:t>
            </w:r>
          </w:p>
        </w:tc>
      </w:tr>
      <w:tr>
        <w:trPr>
          <w:trHeight w:val="256"/>
        </w:trPr>
        <w:tc>
          <w:tcPr>
            <w:tcW w:w="4640" w:type="dxa"/>
            <w:vAlign w:val="bottom"/>
          </w:tcPr>
          <w:p>
            <w:pPr>
              <w:spacing w:after="0"/>
              <w:rPr>
                <w:sz w:val="22"/>
                <w:szCs w:val="22"/>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Issue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167"/>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Liquidation</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w:t>
            </w:r>
          </w:p>
        </w:tc>
      </w:tr>
      <w:tr>
        <w:trPr>
          <w:trHeight w:val="257"/>
        </w:trPr>
        <w:tc>
          <w:tcPr>
            <w:tcW w:w="4640" w:type="dxa"/>
            <w:vAlign w:val="bottom"/>
            <w:tcBorders>
              <w:bottom w:val="single" w:sz="8" w:color="D1EDF4"/>
            </w:tcBorders>
          </w:tcPr>
          <w:p>
            <w:pPr>
              <w:spacing w:after="0"/>
              <w:rPr>
                <w:sz w:val="22"/>
                <w:szCs w:val="22"/>
                <w:color w:val="auto"/>
              </w:rPr>
            </w:pPr>
          </w:p>
        </w:tc>
        <w:tc>
          <w:tcPr>
            <w:tcW w:w="7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0" w:type="dxa"/>
            <w:vAlign w:val="bottom"/>
            <w:tcBorders>
              <w:bottom w:val="single" w:sz="8" w:color="D1EDF4"/>
            </w:tcBorders>
          </w:tcPr>
          <w:p>
            <w:pPr>
              <w:spacing w:after="0"/>
              <w:rPr>
                <w:sz w:val="22"/>
                <w:szCs w:val="22"/>
                <w:color w:val="auto"/>
              </w:rPr>
            </w:pPr>
          </w:p>
        </w:tc>
        <w:tc>
          <w:tcPr>
            <w:tcW w:w="20" w:type="dxa"/>
            <w:vAlign w:val="bottom"/>
            <w:tcBorders>
              <w:bottom w:val="single" w:sz="8" w:color="D1EDF4"/>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D1EDF4"/>
            </w:tcBorders>
          </w:tcPr>
          <w:p>
            <w:pPr>
              <w:spacing w:after="0"/>
              <w:rPr>
                <w:sz w:val="22"/>
                <w:szCs w:val="22"/>
                <w:color w:val="auto"/>
              </w:rPr>
            </w:pPr>
          </w:p>
        </w:tc>
        <w:tc>
          <w:tcPr>
            <w:tcW w:w="20" w:type="dxa"/>
            <w:vAlign w:val="bottom"/>
            <w:tcBorders>
              <w:bottom w:val="single" w:sz="8" w:color="D1EDF4"/>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D1EDF4"/>
            </w:tcBorders>
          </w:tcPr>
          <w:p>
            <w:pPr>
              <w:spacing w:after="0"/>
              <w:rPr>
                <w:sz w:val="22"/>
                <w:szCs w:val="22"/>
                <w:color w:val="auto"/>
              </w:rPr>
            </w:pPr>
          </w:p>
        </w:tc>
        <w:tc>
          <w:tcPr>
            <w:tcW w:w="20" w:type="dxa"/>
            <w:vAlign w:val="bottom"/>
            <w:tcBorders>
              <w:bottom w:val="single" w:sz="8" w:color="D1EDF4"/>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Preference</w:t>
            </w:r>
          </w:p>
        </w:tc>
        <w:tc>
          <w:tcPr>
            <w:tcW w:w="100" w:type="dxa"/>
            <w:vAlign w:val="bottom"/>
            <w:tcBorders>
              <w:bottom w:val="single" w:sz="8" w:color="D1EDF4"/>
            </w:tcBorders>
          </w:tcPr>
          <w:p>
            <w:pPr>
              <w:spacing w:after="0"/>
              <w:rPr>
                <w:sz w:val="22"/>
                <w:szCs w:val="22"/>
                <w:color w:val="auto"/>
              </w:rPr>
            </w:pPr>
          </w:p>
        </w:tc>
        <w:tc>
          <w:tcPr>
            <w:tcW w:w="20" w:type="dxa"/>
            <w:vAlign w:val="bottom"/>
            <w:tcBorders>
              <w:bottom w:val="single" w:sz="8" w:color="D1EDF4"/>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24"/>
        </w:trPr>
        <w:tc>
          <w:tcPr>
            <w:tcW w:w="4640" w:type="dxa"/>
            <w:vAlign w:val="bottom"/>
            <w:shd w:val="clear" w:color="auto" w:fill="D1EDF4"/>
          </w:tcPr>
          <w:p>
            <w:pPr>
              <w:ind w:left="120"/>
              <w:spacing w:after="0" w:line="224" w:lineRule="exact"/>
              <w:rPr>
                <w:sz w:val="20"/>
                <w:szCs w:val="20"/>
                <w:color w:val="auto"/>
              </w:rPr>
            </w:pPr>
            <w:r>
              <w:rPr>
                <w:rFonts w:ascii="Times New Roman" w:cs="Times New Roman" w:eastAsia="Times New Roman" w:hAnsi="Times New Roman"/>
                <w:sz w:val="20"/>
                <w:szCs w:val="20"/>
                <w:color w:val="auto"/>
              </w:rPr>
              <w:t>Series A</w:t>
            </w:r>
          </w:p>
        </w:tc>
        <w:tc>
          <w:tcPr>
            <w:tcW w:w="760" w:type="dxa"/>
            <w:vAlign w:val="bottom"/>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w w:val="97"/>
              </w:rPr>
              <w:t>$ 0.3017</w:t>
            </w:r>
          </w:p>
        </w:tc>
        <w:tc>
          <w:tcPr>
            <w:tcW w:w="1080" w:type="dxa"/>
            <w:vAlign w:val="bottom"/>
            <w:gridSpan w:val="3"/>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rPr>
              <w:t>9,410,799</w:t>
            </w:r>
          </w:p>
        </w:tc>
        <w:tc>
          <w:tcPr>
            <w:tcW w:w="10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040" w:type="dxa"/>
            <w:vAlign w:val="bottom"/>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rPr>
              <w:t>8,621,800</w:t>
            </w:r>
          </w:p>
        </w:tc>
        <w:tc>
          <w:tcPr>
            <w:tcW w:w="1040" w:type="dxa"/>
            <w:vAlign w:val="bottom"/>
            <w:gridSpan w:val="3"/>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2,567</w:t>
            </w:r>
          </w:p>
        </w:tc>
        <w:tc>
          <w:tcPr>
            <w:tcW w:w="1040" w:type="dxa"/>
            <w:vAlign w:val="bottom"/>
            <w:gridSpan w:val="3"/>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rPr>
              <w:t>2,601</w:t>
            </w:r>
          </w:p>
        </w:tc>
        <w:tc>
          <w:tcPr>
            <w:tcW w:w="1200" w:type="dxa"/>
            <w:vAlign w:val="bottom"/>
            <w:gridSpan w:val="3"/>
            <w:shd w:val="clear" w:color="auto" w:fill="D1EDF4"/>
          </w:tcPr>
          <w:p>
            <w:pPr>
              <w:jc w:val="right"/>
              <w:spacing w:after="0" w:line="224" w:lineRule="exact"/>
              <w:rPr>
                <w:sz w:val="20"/>
                <w:szCs w:val="20"/>
                <w:color w:val="auto"/>
              </w:rPr>
            </w:pPr>
            <w:r>
              <w:rPr>
                <w:rFonts w:ascii="Times New Roman" w:cs="Times New Roman" w:eastAsia="Times New Roman" w:hAnsi="Times New Roman"/>
                <w:sz w:val="20"/>
                <w:szCs w:val="20"/>
                <w:color w:val="auto"/>
              </w:rPr>
              <w:t>8,621,800</w:t>
            </w:r>
          </w:p>
        </w:tc>
      </w:tr>
      <w:tr>
        <w:trPr>
          <w:trHeight w:val="233"/>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Series AA-1</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9.3597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1,131,190</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1,024,349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9,520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9,588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1,024,349</w:t>
            </w:r>
          </w:p>
        </w:tc>
      </w:tr>
      <w:tr>
        <w:trPr>
          <w:trHeight w:val="232"/>
        </w:trPr>
        <w:tc>
          <w:tcPr>
            <w:tcW w:w="46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Series AA-2</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3.3215</w:t>
            </w:r>
          </w:p>
        </w:tc>
        <w:tc>
          <w:tcPr>
            <w:tcW w:w="10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169,083</w:t>
            </w:r>
          </w:p>
        </w:tc>
        <w:tc>
          <w:tcPr>
            <w:tcW w:w="11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169,083</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546</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562</w:t>
            </w:r>
          </w:p>
        </w:tc>
        <w:tc>
          <w:tcPr>
            <w:tcW w:w="120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169,083</w:t>
            </w:r>
          </w:p>
        </w:tc>
      </w:tr>
      <w:tr>
        <w:trPr>
          <w:trHeight w:val="232"/>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Series B</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0.9959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10,364,829</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10,364,829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10,131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10,364,829</w:t>
            </w:r>
          </w:p>
        </w:tc>
      </w:tr>
      <w:tr>
        <w:trPr>
          <w:trHeight w:val="233"/>
        </w:trPr>
        <w:tc>
          <w:tcPr>
            <w:tcW w:w="46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Series B-1</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0.6711</w:t>
            </w:r>
          </w:p>
        </w:tc>
        <w:tc>
          <w:tcPr>
            <w:tcW w:w="10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4,619,282</w:t>
            </w:r>
          </w:p>
        </w:tc>
        <w:tc>
          <w:tcPr>
            <w:tcW w:w="11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4,619,282</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3,100</w:t>
            </w:r>
          </w:p>
        </w:tc>
        <w:tc>
          <w:tcPr>
            <w:tcW w:w="120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4,619,282</w:t>
            </w:r>
          </w:p>
        </w:tc>
      </w:tr>
      <w:tr>
        <w:trPr>
          <w:trHeight w:val="232"/>
        </w:trPr>
        <w:tc>
          <w:tcPr>
            <w:tcW w:w="46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Series C</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3,026,634</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1,513,316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9,965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1,513,316</w:t>
            </w:r>
          </w:p>
        </w:tc>
      </w:tr>
      <w:tr>
        <w:trPr>
          <w:trHeight w:val="232"/>
        </w:trPr>
        <w:tc>
          <w:tcPr>
            <w:tcW w:w="464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Series C-1</w:t>
            </w:r>
          </w:p>
        </w:tc>
        <w:tc>
          <w:tcPr>
            <w:tcW w:w="7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5.2864</w:t>
            </w:r>
          </w:p>
        </w:tc>
        <w:tc>
          <w:tcPr>
            <w:tcW w:w="108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2,030,761</w:t>
            </w:r>
          </w:p>
        </w:tc>
        <w:tc>
          <w:tcPr>
            <w:tcW w:w="116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2,030,761</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10,735</w:t>
            </w:r>
          </w:p>
        </w:tc>
        <w:tc>
          <w:tcPr>
            <w:tcW w:w="104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10,735</w:t>
            </w:r>
          </w:p>
        </w:tc>
        <w:tc>
          <w:tcPr>
            <w:tcW w:w="1200" w:type="dxa"/>
            <w:vAlign w:val="bottom"/>
            <w:gridSpan w:val="3"/>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2,030,761</w:t>
            </w:r>
          </w:p>
        </w:tc>
      </w:tr>
      <w:tr>
        <w:trPr>
          <w:trHeight w:val="232"/>
        </w:trPr>
        <w:tc>
          <w:tcPr>
            <w:tcW w:w="4640" w:type="dxa"/>
            <w:vAlign w:val="bottom"/>
          </w:tcPr>
          <w:p>
            <w:pPr>
              <w:ind w:left="120"/>
              <w:spacing w:after="0" w:line="224" w:lineRule="exact"/>
              <w:rPr>
                <w:sz w:val="20"/>
                <w:szCs w:val="20"/>
                <w:color w:val="auto"/>
              </w:rPr>
            </w:pPr>
            <w:r>
              <w:rPr>
                <w:rFonts w:ascii="Times New Roman" w:cs="Times New Roman" w:eastAsia="Times New Roman" w:hAnsi="Times New Roman"/>
                <w:sz w:val="20"/>
                <w:szCs w:val="20"/>
                <w:color w:val="auto"/>
              </w:rPr>
              <w:t>Total</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30,752,578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28,343,420</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  46,564</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  46,908</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u w:val="single" w:color="auto"/>
                <w:color w:val="auto"/>
                <w:w w:val="97"/>
              </w:rPr>
              <w:t>$</w:t>
            </w:r>
            <w:r>
              <w:rPr>
                <w:rFonts w:ascii="Times New Roman" w:cs="Times New Roman" w:eastAsia="Times New Roman" w:hAnsi="Times New Roman"/>
                <w:sz w:val="20"/>
                <w:szCs w:val="20"/>
                <w:color w:val="auto"/>
                <w:w w:val="97"/>
              </w:rPr>
              <w:t>28,343,420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3433445</wp:posOffset>
                </wp:positionH>
                <wp:positionV relativeFrom="paragraph">
                  <wp:posOffset>-1212850</wp:posOffset>
                </wp:positionV>
                <wp:extent cx="20320" cy="1206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20" cy="12065"/>
                        </a:xfrm>
                        <a:prstGeom prst="rect">
                          <a:avLst/>
                        </a:prstGeom>
                        <a:solidFill>
                          <a:srgbClr val="D1EDF4"/>
                        </a:solidFill>
                      </wps:spPr>
                      <wps:bodyPr/>
                    </wps:wsp>
                  </a:graphicData>
                </a:graphic>
              </wp:anchor>
            </w:drawing>
          </mc:Choice>
          <mc:Fallback>
            <w:pict>
              <v:rect id="Shape 27" o:spid="_x0000_s1052" style="position:absolute;margin-left:270.35pt;margin-top:-95.4999pt;width:1.6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line="351" w:lineRule="exact"/>
        <w:rPr>
          <w:sz w:val="20"/>
          <w:szCs w:val="20"/>
          <w:color w:val="auto"/>
        </w:rPr>
      </w:pPr>
    </w:p>
    <w:p>
      <w:pPr>
        <w:jc w:val="both"/>
        <w:ind w:right="120" w:firstLine="480"/>
        <w:spacing w:after="0" w:line="252" w:lineRule="auto"/>
        <w:rPr>
          <w:sz w:val="20"/>
          <w:szCs w:val="20"/>
          <w:color w:val="auto"/>
        </w:rPr>
      </w:pPr>
      <w:r>
        <w:rPr>
          <w:rFonts w:ascii="Times New Roman" w:cs="Times New Roman" w:eastAsia="Times New Roman" w:hAnsi="Times New Roman"/>
          <w:sz w:val="20"/>
          <w:szCs w:val="20"/>
          <w:color w:val="auto"/>
        </w:rPr>
        <w:t>As any liquidation event must first be approved by the Board, which is controlled by the Company and its Common Stockholders, the convertible Preferred Stock is classified as permanent equity in the Company’s consolidated balance sheet as of June 30, 2022. The rights, preferences, privileges, restrictions, and other matters relating to the Preferred Stock are set forth in the Company’s Amended and Restated Certificate of Incorporation dated May 24, 2022, as amended, and are summarized as follows:</w:t>
      </w:r>
    </w:p>
    <w:p>
      <w:pPr>
        <w:spacing w:after="0" w:line="113" w:lineRule="exact"/>
        <w:rPr>
          <w:sz w:val="20"/>
          <w:szCs w:val="20"/>
          <w:color w:val="auto"/>
        </w:rPr>
      </w:pPr>
    </w:p>
    <w:p>
      <w:pPr>
        <w:jc w:val="both"/>
        <w:ind w:right="120" w:firstLine="48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Dividend Rights </w:t>
      </w:r>
      <w:r>
        <w:rPr>
          <w:rFonts w:ascii="Times New Roman" w:cs="Times New Roman" w:eastAsia="Times New Roman" w:hAnsi="Times New Roman"/>
          <w:sz w:val="20"/>
          <w:szCs w:val="20"/>
          <w:color w:val="auto"/>
        </w:rPr>
        <w:t>— Holders of Series A Convertible Preferred Stock, Series B Convertible Preferred Stock, Series B-1 Convertible Preferred Stock, Series C Convertible Preferred Stock, and Series C-1 Convertible Preferred Stock (collectively, the “Senior Preferred Stock”), were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21" w:lineRule="exact"/>
        <w:rPr>
          <w:sz w:val="20"/>
          <w:szCs w:val="20"/>
          <w:color w:val="auto"/>
        </w:rPr>
      </w:pPr>
    </w:p>
    <w:p>
      <w:pPr>
        <w:jc w:val="both"/>
        <w:ind w:right="120" w:firstLine="480"/>
        <w:spacing w:after="0" w:line="247" w:lineRule="auto"/>
        <w:rPr>
          <w:sz w:val="20"/>
          <w:szCs w:val="20"/>
          <w:color w:val="auto"/>
        </w:rPr>
      </w:pPr>
      <w:r>
        <w:rPr>
          <w:rFonts w:ascii="Times New Roman" w:cs="Times New Roman" w:eastAsia="Times New Roman" w:hAnsi="Times New Roman"/>
          <w:sz w:val="20"/>
          <w:szCs w:val="20"/>
          <w:color w:val="auto"/>
        </w:rPr>
        <w:t>After the holders of the Senior Preferred Stock would have received full dividend preference, dividends could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AA- 1 Convertible Preferred Stock have received full dividend preference, dividends could be declared and paid to all holders of Series AA-2 Convertible Preferred Stock, in preference to the holders of the Company’s Common Stock, at a rate of $0.2657 per share per annum.</w:t>
      </w:r>
    </w:p>
    <w:p>
      <w:pPr>
        <w:spacing w:after="0" w:line="119" w:lineRule="exact"/>
        <w:rPr>
          <w:sz w:val="20"/>
          <w:szCs w:val="20"/>
          <w:color w:val="auto"/>
        </w:rPr>
      </w:pPr>
    </w:p>
    <w:p>
      <w:pPr>
        <w:jc w:val="both"/>
        <w:ind w:right="120" w:firstLine="480"/>
        <w:spacing w:after="0" w:line="252" w:lineRule="auto"/>
        <w:rPr>
          <w:sz w:val="20"/>
          <w:szCs w:val="20"/>
          <w:color w:val="auto"/>
        </w:rPr>
      </w:pPr>
      <w:r>
        <w:rPr>
          <w:rFonts w:ascii="Times New Roman" w:cs="Times New Roman" w:eastAsia="Times New Roman" w:hAnsi="Times New Roman"/>
          <w:sz w:val="20"/>
          <w:szCs w:val="20"/>
          <w:color w:val="auto"/>
        </w:rPr>
        <w:t>If, after dividends in the full preferential amount were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14" w:lineRule="exact"/>
        <w:rPr>
          <w:sz w:val="20"/>
          <w:szCs w:val="20"/>
          <w:color w:val="auto"/>
        </w:rPr>
      </w:pPr>
    </w:p>
    <w:p>
      <w:pPr>
        <w:jc w:val="both"/>
        <w:ind w:right="120" w:firstLine="480"/>
        <w:spacing w:after="0" w:line="278" w:lineRule="auto"/>
        <w:rPr>
          <w:sz w:val="20"/>
          <w:szCs w:val="20"/>
          <w:color w:val="auto"/>
        </w:rPr>
      </w:pPr>
      <w:r>
        <w:rPr>
          <w:rFonts w:ascii="Times New Roman" w:cs="Times New Roman" w:eastAsia="Times New Roman" w:hAnsi="Times New Roman"/>
          <w:sz w:val="20"/>
          <w:szCs w:val="20"/>
          <w:color w:val="auto"/>
        </w:rPr>
        <w:t>Dividends were payable only when, and if, declared by the Board and are non-cumulative. As of June 30, 2023 and 2022, no dividends have been declared or paid by the Company.</w:t>
      </w:r>
    </w:p>
    <w:p>
      <w:pPr>
        <w:spacing w:after="0" w:line="88" w:lineRule="exact"/>
        <w:rPr>
          <w:sz w:val="20"/>
          <w:szCs w:val="20"/>
          <w:color w:val="auto"/>
        </w:rPr>
      </w:pPr>
    </w:p>
    <w:p>
      <w:pPr>
        <w:jc w:val="both"/>
        <w:ind w:right="12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Liquidation preference </w:t>
      </w:r>
      <w:r>
        <w:rPr>
          <w:rFonts w:ascii="Times New Roman" w:cs="Times New Roman" w:eastAsia="Times New Roman" w:hAnsi="Times New Roman"/>
          <w:sz w:val="20"/>
          <w:szCs w:val="20"/>
          <w:color w:val="auto"/>
        </w:rPr>
        <w:t>— In the event of any liquidation event (as defined in the restated certificate of incorporation), whether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920"/>
          </w:cols>
          <w:pgMar w:left="720" w:top="700" w:right="600" w:bottom="175" w:gutter="0" w:footer="0" w:header="0"/>
        </w:sectPr>
      </w:pPr>
    </w:p>
    <w:bookmarkStart w:id="92" w:name="page93"/>
    <w:bookmarkEnd w:id="92"/>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Upon completion of the payments to holders of Series C Senior Preferred Stock, before any payment shall be made to the holders of Series AA-1 Convertible Preferred Stock, Series AA- 2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21"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 -1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27"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25"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20"/>
          <w:szCs w:val="20"/>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08"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14"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Conversion rights </w:t>
      </w:r>
      <w:r>
        <w:rPr>
          <w:rFonts w:ascii="Times New Roman" w:cs="Times New Roman" w:eastAsia="Times New Roman" w:hAnsi="Times New Roman"/>
          <w:sz w:val="20"/>
          <w:szCs w:val="20"/>
          <w:color w:val="auto"/>
        </w:rPr>
        <w:t>— Each share of a series of convertible preferred stock are convertible into common stock at the option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4" w:lineRule="exact"/>
        <w:rPr>
          <w:sz w:val="20"/>
          <w:szCs w:val="20"/>
          <w:color w:val="auto"/>
        </w:rPr>
      </w:pPr>
    </w:p>
    <w:p>
      <w:pPr>
        <w:jc w:val="both"/>
        <w:ind w:firstLine="480"/>
        <w:spacing w:after="0" w:line="242" w:lineRule="auto"/>
        <w:rPr>
          <w:sz w:val="20"/>
          <w:szCs w:val="20"/>
          <w:color w:val="auto"/>
        </w:rPr>
      </w:pPr>
      <w:r>
        <w:rPr>
          <w:rFonts w:ascii="Times New Roman" w:cs="Times New Roman" w:eastAsia="Times New Roman" w:hAnsi="Times New Roman"/>
          <w:sz w:val="20"/>
          <w:szCs w:val="20"/>
          <w:color w:val="auto"/>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700" w:right="720" w:bottom="175" w:gutter="0" w:footer="0" w:header="0"/>
        </w:sectPr>
      </w:pPr>
    </w:p>
    <w:bookmarkStart w:id="93" w:name="page94"/>
    <w:bookmarkEnd w:id="93"/>
    <w:p>
      <w:pPr>
        <w:jc w:val="both"/>
        <w:ind w:firstLine="48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Voting Rights </w:t>
      </w:r>
      <w:r>
        <w:rPr>
          <w:rFonts w:ascii="Times New Roman" w:cs="Times New Roman" w:eastAsia="Times New Roman" w:hAnsi="Times New Roman"/>
          <w:sz w:val="20"/>
          <w:szCs w:val="20"/>
          <w:color w:val="auto"/>
        </w:rPr>
        <w:t>— Holders of convertible preferred stock are entitled to vote equal to the number of whole shares of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into which the shares of convertible preferred stock are convertible. Holders of convertible preferred stock vote together with the holders of common stock as a single class on an as-converted basis.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the following shares of Common Stock reserved for future issuance:</w:t>
      </w:r>
    </w:p>
    <w:p>
      <w:pPr>
        <w:spacing w:after="0" w:line="251"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6"/>
          <w:szCs w:val="16"/>
          <w:b w:val="1"/>
          <w:bCs w:val="1"/>
          <w:color w:val="auto"/>
        </w:rPr>
        <w:t>June 30,</w:t>
      </w:r>
    </w:p>
    <w:p>
      <w:pPr>
        <w:ind w:left="9640"/>
        <w:spacing w:after="0"/>
        <w:rPr>
          <w:sz w:val="20"/>
          <w:szCs w:val="20"/>
          <w:color w:val="auto"/>
        </w:rPr>
      </w:pP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6858000" cy="14668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685"/>
                        </a:xfrm>
                        <a:prstGeom prst="rect">
                          <a:avLst/>
                        </a:prstGeom>
                        <a:solidFill>
                          <a:srgbClr val="D1EDF4"/>
                        </a:solidFill>
                      </wps:spPr>
                      <wps:bodyPr/>
                    </wps:wsp>
                  </a:graphicData>
                </a:graphic>
              </wp:anchor>
            </w:drawing>
          </mc:Choice>
          <mc:Fallback>
            <w:pict>
              <v:rect id="Shape 28" o:spid="_x0000_s1053" style="position:absolute;margin-left:0pt;margin-top:0.15pt;width:54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559752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7525" cy="4763"/>
                        </a:xfrm>
                        <a:prstGeom prst="line">
                          <a:avLst/>
                        </a:prstGeom>
                        <a:solidFill>
                          <a:srgbClr val="FFFFFF"/>
                        </a:solidFill>
                        <a:ln w="6095">
                          <a:solidFill>
                            <a:srgbClr val="D1EDF4"/>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pt" to="440.75pt,0pt" o:allowincell="f" strokecolor="#D1EDF4" strokeweight="0.4799pt"/>
            </w:pict>
          </mc:Fallback>
        </mc:AlternateContent>
        <mc:AlternateContent>
          <mc:Choice Requires="wps">
            <w:drawing>
              <wp:anchor simplePos="0" relativeHeight="251657728" behindDoc="1" locked="0" layoutInCell="0" allowOverlap="1">
                <wp:simplePos x="0" y="0"/>
                <wp:positionH relativeFrom="column">
                  <wp:posOffset>5597525</wp:posOffset>
                </wp:positionH>
                <wp:positionV relativeFrom="paragraph">
                  <wp:posOffset>0</wp:posOffset>
                </wp:positionV>
                <wp:extent cx="12604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04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75pt,0pt" to="540pt,0pt" o:allowincell="f" strokecolor="#000000" strokeweight="0.4799pt"/>
            </w:pict>
          </mc:Fallback>
        </mc:AlternateContent>
      </w:r>
    </w:p>
    <w:p>
      <w:pPr>
        <w:sectPr>
          <w:pgSz w:w="12240" w:h="15840" w:orient="portrait"/>
          <w:cols w:equalWidth="0" w:num="1">
            <w:col w:w="10800"/>
          </w:cols>
          <w:pgMar w:left="720" w:top="700" w:right="720" w:bottom="175"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Warrants to purchase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options and RSUs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858000" cy="14605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31" o:spid="_x0000_s1056" style="position:absolute;margin-left:0pt;margin-top:-0.3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w:r>
    </w:p>
    <w:p>
      <w:pPr>
        <w:spacing w:after="0"/>
        <w:rPr>
          <w:sz w:val="20"/>
          <w:szCs w:val="20"/>
          <w:color w:val="auto"/>
        </w:rPr>
      </w:pPr>
      <w:r>
        <w:rPr>
          <w:rFonts w:ascii="Times New Roman" w:cs="Times New Roman" w:eastAsia="Times New Roman" w:hAnsi="Times New Roman"/>
          <w:sz w:val="20"/>
          <w:szCs w:val="20"/>
          <w:color w:val="auto"/>
        </w:rPr>
        <w:t>Equity awards available for future grants</w:t>
      </w:r>
    </w:p>
    <w:p>
      <w:pPr>
        <w:spacing w:after="0"/>
        <w:rPr>
          <w:sz w:val="20"/>
          <w:szCs w:val="20"/>
          <w:color w:val="auto"/>
        </w:rPr>
      </w:pPr>
      <w:r>
        <w:rPr>
          <w:rFonts w:ascii="Times New Roman" w:cs="Times New Roman" w:eastAsia="Times New Roman" w:hAnsi="Times New Roman"/>
          <w:sz w:val="20"/>
          <w:szCs w:val="20"/>
          <w:color w:val="auto"/>
        </w:rPr>
        <w:t>Earnout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858000" cy="14541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5415"/>
                        </a:xfrm>
                        <a:prstGeom prst="rect">
                          <a:avLst/>
                        </a:prstGeom>
                        <a:solidFill>
                          <a:srgbClr val="D1EDF4"/>
                        </a:solidFill>
                      </wps:spPr>
                      <wps:bodyPr/>
                    </wps:wsp>
                  </a:graphicData>
                </a:graphic>
              </wp:anchor>
            </w:drawing>
          </mc:Choice>
          <mc:Fallback>
            <w:pict>
              <v:rect id="Shape 32" o:spid="_x0000_s1057" style="position:absolute;margin-left:0pt;margin-top:0.1pt;width:540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-1905</wp:posOffset>
                </wp:positionV>
                <wp:extent cx="559752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97525" cy="4763"/>
                        </a:xfrm>
                        <a:prstGeom prst="line">
                          <a:avLst/>
                        </a:prstGeom>
                        <a:solidFill>
                          <a:srgbClr val="FFFFFF"/>
                        </a:solidFill>
                        <a:ln w="6095">
                          <a:solidFill>
                            <a:srgbClr val="D1EDF4"/>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499pt" to="440.75pt,-0.1499pt" o:allowincell="f" strokecolor="#D1EDF4" strokeweight="0.4799pt"/>
            </w:pict>
          </mc:Fallback>
        </mc:AlternateConten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Warrants</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Times New Roman" w:cs="Times New Roman" w:eastAsia="Times New Roman" w:hAnsi="Times New Roman"/>
          <w:sz w:val="20"/>
          <w:szCs w:val="20"/>
          <w:color w:val="auto"/>
        </w:rPr>
        <w:t>21,315,453</w:t>
      </w:r>
    </w:p>
    <w:p>
      <w:pPr>
        <w:spacing w:after="0" w:line="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14,462,348</w:t>
      </w:r>
    </w:p>
    <w:p>
      <w:pPr>
        <w:jc w:val="right"/>
        <w:ind w:right="60"/>
        <w:spacing w:after="0"/>
        <w:rPr>
          <w:sz w:val="20"/>
          <w:szCs w:val="20"/>
          <w:color w:val="auto"/>
        </w:rPr>
      </w:pPr>
      <w:r>
        <w:rPr>
          <w:rFonts w:ascii="Times New Roman" w:cs="Times New Roman" w:eastAsia="Times New Roman" w:hAnsi="Times New Roman"/>
          <w:sz w:val="20"/>
          <w:szCs w:val="20"/>
          <w:color w:val="auto"/>
        </w:rPr>
        <w:t>1,085,462</w:t>
      </w:r>
    </w:p>
    <w:p>
      <w:pPr>
        <w:jc w:val="right"/>
        <w:ind w:right="60"/>
        <w:spacing w:after="0"/>
        <w:rPr>
          <w:sz w:val="20"/>
          <w:szCs w:val="20"/>
          <w:color w:val="auto"/>
        </w:rPr>
      </w:pPr>
      <w:r>
        <w:rPr>
          <w:rFonts w:ascii="Times New Roman" w:cs="Times New Roman" w:eastAsia="Times New Roman" w:hAnsi="Times New Roman"/>
          <w:sz w:val="20"/>
          <w:szCs w:val="20"/>
          <w:color w:val="auto"/>
        </w:rPr>
        <w:t>14,397,022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-650240</wp:posOffset>
                </wp:positionH>
                <wp:positionV relativeFrom="paragraph">
                  <wp:posOffset>-1905</wp:posOffset>
                </wp:positionV>
                <wp:extent cx="125984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98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999pt,-0.1499pt" to="48pt,-0.1499pt" o:allowincell="f" strokecolor="#000000" strokeweight="0.4799pt"/>
            </w:pict>
          </mc:Fallback>
        </mc:AlternateContent>
      </w:r>
    </w:p>
    <w:p>
      <w:pPr>
        <w:jc w:val="right"/>
        <w:ind w:right="60"/>
        <w:spacing w:after="0"/>
        <w:rPr>
          <w:sz w:val="20"/>
          <w:szCs w:val="20"/>
          <w:color w:val="auto"/>
        </w:rPr>
      </w:pPr>
      <w:r>
        <w:rPr>
          <w:rFonts w:ascii="Times New Roman" w:cs="Times New Roman" w:eastAsia="Times New Roman" w:hAnsi="Times New Roman"/>
          <w:sz w:val="20"/>
          <w:szCs w:val="20"/>
          <w:color w:val="auto"/>
        </w:rPr>
        <w:t>51,260,285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-659765</wp:posOffset>
                </wp:positionH>
                <wp:positionV relativeFrom="paragraph">
                  <wp:posOffset>11430</wp:posOffset>
                </wp:positionV>
                <wp:extent cx="126936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9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499pt,0.9pt" to="48pt,0.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-659765</wp:posOffset>
                </wp:positionH>
                <wp:positionV relativeFrom="paragraph">
                  <wp:posOffset>0</wp:posOffset>
                </wp:positionV>
                <wp:extent cx="126936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6936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9499pt,0pt" to="48pt,0pt" o:allowincell="f" strokecolor="#000000" strokeweight="0.4799pt"/>
            </w:pict>
          </mc:Fallback>
        </mc:AlternateContent>
      </w:r>
    </w:p>
    <w:p>
      <w:pPr>
        <w:spacing w:after="0" w:line="683" w:lineRule="exact"/>
        <w:rPr>
          <w:sz w:val="20"/>
          <w:szCs w:val="20"/>
          <w:color w:val="auto"/>
        </w:rPr>
      </w:pPr>
    </w:p>
    <w:p>
      <w:pPr>
        <w:sectPr>
          <w:pgSz w:w="12240" w:h="15840" w:orient="portrait"/>
          <w:cols w:equalWidth="0" w:num="2">
            <w:col w:w="9120" w:space="720"/>
            <w:col w:w="960"/>
          </w:cols>
          <w:pgMar w:left="720" w:top="700" w:right="720" w:bottom="175" w:gutter="0" w:footer="0" w:header="0"/>
          <w:type w:val="continuous"/>
        </w:sectPr>
      </w:pPr>
    </w:p>
    <w:p>
      <w:pPr>
        <w:spacing w:after="0" w:line="4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Since inception, the Company has issued warrants in conjunction with various financings, as well as certain customers. The Company accounts for its warrants in accordance with ASC 480 and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June 30, 2023, the Company engaged in various warrant transactions:</w:t>
      </w:r>
    </w:p>
    <w:p>
      <w:pPr>
        <w:spacing w:after="0" w:line="254" w:lineRule="exact"/>
        <w:rPr>
          <w:sz w:val="20"/>
          <w:szCs w:val="20"/>
          <w:color w:val="auto"/>
        </w:rPr>
      </w:pPr>
    </w:p>
    <w:p>
      <w:pPr>
        <w:ind w:left="1080" w:right="760" w:hanging="360"/>
        <w:spacing w:after="0" w:line="277"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of 169,310 warrants to purchase Common Stock in conjunction with an amendment to the warrant agreement with Lago Loan, such amendment occurring in August 2022.</w:t>
      </w:r>
    </w:p>
    <w:p>
      <w:pPr>
        <w:spacing w:after="0" w:line="2" w:lineRule="exact"/>
        <w:rPr>
          <w:rFonts w:ascii="Arial" w:cs="Arial" w:eastAsia="Arial" w:hAnsi="Arial"/>
          <w:sz w:val="20"/>
          <w:szCs w:val="20"/>
          <w:color w:val="auto"/>
        </w:rPr>
      </w:pPr>
    </w:p>
    <w:p>
      <w:pPr>
        <w:ind w:left="1080" w:right="280" w:hanging="360"/>
        <w:spacing w:after="0" w:line="277"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In September 2022, the holder of 141,970 warrants, net exercised such warrants with the Company issuing 136,681 of Common Shares to the holder.</w:t>
      </w:r>
    </w:p>
    <w:p>
      <w:pPr>
        <w:spacing w:after="0" w:line="3"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issuance at the Merger date of 1,500,000 warrants to the Lenders to the Credit Agreement.</w:t>
      </w:r>
    </w:p>
    <w:p>
      <w:pPr>
        <w:spacing w:after="0" w:line="72"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With the Merger, the Company assumed 8,625,000 public warrants and 6,125,000 private warrants.</w:t>
      </w:r>
    </w:p>
    <w:p>
      <w:pPr>
        <w:spacing w:after="0" w:line="73" w:lineRule="exact"/>
        <w:rPr>
          <w:rFonts w:ascii="Arial" w:cs="Arial" w:eastAsia="Arial" w:hAnsi="Arial"/>
          <w:sz w:val="20"/>
          <w:szCs w:val="20"/>
          <w:color w:val="auto"/>
        </w:rPr>
      </w:pPr>
    </w:p>
    <w:p>
      <w:pPr>
        <w:ind w:left="1080" w:right="180" w:hanging="360"/>
        <w:spacing w:after="0" w:line="277"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With the consummation of the Merger and the repayment of the Horizon loan, 294,725 of previously liability classified warrants were reclassified on the Merger date into equity in the amount of $0.8 million.</w:t>
      </w:r>
    </w:p>
    <w:p>
      <w:pPr>
        <w:spacing w:after="0" w:line="2" w:lineRule="exact"/>
        <w:rPr>
          <w:rFonts w:ascii="Arial" w:cs="Arial" w:eastAsia="Arial" w:hAnsi="Arial"/>
          <w:sz w:val="20"/>
          <w:szCs w:val="20"/>
          <w:color w:val="auto"/>
        </w:rPr>
      </w:pPr>
    </w:p>
    <w:p>
      <w:pPr>
        <w:ind w:left="1080" w:right="940" w:hanging="360"/>
        <w:spacing w:after="0" w:line="277" w:lineRule="auto"/>
        <w:tabs>
          <w:tab w:leader="none" w:pos="108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Subsequent to the Merger the Company has issued warrants associated with changes to the Company’s Credit Agreement. Refer to Note 7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800"/>
          </w:cols>
          <w:pgMar w:left="720" w:top="700" w:right="720" w:bottom="175" w:gutter="0" w:footer="0" w:header="0"/>
          <w:type w:val="continuous"/>
        </w:sectPr>
      </w:pPr>
    </w:p>
    <w:bookmarkStart w:id="94" w:name="page95"/>
    <w:bookmarkEnd w:id="94"/>
    <w:p>
      <w:pPr>
        <w:ind w:left="720"/>
        <w:spacing w:after="0"/>
        <w:rPr>
          <w:sz w:val="20"/>
          <w:szCs w:val="20"/>
          <w:color w:val="auto"/>
        </w:rPr>
      </w:pPr>
      <w:r>
        <w:rPr>
          <w:rFonts w:ascii="Times New Roman" w:cs="Times New Roman" w:eastAsia="Times New Roman" w:hAnsi="Times New Roman"/>
          <w:sz w:val="20"/>
          <w:szCs w:val="20"/>
          <w:color w:val="auto"/>
        </w:rPr>
        <w:t>The following tables represent the warrants on Common Stock outstanding: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As of June 30, 2023</w:t>
            </w: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73"/>
        </w:trPr>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Expiration date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60" w:type="dxa"/>
            <w:vAlign w:val="bottom"/>
          </w:tcPr>
          <w:p>
            <w:pPr>
              <w:spacing w:after="0"/>
              <w:rPr>
                <w:sz w:val="15"/>
                <w:szCs w:val="15"/>
                <w:color w:val="auto"/>
              </w:rPr>
            </w:pPr>
          </w:p>
        </w:tc>
        <w:tc>
          <w:tcPr>
            <w:tcW w:w="12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200" w:type="dxa"/>
            <w:vAlign w:val="bottom"/>
          </w:tcPr>
          <w:p>
            <w:pPr>
              <w:spacing w:after="0"/>
              <w:rPr>
                <w:sz w:val="15"/>
                <w:szCs w:val="15"/>
                <w:color w:val="auto"/>
              </w:rPr>
            </w:pPr>
          </w:p>
        </w:tc>
        <w:tc>
          <w:tcPr>
            <w:tcW w:w="960" w:type="dxa"/>
            <w:vAlign w:val="bottom"/>
            <w:gridSpan w:val="2"/>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Term (years)</w:t>
            </w:r>
          </w:p>
        </w:tc>
        <w:tc>
          <w:tcPr>
            <w:tcW w:w="1080" w:type="dxa"/>
            <w:vAlign w:val="bottom"/>
            <w:gridSpan w:val="2"/>
          </w:tcPr>
          <w:p>
            <w:pPr>
              <w:jc w:val="center"/>
              <w:ind w:left="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220"/>
        </w:trPr>
        <w:tc>
          <w:tcPr>
            <w:tcW w:w="472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Common</w:t>
            </w:r>
          </w:p>
        </w:tc>
        <w:tc>
          <w:tcPr>
            <w:tcW w:w="80" w:type="dxa"/>
            <w:vAlign w:val="bottom"/>
            <w:tcBorders>
              <w:top w:val="single" w:sz="8" w:color="auto"/>
            </w:tcBorders>
            <w:shd w:val="clear" w:color="auto" w:fill="D1EDF4"/>
          </w:tcPr>
          <w:p>
            <w:pPr>
              <w:spacing w:after="0"/>
              <w:rPr>
                <w:sz w:val="19"/>
                <w:szCs w:val="19"/>
                <w:color w:val="auto"/>
              </w:rPr>
            </w:pPr>
          </w:p>
        </w:tc>
        <w:tc>
          <w:tcPr>
            <w:tcW w:w="1220" w:type="dxa"/>
            <w:vAlign w:val="bottom"/>
            <w:tcBorders>
              <w:top w:val="single" w:sz="8" w:color="auto"/>
            </w:tcBorders>
            <w:shd w:val="clear" w:color="auto" w:fill="D1EDF4"/>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w w:val="93"/>
              </w:rPr>
              <w:t>[C]</w:t>
            </w:r>
          </w:p>
        </w:tc>
        <w:tc>
          <w:tcPr>
            <w:tcW w:w="4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D1EDF4"/>
            </w:tcBorders>
            <w:shd w:val="clear" w:color="auto" w:fill="D1EDF4"/>
          </w:tcPr>
          <w:p>
            <w:pPr>
              <w:spacing w:after="0"/>
              <w:rPr>
                <w:sz w:val="19"/>
                <w:szCs w:val="19"/>
                <w:color w:val="auto"/>
              </w:rPr>
            </w:pPr>
          </w:p>
        </w:tc>
        <w:tc>
          <w:tcPr>
            <w:tcW w:w="280" w:type="dxa"/>
            <w:vAlign w:val="bottom"/>
            <w:tcBorders>
              <w:top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7.80</w:t>
            </w:r>
          </w:p>
        </w:tc>
        <w:tc>
          <w:tcPr>
            <w:tcW w:w="160" w:type="dxa"/>
            <w:vAlign w:val="bottom"/>
            <w:tcBorders>
              <w:top w:val="single" w:sz="8" w:color="D1EDF4"/>
              <w:right w:val="single" w:sz="8" w:color="D1EDF4"/>
            </w:tcBorders>
            <w:shd w:val="clear" w:color="auto" w:fill="D1EDF4"/>
          </w:tcPr>
          <w:p>
            <w:pPr>
              <w:spacing w:after="0"/>
              <w:rPr>
                <w:sz w:val="19"/>
                <w:szCs w:val="19"/>
                <w:color w:val="auto"/>
              </w:rPr>
            </w:pPr>
          </w:p>
        </w:tc>
        <w:tc>
          <w:tcPr>
            <w:tcW w:w="124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12,811</w:t>
            </w:r>
          </w:p>
        </w:tc>
        <w:tc>
          <w:tcPr>
            <w:tcW w:w="200" w:type="dxa"/>
            <w:vAlign w:val="bottom"/>
            <w:tcBorders>
              <w:top w:val="single" w:sz="8" w:color="D1EDF4"/>
            </w:tcBorders>
            <w:shd w:val="clear" w:color="auto" w:fill="D1EDF4"/>
          </w:tcPr>
          <w:p>
            <w:pPr>
              <w:spacing w:after="0"/>
              <w:rPr>
                <w:sz w:val="19"/>
                <w:szCs w:val="19"/>
                <w:color w:val="auto"/>
              </w:rPr>
            </w:pPr>
          </w:p>
        </w:tc>
        <w:tc>
          <w:tcPr>
            <w:tcW w:w="60" w:type="dxa"/>
            <w:vAlign w:val="bottom"/>
            <w:tcBorders>
              <w:top w:val="single" w:sz="8" w:color="D1EDF4"/>
            </w:tcBorders>
            <w:shd w:val="clear" w:color="auto" w:fill="D1EDF4"/>
          </w:tcPr>
          <w:p>
            <w:pPr>
              <w:spacing w:after="0"/>
              <w:rPr>
                <w:sz w:val="19"/>
                <w:szCs w:val="19"/>
                <w:color w:val="auto"/>
              </w:rPr>
            </w:pPr>
          </w:p>
        </w:tc>
        <w:tc>
          <w:tcPr>
            <w:tcW w:w="900" w:type="dxa"/>
            <w:vAlign w:val="bottom"/>
            <w:tcBorders>
              <w:top w:val="single" w:sz="8" w:color="auto"/>
            </w:tcBorders>
            <w:shd w:val="clear" w:color="auto" w:fill="D1EDF4"/>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Borders>
              <w:top w:val="single" w:sz="8" w:color="D1EDF4"/>
            </w:tcBorders>
            <w:shd w:val="clear" w:color="auto" w:fill="D1EDF4"/>
          </w:tcPr>
          <w:p>
            <w:pPr>
              <w:spacing w:after="0"/>
              <w:rPr>
                <w:sz w:val="19"/>
                <w:szCs w:val="19"/>
                <w:color w:val="auto"/>
              </w:rPr>
            </w:pPr>
          </w:p>
        </w:tc>
        <w:tc>
          <w:tcPr>
            <w:tcW w:w="920" w:type="dxa"/>
            <w:vAlign w:val="bottom"/>
            <w:tcBorders>
              <w:top w:val="single" w:sz="8" w:color="auto"/>
            </w:tcBorders>
            <w:shd w:val="clear" w:color="auto" w:fill="D1EDF4"/>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3"/>
              </w:rPr>
              <w:t>[C]</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41,636</w:t>
            </w:r>
          </w:p>
        </w:tc>
        <w:tc>
          <w:tcPr>
            <w:tcW w:w="200" w:type="dxa"/>
            <w:vAlign w:val="bottom"/>
          </w:tcPr>
          <w:p>
            <w:pPr>
              <w:spacing w:after="0"/>
              <w:rPr>
                <w:sz w:val="20"/>
                <w:szCs w:val="20"/>
                <w:color w:val="auto"/>
              </w:rPr>
            </w:pPr>
          </w:p>
        </w:tc>
        <w:tc>
          <w:tcPr>
            <w:tcW w:w="9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3"/>
              </w:rPr>
              <w:t>[C]</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16,654</w:t>
            </w:r>
          </w:p>
        </w:tc>
        <w:tc>
          <w:tcPr>
            <w:tcW w:w="200" w:type="dxa"/>
            <w:vAlign w:val="bottom"/>
            <w:shd w:val="clear" w:color="auto" w:fill="D1EDF4"/>
          </w:tcPr>
          <w:p>
            <w:pPr>
              <w:spacing w:after="0"/>
              <w:rPr>
                <w:sz w:val="20"/>
                <w:szCs w:val="20"/>
                <w:color w:val="auto"/>
              </w:rPr>
            </w:pPr>
          </w:p>
        </w:tc>
        <w:tc>
          <w:tcPr>
            <w:tcW w:w="960" w:type="dxa"/>
            <w:vAlign w:val="bottom"/>
            <w:gridSpan w:val="2"/>
            <w:shd w:val="clear" w:color="auto" w:fill="D1EDF4"/>
          </w:tcPr>
          <w:p>
            <w:pPr>
              <w:jc w:val="center"/>
              <w:ind w:left="2"/>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March 2026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84,461</w:t>
            </w:r>
          </w:p>
        </w:tc>
        <w:tc>
          <w:tcPr>
            <w:tcW w:w="200" w:type="dxa"/>
            <w:vAlign w:val="bottom"/>
          </w:tcPr>
          <w:p>
            <w:pPr>
              <w:spacing w:after="0"/>
              <w:rPr>
                <w:sz w:val="19"/>
                <w:szCs w:val="19"/>
                <w:color w:val="auto"/>
              </w:rPr>
            </w:pP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5"/>
              </w:rPr>
              <w:t>6.5</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rPr>
              <w:t>June 2028</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404,961</w:t>
            </w:r>
          </w:p>
        </w:tc>
        <w:tc>
          <w:tcPr>
            <w:tcW w:w="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b w:val="1"/>
                <w:bCs w:val="1"/>
                <w:color w:val="auto"/>
              </w:rPr>
              <w:t>[E]</w:t>
            </w:r>
          </w:p>
        </w:tc>
        <w:tc>
          <w:tcPr>
            <w:tcW w:w="960" w:type="dxa"/>
            <w:vAlign w:val="bottom"/>
            <w:gridSpan w:val="2"/>
            <w:shd w:val="clear" w:color="auto" w:fill="D1EDF4"/>
          </w:tcPr>
          <w:p>
            <w:pPr>
              <w:jc w:val="center"/>
              <w:ind w:left="2"/>
              <w:spacing w:after="0"/>
              <w:rPr>
                <w:sz w:val="20"/>
                <w:szCs w:val="20"/>
                <w:color w:val="auto"/>
              </w:rPr>
            </w:pPr>
            <w:r>
              <w:rPr>
                <w:rFonts w:ascii="Times New Roman" w:cs="Times New Roman" w:eastAsia="Times New Roman" w:hAnsi="Times New Roman"/>
                <w:sz w:val="20"/>
                <w:szCs w:val="20"/>
                <w:color w:val="auto"/>
              </w:rPr>
              <w:t>6.7</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[F]</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178,395</w:t>
            </w:r>
          </w:p>
        </w:tc>
        <w:tc>
          <w:tcPr>
            <w:tcW w:w="200" w:type="dxa"/>
            <w:vAlign w:val="bottom"/>
          </w:tcPr>
          <w:p>
            <w:pPr>
              <w:spacing w:after="0"/>
              <w:rPr>
                <w:sz w:val="20"/>
                <w:szCs w:val="20"/>
                <w:color w:val="auto"/>
              </w:rPr>
            </w:pP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19"/>
                <w:szCs w:val="19"/>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rPr>
              <w:t>March 2026</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60" w:type="dxa"/>
            <w:vAlign w:val="bottom"/>
            <w:tcBorders>
              <w:right w:val="single" w:sz="8" w:color="D1EDF4"/>
            </w:tcBorders>
            <w:shd w:val="clear" w:color="auto" w:fill="D1EDF4"/>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57,952</w:t>
            </w:r>
          </w:p>
        </w:tc>
        <w:tc>
          <w:tcPr>
            <w:tcW w:w="200" w:type="dxa"/>
            <w:vAlign w:val="bottom"/>
            <w:shd w:val="clear" w:color="auto" w:fill="D1EDF4"/>
          </w:tcPr>
          <w:p>
            <w:pPr>
              <w:spacing w:after="0"/>
              <w:rPr>
                <w:sz w:val="19"/>
                <w:szCs w:val="19"/>
                <w:color w:val="auto"/>
              </w:rPr>
            </w:pPr>
          </w:p>
        </w:tc>
        <w:tc>
          <w:tcPr>
            <w:tcW w:w="960" w:type="dxa"/>
            <w:vAlign w:val="bottom"/>
            <w:gridSpan w:val="2"/>
            <w:shd w:val="clear" w:color="auto" w:fill="D1EDF4"/>
          </w:tcPr>
          <w:p>
            <w:pPr>
              <w:jc w:val="center"/>
              <w:ind w:left="22"/>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shd w:val="clear" w:color="auto" w:fill="D1EDF4"/>
          </w:tcPr>
          <w:p>
            <w:pPr>
              <w:spacing w:after="0"/>
              <w:rPr>
                <w:sz w:val="19"/>
                <w:szCs w:val="19"/>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9"/>
              </w:rPr>
              <w:t>July 2027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86,532</w:t>
            </w:r>
          </w:p>
        </w:tc>
        <w:tc>
          <w:tcPr>
            <w:tcW w:w="200" w:type="dxa"/>
            <w:vAlign w:val="bottom"/>
          </w:tcPr>
          <w:p>
            <w:pPr>
              <w:spacing w:after="0"/>
              <w:rPr>
                <w:sz w:val="20"/>
                <w:szCs w:val="20"/>
                <w:color w:val="auto"/>
              </w:rPr>
            </w:pPr>
          </w:p>
        </w:tc>
        <w:tc>
          <w:tcPr>
            <w:tcW w:w="9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9"/>
              </w:rPr>
              <w:t>6</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w w:val="99"/>
              </w:rPr>
              <w:t>July 2027</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402,679</w:t>
            </w:r>
          </w:p>
        </w:tc>
        <w:tc>
          <w:tcPr>
            <w:tcW w:w="200" w:type="dxa"/>
            <w:vAlign w:val="bottom"/>
            <w:shd w:val="clear" w:color="auto" w:fill="D1EDF4"/>
          </w:tcPr>
          <w:p>
            <w:pPr>
              <w:spacing w:after="0"/>
              <w:rPr>
                <w:sz w:val="20"/>
                <w:szCs w:val="20"/>
                <w:color w:val="auto"/>
              </w:rPr>
            </w:pPr>
          </w:p>
        </w:tc>
        <w:tc>
          <w:tcPr>
            <w:tcW w:w="960" w:type="dxa"/>
            <w:vAlign w:val="bottom"/>
            <w:gridSpan w:val="2"/>
            <w:shd w:val="clear" w:color="auto" w:fill="D1EDF4"/>
          </w:tcPr>
          <w:p>
            <w:pPr>
              <w:jc w:val="center"/>
              <w:ind w:left="2"/>
              <w:spacing w:after="0"/>
              <w:rPr>
                <w:sz w:val="20"/>
                <w:szCs w:val="20"/>
                <w:color w:val="auto"/>
              </w:rPr>
            </w:pPr>
            <w:r>
              <w:rPr>
                <w:rFonts w:ascii="Times New Roman" w:cs="Times New Roman" w:eastAsia="Times New Roman" w:hAnsi="Times New Roman"/>
                <w:sz w:val="20"/>
                <w:szCs w:val="20"/>
                <w:color w:val="auto"/>
                <w:w w:val="99"/>
              </w:rPr>
              <w:t>6</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3"/>
              </w:rPr>
              <w:t>[A]</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182,158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w w:val="98"/>
              </w:rPr>
              <w:t>January 2031</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27,577</w:t>
            </w:r>
          </w:p>
        </w:tc>
        <w:tc>
          <w:tcPr>
            <w:tcW w:w="200" w:type="dxa"/>
            <w:vAlign w:val="bottom"/>
            <w:shd w:val="clear" w:color="auto" w:fill="D1EDF4"/>
          </w:tcPr>
          <w:p>
            <w:pPr>
              <w:spacing w:after="0"/>
              <w:rPr>
                <w:sz w:val="20"/>
                <w:szCs w:val="20"/>
                <w:color w:val="auto"/>
              </w:rPr>
            </w:pPr>
          </w:p>
        </w:tc>
        <w:tc>
          <w:tcPr>
            <w:tcW w:w="960" w:type="dxa"/>
            <w:vAlign w:val="bottom"/>
            <w:gridSpan w:val="2"/>
            <w:shd w:val="clear" w:color="auto" w:fill="D1EDF4"/>
          </w:tcPr>
          <w:p>
            <w:pPr>
              <w:jc w:val="center"/>
              <w:ind w:left="22"/>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[B]</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294,725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[B]</w:t>
            </w: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19"/>
                <w:szCs w:val="19"/>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rPr>
              <w:t>March 2032</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60" w:type="dxa"/>
            <w:vAlign w:val="bottom"/>
            <w:tcBorders>
              <w:right w:val="single" w:sz="8" w:color="D1EDF4"/>
            </w:tcBorders>
            <w:shd w:val="clear" w:color="auto" w:fill="D1EDF4"/>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374,912</w:t>
            </w:r>
          </w:p>
        </w:tc>
        <w:tc>
          <w:tcPr>
            <w:tcW w:w="200" w:type="dxa"/>
            <w:vAlign w:val="bottom"/>
            <w:shd w:val="clear" w:color="auto" w:fill="D1EDF4"/>
          </w:tcPr>
          <w:p>
            <w:pPr>
              <w:spacing w:after="0"/>
              <w:rPr>
                <w:sz w:val="19"/>
                <w:szCs w:val="19"/>
                <w:color w:val="auto"/>
              </w:rPr>
            </w:pPr>
          </w:p>
        </w:tc>
        <w:tc>
          <w:tcPr>
            <w:tcW w:w="960" w:type="dxa"/>
            <w:vAlign w:val="bottom"/>
            <w:gridSpan w:val="2"/>
            <w:shd w:val="clear" w:color="auto" w:fill="D1EDF4"/>
          </w:tcPr>
          <w:p>
            <w:pPr>
              <w:jc w:val="center"/>
              <w:ind w:left="22"/>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shd w:val="clear" w:color="auto" w:fill="D1EDF4"/>
          </w:tcPr>
          <w:p>
            <w:pPr>
              <w:spacing w:after="0"/>
              <w:rPr>
                <w:sz w:val="19"/>
                <w:szCs w:val="19"/>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September 2027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1,500,000</w:t>
            </w:r>
          </w:p>
        </w:tc>
        <w:tc>
          <w:tcPr>
            <w:tcW w:w="200" w:type="dxa"/>
            <w:vAlign w:val="bottom"/>
          </w:tcPr>
          <w:p>
            <w:pPr>
              <w:spacing w:after="0"/>
              <w:rPr>
                <w:sz w:val="20"/>
                <w:szCs w:val="20"/>
                <w:color w:val="auto"/>
              </w:rPr>
            </w:pPr>
          </w:p>
        </w:tc>
        <w:tc>
          <w:tcPr>
            <w:tcW w:w="9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1340" w:type="dxa"/>
            <w:vAlign w:val="bottom"/>
            <w:gridSpan w:val="3"/>
            <w:shd w:val="clear" w:color="auto" w:fill="D1EDF4"/>
          </w:tcPr>
          <w:p>
            <w:pPr>
              <w:jc w:val="center"/>
              <w:ind w:right="40"/>
              <w:spacing w:after="0"/>
              <w:rPr>
                <w:sz w:val="20"/>
                <w:szCs w:val="20"/>
                <w:color w:val="auto"/>
              </w:rPr>
            </w:pPr>
            <w:r>
              <w:rPr>
                <w:rFonts w:ascii="Times New Roman" w:cs="Times New Roman" w:eastAsia="Times New Roman" w:hAnsi="Times New Roman"/>
                <w:sz w:val="20"/>
                <w:szCs w:val="20"/>
                <w:color w:val="auto"/>
                <w:w w:val="99"/>
              </w:rPr>
              <w:t>September 2027</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8.21</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8,625,000</w:t>
            </w:r>
          </w:p>
        </w:tc>
        <w:tc>
          <w:tcPr>
            <w:tcW w:w="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b w:val="1"/>
                <w:bCs w:val="1"/>
                <w:color w:val="auto"/>
              </w:rPr>
              <w:t>[I]</w:t>
            </w:r>
          </w:p>
        </w:tc>
        <w:tc>
          <w:tcPr>
            <w:tcW w:w="960" w:type="dxa"/>
            <w:vAlign w:val="bottom"/>
            <w:gridSpan w:val="2"/>
            <w:shd w:val="clear" w:color="auto" w:fill="D1EDF4"/>
          </w:tcPr>
          <w:p>
            <w:pPr>
              <w:jc w:val="center"/>
              <w:ind w:left="2"/>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September 2027</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6,125,000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[J]</w:t>
            </w:r>
          </w:p>
        </w:tc>
        <w:tc>
          <w:tcPr>
            <w:tcW w:w="9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shd w:val="clear" w:color="auto" w:fill="D1EDF4"/>
          </w:tcPr>
          <w:p>
            <w:pPr>
              <w:spacing w:after="0"/>
              <w:rPr>
                <w:sz w:val="20"/>
                <w:szCs w:val="20"/>
                <w:color w:val="auto"/>
              </w:rPr>
            </w:pPr>
          </w:p>
        </w:tc>
        <w:tc>
          <w:tcPr>
            <w:tcW w:w="1260" w:type="dxa"/>
            <w:vAlign w:val="bottom"/>
            <w:gridSpan w:val="2"/>
            <w:shd w:val="clear" w:color="auto" w:fill="D1EDF4"/>
          </w:tcPr>
          <w:p>
            <w:pPr>
              <w:jc w:val="center"/>
              <w:ind w:right="120"/>
              <w:spacing w:after="0"/>
              <w:rPr>
                <w:sz w:val="20"/>
                <w:szCs w:val="20"/>
                <w:color w:val="auto"/>
              </w:rPr>
            </w:pPr>
            <w:r>
              <w:rPr>
                <w:rFonts w:ascii="Times New Roman" w:cs="Times New Roman" w:eastAsia="Times New Roman" w:hAnsi="Times New Roman"/>
                <w:sz w:val="20"/>
                <w:szCs w:val="20"/>
                <w:color w:val="auto"/>
              </w:rPr>
              <w:t>March 2028</w:t>
            </w:r>
          </w:p>
        </w:tc>
        <w:tc>
          <w:tcPr>
            <w:tcW w:w="40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2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[G]</w:t>
            </w:r>
          </w:p>
        </w:tc>
        <w:tc>
          <w:tcPr>
            <w:tcW w:w="960" w:type="dxa"/>
            <w:vAlign w:val="bottom"/>
            <w:gridSpan w:val="2"/>
            <w:shd w:val="clear" w:color="auto" w:fill="D1EDF4"/>
          </w:tcPr>
          <w:p>
            <w:pPr>
              <w:jc w:val="center"/>
              <w:ind w:left="2"/>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29"/>
        </w:trPr>
        <w:tc>
          <w:tcPr>
            <w:tcW w:w="4720" w:type="dxa"/>
            <w:vAlign w:val="bottom"/>
            <w:tcBorders>
              <w:bottom w:val="single" w:sz="8" w:color="D1EDF4"/>
            </w:tcBorders>
          </w:tcPr>
          <w:p>
            <w:pPr>
              <w:spacing w:after="0"/>
              <w:rPr>
                <w:sz w:val="20"/>
                <w:szCs w:val="20"/>
                <w:color w:val="auto"/>
              </w:rPr>
            </w:pPr>
            <w:r>
              <w:rPr>
                <w:rFonts w:ascii="Times New Roman" w:cs="Times New Roman" w:eastAsia="Times New Roman" w:hAnsi="Times New Roman"/>
                <w:sz w:val="20"/>
                <w:szCs w:val="20"/>
                <w:color w:val="auto"/>
              </w:rPr>
              <w:t>Common</w:t>
            </w:r>
          </w:p>
        </w:tc>
        <w:tc>
          <w:tcPr>
            <w:tcW w:w="80" w:type="dxa"/>
            <w:vAlign w:val="bottom"/>
            <w:tcBorders>
              <w:bottom w:val="single" w:sz="8" w:color="D1EDF4"/>
            </w:tcBorders>
          </w:tcPr>
          <w:p>
            <w:pPr>
              <w:spacing w:after="0"/>
              <w:rPr>
                <w:sz w:val="19"/>
                <w:szCs w:val="19"/>
                <w:color w:val="auto"/>
              </w:rPr>
            </w:pPr>
          </w:p>
        </w:tc>
        <w:tc>
          <w:tcPr>
            <w:tcW w:w="1260" w:type="dxa"/>
            <w:vAlign w:val="bottom"/>
            <w:tcBorders>
              <w:bottom w:val="single" w:sz="8" w:color="D1EDF4"/>
            </w:tcBorders>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May 2028</w:t>
            </w:r>
          </w:p>
        </w:tc>
        <w:tc>
          <w:tcPr>
            <w:tcW w:w="400" w:type="dxa"/>
            <w:vAlign w:val="bottom"/>
            <w:tcBorders>
              <w:bottom w:val="single" w:sz="8" w:color="D1EDF4"/>
            </w:tcBorders>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D1EDF4"/>
            </w:tcBorders>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60" w:type="dxa"/>
            <w:vAlign w:val="bottom"/>
            <w:tcBorders>
              <w:bottom w:val="single" w:sz="8" w:color="D1EDF4"/>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2,500,000</w:t>
            </w:r>
          </w:p>
        </w:tc>
        <w:tc>
          <w:tcPr>
            <w:tcW w:w="200" w:type="dxa"/>
            <w:vAlign w:val="bottom"/>
            <w:tcBorders>
              <w:bottom w:val="single" w:sz="8" w:color="D1EDF4"/>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[H]</w:t>
            </w:r>
          </w:p>
        </w:tc>
        <w:tc>
          <w:tcPr>
            <w:tcW w:w="960" w:type="dxa"/>
            <w:vAlign w:val="bottom"/>
            <w:tcBorders>
              <w:bottom w:val="single" w:sz="8" w:color="D1EDF4"/>
            </w:tcBorders>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tcBorders>
              <w:bottom w:val="single" w:sz="8" w:color="D1EDF4"/>
            </w:tcBorders>
          </w:tcPr>
          <w:p>
            <w:pPr>
              <w:spacing w:after="0"/>
              <w:rPr>
                <w:sz w:val="19"/>
                <w:szCs w:val="19"/>
                <w:color w:val="auto"/>
              </w:rPr>
            </w:pPr>
          </w:p>
        </w:tc>
        <w:tc>
          <w:tcPr>
            <w:tcW w:w="920" w:type="dxa"/>
            <w:vAlign w:val="bottom"/>
            <w:tcBorders>
              <w:bottom w:val="single" w:sz="8" w:color="D1EDF4"/>
            </w:tcBorders>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4720" w:type="dxa"/>
            <w:vAlign w:val="bottom"/>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Total</w:t>
            </w:r>
          </w:p>
        </w:tc>
        <w:tc>
          <w:tcPr>
            <w:tcW w:w="80" w:type="dxa"/>
            <w:vAlign w:val="bottom"/>
            <w:shd w:val="clear" w:color="auto" w:fill="D1EDF4"/>
          </w:tcPr>
          <w:p>
            <w:pPr>
              <w:spacing w:after="0"/>
              <w:rPr>
                <w:sz w:val="20"/>
                <w:szCs w:val="20"/>
                <w:color w:val="auto"/>
              </w:rPr>
            </w:pPr>
          </w:p>
        </w:tc>
        <w:tc>
          <w:tcPr>
            <w:tcW w:w="1220" w:type="dxa"/>
            <w:vAlign w:val="bottom"/>
            <w:shd w:val="clear" w:color="auto" w:fill="D1EDF4"/>
          </w:tcPr>
          <w:p>
            <w:pPr>
              <w:spacing w:after="0"/>
              <w:rPr>
                <w:sz w:val="20"/>
                <w:szCs w:val="20"/>
                <w:color w:val="auto"/>
              </w:rPr>
            </w:pPr>
          </w:p>
        </w:tc>
        <w:tc>
          <w:tcPr>
            <w:tcW w:w="4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280" w:type="dxa"/>
            <w:vAlign w:val="bottom"/>
            <w:shd w:val="clear" w:color="auto" w:fill="D1EDF4"/>
          </w:tcPr>
          <w:p>
            <w:pPr>
              <w:spacing w:after="0"/>
              <w:rPr>
                <w:sz w:val="20"/>
                <w:szCs w:val="20"/>
                <w:color w:val="auto"/>
              </w:rPr>
            </w:pPr>
          </w:p>
        </w:tc>
        <w:tc>
          <w:tcPr>
            <w:tcW w:w="700" w:type="dxa"/>
            <w:vAlign w:val="bottom"/>
            <w:shd w:val="clear" w:color="auto" w:fill="D1EDF4"/>
          </w:tcPr>
          <w:p>
            <w:pPr>
              <w:spacing w:after="0"/>
              <w:rPr>
                <w:sz w:val="20"/>
                <w:szCs w:val="20"/>
                <w:color w:val="auto"/>
              </w:rPr>
            </w:pPr>
          </w:p>
        </w:tc>
        <w:tc>
          <w:tcPr>
            <w:tcW w:w="160" w:type="dxa"/>
            <w:vAlign w:val="bottom"/>
            <w:tcBorders>
              <w:right w:val="single" w:sz="8" w:color="D1EDF4"/>
            </w:tcBorders>
            <w:shd w:val="clear" w:color="auto" w:fill="D1EDF4"/>
          </w:tcPr>
          <w:p>
            <w:pPr>
              <w:spacing w:after="0"/>
              <w:rPr>
                <w:sz w:val="20"/>
                <w:szCs w:val="20"/>
                <w:color w:val="auto"/>
              </w:rPr>
            </w:pPr>
          </w:p>
        </w:tc>
        <w:tc>
          <w:tcPr>
            <w:tcW w:w="12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21,315,453</w:t>
            </w:r>
          </w:p>
        </w:tc>
        <w:tc>
          <w:tcPr>
            <w:tcW w:w="200" w:type="dxa"/>
            <w:vAlign w:val="bottom"/>
            <w:shd w:val="clear" w:color="auto" w:fill="D1EDF4"/>
          </w:tcPr>
          <w:p>
            <w:pPr>
              <w:spacing w:after="0"/>
              <w:rPr>
                <w:sz w:val="20"/>
                <w:szCs w:val="20"/>
                <w:color w:val="auto"/>
              </w:rPr>
            </w:pPr>
          </w:p>
        </w:tc>
        <w:tc>
          <w:tcPr>
            <w:tcW w:w="60" w:type="dxa"/>
            <w:vAlign w:val="bottom"/>
            <w:shd w:val="clear" w:color="auto" w:fill="D1EDF4"/>
          </w:tcPr>
          <w:p>
            <w:pPr>
              <w:spacing w:after="0"/>
              <w:rPr>
                <w:sz w:val="20"/>
                <w:szCs w:val="20"/>
                <w:color w:val="auto"/>
              </w:rPr>
            </w:pPr>
          </w:p>
        </w:tc>
        <w:tc>
          <w:tcPr>
            <w:tcW w:w="900" w:type="dxa"/>
            <w:vAlign w:val="bottom"/>
            <w:shd w:val="clear" w:color="auto" w:fill="D1EDF4"/>
          </w:tcPr>
          <w:p>
            <w:pPr>
              <w:spacing w:after="0"/>
              <w:rPr>
                <w:sz w:val="20"/>
                <w:szCs w:val="20"/>
                <w:color w:val="auto"/>
              </w:rPr>
            </w:pPr>
          </w:p>
        </w:tc>
        <w:tc>
          <w:tcPr>
            <w:tcW w:w="160" w:type="dxa"/>
            <w:vAlign w:val="bottom"/>
            <w:shd w:val="clear" w:color="auto" w:fill="D1EDF4"/>
          </w:tcPr>
          <w:p>
            <w:pPr>
              <w:spacing w:after="0"/>
              <w:rPr>
                <w:sz w:val="20"/>
                <w:szCs w:val="20"/>
                <w:color w:val="auto"/>
              </w:rPr>
            </w:pPr>
          </w:p>
        </w:tc>
        <w:tc>
          <w:tcPr>
            <w:tcW w:w="920" w:type="dxa"/>
            <w:vAlign w:val="bottom"/>
            <w:shd w:val="clear" w:color="auto" w:fill="D1EDF4"/>
          </w:tcPr>
          <w:p>
            <w:pPr>
              <w:spacing w:after="0"/>
              <w:rPr>
                <w:sz w:val="20"/>
                <w:szCs w:val="20"/>
                <w:color w:val="auto"/>
              </w:rPr>
            </w:pPr>
          </w:p>
        </w:tc>
      </w:tr>
      <w:tr>
        <w:trPr>
          <w:trHeight w:val="438"/>
        </w:trPr>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73"/>
        </w:trPr>
        <w:tc>
          <w:tcPr>
            <w:tcW w:w="4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160"/>
              <w:spacing w:after="0" w:line="173" w:lineRule="exact"/>
              <w:rPr>
                <w:sz w:val="20"/>
                <w:szCs w:val="20"/>
                <w:color w:val="auto"/>
              </w:rPr>
            </w:pPr>
            <w:r>
              <w:rPr>
                <w:rFonts w:ascii="Times New Roman" w:cs="Times New Roman" w:eastAsia="Times New Roman" w:hAnsi="Times New Roman"/>
                <w:sz w:val="16"/>
                <w:szCs w:val="16"/>
                <w:b w:val="1"/>
                <w:bCs w:val="1"/>
                <w:color w:val="auto"/>
                <w:w w:val="98"/>
              </w:rPr>
              <w:t>Expiration date</w:t>
            </w:r>
          </w:p>
        </w:tc>
        <w:tc>
          <w:tcPr>
            <w:tcW w:w="1100" w:type="dxa"/>
            <w:vAlign w:val="bottom"/>
            <w:gridSpan w:val="3"/>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Exercise Price</w:t>
            </w:r>
          </w:p>
        </w:tc>
        <w:tc>
          <w:tcPr>
            <w:tcW w:w="140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6"/>
                <w:szCs w:val="16"/>
                <w:b w:val="1"/>
                <w:bCs w:val="1"/>
                <w:u w:val="single" w:color="auto"/>
                <w:color w:val="auto"/>
              </w:rPr>
              <w:t>Number of Shares</w:t>
            </w:r>
          </w:p>
        </w:tc>
        <w:tc>
          <w:tcPr>
            <w:tcW w:w="200" w:type="dxa"/>
            <w:vAlign w:val="bottom"/>
          </w:tcPr>
          <w:p>
            <w:pPr>
              <w:spacing w:after="0"/>
              <w:rPr>
                <w:sz w:val="15"/>
                <w:szCs w:val="15"/>
                <w:color w:val="auto"/>
              </w:rPr>
            </w:pPr>
          </w:p>
        </w:tc>
        <w:tc>
          <w:tcPr>
            <w:tcW w:w="96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Term (years)</w:t>
            </w:r>
          </w:p>
        </w:tc>
        <w:tc>
          <w:tcPr>
            <w:tcW w:w="1080" w:type="dxa"/>
            <w:vAlign w:val="bottom"/>
            <w:gridSpan w:val="2"/>
          </w:tcPr>
          <w:p>
            <w:pPr>
              <w:jc w:val="center"/>
              <w:ind w:left="8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Classification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-3212465</wp:posOffset>
            </wp:positionV>
            <wp:extent cx="816610" cy="170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extLst>
                    </a:blip>
                    <a:srcRect/>
                    <a:stretch>
                      <a:fillRect/>
                    </a:stretch>
                  </pic:blipFill>
                  <pic:spPr bwMode="auto">
                    <a:xfrm>
                      <a:off x="0" y="0"/>
                      <a:ext cx="816610" cy="1708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-2920365</wp:posOffset>
            </wp:positionV>
            <wp:extent cx="81661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-2628900</wp:posOffset>
            </wp:positionV>
            <wp:extent cx="81661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-2336165</wp:posOffset>
            </wp:positionV>
            <wp:extent cx="816610"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extLst>
                        <a:ext uri="{28A0092B-C50C-407E-A947-70E740481C1C}"/>
                      </a:extLst>
                    </a:blip>
                    <a:srcRect/>
                    <a:stretch>
                      <a:fillRect/>
                    </a:stretch>
                  </pic:blipFill>
                  <pic:spPr bwMode="auto">
                    <a:xfrm>
                      <a:off x="0" y="0"/>
                      <a:ext cx="816610" cy="1708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-2044065</wp:posOffset>
            </wp:positionV>
            <wp:extent cx="81661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-1752600</wp:posOffset>
            </wp:positionV>
            <wp:extent cx="81661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-1459865</wp:posOffset>
            </wp:positionV>
            <wp:extent cx="816610"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extLst>
                    </a:blip>
                    <a:srcRect/>
                    <a:stretch>
                      <a:fillRect/>
                    </a:stretch>
                  </pic:blipFill>
                  <pic:spPr bwMode="auto">
                    <a:xfrm>
                      <a:off x="0" y="0"/>
                      <a:ext cx="816610" cy="170815"/>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-1167765</wp:posOffset>
            </wp:positionV>
            <wp:extent cx="81661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-876300</wp:posOffset>
            </wp:positionV>
            <wp:extent cx="81661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a:extLst>
                        <a:ext uri="{28A0092B-C50C-407E-A947-70E740481C1C}"/>
                      </a:extLst>
                    </a:blip>
                    <a:srcRect/>
                    <a:stretch>
                      <a:fillRect/>
                    </a:stretch>
                  </pic:blipFill>
                  <pic:spPr bwMode="auto">
                    <a:xfrm>
                      <a:off x="0" y="0"/>
                      <a:ext cx="816610" cy="171450"/>
                    </a:xfrm>
                    <a:prstGeom prst="rect">
                      <a:avLst/>
                    </a:prstGeom>
                    <a:noFill/>
                  </pic:spPr>
                </pic:pic>
              </a:graphicData>
            </a:graphic>
          </wp:anchor>
        </w:drawing>
        <w:drawing>
          <wp:anchor simplePos="0" relativeHeight="251657728" behindDoc="1" locked="0" layoutInCell="0" allowOverlap="1">
            <wp:simplePos x="0" y="0"/>
            <wp:positionH relativeFrom="column">
              <wp:posOffset>4635500</wp:posOffset>
            </wp:positionH>
            <wp:positionV relativeFrom="paragraph">
              <wp:posOffset>-577215</wp:posOffset>
            </wp:positionV>
            <wp:extent cx="816610"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a:extLst>
                        <a:ext uri="{28A0092B-C50C-407E-A947-70E740481C1C}"/>
                      </a:extLst>
                    </a:blip>
                    <a:srcRect/>
                    <a:stretch>
                      <a:fillRect/>
                    </a:stretch>
                  </pic:blipFill>
                  <pic:spPr bwMode="auto">
                    <a:xfrm>
                      <a:off x="0" y="0"/>
                      <a:ext cx="816610" cy="17081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858000" cy="14605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47" o:spid="_x0000_s1072" style="position:absolute;margin-left:0pt;margin-top:0.5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5415915</wp:posOffset>
                </wp:positionH>
                <wp:positionV relativeFrom="paragraph">
                  <wp:posOffset>2540</wp:posOffset>
                </wp:positionV>
                <wp:extent cx="11049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4763"/>
                        </a:xfrm>
                        <a:prstGeom prst="line">
                          <a:avLst/>
                        </a:prstGeom>
                        <a:solidFill>
                          <a:srgbClr val="FFFFFF"/>
                        </a:solidFill>
                        <a:ln w="6096">
                          <a:solidFill>
                            <a:srgbClr val="D1EDF4"/>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45pt,0.2pt" to="435.15pt,0.2pt" o:allowincell="f" strokecolor="#D1EDF4" strokeweight="0.48pt"/>
            </w:pict>
          </mc:Fallback>
        </mc:AlternateContent>
      </w:r>
    </w:p>
    <w:p>
      <w:pPr>
        <w:sectPr>
          <w:pgSz w:w="12240" w:h="15840" w:orient="portrait"/>
          <w:cols w:equalWidth="0" w:num="1">
            <w:col w:w="10800"/>
          </w:cols>
          <w:pgMar w:left="720" w:top="700" w:right="720" w:bottom="175" w:gutter="0" w:footer="0" w:header="0"/>
        </w:sectPr>
      </w:pPr>
    </w:p>
    <w:tbl>
      <w:tblPr>
        <w:tblLayout w:type="fixed"/>
        <w:tblInd w:w="0" w:type="dxa"/>
        <w:tblCellMar>
          <w:top w:w="0" w:type="dxa"/>
          <w:left w:w="0" w:type="dxa"/>
          <w:bottom w:w="0" w:type="dxa"/>
          <w:right w:w="0" w:type="dxa"/>
        </w:tblCellMar>
      </w:tblPr>
      <w:tr>
        <w:trPr>
          <w:trHeight w:val="197"/>
        </w:trPr>
        <w:tc>
          <w:tcPr>
            <w:tcW w:w="4800" w:type="dxa"/>
            <w:vAlign w:val="bottom"/>
            <w:tcBorders>
              <w:top w:val="single" w:sz="8" w:color="D1EDF4"/>
            </w:tcBorders>
          </w:tcPr>
          <w:p>
            <w:pPr>
              <w:spacing w:after="0" w:line="197" w:lineRule="exact"/>
              <w:rPr>
                <w:sz w:val="20"/>
                <w:szCs w:val="20"/>
                <w:color w:val="auto"/>
              </w:rPr>
            </w:pPr>
            <w:r>
              <w:rPr>
                <w:rFonts w:ascii="Times New Roman" w:cs="Times New Roman" w:eastAsia="Times New Roman" w:hAnsi="Times New Roman"/>
                <w:sz w:val="20"/>
                <w:szCs w:val="20"/>
                <w:color w:val="auto"/>
              </w:rPr>
              <w:t>Common</w:t>
            </w:r>
          </w:p>
        </w:tc>
        <w:tc>
          <w:tcPr>
            <w:tcW w:w="110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20"/>
                <w:szCs w:val="20"/>
                <w:b w:val="1"/>
                <w:bCs w:val="1"/>
                <w:color w:val="auto"/>
                <w:w w:val="93"/>
              </w:rPr>
              <w:t>[C]</w:t>
            </w:r>
          </w:p>
        </w:tc>
        <w:tc>
          <w:tcPr>
            <w:tcW w:w="160" w:type="dxa"/>
            <w:vAlign w:val="bottom"/>
            <w:tcBorders>
              <w:top w:val="single" w:sz="8" w:color="D1EDF4"/>
            </w:tcBorders>
          </w:tcPr>
          <w:p>
            <w:pPr>
              <w:spacing w:after="0"/>
              <w:rPr>
                <w:sz w:val="17"/>
                <w:szCs w:val="17"/>
                <w:color w:val="auto"/>
              </w:rPr>
            </w:pPr>
          </w:p>
        </w:tc>
        <w:tc>
          <w:tcPr>
            <w:tcW w:w="380" w:type="dxa"/>
            <w:vAlign w:val="bottom"/>
            <w:tcBorders>
              <w:top w:val="single" w:sz="8" w:color="auto"/>
            </w:tcBorders>
          </w:tcPr>
          <w:p>
            <w:pPr>
              <w:jc w:val="right"/>
              <w:ind w:right="180"/>
              <w:spacing w:after="0" w:line="197"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20"/>
                <w:szCs w:val="20"/>
                <w:color w:val="auto"/>
              </w:rPr>
              <w:t>7.80</w:t>
            </w:r>
          </w:p>
        </w:tc>
        <w:tc>
          <w:tcPr>
            <w:tcW w:w="160" w:type="dxa"/>
            <w:vAlign w:val="bottom"/>
            <w:tcBorders>
              <w:top w:val="single" w:sz="8" w:color="D1EDF4"/>
            </w:tcBorders>
          </w:tcPr>
          <w:p>
            <w:pPr>
              <w:spacing w:after="0"/>
              <w:rPr>
                <w:sz w:val="17"/>
                <w:szCs w:val="17"/>
                <w:color w:val="auto"/>
              </w:rPr>
            </w:pPr>
          </w:p>
        </w:tc>
        <w:tc>
          <w:tcPr>
            <w:tcW w:w="11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12,811</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3"/>
              </w:rPr>
              <w:t>[C]</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41,636</w:t>
            </w:r>
          </w:p>
        </w:tc>
      </w:tr>
      <w:tr>
        <w:trPr>
          <w:trHeight w:val="23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3"/>
              </w:rPr>
              <w:t>[C]</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16,654</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March 2026</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84,461</w:t>
            </w:r>
          </w:p>
        </w:tc>
      </w:tr>
      <w:tr>
        <w:trPr>
          <w:trHeight w:val="225"/>
        </w:trPr>
        <w:tc>
          <w:tcPr>
            <w:tcW w:w="48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line="226" w:lineRule="exact"/>
              <w:rPr>
                <w:sz w:val="20"/>
                <w:szCs w:val="20"/>
                <w:color w:val="auto"/>
              </w:rPr>
            </w:pPr>
            <w:r>
              <w:rPr>
                <w:rFonts w:ascii="Times New Roman" w:cs="Times New Roman" w:eastAsia="Times New Roman" w:hAnsi="Times New Roman"/>
                <w:sz w:val="20"/>
                <w:szCs w:val="20"/>
                <w:color w:val="auto"/>
              </w:rPr>
              <w:t>October 2027</w:t>
            </w:r>
          </w:p>
        </w:tc>
        <w:tc>
          <w:tcPr>
            <w:tcW w:w="38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0.37</w:t>
            </w:r>
          </w:p>
        </w:tc>
        <w:tc>
          <w:tcPr>
            <w:tcW w:w="13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141,970</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3"/>
              </w:rPr>
              <w:t>[D]</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2,575,190</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June 2028</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404,961</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March 2026</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178,395</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March 2026</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57,952</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9"/>
              </w:rPr>
              <w:t>July 2027</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86,532</w:t>
            </w:r>
          </w:p>
        </w:tc>
      </w:tr>
      <w:tr>
        <w:trPr>
          <w:trHeight w:val="225"/>
        </w:trPr>
        <w:tc>
          <w:tcPr>
            <w:tcW w:w="48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line="226" w:lineRule="exact"/>
              <w:rPr>
                <w:sz w:val="20"/>
                <w:szCs w:val="20"/>
                <w:color w:val="auto"/>
              </w:rPr>
            </w:pPr>
            <w:r>
              <w:rPr>
                <w:rFonts w:ascii="Times New Roman" w:cs="Times New Roman" w:eastAsia="Times New Roman" w:hAnsi="Times New Roman"/>
                <w:sz w:val="20"/>
                <w:szCs w:val="20"/>
                <w:color w:val="auto"/>
                <w:w w:val="99"/>
              </w:rPr>
              <w:t>July 2027</w:t>
            </w:r>
          </w:p>
        </w:tc>
        <w:tc>
          <w:tcPr>
            <w:tcW w:w="380" w:type="dxa"/>
            <w:vAlign w:val="bottom"/>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7.80</w:t>
            </w:r>
          </w:p>
        </w:tc>
        <w:tc>
          <w:tcPr>
            <w:tcW w:w="13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402,679</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3"/>
              </w:rPr>
              <w:t>[A]</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182,158</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January 2031</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27,577</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March 2031</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294,725</w:t>
            </w:r>
          </w:p>
        </w:tc>
      </w:tr>
      <w:tr>
        <w:trPr>
          <w:trHeight w:val="24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Common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rPr>
              <w:t>March 2032</w:t>
            </w:r>
          </w:p>
        </w:tc>
        <w:tc>
          <w:tcPr>
            <w:tcW w:w="3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205,602</w:t>
            </w:r>
          </w:p>
        </w:tc>
      </w:tr>
      <w:tr>
        <w:trPr>
          <w:trHeight w:val="26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4,713,303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-2061210</wp:posOffset>
                </wp:positionV>
                <wp:extent cx="6858000" cy="14668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685"/>
                        </a:xfrm>
                        <a:prstGeom prst="rect">
                          <a:avLst/>
                        </a:prstGeom>
                        <a:solidFill>
                          <a:srgbClr val="D1EDF4"/>
                        </a:solidFill>
                      </wps:spPr>
                      <wps:bodyPr/>
                    </wps:wsp>
                  </a:graphicData>
                </a:graphic>
              </wp:anchor>
            </w:drawing>
          </mc:Choice>
          <mc:Fallback>
            <w:pict>
              <v:rect id="Shape 49" o:spid="_x0000_s1074" style="position:absolute;margin-left:0pt;margin-top:-162.2999pt;width:540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-1769110</wp:posOffset>
                </wp:positionV>
                <wp:extent cx="6858000" cy="14605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0" o:spid="_x0000_s1075" style="position:absolute;margin-left:0pt;margin-top:-139.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-1477010</wp:posOffset>
                </wp:positionV>
                <wp:extent cx="6858000" cy="14605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1" o:spid="_x0000_s1076" style="position:absolute;margin-left:0pt;margin-top:-116.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-1184910</wp:posOffset>
                </wp:positionV>
                <wp:extent cx="6858000" cy="14605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2" o:spid="_x0000_s1077" style="position:absolute;margin-left:0pt;margin-top:-93.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-892810</wp:posOffset>
                </wp:positionV>
                <wp:extent cx="6858000" cy="14605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3" o:spid="_x0000_s1078" style="position:absolute;margin-left:0pt;margin-top:-70.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-600710</wp:posOffset>
                </wp:positionV>
                <wp:extent cx="6858000" cy="14605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4" o:spid="_x0000_s1079" style="position:absolute;margin-left:0pt;margin-top:-47.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-308610</wp:posOffset>
                </wp:positionV>
                <wp:extent cx="6858000" cy="14605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46050"/>
                        </a:xfrm>
                        <a:prstGeom prst="rect">
                          <a:avLst/>
                        </a:prstGeom>
                        <a:solidFill>
                          <a:srgbClr val="D1EDF4"/>
                        </a:solidFill>
                      </wps:spPr>
                      <wps:bodyPr/>
                    </wps:wsp>
                  </a:graphicData>
                </a:graphic>
              </wp:anchor>
            </w:drawing>
          </mc:Choice>
          <mc:Fallback>
            <w:pict>
              <v:rect id="Shape 55" o:spid="_x0000_s1080" style="position:absolute;margin-left:0pt;margin-top:-24.2999pt;width:540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1EDF4" stroked="f"/>
            </w:pict>
          </mc:Fallback>
        </mc:AlternateContent>
        <mc:AlternateContent>
          <mc:Choice Requires="wps">
            <w:drawing>
              <wp:anchor simplePos="0" relativeHeight="251657728" behindDoc="1" locked="0" layoutInCell="0" allowOverlap="1">
                <wp:simplePos x="0" y="0"/>
                <wp:positionH relativeFrom="column">
                  <wp:posOffset>4625340</wp:posOffset>
                </wp:positionH>
                <wp:positionV relativeFrom="paragraph">
                  <wp:posOffset>-160020</wp:posOffset>
                </wp:positionV>
                <wp:extent cx="7905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2pt,-12.5999pt" to="426.45pt,-12.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4615815</wp:posOffset>
                </wp:positionH>
                <wp:positionV relativeFrom="paragraph">
                  <wp:posOffset>5080</wp:posOffset>
                </wp:positionV>
                <wp:extent cx="80010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5pt,0.4pt" to="426.45pt,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4615815</wp:posOffset>
                </wp:positionH>
                <wp:positionV relativeFrom="paragraph">
                  <wp:posOffset>-6350</wp:posOffset>
                </wp:positionV>
                <wp:extent cx="8001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45pt,-0.4999pt" to="426.45pt,-0.4999pt" o:allowincell="f" strokecolor="#000000" strokeweight="0.479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Borders>
              <w:top w:val="single" w:sz="8" w:color="auto"/>
            </w:tcBorders>
          </w:tcPr>
          <w:p>
            <w:pPr>
              <w:jc w:val="right"/>
              <w:ind w:right="360"/>
              <w:spacing w:after="0" w:line="201" w:lineRule="exact"/>
              <w:rPr>
                <w:sz w:val="20"/>
                <w:szCs w:val="20"/>
                <w:color w:val="auto"/>
              </w:rPr>
            </w:pPr>
            <w:r>
              <w:rPr>
                <w:rFonts w:ascii="Times New Roman" w:cs="Times New Roman" w:eastAsia="Times New Roman" w:hAnsi="Times New Roman"/>
                <w:sz w:val="20"/>
                <w:szCs w:val="20"/>
                <w:color w:val="auto"/>
              </w:rPr>
              <w:t>7</w:t>
            </w:r>
          </w:p>
        </w:tc>
        <w:tc>
          <w:tcPr>
            <w:tcW w:w="160" w:type="dxa"/>
            <w:vAlign w:val="bottom"/>
            <w:tcBorders>
              <w:top w:val="single" w:sz="8" w:color="D1EDF4"/>
            </w:tcBorders>
          </w:tcPr>
          <w:p>
            <w:pPr>
              <w:spacing w:after="0"/>
              <w:rPr>
                <w:sz w:val="17"/>
                <w:szCs w:val="17"/>
                <w:color w:val="auto"/>
              </w:rPr>
            </w:pPr>
          </w:p>
        </w:tc>
        <w:tc>
          <w:tcPr>
            <w:tcW w:w="9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57"/>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Equity</w:t>
            </w:r>
          </w:p>
        </w:tc>
      </w:tr>
    </w:tbl>
    <w:p>
      <w:pPr>
        <w:ind w:left="1300" w:hanging="929"/>
        <w:spacing w:after="0"/>
        <w:tabs>
          <w:tab w:leader="none" w:pos="13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Liability</w:t>
      </w:r>
    </w:p>
    <w:tbl>
      <w:tblPr>
        <w:tblLayout w:type="fixed"/>
        <w:tblInd w:w="400" w:type="dxa"/>
        <w:tblCellMar>
          <w:top w:w="0" w:type="dxa"/>
          <w:left w:w="0" w:type="dxa"/>
          <w:bottom w:w="0" w:type="dxa"/>
          <w:right w:w="0" w:type="dxa"/>
        </w:tblCellMar>
      </w:tblPr>
      <w:tr>
        <w:trPr>
          <w:trHeight w:val="203"/>
        </w:trPr>
        <w:tc>
          <w:tcPr>
            <w:tcW w:w="580" w:type="dxa"/>
            <w:vAlign w:val="bottom"/>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rPr>
              <w:t>6.7</w:t>
            </w:r>
          </w:p>
        </w:tc>
        <w:tc>
          <w:tcPr>
            <w:tcW w:w="1000" w:type="dxa"/>
            <w:vAlign w:val="bottom"/>
          </w:tcPr>
          <w:p>
            <w:pPr>
              <w:jc w:val="center"/>
              <w:ind w:left="220"/>
              <w:spacing w:after="0" w:line="203" w:lineRule="exact"/>
              <w:rPr>
                <w:sz w:val="20"/>
                <w:szCs w:val="20"/>
                <w:color w:val="auto"/>
              </w:rPr>
            </w:pPr>
            <w:r>
              <w:rPr>
                <w:rFonts w:ascii="Times New Roman" w:cs="Times New Roman" w:eastAsia="Times New Roman" w:hAnsi="Times New Roman"/>
                <w:sz w:val="20"/>
                <w:szCs w:val="20"/>
                <w:color w:val="auto"/>
                <w:w w:val="97"/>
              </w:rPr>
              <w:t>Equity</w:t>
            </w:r>
          </w:p>
        </w:tc>
      </w:tr>
      <w:tr>
        <w:trPr>
          <w:trHeight w:val="229"/>
        </w:trPr>
        <w:tc>
          <w:tcPr>
            <w:tcW w:w="58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w:t>
            </w: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auto"/>
                <w:w w:val="97"/>
              </w:rPr>
              <w:t>Equity</w:t>
            </w:r>
          </w:p>
        </w:tc>
      </w:tr>
      <w:tr>
        <w:trPr>
          <w:trHeight w:val="230"/>
        </w:trPr>
        <w:tc>
          <w:tcPr>
            <w:tcW w:w="58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w:t>
            </w: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30"/>
        </w:trPr>
        <w:tc>
          <w:tcPr>
            <w:tcW w:w="58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w:t>
            </w: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auto"/>
                <w:w w:val="98"/>
              </w:rPr>
              <w:t>Liability</w:t>
            </w:r>
          </w:p>
        </w:tc>
      </w:tr>
      <w:tr>
        <w:trPr>
          <w:trHeight w:val="257"/>
        </w:trPr>
        <w:tc>
          <w:tcPr>
            <w:tcW w:w="58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w:t>
            </w:r>
          </w:p>
        </w:tc>
        <w:tc>
          <w:tcPr>
            <w:tcW w:w="1000" w:type="dxa"/>
            <w:vAlign w:val="bottom"/>
          </w:tcPr>
          <w:p>
            <w:pPr>
              <w:jc w:val="center"/>
              <w:ind w:left="220"/>
              <w:spacing w:after="0"/>
              <w:rPr>
                <w:sz w:val="20"/>
                <w:szCs w:val="20"/>
                <w:color w:val="auto"/>
              </w:rPr>
            </w:pPr>
            <w:r>
              <w:rPr>
                <w:rFonts w:ascii="Times New Roman" w:cs="Times New Roman" w:eastAsia="Times New Roman" w:hAnsi="Times New Roman"/>
                <w:sz w:val="20"/>
                <w:szCs w:val="20"/>
                <w:color w:val="auto"/>
                <w:w w:val="98"/>
              </w:rPr>
              <w:t>Liability</w:t>
            </w:r>
          </w:p>
        </w:tc>
      </w:tr>
    </w:tbl>
    <w:p>
      <w:pPr>
        <w:ind w:left="1380" w:hanging="1009"/>
        <w:spacing w:after="0"/>
        <w:tabs>
          <w:tab w:leader="none" w:pos="13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Equity</w:t>
      </w:r>
    </w:p>
    <w:p>
      <w:pPr>
        <w:ind w:left="440"/>
        <w:spacing w:after="0"/>
        <w:tabs>
          <w:tab w:leader="none" w:pos="1280" w:val="left"/>
        </w:tabs>
        <w:rPr>
          <w:sz w:val="20"/>
          <w:szCs w:val="20"/>
          <w:color w:val="auto"/>
        </w:rPr>
      </w:pPr>
      <w:r>
        <w:rPr>
          <w:rFonts w:ascii="Times New Roman" w:cs="Times New Roman" w:eastAsia="Times New Roman" w:hAnsi="Times New Roman"/>
          <w:sz w:val="20"/>
          <w:szCs w:val="20"/>
          <w:color w:val="auto"/>
        </w:rPr>
        <w:t>10</w:t>
      </w:r>
      <w:r>
        <w:rPr>
          <w:sz w:val="20"/>
          <w:szCs w:val="20"/>
          <w:color w:val="auto"/>
        </w:rPr>
        <w:tab/>
      </w:r>
      <w:r>
        <w:rPr>
          <w:rFonts w:ascii="Times New Roman" w:cs="Times New Roman" w:eastAsia="Times New Roman" w:hAnsi="Times New Roman"/>
          <w:sz w:val="20"/>
          <w:szCs w:val="20"/>
          <w:color w:val="auto"/>
        </w:rPr>
        <w:t>Liability</w:t>
      </w:r>
    </w:p>
    <w:p>
      <w:pPr>
        <w:ind w:left="1300" w:hanging="866"/>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w:t>
      </w:r>
    </w:p>
    <w:p>
      <w:pPr>
        <w:ind w:left="1300" w:hanging="866"/>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Liability</w:t>
      </w:r>
    </w:p>
    <w:p>
      <w:pPr>
        <w:spacing w:after="0" w:line="448" w:lineRule="exact"/>
        <w:rPr>
          <w:sz w:val="20"/>
          <w:szCs w:val="20"/>
          <w:color w:val="auto"/>
        </w:rPr>
      </w:pPr>
    </w:p>
    <w:p>
      <w:pPr>
        <w:sectPr>
          <w:pgSz w:w="12240" w:h="15840" w:orient="portrait"/>
          <w:cols w:equalWidth="0" w:num="3">
            <w:col w:w="8460" w:space="60"/>
            <w:col w:w="180" w:space="0"/>
            <w:col w:w="2100"/>
          </w:cols>
          <w:pgMar w:left="720" w:top="700" w:right="720" w:bottom="175" w:gutter="0" w:footer="0" w:header="0"/>
          <w:type w:val="continuous"/>
        </w:sectPr>
      </w:pPr>
    </w:p>
    <w:p>
      <w:pPr>
        <w:spacing w:after="0" w:line="24" w:lineRule="exact"/>
        <w:rPr>
          <w:sz w:val="20"/>
          <w:szCs w:val="20"/>
          <w:color w:val="auto"/>
        </w:rPr>
      </w:pPr>
    </w:p>
    <w:p>
      <w:pPr>
        <w:ind w:left="720" w:right="240" w:hanging="720"/>
        <w:spacing w:after="0" w:line="271"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Warrants will expire at the earliest of a consummation of an acquisition or one year after the effective date of a registration statement for an initial public offering should one occur.</w:t>
      </w:r>
    </w:p>
    <w:p>
      <w:pPr>
        <w:ind w:left="720" w:right="240" w:hanging="720"/>
        <w:spacing w:after="0" w:line="260" w:lineRule="auto"/>
        <w:tabs>
          <w:tab w:leader="none" w:pos="31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June 30, 2023 and June 30, 2022. Warrant will also expire at the earliest of</w:t>
      </w:r>
    </w:p>
    <w:p>
      <w:pPr>
        <w:spacing w:after="0" w:line="1" w:lineRule="exact"/>
        <w:rPr>
          <w:rFonts w:ascii="Times New Roman" w:cs="Times New Roman" w:eastAsia="Times New Roman" w:hAnsi="Times New Roman"/>
          <w:sz w:val="19"/>
          <w:szCs w:val="19"/>
          <w:color w:val="auto"/>
        </w:rPr>
      </w:pPr>
    </w:p>
    <w:p>
      <w:pPr>
        <w:ind w:left="720" w:right="4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 years from the issuance date of March 5, 2021 or a consummation of an acquisition in which the sole consideration is cash or marketable securities.</w:t>
      </w:r>
    </w:p>
    <w:p>
      <w:pPr>
        <w:spacing w:after="0" w:line="14" w:lineRule="exact"/>
        <w:rPr>
          <w:rFonts w:ascii="Times New Roman" w:cs="Times New Roman" w:eastAsia="Times New Roman" w:hAnsi="Times New Roman"/>
          <w:sz w:val="19"/>
          <w:szCs w:val="19"/>
          <w:color w:val="auto"/>
        </w:rPr>
      </w:pPr>
    </w:p>
    <w:p>
      <w:pPr>
        <w:ind w:left="320" w:hanging="320"/>
        <w:spacing w:after="0"/>
        <w:tabs>
          <w:tab w:leader="none" w:pos="3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Warrants expire 5 years from the effective date of a registration statement for an initial public offering should one occur.</w:t>
      </w:r>
    </w:p>
    <w:p>
      <w:pPr>
        <w:spacing w:after="0" w:line="59" w:lineRule="exact"/>
        <w:rPr>
          <w:rFonts w:ascii="Times New Roman" w:cs="Times New Roman" w:eastAsia="Times New Roman" w:hAnsi="Times New Roman"/>
          <w:sz w:val="20"/>
          <w:szCs w:val="20"/>
          <w:color w:val="auto"/>
        </w:rPr>
      </w:pPr>
    </w:p>
    <w:p>
      <w:pPr>
        <w:ind w:left="720" w:right="200" w:hanging="720"/>
        <w:spacing w:after="0" w:line="249" w:lineRule="auto"/>
        <w:tabs>
          <w:tab w:leader="none" w:pos="32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Warrants are exercisable after the conversion of the related convertible notes and will expire, if not exercised, at the earliest of a public liquidity event, the effective date of a registration statement for an initial public offering should one occur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700" w:right="720" w:bottom="175" w:gutter="0" w:footer="0" w:header="0"/>
          <w:type w:val="continuous"/>
        </w:sectPr>
      </w:pPr>
    </w:p>
    <w:bookmarkStart w:id="95" w:name="page96"/>
    <w:bookmarkEnd w:id="95"/>
    <w:p>
      <w:pPr>
        <w:ind w:left="720" w:right="380" w:hanging="720"/>
        <w:spacing w:after="0" w:line="249" w:lineRule="auto"/>
        <w:tabs>
          <w:tab w:leader="none" w:pos="30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Warrants were issued in October 2021 and are exercisable into Common Stock contingent on rollouts of the Company’s products and services to the warrant holder. The number of shares of Common Stock represents the maximum number of shares to be issued to the warrant holder of 404,961, of which 66,396 and 321,943 remained contingent as of</w:t>
      </w:r>
    </w:p>
    <w:p>
      <w:pPr>
        <w:spacing w:after="0" w:line="2" w:lineRule="exact"/>
        <w:rPr>
          <w:rFonts w:ascii="Times New Roman" w:cs="Times New Roman" w:eastAsia="Times New Roman" w:hAnsi="Times New Roman"/>
          <w:sz w:val="20"/>
          <w:szCs w:val="20"/>
          <w:color w:val="auto"/>
        </w:rPr>
      </w:pPr>
    </w:p>
    <w:p>
      <w:pPr>
        <w:ind w:left="720" w:right="76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June 30, 2023 and June 30, 2022, respectively. Expense related to the cost of these warrants is being recognized as a reduction to revenue in the Company’s consolidated statements of operations and comprehensive loss.</w:t>
      </w:r>
    </w:p>
    <w:p>
      <w:pPr>
        <w:spacing w:after="0" w:line="14" w:lineRule="exact"/>
        <w:rPr>
          <w:rFonts w:ascii="Times New Roman" w:cs="Times New Roman" w:eastAsia="Times New Roman" w:hAnsi="Times New Roman"/>
          <w:sz w:val="20"/>
          <w:szCs w:val="20"/>
          <w:color w:val="auto"/>
        </w:rPr>
      </w:pPr>
    </w:p>
    <w:p>
      <w:pPr>
        <w:ind w:left="720" w:right="200" w:hanging="720"/>
        <w:spacing w:after="0" w:line="271" w:lineRule="auto"/>
        <w:tabs>
          <w:tab w:leader="none" w:pos="29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Warrants will expire at the earliest of 10 years from the issuance date of March 11, 2016, a consummation of an acquisition or one year after the effective date of a registration statement for an initial public offering, if one should occur.</w:t>
      </w:r>
    </w:p>
    <w:p>
      <w:pPr>
        <w:ind w:left="720" w:right="140" w:hanging="720"/>
        <w:spacing w:after="0" w:line="247" w:lineRule="auto"/>
        <w:tabs>
          <w:tab w:leader="none" w:pos="32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20" w:lineRule="exact"/>
        <w:rPr>
          <w:rFonts w:ascii="Times New Roman" w:cs="Times New Roman" w:eastAsia="Times New Roman" w:hAnsi="Times New Roman"/>
          <w:sz w:val="20"/>
          <w:szCs w:val="20"/>
          <w:color w:val="auto"/>
        </w:rPr>
      </w:pPr>
    </w:p>
    <w:p>
      <w:pPr>
        <w:ind w:left="720" w:right="80" w:hanging="720"/>
        <w:spacing w:after="0" w:line="244" w:lineRule="auto"/>
        <w:tabs>
          <w:tab w:leader="none" w:pos="32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p>
      <w:pPr>
        <w:spacing w:after="0" w:line="22" w:lineRule="exact"/>
        <w:rPr>
          <w:rFonts w:ascii="Times New Roman" w:cs="Times New Roman" w:eastAsia="Times New Roman" w:hAnsi="Times New Roman"/>
          <w:sz w:val="20"/>
          <w:szCs w:val="20"/>
          <w:color w:val="auto"/>
        </w:rPr>
      </w:pPr>
    </w:p>
    <w:p>
      <w:pPr>
        <w:ind w:left="720" w:right="60" w:hanging="720"/>
        <w:spacing w:after="0" w:line="246" w:lineRule="auto"/>
        <w:tabs>
          <w:tab w:leader="none" w:pos="25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Represents 17,250,000 public warrants, assumed as part of the Merger, that are exercisable for one-half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p>
      <w:pPr>
        <w:spacing w:after="0" w:line="19" w:lineRule="exact"/>
        <w:rPr>
          <w:rFonts w:ascii="Times New Roman" w:cs="Times New Roman" w:eastAsia="Times New Roman" w:hAnsi="Times New Roman"/>
          <w:sz w:val="20"/>
          <w:szCs w:val="20"/>
          <w:color w:val="auto"/>
        </w:rPr>
      </w:pPr>
    </w:p>
    <w:p>
      <w:pPr>
        <w:ind w:left="720" w:right="20" w:hanging="720"/>
        <w:spacing w:after="0" w:line="252" w:lineRule="auto"/>
        <w:tabs>
          <w:tab w:leader="none" w:pos="72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Stock-Based Compensation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Plans</w:t>
      </w:r>
    </w:p>
    <w:p>
      <w:pPr>
        <w:spacing w:after="0" w:line="236"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Prior to the Merger, the Company utilized the 2018 equity incentive plan (“</w:t>
      </w:r>
      <w:r>
        <w:rPr>
          <w:rFonts w:ascii="Times New Roman" w:cs="Times New Roman" w:eastAsia="Times New Roman" w:hAnsi="Times New Roman"/>
          <w:sz w:val="20"/>
          <w:szCs w:val="20"/>
          <w:b w:val="1"/>
          <w:bCs w:val="1"/>
          <w:color w:val="auto"/>
        </w:rPr>
        <w:t>2018 Plan</w:t>
      </w:r>
      <w:r>
        <w:rPr>
          <w:rFonts w:ascii="Times New Roman" w:cs="Times New Roman" w:eastAsia="Times New Roman" w:hAnsi="Times New Roman"/>
          <w:sz w:val="20"/>
          <w:szCs w:val="20"/>
          <w:color w:val="auto"/>
        </w:rPr>
        <w:t>”) which replaced the 2008 Stock Incentive Plan (“</w:t>
      </w:r>
      <w:r>
        <w:rPr>
          <w:rFonts w:ascii="Times New Roman" w:cs="Times New Roman" w:eastAsia="Times New Roman" w:hAnsi="Times New Roman"/>
          <w:sz w:val="20"/>
          <w:szCs w:val="20"/>
          <w:b w:val="1"/>
          <w:bCs w:val="1"/>
          <w:color w:val="auto"/>
        </w:rPr>
        <w:t>2008 Plan</w:t>
      </w:r>
      <w:r>
        <w:rPr>
          <w:rFonts w:ascii="Times New Roman" w:cs="Times New Roman" w:eastAsia="Times New Roman" w:hAnsi="Times New Roman"/>
          <w:sz w:val="20"/>
          <w:szCs w:val="20"/>
          <w:color w:val="auto"/>
        </w:rPr>
        <w:t>”) . Effective with the Merger, the Board adopted the 2022 Incentive Award Plan (the “2022 Plan”). As of June 30, 2023, the number of shares of Common Stock reserved for future issuance under the 2022 Plan was 1,085,462 The Board may grant incentive and non-statutory stock options and RSUs to employees, outside directors, investors and consultants at an exercise price of not less than 100% of the fair market value, as determined by the Board, at the date of grant. Awards generally vest ratably over periods determined by the Board, generally four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9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May 2023 and February 2023, the Company granted an aggregate of 1,037,125 and 2,721,486 RSUs, respectively, to its employees, consultants and directors with service-based vesting conditions with a weighted average grant date fair value of $3.43 and $3.58, respectively, per RSU, based on the closing stock price on the date of grant. The awards vest ratably over five years for employees and one to three years for directors. As of June 30, 2023, $10.2 million of stock-based compensation related to these RSUs remains unrecognized, which is expected to time-vest over a remaining weighted-average period of 4.7 years.</w:t>
      </w:r>
    </w:p>
    <w:p>
      <w:pPr>
        <w:spacing w:after="0" w:line="195"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In September 2022, the Company granted 1,200,000 RSUs to a director, appointed to Interim CEO of the Company in March 2023, with a grant date fair value of $4.56 per RSU. The RSUs vest in the following tranches, subject to the continuous service through each applicable vesting date: 33.33% of the RSUs vested on September 30, 2022, 56.67% of the RSUs has, and shall continue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800"/>
          </w:cols>
          <w:pgMar w:left="720" w:top="700" w:right="720" w:bottom="175" w:gutter="0" w:footer="0" w:header="0"/>
        </w:sectPr>
      </w:pPr>
    </w:p>
    <w:bookmarkStart w:id="96" w:name="page97"/>
    <w:bookmarkEnd w:id="96"/>
    <w:p>
      <w:pPr>
        <w:ind w:right="160"/>
        <w:spacing w:after="0" w:line="247" w:lineRule="auto"/>
        <w:rPr>
          <w:sz w:val="20"/>
          <w:szCs w:val="20"/>
          <w:color w:val="auto"/>
        </w:rPr>
      </w:pPr>
      <w:r>
        <w:rPr>
          <w:rFonts w:ascii="Times New Roman" w:cs="Times New Roman" w:eastAsia="Times New Roman" w:hAnsi="Times New Roman"/>
          <w:sz w:val="20"/>
          <w:szCs w:val="20"/>
          <w:color w:val="auto"/>
        </w:rPr>
        <w:t>to, vest in equal monthly installments on the last day of each month during the subsequent 23-month period, and the remaining 10% shall vest upon the third anniversary of the vesting commencement date. The Company recorded compensation expense during the year ended June 30, 2023 related to the RSUs of $3.0 million. As of June 30, 2023, $2.4 million of stock-based compensation related to the RSU remains unrecognized, which is expected to be recognized over a remaining weighted-average period of 1.4 years. The RSUs time-based vesting would accelerate upon an acquisition of the Company. A deSPAC does not meet the definition of an acquisition as defined in the 2018 Plan.</w:t>
      </w:r>
    </w:p>
    <w:p>
      <w:pPr>
        <w:spacing w:after="0" w:line="20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approved a modification of the awards to waive the performance condition in consideration of consummating the deSPAC. The Company recorded compensation expense of $1.1 million during the year ended June 30, 2023 related to these RSUs as achievement of the performance-based vesting condition was waived and a cumulative catch-up adjustment was recorded. As of June 30, 2023, $2.5 million of stock-based compensation related to these RSUs remains unrecognized, which is expected to time-vest over a remaining weighted-average period of 3.97 years.</w:t>
      </w:r>
    </w:p>
    <w:p>
      <w:pPr>
        <w:spacing w:after="0" w:line="202"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19"/>
          <w:szCs w:val="19"/>
          <w:color w:val="auto"/>
        </w:rPr>
        <w:t>The Company has 300,376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for the 300,376 performance-based options was satisfied in connection with a public liquidity event effective with the closing of the Merger. The Company recognized a modification expense to accelerate the service-based vesting condition associated with these options upon termination of the executive’s employment, which is included in the modification expense noted below.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spacing w:after="0" w:line="186"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The Company recorded $1.2 million in additional stock-based compensation expense due to modifications of individual stock option and RSU awards for certain executives upon termination from the Company for accelerated vesting and extension of award exercise periods in the year ending June 30, 2023.</w:t>
      </w:r>
    </w:p>
    <w:p>
      <w:pPr>
        <w:spacing w:after="0" w:line="186" w:lineRule="exact"/>
        <w:rPr>
          <w:sz w:val="20"/>
          <w:szCs w:val="20"/>
          <w:color w:val="auto"/>
        </w:rPr>
      </w:pPr>
    </w:p>
    <w:p>
      <w:pPr>
        <w:ind w:right="80" w:firstLine="720"/>
        <w:spacing w:after="0" w:line="259" w:lineRule="auto"/>
        <w:rPr>
          <w:sz w:val="20"/>
          <w:szCs w:val="20"/>
          <w:color w:val="auto"/>
        </w:rPr>
      </w:pPr>
      <w:r>
        <w:rPr>
          <w:rFonts w:ascii="Times New Roman" w:cs="Times New Roman" w:eastAsia="Times New Roman" w:hAnsi="Times New Roman"/>
          <w:sz w:val="20"/>
          <w:szCs w:val="20"/>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6"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auto"/>
        </w:rPr>
        <w:t>The following summary of the equity incentive plan activity is shown collectively for the 2022 Plan, the 2018 Plan and the 2008 Plan presented on an as converted basis to reflect the impact of the retroactive application of the recapitalization using the Exchange Ratio: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59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3"/>
        </w:trPr>
        <w:tc>
          <w:tcPr>
            <w:tcW w:w="5900" w:type="dxa"/>
            <w:vAlign w:val="bottom"/>
            <w:tcBorders>
              <w:bottom w:val="single" w:sz="8" w:color="D1EDF4"/>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Borders>
              <w:bottom w:val="single" w:sz="8" w:color="D1EDF4"/>
            </w:tcBorders>
          </w:tcPr>
          <w:p>
            <w:pPr>
              <w:spacing w:after="0"/>
              <w:rPr>
                <w:sz w:val="17"/>
                <w:szCs w:val="17"/>
                <w:color w:val="auto"/>
              </w:rPr>
            </w:pPr>
          </w:p>
        </w:tc>
        <w:tc>
          <w:tcPr>
            <w:tcW w:w="80" w:type="dxa"/>
            <w:vAlign w:val="bottom"/>
            <w:tcBorders>
              <w:bottom w:val="single" w:sz="8" w:color="D1EDF4"/>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Borders>
              <w:bottom w:val="single" w:sz="8" w:color="D1EDF4"/>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 (years)</w:t>
            </w:r>
          </w:p>
        </w:tc>
        <w:tc>
          <w:tcPr>
            <w:tcW w:w="160" w:type="dxa"/>
            <w:vAlign w:val="bottom"/>
            <w:tcBorders>
              <w:bottom w:val="single" w:sz="8" w:color="D1EDF4"/>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0"/>
        </w:trPr>
        <w:tc>
          <w:tcPr>
            <w:tcW w:w="59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Balance – June 30, 2022</w:t>
            </w:r>
          </w:p>
        </w:tc>
        <w:tc>
          <w:tcPr>
            <w:tcW w:w="10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13,845,291</w:t>
            </w:r>
          </w:p>
        </w:tc>
        <w:tc>
          <w:tcPr>
            <w:tcW w:w="80" w:type="dxa"/>
            <w:vAlign w:val="bottom"/>
            <w:shd w:val="clear" w:color="auto" w:fill="D1EDF4"/>
          </w:tcPr>
          <w:p>
            <w:pPr>
              <w:spacing w:after="0"/>
              <w:rPr>
                <w:sz w:val="19"/>
                <w:szCs w:val="19"/>
                <w:color w:val="auto"/>
              </w:rPr>
            </w:pPr>
          </w:p>
        </w:tc>
        <w:tc>
          <w:tcPr>
            <w:tcW w:w="2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0.59</w:t>
            </w:r>
          </w:p>
        </w:tc>
        <w:tc>
          <w:tcPr>
            <w:tcW w:w="182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6.66</w:t>
            </w:r>
          </w:p>
        </w:tc>
        <w:tc>
          <w:tcPr>
            <w:tcW w:w="16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Retrospective application of recapitalization</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(2,631,676)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0"/>
        </w:trPr>
        <w:tc>
          <w:tcPr>
            <w:tcW w:w="5900" w:type="dxa"/>
            <w:vAlign w:val="bottom"/>
            <w:tcBorders>
              <w:top w:val="single" w:sz="8" w:color="D1EDF4"/>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Adjusted Balance – beginning of year</w:t>
            </w:r>
          </w:p>
        </w:tc>
        <w:tc>
          <w:tcPr>
            <w:tcW w:w="102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11,213,615</w:t>
            </w:r>
          </w:p>
        </w:tc>
        <w:tc>
          <w:tcPr>
            <w:tcW w:w="80" w:type="dxa"/>
            <w:vAlign w:val="bottom"/>
            <w:tcBorders>
              <w:top w:val="single" w:sz="8" w:color="D1EDF4"/>
            </w:tcBorders>
            <w:shd w:val="clear" w:color="auto" w:fill="D1EDF4"/>
          </w:tcPr>
          <w:p>
            <w:pPr>
              <w:spacing w:after="0"/>
              <w:rPr>
                <w:sz w:val="19"/>
                <w:szCs w:val="19"/>
                <w:color w:val="auto"/>
              </w:rPr>
            </w:pPr>
          </w:p>
        </w:tc>
        <w:tc>
          <w:tcPr>
            <w:tcW w:w="8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D1EDF4"/>
            </w:tcBorders>
            <w:shd w:val="clear" w:color="auto" w:fill="D1EDF4"/>
          </w:tcPr>
          <w:p>
            <w:pPr>
              <w:spacing w:after="0"/>
              <w:rPr>
                <w:sz w:val="19"/>
                <w:szCs w:val="19"/>
                <w:color w:val="auto"/>
              </w:rPr>
            </w:pPr>
          </w:p>
        </w:tc>
        <w:tc>
          <w:tcPr>
            <w:tcW w:w="860" w:type="dxa"/>
            <w:vAlign w:val="bottom"/>
            <w:tcBorders>
              <w:top w:val="single" w:sz="8" w:color="D1EDF4"/>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0.73</w:t>
            </w:r>
          </w:p>
        </w:tc>
        <w:tc>
          <w:tcPr>
            <w:tcW w:w="1820" w:type="dxa"/>
            <w:vAlign w:val="bottom"/>
            <w:tcBorders>
              <w:top w:val="single" w:sz="8" w:color="D1EDF4"/>
            </w:tcBorders>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6.66</w:t>
            </w:r>
          </w:p>
        </w:tc>
        <w:tc>
          <w:tcPr>
            <w:tcW w:w="160" w:type="dxa"/>
            <w:vAlign w:val="bottom"/>
            <w:tcBorders>
              <w:top w:val="single" w:sz="8" w:color="D1EDF4"/>
            </w:tcBorders>
            <w:shd w:val="clear" w:color="auto" w:fill="D1EDF4"/>
          </w:tcPr>
          <w:p>
            <w:pPr>
              <w:spacing w:after="0"/>
              <w:rPr>
                <w:sz w:val="19"/>
                <w:szCs w:val="19"/>
                <w:color w:val="auto"/>
              </w:rPr>
            </w:pPr>
          </w:p>
        </w:tc>
        <w:tc>
          <w:tcPr>
            <w:tcW w:w="760" w:type="dxa"/>
            <w:vAlign w:val="bottom"/>
            <w:tcBorders>
              <w:top w:val="single" w:sz="8" w:color="D1EDF4"/>
            </w:tcBorders>
            <w:shd w:val="clear" w:color="auto" w:fill="D1EDF4"/>
          </w:tcPr>
          <w:p>
            <w:pPr>
              <w:spacing w:after="0"/>
              <w:rPr>
                <w:sz w:val="19"/>
                <w:szCs w:val="19"/>
                <w:color w:val="auto"/>
              </w:rPr>
            </w:pPr>
          </w:p>
        </w:tc>
      </w:tr>
      <w:tr>
        <w:trPr>
          <w:trHeight w:val="230"/>
        </w:trPr>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Exercised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(955,062)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5900" w:type="dxa"/>
            <w:vAlign w:val="bottom"/>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Forfeited and expired</w:t>
            </w:r>
          </w:p>
        </w:tc>
        <w:tc>
          <w:tcPr>
            <w:tcW w:w="10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(356,850)</w:t>
            </w:r>
          </w:p>
        </w:tc>
        <w:tc>
          <w:tcPr>
            <w:tcW w:w="80" w:type="dxa"/>
            <w:vAlign w:val="bottom"/>
            <w:shd w:val="clear" w:color="auto" w:fill="D1EDF4"/>
          </w:tcPr>
          <w:p>
            <w:pPr>
              <w:spacing w:after="0"/>
              <w:rPr>
                <w:sz w:val="19"/>
                <w:szCs w:val="19"/>
                <w:color w:val="auto"/>
              </w:rPr>
            </w:pPr>
          </w:p>
        </w:tc>
        <w:tc>
          <w:tcPr>
            <w:tcW w:w="8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60" w:type="dxa"/>
            <w:vAlign w:val="bottom"/>
            <w:shd w:val="clear" w:color="auto" w:fill="D1EDF4"/>
          </w:tcPr>
          <w:p>
            <w:pPr>
              <w:spacing w:after="0"/>
              <w:rPr>
                <w:sz w:val="19"/>
                <w:szCs w:val="19"/>
                <w:color w:val="auto"/>
              </w:rPr>
            </w:pPr>
          </w:p>
        </w:tc>
        <w:tc>
          <w:tcPr>
            <w:tcW w:w="166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760" w:type="dxa"/>
            <w:vAlign w:val="bottom"/>
            <w:shd w:val="clear" w:color="auto" w:fill="D1EDF4"/>
          </w:tcPr>
          <w:p>
            <w:pPr>
              <w:spacing w:after="0"/>
              <w:rPr>
                <w:sz w:val="19"/>
                <w:szCs w:val="19"/>
                <w:color w:val="auto"/>
              </w:rPr>
            </w:pPr>
          </w:p>
        </w:tc>
      </w:tr>
      <w:tr>
        <w:trPr>
          <w:trHeight w:val="229"/>
        </w:trPr>
        <w:tc>
          <w:tcPr>
            <w:tcW w:w="5900" w:type="dxa"/>
            <w:vAlign w:val="bottom"/>
            <w:tcBorders>
              <w:bottom w:val="single" w:sz="8" w:color="D1EDF4"/>
            </w:tcBorders>
          </w:tcPr>
          <w:p>
            <w:pPr>
              <w:spacing w:after="0" w:line="220" w:lineRule="exact"/>
              <w:rPr>
                <w:sz w:val="20"/>
                <w:szCs w:val="20"/>
                <w:color w:val="auto"/>
              </w:rPr>
            </w:pPr>
            <w:r>
              <w:rPr>
                <w:rFonts w:ascii="Times New Roman" w:cs="Times New Roman" w:eastAsia="Times New Roman" w:hAnsi="Times New Roman"/>
                <w:sz w:val="20"/>
                <w:szCs w:val="20"/>
                <w:color w:val="auto"/>
              </w:rPr>
              <w:t>Balance –June 30, 2023</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9,901,703</w:t>
            </w:r>
          </w:p>
        </w:tc>
        <w:tc>
          <w:tcPr>
            <w:tcW w:w="80" w:type="dxa"/>
            <w:vAlign w:val="bottom"/>
            <w:tcBorders>
              <w:bottom w:val="single" w:sz="8" w:color="D1EDF4"/>
            </w:tcBorders>
          </w:tcPr>
          <w:p>
            <w:pPr>
              <w:spacing w:after="0"/>
              <w:rPr>
                <w:sz w:val="19"/>
                <w:szCs w:val="19"/>
                <w:color w:val="auto"/>
              </w:rPr>
            </w:pPr>
          </w:p>
        </w:tc>
        <w:tc>
          <w:tcPr>
            <w:tcW w:w="80" w:type="dxa"/>
            <w:vAlign w:val="bottom"/>
            <w:tcBorders>
              <w:bottom w:val="single" w:sz="8" w:color="D1EDF4"/>
            </w:tcBorders>
          </w:tcPr>
          <w:p>
            <w:pPr>
              <w:spacing w:after="0"/>
              <w:rPr>
                <w:sz w:val="19"/>
                <w:szCs w:val="19"/>
                <w:color w:val="auto"/>
              </w:rPr>
            </w:pPr>
          </w:p>
        </w:tc>
        <w:tc>
          <w:tcPr>
            <w:tcW w:w="120" w:type="dxa"/>
            <w:vAlign w:val="bottom"/>
            <w:tcBorders>
              <w:bottom w:val="single" w:sz="8" w:color="D1EDF4"/>
            </w:tcBorders>
          </w:tcPr>
          <w:p>
            <w:pPr>
              <w:spacing w:after="0"/>
              <w:rPr>
                <w:sz w:val="19"/>
                <w:szCs w:val="19"/>
                <w:color w:val="auto"/>
              </w:rPr>
            </w:pPr>
          </w:p>
        </w:tc>
        <w:tc>
          <w:tcPr>
            <w:tcW w:w="860" w:type="dxa"/>
            <w:vAlign w:val="bottom"/>
            <w:tcBorders>
              <w:bottom w:val="single" w:sz="8" w:color="D1EDF4"/>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0.72</w:t>
            </w:r>
          </w:p>
        </w:tc>
        <w:tc>
          <w:tcPr>
            <w:tcW w:w="1820" w:type="dxa"/>
            <w:vAlign w:val="bottom"/>
            <w:tcBorders>
              <w:bottom w:val="single" w:sz="8" w:color="D1EDF4"/>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4.40</w:t>
            </w:r>
          </w:p>
        </w:tc>
        <w:tc>
          <w:tcPr>
            <w:tcW w:w="160" w:type="dxa"/>
            <w:vAlign w:val="bottom"/>
            <w:tcBorders>
              <w:bottom w:val="single" w:sz="8" w:color="D1EDF4"/>
            </w:tcBorders>
          </w:tcPr>
          <w:p>
            <w:pPr>
              <w:spacing w:after="0"/>
              <w:rPr>
                <w:sz w:val="19"/>
                <w:szCs w:val="19"/>
                <w:color w:val="auto"/>
              </w:rPr>
            </w:pPr>
          </w:p>
        </w:tc>
        <w:tc>
          <w:tcPr>
            <w:tcW w:w="760" w:type="dxa"/>
            <w:vAlign w:val="bottom"/>
            <w:tcBorders>
              <w:bottom w:val="single" w:sz="8" w:color="D1EDF4"/>
            </w:tcBorders>
          </w:tcPr>
          <w:p>
            <w:pPr>
              <w:spacing w:after="0"/>
              <w:rPr>
                <w:sz w:val="19"/>
                <w:szCs w:val="19"/>
                <w:color w:val="auto"/>
              </w:rPr>
            </w:pPr>
          </w:p>
        </w:tc>
      </w:tr>
      <w:tr>
        <w:trPr>
          <w:trHeight w:val="232"/>
        </w:trPr>
        <w:tc>
          <w:tcPr>
            <w:tcW w:w="5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Vested and expected to vest at June 30, 2023</w:t>
            </w:r>
          </w:p>
        </w:tc>
        <w:tc>
          <w:tcPr>
            <w:tcW w:w="10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9,901,703</w:t>
            </w:r>
          </w:p>
        </w:tc>
        <w:tc>
          <w:tcPr>
            <w:tcW w:w="80" w:type="dxa"/>
            <w:vAlign w:val="bottom"/>
            <w:shd w:val="clear" w:color="auto" w:fill="D1EDF4"/>
          </w:tcPr>
          <w:p>
            <w:pPr>
              <w:spacing w:after="0"/>
              <w:rPr>
                <w:sz w:val="20"/>
                <w:szCs w:val="20"/>
                <w:color w:val="auto"/>
              </w:rPr>
            </w:pPr>
          </w:p>
        </w:tc>
        <w:tc>
          <w:tcPr>
            <w:tcW w:w="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8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0.72</w:t>
            </w:r>
          </w:p>
        </w:tc>
        <w:tc>
          <w:tcPr>
            <w:tcW w:w="18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4.40</w:t>
            </w:r>
          </w:p>
        </w:tc>
        <w:tc>
          <w:tcPr>
            <w:tcW w:w="9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$ 44,698</w:t>
            </w:r>
          </w:p>
        </w:tc>
      </w:tr>
      <w:tr>
        <w:trPr>
          <w:trHeight w:val="267"/>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at June 30,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9,134,330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42,449</w:t>
            </w:r>
          </w:p>
        </w:tc>
      </w:tr>
    </w:tbl>
    <w:p>
      <w:pPr>
        <w:spacing w:after="0" w:line="174" w:lineRule="exact"/>
        <w:rPr>
          <w:sz w:val="20"/>
          <w:szCs w:val="20"/>
          <w:color w:val="auto"/>
        </w:rPr>
      </w:pPr>
    </w:p>
    <w:p>
      <w:pPr>
        <w:ind w:right="320" w:firstLine="720"/>
        <w:spacing w:after="0" w:line="258" w:lineRule="auto"/>
        <w:rPr>
          <w:sz w:val="20"/>
          <w:szCs w:val="20"/>
          <w:color w:val="auto"/>
        </w:rPr>
      </w:pPr>
      <w:r>
        <w:rPr>
          <w:rFonts w:ascii="Times New Roman" w:cs="Times New Roman" w:eastAsia="Times New Roman" w:hAnsi="Times New Roman"/>
          <w:sz w:val="20"/>
          <w:szCs w:val="20"/>
          <w:color w:val="auto"/>
        </w:rPr>
        <w:t>The aggregate intrinsic value of options exercised during fiscal years 2023 and 2022 was $4.4 million and $1.9 million, respectively. The weighted average grant date fair value of granted options during fiscal years 2023 and 2022 were zero and $1.19,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700" w:right="720" w:bottom="175" w:gutter="0" w:footer="0" w:header="0"/>
        </w:sectPr>
      </w:pPr>
    </w:p>
    <w:bookmarkStart w:id="97" w:name="page98"/>
    <w:bookmarkEnd w:id="97"/>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The following is a summary of the equity incentive plan RSU activity for the 2022 Plan and the 2018 Plan presented on an as converted basis to reflect the impact of the retroactive application of the recapitalization using the Exchange Ratio: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8"/>
              </w:rPr>
              <w:t>Weighted- Average</w:t>
            </w:r>
          </w:p>
        </w:tc>
      </w:tr>
      <w:tr>
        <w:trPr>
          <w:trHeight w:val="204"/>
        </w:trPr>
        <w:tc>
          <w:tcPr>
            <w:tcW w:w="7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Awards Outstanding</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r>
      <w:tr>
        <w:trPr>
          <w:trHeight w:val="220"/>
        </w:trPr>
        <w:tc>
          <w:tcPr>
            <w:tcW w:w="7660" w:type="dxa"/>
            <w:vAlign w:val="bottom"/>
            <w:tcBorders>
              <w:top w:val="single" w:sz="8" w:color="D1EDF4"/>
            </w:tcBorders>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Unvested Balance – June 30, 2022</w:t>
            </w:r>
          </w:p>
        </w:tc>
        <w:tc>
          <w:tcPr>
            <w:tcW w:w="142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432,666</w:t>
            </w:r>
          </w:p>
        </w:tc>
        <w:tc>
          <w:tcPr>
            <w:tcW w:w="80" w:type="dxa"/>
            <w:vAlign w:val="bottom"/>
            <w:tcBorders>
              <w:top w:val="single" w:sz="8" w:color="D1EDF4"/>
            </w:tcBorders>
            <w:shd w:val="clear" w:color="auto" w:fill="D1EDF4"/>
          </w:tcPr>
          <w:p>
            <w:pPr>
              <w:spacing w:after="0"/>
              <w:rPr>
                <w:sz w:val="19"/>
                <w:szCs w:val="19"/>
                <w:color w:val="auto"/>
              </w:rPr>
            </w:pPr>
          </w:p>
        </w:tc>
        <w:tc>
          <w:tcPr>
            <w:tcW w:w="8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tcBorders>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44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6.46</w:t>
            </w:r>
          </w:p>
        </w:tc>
      </w:tr>
      <w:tr>
        <w:trPr>
          <w:trHeight w:val="229"/>
        </w:trPr>
        <w:tc>
          <w:tcPr>
            <w:tcW w:w="7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Retrospective application of recapitalization</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(82,240)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20"/>
        </w:trPr>
        <w:tc>
          <w:tcPr>
            <w:tcW w:w="7660" w:type="dxa"/>
            <w:vAlign w:val="bottom"/>
            <w:tcBorders>
              <w:top w:val="single" w:sz="8" w:color="D1EDF4"/>
            </w:tcBorders>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Adjusted, unvested balance – beginning of year</w:t>
            </w:r>
          </w:p>
        </w:tc>
        <w:tc>
          <w:tcPr>
            <w:tcW w:w="142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350,426</w:t>
            </w:r>
          </w:p>
        </w:tc>
        <w:tc>
          <w:tcPr>
            <w:tcW w:w="80" w:type="dxa"/>
            <w:vAlign w:val="bottom"/>
            <w:tcBorders>
              <w:top w:val="single" w:sz="8" w:color="D1EDF4"/>
            </w:tcBorders>
            <w:shd w:val="clear" w:color="auto" w:fill="D1EDF4"/>
          </w:tcPr>
          <w:p>
            <w:pPr>
              <w:spacing w:after="0"/>
              <w:rPr>
                <w:sz w:val="19"/>
                <w:szCs w:val="19"/>
                <w:color w:val="auto"/>
              </w:rPr>
            </w:pPr>
          </w:p>
        </w:tc>
        <w:tc>
          <w:tcPr>
            <w:tcW w:w="80" w:type="dxa"/>
            <w:vAlign w:val="bottom"/>
            <w:tcBorders>
              <w:top w:val="single" w:sz="8" w:color="D1EDF4"/>
            </w:tcBorders>
            <w:shd w:val="clear" w:color="auto" w:fill="D1EDF4"/>
          </w:tcPr>
          <w:p>
            <w:pPr>
              <w:spacing w:after="0"/>
              <w:rPr>
                <w:sz w:val="19"/>
                <w:szCs w:val="19"/>
                <w:color w:val="auto"/>
              </w:rPr>
            </w:pPr>
          </w:p>
        </w:tc>
        <w:tc>
          <w:tcPr>
            <w:tcW w:w="120" w:type="dxa"/>
            <w:vAlign w:val="bottom"/>
            <w:tcBorders>
              <w:top w:val="single" w:sz="8" w:color="auto"/>
            </w:tcBorders>
            <w:shd w:val="clear" w:color="auto" w:fill="D1EDF4"/>
          </w:tcPr>
          <w:p>
            <w:pPr>
              <w:spacing w:after="0"/>
              <w:rPr>
                <w:sz w:val="19"/>
                <w:szCs w:val="19"/>
                <w:color w:val="auto"/>
              </w:rPr>
            </w:pPr>
          </w:p>
        </w:tc>
        <w:tc>
          <w:tcPr>
            <w:tcW w:w="1440" w:type="dxa"/>
            <w:vAlign w:val="bottom"/>
            <w:tcBorders>
              <w:top w:val="single" w:sz="8" w:color="auto"/>
            </w:tcBorders>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7.98</w:t>
            </w:r>
          </w:p>
        </w:tc>
      </w:tr>
      <w:tr>
        <w:trPr>
          <w:trHeight w:val="230"/>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5,795,240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w:t>
            </w:r>
          </w:p>
        </w:tc>
      </w:tr>
      <w:tr>
        <w:trPr>
          <w:trHeight w:val="230"/>
        </w:trPr>
        <w:tc>
          <w:tcPr>
            <w:tcW w:w="766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Vested</w:t>
            </w:r>
          </w:p>
        </w:tc>
        <w:tc>
          <w:tcPr>
            <w:tcW w:w="1500" w:type="dxa"/>
            <w:vAlign w:val="bottom"/>
            <w:gridSpan w:val="2"/>
            <w:shd w:val="clear" w:color="auto" w:fill="D1EDF4"/>
          </w:tcPr>
          <w:p>
            <w:pPr>
              <w:jc w:val="right"/>
              <w:ind w:right="80"/>
              <w:spacing w:after="0"/>
              <w:rPr>
                <w:sz w:val="20"/>
                <w:szCs w:val="20"/>
                <w:color w:val="auto"/>
              </w:rPr>
            </w:pPr>
            <w:r>
              <w:rPr>
                <w:rFonts w:ascii="Times New Roman" w:cs="Times New Roman" w:eastAsia="Times New Roman" w:hAnsi="Times New Roman"/>
                <w:sz w:val="20"/>
                <w:szCs w:val="20"/>
                <w:color w:val="auto"/>
              </w:rPr>
              <w:t>(1,119,826)</w:t>
            </w:r>
          </w:p>
        </w:tc>
        <w:tc>
          <w:tcPr>
            <w:tcW w:w="80" w:type="dxa"/>
            <w:vAlign w:val="bottom"/>
            <w:shd w:val="clear" w:color="auto" w:fill="D1EDF4"/>
          </w:tcPr>
          <w:p>
            <w:pPr>
              <w:spacing w:after="0"/>
              <w:rPr>
                <w:sz w:val="20"/>
                <w:szCs w:val="20"/>
                <w:color w:val="auto"/>
              </w:rPr>
            </w:pPr>
          </w:p>
        </w:tc>
        <w:tc>
          <w:tcPr>
            <w:tcW w:w="120" w:type="dxa"/>
            <w:vAlign w:val="bottom"/>
            <w:shd w:val="clear" w:color="auto" w:fill="D1EDF4"/>
          </w:tcPr>
          <w:p>
            <w:pPr>
              <w:spacing w:after="0"/>
              <w:rPr>
                <w:sz w:val="20"/>
                <w:szCs w:val="20"/>
                <w:color w:val="auto"/>
              </w:rPr>
            </w:pPr>
          </w:p>
        </w:tc>
        <w:tc>
          <w:tcPr>
            <w:tcW w:w="14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4.11</w:t>
            </w:r>
          </w:p>
        </w:tc>
      </w:tr>
      <w:tr>
        <w:trPr>
          <w:trHeight w:val="229"/>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Forfeited</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(465,195)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w:t>
            </w:r>
          </w:p>
        </w:tc>
      </w:tr>
      <w:tr>
        <w:trPr>
          <w:trHeight w:val="230"/>
        </w:trPr>
        <w:tc>
          <w:tcPr>
            <w:tcW w:w="7640" w:type="dxa"/>
            <w:vAlign w:val="bottom"/>
            <w:tcBorders>
              <w:top w:val="single" w:sz="8" w:color="D1EDF4"/>
            </w:tcBorders>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Unvested Balance - June 30, 2023</w:t>
            </w:r>
          </w:p>
        </w:tc>
        <w:tc>
          <w:tcPr>
            <w:tcW w:w="20" w:type="dxa"/>
            <w:vAlign w:val="bottom"/>
            <w:tcBorders>
              <w:top w:val="single" w:sz="8" w:color="D1EDF4"/>
              <w:bottom w:val="single" w:sz="8" w:color="auto"/>
            </w:tcBorders>
            <w:shd w:val="clear" w:color="auto" w:fill="D1EDF4"/>
          </w:tcPr>
          <w:p>
            <w:pPr>
              <w:spacing w:after="0"/>
              <w:rPr>
                <w:sz w:val="20"/>
                <w:szCs w:val="20"/>
                <w:color w:val="auto"/>
              </w:rPr>
            </w:pPr>
          </w:p>
        </w:tc>
        <w:tc>
          <w:tcPr>
            <w:tcW w:w="1420" w:type="dxa"/>
            <w:vAlign w:val="bottom"/>
            <w:tcBorders>
              <w:top w:val="single" w:sz="8" w:color="auto"/>
              <w:bottom w:val="single" w:sz="8" w:color="auto"/>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4,560,645</w:t>
            </w:r>
          </w:p>
        </w:tc>
        <w:tc>
          <w:tcPr>
            <w:tcW w:w="80" w:type="dxa"/>
            <w:vAlign w:val="bottom"/>
            <w:tcBorders>
              <w:top w:val="single" w:sz="8" w:color="D1EDF4"/>
            </w:tcBorders>
            <w:shd w:val="clear" w:color="auto" w:fill="D1EDF4"/>
          </w:tcPr>
          <w:p>
            <w:pPr>
              <w:spacing w:after="0"/>
              <w:rPr>
                <w:sz w:val="20"/>
                <w:szCs w:val="20"/>
                <w:color w:val="auto"/>
              </w:rPr>
            </w:pPr>
          </w:p>
        </w:tc>
        <w:tc>
          <w:tcPr>
            <w:tcW w:w="80" w:type="dxa"/>
            <w:vAlign w:val="bottom"/>
            <w:tcBorders>
              <w:top w:val="single" w:sz="8" w:color="D1EDF4"/>
            </w:tcBorders>
            <w:shd w:val="clear" w:color="auto" w:fill="D1EDF4"/>
          </w:tcPr>
          <w:p>
            <w:pPr>
              <w:spacing w:after="0"/>
              <w:rPr>
                <w:sz w:val="20"/>
                <w:szCs w:val="20"/>
                <w:color w:val="auto"/>
              </w:rPr>
            </w:pPr>
          </w:p>
        </w:tc>
        <w:tc>
          <w:tcPr>
            <w:tcW w:w="120" w:type="dxa"/>
            <w:vAlign w:val="bottom"/>
            <w:tcBorders>
              <w:top w:val="single" w:sz="8" w:color="D1EDF4"/>
            </w:tcBorders>
            <w:shd w:val="clear" w:color="auto" w:fill="D1EDF4"/>
          </w:tcPr>
          <w:p>
            <w:pPr>
              <w:spacing w:after="0"/>
              <w:rPr>
                <w:sz w:val="20"/>
                <w:szCs w:val="20"/>
                <w:color w:val="auto"/>
              </w:rPr>
            </w:pPr>
          </w:p>
        </w:tc>
        <w:tc>
          <w:tcPr>
            <w:tcW w:w="1440" w:type="dxa"/>
            <w:vAlign w:val="bottom"/>
            <w:tcBorders>
              <w:top w:val="single" w:sz="8" w:color="D1EDF4"/>
            </w:tcBorders>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rPr>
              <w:t>4.00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Assumptions used in Estimating Option Fair Value and Stock-Based Compensation Expense</w:t>
      </w:r>
    </w:p>
    <w:p>
      <w:pPr>
        <w:spacing w:after="0" w:line="160"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20"/>
          <w:szCs w:val="20"/>
          <w:color w:val="auto"/>
        </w:rPr>
        <w:t>The Company estimated the fair values of each option awarded on the date of grant using the Black-Scholes-Merton option pricing model utilizing the assumptions noted below.</w:t>
      </w:r>
    </w:p>
    <w:p>
      <w:pPr>
        <w:spacing w:after="0" w:line="88" w:lineRule="exact"/>
        <w:rPr>
          <w:sz w:val="20"/>
          <w:szCs w:val="20"/>
          <w:color w:val="auto"/>
        </w:rPr>
      </w:pPr>
    </w:p>
    <w:p>
      <w:pPr>
        <w:jc w:val="both"/>
        <w:ind w:left="960" w:hanging="480"/>
        <w:spacing w:after="0" w:line="259" w:lineRule="auto"/>
        <w:tabs>
          <w:tab w:leader="none" w:pos="9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Risk-free interest rate — </w:t>
      </w:r>
      <w:r>
        <w:rPr>
          <w:rFonts w:ascii="Times New Roman" w:cs="Times New Roman" w:eastAsia="Times New Roman" w:hAnsi="Times New Roman"/>
          <w:sz w:val="20"/>
          <w:szCs w:val="20"/>
          <w:color w:val="auto"/>
        </w:rPr>
        <w:t>The risk-free interest rate was calculated using the average of the published interest rates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 Treasury zero-coupon issues with maturities that approximate the expected term. The dividend yield assumption is zero as the Company has no history of, nor plans to distribute, dividend payments.</w:t>
      </w:r>
    </w:p>
    <w:p>
      <w:pPr>
        <w:spacing w:after="0" w:line="106" w:lineRule="exact"/>
        <w:rPr>
          <w:rFonts w:ascii="Times New Roman" w:cs="Times New Roman" w:eastAsia="Times New Roman" w:hAnsi="Times New Roman"/>
          <w:sz w:val="20"/>
          <w:szCs w:val="20"/>
          <w:color w:val="auto"/>
        </w:rPr>
      </w:pPr>
    </w:p>
    <w:p>
      <w:pPr>
        <w:jc w:val="both"/>
        <w:ind w:left="960" w:hanging="480"/>
        <w:spacing w:after="0" w:line="252" w:lineRule="auto"/>
        <w:tabs>
          <w:tab w:leader="none" w:pos="9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Expected term — </w:t>
      </w:r>
      <w:r>
        <w:rPr>
          <w:rFonts w:ascii="Times New Roman" w:cs="Times New Roman" w:eastAsia="Times New Roman" w:hAnsi="Times New Roman"/>
          <w:sz w:val="20"/>
          <w:szCs w:val="20"/>
          <w:color w:val="auto"/>
        </w:rPr>
        <w:t>The expected term of the options is based on the average period the stock options are expected to remain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13" w:lineRule="exact"/>
        <w:rPr>
          <w:rFonts w:ascii="Times New Roman" w:cs="Times New Roman" w:eastAsia="Times New Roman" w:hAnsi="Times New Roman"/>
          <w:sz w:val="20"/>
          <w:szCs w:val="20"/>
          <w:color w:val="auto"/>
        </w:rPr>
      </w:pPr>
    </w:p>
    <w:p>
      <w:pPr>
        <w:jc w:val="both"/>
        <w:ind w:left="960" w:hanging="480"/>
        <w:spacing w:after="0" w:line="259" w:lineRule="auto"/>
        <w:tabs>
          <w:tab w:leader="none" w:pos="9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Expected volatility — </w:t>
      </w:r>
      <w:r>
        <w:rPr>
          <w:rFonts w:ascii="Times New Roman" w:cs="Times New Roman" w:eastAsia="Times New Roman" w:hAnsi="Times New Roman"/>
          <w:sz w:val="20"/>
          <w:szCs w:val="20"/>
          <w:color w:val="auto"/>
        </w:rPr>
        <w:t>The expected stock price volatility for the Company’s stock was determined by examining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historical volatilities of the Company’s industry peers as the Company did not have any trading history of its Common Stock.</w:t>
      </w:r>
    </w:p>
    <w:p>
      <w:pPr>
        <w:spacing w:after="0" w:line="106" w:lineRule="exact"/>
        <w:rPr>
          <w:rFonts w:ascii="Times New Roman" w:cs="Times New Roman" w:eastAsia="Times New Roman" w:hAnsi="Times New Roman"/>
          <w:sz w:val="20"/>
          <w:szCs w:val="20"/>
          <w:color w:val="auto"/>
        </w:rPr>
      </w:pPr>
    </w:p>
    <w:p>
      <w:pPr>
        <w:ind w:left="960" w:hanging="480"/>
        <w:spacing w:after="0" w:line="277" w:lineRule="auto"/>
        <w:tabs>
          <w:tab w:leader="none" w:pos="95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Expected dividend yield — </w:t>
      </w:r>
      <w:r>
        <w:rPr>
          <w:rFonts w:ascii="Times New Roman" w:cs="Times New Roman" w:eastAsia="Times New Roman" w:hAnsi="Times New Roman"/>
          <w:sz w:val="20"/>
          <w:szCs w:val="20"/>
          <w:color w:val="auto"/>
        </w:rPr>
        <w:t>The dividend yield assumption is zero as the Company has no history of, nor plans to distribute,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dividend payments.</w:t>
      </w:r>
    </w:p>
    <w:p>
      <w:pPr>
        <w:spacing w:after="0" w:line="88"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20"/>
          <w:szCs w:val="20"/>
          <w:color w:val="auto"/>
        </w:rPr>
        <w:t>The assumptions used under the Black-Scholes-Merton option pricing model and the weighted average calculated value of the options granted to employees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84"/>
        </w:trPr>
        <w:tc>
          <w:tcPr>
            <w:tcW w:w="806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4"/>
        </w:trPr>
        <w:tc>
          <w:tcPr>
            <w:tcW w:w="8060" w:type="dxa"/>
            <w:vAlign w:val="bottom"/>
            <w:tcBorders>
              <w:bottom w:val="single" w:sz="8" w:color="D1EDF4"/>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D1EDF4"/>
            </w:tcBorders>
          </w:tcPr>
          <w:p>
            <w:pPr>
              <w:spacing w:after="0"/>
              <w:rPr>
                <w:sz w:val="17"/>
                <w:szCs w:val="17"/>
                <w:color w:val="auto"/>
              </w:rPr>
            </w:pPr>
          </w:p>
        </w:tc>
        <w:tc>
          <w:tcPr>
            <w:tcW w:w="14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806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1000" w:type="dxa"/>
            <w:vAlign w:val="bottom"/>
            <w:shd w:val="clear" w:color="auto" w:fill="D1EDF4"/>
          </w:tcPr>
          <w:p>
            <w:pPr>
              <w:ind w:left="720"/>
              <w:spacing w:after="0" w:line="220"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w w:val="83"/>
                <w:shd w:val="clear" w:color="auto" w:fill="D1EDF4"/>
              </w:rPr>
              <w:t>%</w:t>
            </w:r>
          </w:p>
        </w:tc>
        <w:tc>
          <w:tcPr>
            <w:tcW w:w="1480" w:type="dxa"/>
            <w:vAlign w:val="bottom"/>
            <w:gridSpan w:val="2"/>
            <w:shd w:val="clear" w:color="auto" w:fill="D1EDF4"/>
          </w:tcPr>
          <w:p>
            <w:pPr>
              <w:jc w:val="right"/>
              <w:ind w:right="400"/>
              <w:spacing w:after="0" w:line="220" w:lineRule="exact"/>
              <w:rPr>
                <w:sz w:val="20"/>
                <w:szCs w:val="20"/>
                <w:color w:val="auto"/>
              </w:rPr>
            </w:pPr>
            <w:r>
              <w:rPr>
                <w:rFonts w:ascii="Times New Roman" w:cs="Times New Roman" w:eastAsia="Times New Roman" w:hAnsi="Times New Roman"/>
                <w:sz w:val="20"/>
                <w:szCs w:val="20"/>
                <w:color w:val="auto"/>
              </w:rPr>
              <w:t>1.06</w:t>
            </w: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- 6.51</w:t>
            </w:r>
          </w:p>
        </w:tc>
      </w:tr>
      <w:tr>
        <w:trPr>
          <w:trHeight w:val="230"/>
        </w:trPr>
        <w:tc>
          <w:tcPr>
            <w:tcW w:w="806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260" w:type="dxa"/>
            <w:vAlign w:val="bottom"/>
            <w:gridSpan w:val="2"/>
            <w:shd w:val="clear" w:color="auto" w:fill="D1EDF4"/>
          </w:tcPr>
          <w:p>
            <w:pPr>
              <w:ind w:left="720"/>
              <w:spacing w:after="0"/>
              <w:rPr>
                <w:sz w:val="20"/>
                <w:szCs w:val="20"/>
                <w:color w:val="auto"/>
              </w:rPr>
            </w:pPr>
            <w:r>
              <w:rPr>
                <w:rFonts w:ascii="Times New Roman" w:cs="Times New Roman" w:eastAsia="Times New Roman" w:hAnsi="Times New Roman"/>
                <w:sz w:val="20"/>
                <w:szCs w:val="20"/>
                <w:color w:val="auto"/>
              </w:rPr>
              <w:t>— %</w:t>
            </w:r>
          </w:p>
        </w:tc>
        <w:tc>
          <w:tcPr>
            <w:tcW w:w="70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45.84%</w:t>
            </w:r>
          </w:p>
        </w:tc>
        <w:tc>
          <w:tcPr>
            <w:tcW w:w="780" w:type="dxa"/>
            <w:vAlign w:val="bottom"/>
            <w:shd w:val="clear" w:color="auto" w:fill="D1EDF4"/>
          </w:tcPr>
          <w:p>
            <w:pPr>
              <w:ind w:left="40"/>
              <w:spacing w:after="0"/>
              <w:rPr>
                <w:sz w:val="20"/>
                <w:szCs w:val="20"/>
                <w:color w:val="auto"/>
              </w:rPr>
            </w:pPr>
            <w:r>
              <w:rPr>
                <w:rFonts w:ascii="Times New Roman" w:cs="Times New Roman" w:eastAsia="Times New Roman" w:hAnsi="Times New Roman"/>
                <w:sz w:val="20"/>
                <w:szCs w:val="20"/>
                <w:color w:val="auto"/>
                <w:w w:val="98"/>
              </w:rPr>
              <w:t>- 46.15%</w:t>
            </w:r>
          </w:p>
        </w:tc>
      </w:tr>
      <w:tr>
        <w:trPr>
          <w:trHeight w:val="267"/>
        </w:trPr>
        <w:tc>
          <w:tcPr>
            <w:tcW w:w="806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spacing w:after="0"/>
              <w:rPr>
                <w:sz w:val="23"/>
                <w:szCs w:val="23"/>
                <w:color w:val="auto"/>
              </w:rPr>
            </w:pPr>
          </w:p>
        </w:tc>
        <w:tc>
          <w:tcPr>
            <w:tcW w:w="78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w w:val="89"/>
              </w:rPr>
              <w:t>—</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40"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Stock-based compensation expense, excluding stock-based compensation in capitalized software, related to employees and non-employees as well as expense associated with earnout shares noted below, by function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74"/>
        </w:trPr>
        <w:tc>
          <w:tcPr>
            <w:tcW w:w="74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7"/>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4"/>
              <w:spacing w:after="0" w:line="175"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220" w:type="dxa"/>
            <w:vAlign w:val="bottom"/>
            <w:tcBorders>
              <w:bottom w:val="single" w:sz="8" w:color="D1EDF4"/>
            </w:tcBorders>
          </w:tcPr>
          <w:p>
            <w:pPr>
              <w:spacing w:after="0"/>
              <w:rPr>
                <w:sz w:val="15"/>
                <w:szCs w:val="15"/>
                <w:color w:val="auto"/>
              </w:rPr>
            </w:pPr>
          </w:p>
        </w:tc>
      </w:tr>
      <w:tr>
        <w:trPr>
          <w:trHeight w:val="220"/>
        </w:trPr>
        <w:tc>
          <w:tcPr>
            <w:tcW w:w="742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Research and development</w:t>
            </w:r>
          </w:p>
        </w:tc>
        <w:tc>
          <w:tcPr>
            <w:tcW w:w="340" w:type="dxa"/>
            <w:vAlign w:val="bottom"/>
            <w:shd w:val="clear" w:color="auto" w:fill="D1EDF4"/>
          </w:tcPr>
          <w:p>
            <w:pPr>
              <w:jc w:val="right"/>
              <w:ind w:right="1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2,247</w:t>
            </w:r>
          </w:p>
        </w:tc>
        <w:tc>
          <w:tcPr>
            <w:tcW w:w="800" w:type="dxa"/>
            <w:vAlign w:val="bottom"/>
            <w:gridSpan w:val="3"/>
            <w:shd w:val="clear" w:color="auto" w:fill="D1EDF4"/>
          </w:tcPr>
          <w:p>
            <w:pPr>
              <w:jc w:val="right"/>
              <w:ind w:right="360"/>
              <w:spacing w:after="0" w:line="220"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519</w:t>
            </w:r>
          </w:p>
        </w:tc>
        <w:tc>
          <w:tcPr>
            <w:tcW w:w="220" w:type="dxa"/>
            <w:vAlign w:val="bottom"/>
            <w:shd w:val="clear" w:color="auto" w:fill="D1EDF4"/>
          </w:tcPr>
          <w:p>
            <w:pPr>
              <w:spacing w:after="0"/>
              <w:rPr>
                <w:sz w:val="19"/>
                <w:szCs w:val="19"/>
                <w:color w:val="auto"/>
              </w:rPr>
            </w:pPr>
          </w:p>
        </w:tc>
      </w:tr>
      <w:tr>
        <w:trPr>
          <w:trHeight w:val="230"/>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Sales and marketing</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20" w:type="dxa"/>
            <w:vAlign w:val="bottom"/>
          </w:tcPr>
          <w:p>
            <w:pPr>
              <w:spacing w:after="0"/>
              <w:rPr>
                <w:sz w:val="20"/>
                <w:szCs w:val="20"/>
                <w:color w:val="auto"/>
              </w:rPr>
            </w:pPr>
          </w:p>
        </w:tc>
      </w:tr>
      <w:tr>
        <w:trPr>
          <w:trHeight w:val="229"/>
        </w:trPr>
        <w:tc>
          <w:tcPr>
            <w:tcW w:w="7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40" w:type="dxa"/>
            <w:vAlign w:val="bottom"/>
            <w:tcBorders>
              <w:bottom w:val="single" w:sz="8" w:color="auto"/>
            </w:tcBorders>
            <w:shd w:val="clear" w:color="auto" w:fill="D1EDF4"/>
          </w:tcPr>
          <w:p>
            <w:pPr>
              <w:spacing w:after="0"/>
              <w:rPr>
                <w:sz w:val="19"/>
                <w:szCs w:val="19"/>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5,892</w:t>
            </w:r>
          </w:p>
        </w:tc>
        <w:tc>
          <w:tcPr>
            <w:tcW w:w="2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560" w:type="dxa"/>
            <w:vAlign w:val="bottom"/>
            <w:tcBorders>
              <w:bottom w:val="single" w:sz="8" w:color="auto"/>
            </w:tcBorders>
            <w:shd w:val="clear" w:color="auto" w:fill="D1EDF4"/>
          </w:tcPr>
          <w:p>
            <w:pPr>
              <w:spacing w:after="0"/>
              <w:rPr>
                <w:sz w:val="19"/>
                <w:szCs w:val="19"/>
                <w:color w:val="auto"/>
              </w:rPr>
            </w:pPr>
          </w:p>
        </w:tc>
        <w:tc>
          <w:tcPr>
            <w:tcW w:w="90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220" w:type="dxa"/>
            <w:vAlign w:val="bottom"/>
            <w:shd w:val="clear" w:color="auto" w:fill="D1EDF4"/>
          </w:tcPr>
          <w:p>
            <w:pPr>
              <w:spacing w:after="0"/>
              <w:rPr>
                <w:sz w:val="19"/>
                <w:szCs w:val="19"/>
                <w:color w:val="auto"/>
              </w:rPr>
            </w:pPr>
          </w:p>
        </w:tc>
      </w:tr>
      <w:tr>
        <w:trPr>
          <w:trHeight w:val="230"/>
        </w:trPr>
        <w:tc>
          <w:tcPr>
            <w:tcW w:w="74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8,699</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6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1,909</w:t>
            </w:r>
          </w:p>
        </w:tc>
        <w:tc>
          <w:tcPr>
            <w:tcW w:w="220" w:type="dxa"/>
            <w:vAlign w:val="bottom"/>
          </w:tcPr>
          <w:p>
            <w:pPr>
              <w:spacing w:after="0"/>
              <w:rPr>
                <w:sz w:val="20"/>
                <w:szCs w:val="20"/>
                <w:color w:val="auto"/>
              </w:rPr>
            </w:pPr>
          </w:p>
        </w:tc>
      </w:tr>
    </w:tbl>
    <w:p>
      <w:pPr>
        <w:spacing w:after="0" w:line="211" w:lineRule="exact"/>
        <w:rPr>
          <w:sz w:val="20"/>
          <w:szCs w:val="20"/>
          <w:color w:val="auto"/>
        </w:rPr>
      </w:pPr>
    </w:p>
    <w:p>
      <w:pPr>
        <w:ind w:right="140" w:firstLine="720"/>
        <w:spacing w:after="0" w:line="252" w:lineRule="auto"/>
        <w:rPr>
          <w:sz w:val="20"/>
          <w:szCs w:val="20"/>
          <w:color w:val="auto"/>
        </w:rPr>
      </w:pPr>
      <w:r>
        <w:rPr>
          <w:rFonts w:ascii="Times New Roman" w:cs="Times New Roman" w:eastAsia="Times New Roman" w:hAnsi="Times New Roman"/>
          <w:sz w:val="20"/>
          <w:szCs w:val="20"/>
          <w:color w:val="auto"/>
        </w:rPr>
        <w:t>Stock-based compensation allocated to cost of goods sold was not material for the years ended June 30, 2023 and 2022. The weighted-average grant date fair value of options vested during the years ended June 30, 2023 and 2022 was $1.48 and $1.05, respectively. As of June 30, 2023, the unrecognized stock -based compensation expense related to outstanding unvested stock options was $1.7 million which is expected to be recognized over a weighted-average period of 2.02 years.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700" w:right="720" w:bottom="175" w:gutter="0" w:footer="0" w:header="0"/>
        </w:sectPr>
      </w:pPr>
    </w:p>
    <w:bookmarkStart w:id="98" w:name="page99"/>
    <w:bookmarkEnd w:id="98"/>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During the year ended June 30, 2023 the Company recorded $4.9 million of stock-based compensation expense associated with earnout shares granted to holders of Common Stock held by current employees and directors and holders of options and RSUs. No amounts were recorded during the year ended June 30, 2022 associated with earnout shares. Refer to Note 1 for further discussion of compensation recorded related to earnout shares granted to holders of Common Stock, options and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9" w:lineRule="exact"/>
        <w:rPr>
          <w:sz w:val="20"/>
          <w:szCs w:val="20"/>
          <w:color w:val="auto"/>
        </w:rPr>
      </w:pPr>
    </w:p>
    <w:p>
      <w:pPr>
        <w:ind w:right="220" w:firstLine="720"/>
        <w:spacing w:after="0" w:line="259" w:lineRule="auto"/>
        <w:rPr>
          <w:sz w:val="20"/>
          <w:szCs w:val="20"/>
          <w:color w:val="auto"/>
        </w:rPr>
      </w:pPr>
      <w:r>
        <w:rPr>
          <w:rFonts w:ascii="Times New Roman" w:cs="Times New Roman" w:eastAsia="Times New Roman" w:hAnsi="Times New Roman"/>
          <w:sz w:val="20"/>
          <w:szCs w:val="20"/>
          <w:color w:val="auto"/>
        </w:rPr>
        <w:t>Effective with the closing of the Merger, the Company adopted and employee stock purchase plan (“ESPP”). There was no activity under the plan during the year ended June 30, 2023, as the Company has not yet conducted any offerings pursuant to the ESPP.</w:t>
      </w:r>
    </w:p>
    <w:p>
      <w:pPr>
        <w:spacing w:after="0" w:line="18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ESPP allows eligible employees to purchase shares of the Company’s Common Stock at a discount through payroll deductions of up to 15% of their eligible compensation, subject to any plan limitations, during designated 6-month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Stock-based Compensation</w:t>
      </w:r>
    </w:p>
    <w:p>
      <w:pPr>
        <w:spacing w:after="0" w:line="23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connection with the acquisition of CyborgOps (refer to Note 14), the Company issued 475,638 shares of Common Stock to employees of CyborgOps who had continued employment with the Company, which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years ended June 30, 2023 and 2022, the Company recognized $0.9 million and $0.1 million of stock-based compensation expense related to these equity awards, respectively. In May 2023, the Company forfeited 256,891 unvested shares related to employees who were no longer employed with the Company. As of June 30, 2023, unrecognized stock-based compensation expense associated with these equity awards, as adjusted for terminations, was $1.0 million, as adjusted for terminations, which is expected to be recognized over a weighted-average period of 2.87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Income Taxes</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is subject to U.S. federal, state, and local corporate income taxes.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components of loss before taxes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4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6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20" w:type="dxa"/>
            <w:vAlign w:val="bottom"/>
            <w:tcBorders>
              <w:bottom w:val="single" w:sz="8" w:color="D1EDF4"/>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3"/>
              <w:spacing w:after="0" w:line="175"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D1EDF4"/>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420" w:type="dxa"/>
            <w:vAlign w:val="bottom"/>
            <w:gridSpan w:val="2"/>
            <w:shd w:val="clear" w:color="auto" w:fill="D1EDF4"/>
          </w:tcPr>
          <w:p>
            <w:pPr>
              <w:spacing w:after="0" w:line="221" w:lineRule="exact"/>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0" w:type="dxa"/>
            <w:vAlign w:val="bottom"/>
            <w:shd w:val="clear" w:color="auto" w:fill="D1EDF4"/>
          </w:tcPr>
          <w:p>
            <w:pPr>
              <w:spacing w:after="0"/>
              <w:rPr>
                <w:sz w:val="19"/>
                <w:szCs w:val="19"/>
                <w:color w:val="auto"/>
              </w:rPr>
            </w:pPr>
          </w:p>
        </w:tc>
        <w:tc>
          <w:tcPr>
            <w:tcW w:w="1360" w:type="dxa"/>
            <w:vAlign w:val="bottom"/>
            <w:gridSpan w:val="2"/>
            <w:shd w:val="clear" w:color="auto" w:fill="D1EDF4"/>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(34,596)</w:t>
            </w:r>
          </w:p>
        </w:tc>
        <w:tc>
          <w:tcPr>
            <w:tcW w:w="20" w:type="dxa"/>
            <w:vAlign w:val="bottom"/>
            <w:shd w:val="clear" w:color="auto" w:fill="D1EDF4"/>
          </w:tcPr>
          <w:p>
            <w:pPr>
              <w:spacing w:after="0"/>
              <w:rPr>
                <w:sz w:val="19"/>
                <w:szCs w:val="19"/>
                <w:color w:val="auto"/>
              </w:rPr>
            </w:pPr>
          </w:p>
        </w:tc>
        <w:tc>
          <w:tcPr>
            <w:tcW w:w="20" w:type="dxa"/>
            <w:vAlign w:val="bottom"/>
            <w:shd w:val="clear" w:color="auto" w:fill="D1EDF4"/>
          </w:tcPr>
          <w:p>
            <w:pPr>
              <w:spacing w:after="0"/>
              <w:rPr>
                <w:sz w:val="19"/>
                <w:szCs w:val="19"/>
                <w:color w:val="auto"/>
              </w:rPr>
            </w:pPr>
          </w:p>
        </w:tc>
        <w:tc>
          <w:tcPr>
            <w:tcW w:w="180" w:type="dxa"/>
            <w:vAlign w:val="bottom"/>
            <w:shd w:val="clear" w:color="auto" w:fill="D1EDF4"/>
          </w:tcPr>
          <w:p>
            <w:pPr>
              <w:spacing w:after="0"/>
              <w:rPr>
                <w:sz w:val="19"/>
                <w:szCs w:val="19"/>
                <w:color w:val="auto"/>
              </w:rPr>
            </w:pPr>
          </w:p>
        </w:tc>
        <w:tc>
          <w:tcPr>
            <w:tcW w:w="160" w:type="dxa"/>
            <w:vAlign w:val="bottom"/>
            <w:shd w:val="clear" w:color="auto" w:fill="D1EDF4"/>
          </w:tcPr>
          <w:p>
            <w:pPr>
              <w:spacing w:after="0"/>
              <w:rPr>
                <w:sz w:val="19"/>
                <w:szCs w:val="19"/>
                <w:color w:val="auto"/>
              </w:rPr>
            </w:pPr>
          </w:p>
        </w:tc>
        <w:tc>
          <w:tcPr>
            <w:tcW w:w="120" w:type="dxa"/>
            <w:vAlign w:val="bottom"/>
            <w:shd w:val="clear" w:color="auto" w:fill="D1EDF4"/>
          </w:tcPr>
          <w:p>
            <w:pPr>
              <w:spacing w:after="0"/>
              <w:rPr>
                <w:sz w:val="19"/>
                <w:szCs w:val="19"/>
                <w:color w:val="auto"/>
              </w:rPr>
            </w:pPr>
          </w:p>
        </w:tc>
        <w:tc>
          <w:tcPr>
            <w:tcW w:w="1220" w:type="dxa"/>
            <w:vAlign w:val="bottom"/>
            <w:gridSpan w:val="2"/>
            <w:shd w:val="clear" w:color="auto" w:fill="D1EDF4"/>
          </w:tcPr>
          <w:p>
            <w:pPr>
              <w:ind w:left="320"/>
              <w:spacing w:after="0" w:line="221" w:lineRule="exact"/>
              <w:rPr>
                <w:sz w:val="20"/>
                <w:szCs w:val="20"/>
                <w:color w:val="auto"/>
              </w:rPr>
            </w:pPr>
            <w:r>
              <w:rPr>
                <w:rFonts w:ascii="Times New Roman" w:cs="Times New Roman" w:eastAsia="Times New Roman" w:hAnsi="Times New Roman"/>
                <w:sz w:val="20"/>
                <w:szCs w:val="20"/>
                <w:color w:val="auto"/>
              </w:rPr>
              <w:t>(56,644)</w:t>
            </w:r>
          </w:p>
        </w:tc>
        <w:tc>
          <w:tcPr>
            <w:tcW w:w="0" w:type="dxa"/>
            <w:vAlign w:val="bottom"/>
          </w:tcPr>
          <w:p>
            <w:pPr>
              <w:spacing w:after="0"/>
              <w:rPr>
                <w:sz w:val="1"/>
                <w:szCs w:val="1"/>
                <w:color w:val="auto"/>
              </w:rPr>
            </w:pPr>
          </w:p>
        </w:tc>
      </w:tr>
      <w:tr>
        <w:trPr>
          <w:trHeight w:val="232"/>
        </w:trPr>
        <w:tc>
          <w:tcPr>
            <w:tcW w:w="74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0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20" w:type="dxa"/>
            <w:vAlign w:val="bottom"/>
            <w:tcBorders>
              <w:bottom w:val="single" w:sz="8" w:color="D1EDF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20" w:type="dxa"/>
            <w:vAlign w:val="bottom"/>
            <w:tcBorders>
              <w:bottom w:val="single" w:sz="8" w:color="D1EDF4"/>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loss before taxes</w:t>
            </w:r>
          </w:p>
        </w:tc>
        <w:tc>
          <w:tcPr>
            <w:tcW w:w="20" w:type="dxa"/>
            <w:vAlign w:val="bottom"/>
            <w:shd w:val="clear" w:color="auto" w:fill="D1EDF4"/>
          </w:tcPr>
          <w:p>
            <w:pPr>
              <w:spacing w:after="0"/>
              <w:rPr>
                <w:sz w:val="21"/>
                <w:szCs w:val="21"/>
                <w:color w:val="auto"/>
              </w:rPr>
            </w:pPr>
          </w:p>
        </w:tc>
        <w:tc>
          <w:tcPr>
            <w:tcW w:w="160" w:type="dxa"/>
            <w:vAlign w:val="bottom"/>
            <w:shd w:val="clear" w:color="auto" w:fill="D1EDF4"/>
          </w:tcPr>
          <w:p>
            <w:pPr>
              <w:jc w:val="right"/>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40" w:type="dxa"/>
            <w:vAlign w:val="bottom"/>
            <w:shd w:val="clear" w:color="auto" w:fill="D1EDF4"/>
          </w:tcPr>
          <w:p>
            <w:pPr>
              <w:spacing w:after="0"/>
              <w:rPr>
                <w:sz w:val="21"/>
                <w:szCs w:val="21"/>
                <w:color w:val="auto"/>
              </w:rPr>
            </w:pPr>
          </w:p>
        </w:tc>
        <w:tc>
          <w:tcPr>
            <w:tcW w:w="1360" w:type="dxa"/>
            <w:vAlign w:val="bottom"/>
            <w:gridSpan w:val="2"/>
            <w:shd w:val="clear" w:color="auto" w:fill="D1EDF4"/>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(34,471)</w:t>
            </w:r>
          </w:p>
        </w:tc>
        <w:tc>
          <w:tcPr>
            <w:tcW w:w="2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180" w:type="dxa"/>
            <w:vAlign w:val="bottom"/>
            <w:shd w:val="clear" w:color="auto" w:fill="D1EDF4"/>
          </w:tcPr>
          <w:p>
            <w:pPr>
              <w:spacing w:after="0"/>
              <w:rPr>
                <w:sz w:val="21"/>
                <w:szCs w:val="21"/>
                <w:color w:val="auto"/>
              </w:rPr>
            </w:pPr>
          </w:p>
        </w:tc>
        <w:tc>
          <w:tcPr>
            <w:tcW w:w="160" w:type="dxa"/>
            <w:vAlign w:val="bottom"/>
            <w:shd w:val="clear" w:color="auto" w:fill="D1EDF4"/>
          </w:tcPr>
          <w:p>
            <w:pPr>
              <w:spacing w:after="0"/>
              <w:rPr>
                <w:sz w:val="21"/>
                <w:szCs w:val="21"/>
                <w:color w:val="auto"/>
              </w:rPr>
            </w:pPr>
          </w:p>
        </w:tc>
        <w:tc>
          <w:tcPr>
            <w:tcW w:w="120" w:type="dxa"/>
            <w:vAlign w:val="bottom"/>
            <w:shd w:val="clear" w:color="auto" w:fill="D1EDF4"/>
          </w:tcPr>
          <w:p>
            <w:pPr>
              <w:spacing w:after="0"/>
              <w:rPr>
                <w:sz w:val="21"/>
                <w:szCs w:val="21"/>
                <w:color w:val="auto"/>
              </w:rPr>
            </w:pPr>
          </w:p>
        </w:tc>
        <w:tc>
          <w:tcPr>
            <w:tcW w:w="1220" w:type="dxa"/>
            <w:vAlign w:val="bottom"/>
            <w:gridSpan w:val="2"/>
            <w:shd w:val="clear" w:color="auto" w:fill="D1EDF4"/>
          </w:tcPr>
          <w:p>
            <w:pPr>
              <w:ind w:left="320"/>
              <w:spacing w:after="0" w:line="221" w:lineRule="exact"/>
              <w:rPr>
                <w:sz w:val="20"/>
                <w:szCs w:val="20"/>
                <w:color w:val="auto"/>
              </w:rPr>
            </w:pPr>
            <w:r>
              <w:rPr>
                <w:rFonts w:ascii="Times New Roman" w:cs="Times New Roman" w:eastAsia="Times New Roman" w:hAnsi="Times New Roman"/>
                <w:sz w:val="20"/>
                <w:szCs w:val="20"/>
                <w:color w:val="auto"/>
              </w:rPr>
              <w:t>(56,544)</w:t>
            </w:r>
          </w:p>
        </w:tc>
        <w:tc>
          <w:tcPr>
            <w:tcW w:w="0" w:type="dxa"/>
            <w:vAlign w:val="bottom"/>
          </w:tcPr>
          <w:p>
            <w:pPr>
              <w:spacing w:after="0"/>
              <w:rPr>
                <w:sz w:val="1"/>
                <w:szCs w:val="1"/>
                <w:color w:val="auto"/>
              </w:rPr>
            </w:pPr>
          </w:p>
        </w:tc>
      </w:tr>
      <w:tr>
        <w:trPr>
          <w:trHeight w:val="458"/>
        </w:trPr>
        <w:tc>
          <w:tcPr>
            <w:tcW w:w="74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Income tax (benefit) provision was comprised of the following:</w:t>
            </w: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D1EDF4"/>
          </w:tcPr>
          <w:p>
            <w:pPr>
              <w:spacing w:after="0"/>
              <w:rPr>
                <w:sz w:val="22"/>
                <w:szCs w:val="22"/>
                <w:color w:val="auto"/>
              </w:rPr>
            </w:pP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shd w:val="clear" w:color="auto" w:fill="D1EDF4"/>
          </w:tcPr>
          <w:p>
            <w:pPr>
              <w:spacing w:after="0"/>
              <w:rPr>
                <w:sz w:val="22"/>
                <w:szCs w:val="22"/>
                <w:color w:val="auto"/>
              </w:rPr>
            </w:pPr>
          </w:p>
        </w:tc>
        <w:tc>
          <w:tcPr>
            <w:tcW w:w="1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shd w:val="clear" w:color="auto" w:fill="D1EDF4"/>
          </w:tcPr>
          <w:p>
            <w:pPr>
              <w:spacing w:after="0"/>
              <w:rPr>
                <w:sz w:val="22"/>
                <w:szCs w:val="22"/>
                <w:color w:val="auto"/>
              </w:rPr>
            </w:pPr>
          </w:p>
        </w:tc>
        <w:tc>
          <w:tcPr>
            <w:tcW w:w="1220" w:type="dxa"/>
            <w:vAlign w:val="bottom"/>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60" w:type="dxa"/>
            <w:vAlign w:val="bottom"/>
            <w:shd w:val="clear" w:color="auto" w:fill="D1EDF4"/>
          </w:tcPr>
          <w:p>
            <w:pPr>
              <w:spacing w:after="0"/>
              <w:rPr>
                <w:sz w:val="22"/>
                <w:szCs w:val="22"/>
                <w:color w:val="auto"/>
              </w:rPr>
            </w:pPr>
          </w:p>
        </w:tc>
        <w:tc>
          <w:tcPr>
            <w:tcW w:w="140" w:type="dxa"/>
            <w:vAlign w:val="bottom"/>
            <w:tcBorders>
              <w:bottom w:val="single" w:sz="8" w:color="auto"/>
            </w:tcBorders>
            <w:shd w:val="clear" w:color="auto" w:fill="D1EDF4"/>
          </w:tcPr>
          <w:p>
            <w:pPr>
              <w:spacing w:after="0"/>
              <w:rPr>
                <w:sz w:val="22"/>
                <w:szCs w:val="22"/>
                <w:color w:val="auto"/>
              </w:rPr>
            </w:pPr>
          </w:p>
        </w:tc>
        <w:tc>
          <w:tcPr>
            <w:tcW w:w="1360" w:type="dxa"/>
            <w:vAlign w:val="bottom"/>
            <w:tcBorders>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shd w:val="clear" w:color="auto" w:fill="D1EDF4"/>
          </w:tcPr>
          <w:p>
            <w:pPr>
              <w:spacing w:after="0"/>
              <w:rPr>
                <w:sz w:val="22"/>
                <w:szCs w:val="22"/>
                <w:color w:val="auto"/>
              </w:rPr>
            </w:pPr>
          </w:p>
        </w:tc>
        <w:tc>
          <w:tcPr>
            <w:tcW w:w="160" w:type="dxa"/>
            <w:vAlign w:val="bottom"/>
            <w:tcBorders>
              <w:bottom w:val="single" w:sz="8" w:color="auto"/>
            </w:tcBorders>
            <w:shd w:val="clear" w:color="auto" w:fill="D1EDF4"/>
          </w:tcPr>
          <w:p>
            <w:pPr>
              <w:spacing w:after="0"/>
              <w:rPr>
                <w:sz w:val="22"/>
                <w:szCs w:val="22"/>
                <w:color w:val="auto"/>
              </w:rPr>
            </w:pPr>
          </w:p>
        </w:tc>
        <w:tc>
          <w:tcPr>
            <w:tcW w:w="120" w:type="dxa"/>
            <w:vAlign w:val="bottom"/>
            <w:tcBorders>
              <w:bottom w:val="single" w:sz="8" w:color="auto"/>
            </w:tcBorders>
            <w:shd w:val="clear" w:color="auto" w:fill="D1EDF4"/>
          </w:tcPr>
          <w:p>
            <w:pPr>
              <w:spacing w:after="0"/>
              <w:rPr>
                <w:sz w:val="22"/>
                <w:szCs w:val="22"/>
                <w:color w:val="auto"/>
              </w:rPr>
            </w:pPr>
          </w:p>
        </w:tc>
        <w:tc>
          <w:tcPr>
            <w:tcW w:w="1220" w:type="dxa"/>
            <w:vAlign w:val="bottom"/>
            <w:tcBorders>
              <w:bottom w:val="single" w:sz="8" w:color="auto"/>
            </w:tcBorders>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3"/>
        </w:trPr>
        <w:tc>
          <w:tcPr>
            <w:tcW w:w="7420" w:type="dxa"/>
            <w:vAlign w:val="bottom"/>
            <w:tcBorders>
              <w:bottom w:val="single" w:sz="8" w:color="D1EDF4"/>
            </w:tcBorders>
            <w:gridSpan w:val="2"/>
          </w:tcPr>
          <w:p>
            <w:pPr>
              <w:spacing w:after="0"/>
              <w:rPr>
                <w:sz w:val="20"/>
                <w:szCs w:val="20"/>
                <w:color w:val="auto"/>
              </w:rPr>
            </w:pPr>
            <w:r>
              <w:rPr>
                <w:rFonts w:ascii="Times New Roman" w:cs="Times New Roman" w:eastAsia="Times New Roman" w:hAnsi="Times New Roman"/>
                <w:sz w:val="20"/>
                <w:szCs w:val="20"/>
                <w:color w:val="auto"/>
              </w:rPr>
              <w:t>Total current tax provision</w:t>
            </w:r>
          </w:p>
        </w:tc>
        <w:tc>
          <w:tcPr>
            <w:tcW w:w="160" w:type="dxa"/>
            <w:vAlign w:val="bottom"/>
            <w:tcBorders>
              <w:bottom w:val="single" w:sz="8" w:color="D1ED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80" w:type="dxa"/>
            <w:vAlign w:val="bottom"/>
            <w:tcBorders>
              <w:bottom w:val="single" w:sz="8" w:color="D1EDF4"/>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D1EDF4"/>
          </w:tcPr>
          <w:p>
            <w:pPr>
              <w:spacing w:after="0"/>
              <w:rPr>
                <w:sz w:val="22"/>
                <w:szCs w:val="22"/>
                <w:color w:val="auto"/>
              </w:rPr>
            </w:pPr>
          </w:p>
        </w:tc>
        <w:tc>
          <w:tcPr>
            <w:tcW w:w="160" w:type="dxa"/>
            <w:vAlign w:val="bottom"/>
            <w:shd w:val="clear" w:color="auto" w:fill="D1EDF4"/>
          </w:tcPr>
          <w:p>
            <w:pPr>
              <w:spacing w:after="0"/>
              <w:rPr>
                <w:sz w:val="22"/>
                <w:szCs w:val="22"/>
                <w:color w:val="auto"/>
              </w:rPr>
            </w:pPr>
          </w:p>
        </w:tc>
        <w:tc>
          <w:tcPr>
            <w:tcW w:w="140" w:type="dxa"/>
            <w:vAlign w:val="bottom"/>
            <w:shd w:val="clear" w:color="auto" w:fill="D1EDF4"/>
          </w:tcPr>
          <w:p>
            <w:pPr>
              <w:spacing w:after="0"/>
              <w:rPr>
                <w:sz w:val="22"/>
                <w:szCs w:val="22"/>
                <w:color w:val="auto"/>
              </w:rPr>
            </w:pPr>
          </w:p>
        </w:tc>
        <w:tc>
          <w:tcPr>
            <w:tcW w:w="1160" w:type="dxa"/>
            <w:vAlign w:val="bottom"/>
            <w:shd w:val="clear" w:color="auto" w:fill="D1EDF4"/>
          </w:tcPr>
          <w:p>
            <w:pPr>
              <w:spacing w:after="0"/>
              <w:rPr>
                <w:sz w:val="22"/>
                <w:szCs w:val="22"/>
                <w:color w:val="auto"/>
              </w:rPr>
            </w:pPr>
          </w:p>
        </w:tc>
        <w:tc>
          <w:tcPr>
            <w:tcW w:w="20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180" w:type="dxa"/>
            <w:vAlign w:val="bottom"/>
            <w:shd w:val="clear" w:color="auto" w:fill="D1EDF4"/>
          </w:tcPr>
          <w:p>
            <w:pPr>
              <w:spacing w:after="0"/>
              <w:rPr>
                <w:sz w:val="22"/>
                <w:szCs w:val="22"/>
                <w:color w:val="auto"/>
              </w:rPr>
            </w:pPr>
          </w:p>
        </w:tc>
        <w:tc>
          <w:tcPr>
            <w:tcW w:w="160" w:type="dxa"/>
            <w:vAlign w:val="bottom"/>
            <w:shd w:val="clear" w:color="auto" w:fill="D1EDF4"/>
          </w:tcPr>
          <w:p>
            <w:pPr>
              <w:spacing w:after="0"/>
              <w:rPr>
                <w:sz w:val="22"/>
                <w:szCs w:val="22"/>
                <w:color w:val="auto"/>
              </w:rPr>
            </w:pPr>
          </w:p>
        </w:tc>
        <w:tc>
          <w:tcPr>
            <w:tcW w:w="120" w:type="dxa"/>
            <w:vAlign w:val="bottom"/>
            <w:shd w:val="clear" w:color="auto" w:fill="D1EDF4"/>
          </w:tcPr>
          <w:p>
            <w:pPr>
              <w:spacing w:after="0"/>
              <w:rPr>
                <w:sz w:val="22"/>
                <w:szCs w:val="22"/>
                <w:color w:val="auto"/>
              </w:rPr>
            </w:pPr>
          </w:p>
        </w:tc>
        <w:tc>
          <w:tcPr>
            <w:tcW w:w="1000" w:type="dxa"/>
            <w:vAlign w:val="bottom"/>
            <w:shd w:val="clear" w:color="auto" w:fill="D1EDF4"/>
          </w:tcPr>
          <w:p>
            <w:pPr>
              <w:spacing w:after="0"/>
              <w:rPr>
                <w:sz w:val="22"/>
                <w:szCs w:val="22"/>
                <w:color w:val="auto"/>
              </w:rPr>
            </w:pPr>
          </w:p>
        </w:tc>
        <w:tc>
          <w:tcPr>
            <w:tcW w:w="220" w:type="dxa"/>
            <w:vAlign w:val="bottom"/>
            <w:shd w:val="clear" w:color="auto" w:fill="D1EDF4"/>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shd w:val="clear" w:color="auto" w:fill="D1EDF4"/>
          </w:tcPr>
          <w:p>
            <w:pPr>
              <w:spacing w:after="0"/>
              <w:rPr>
                <w:sz w:val="22"/>
                <w:szCs w:val="22"/>
                <w:color w:val="auto"/>
              </w:rPr>
            </w:pPr>
          </w:p>
        </w:tc>
        <w:tc>
          <w:tcPr>
            <w:tcW w:w="140" w:type="dxa"/>
            <w:vAlign w:val="bottom"/>
            <w:shd w:val="clear" w:color="auto" w:fill="D1EDF4"/>
          </w:tcPr>
          <w:p>
            <w:pPr>
              <w:spacing w:after="0"/>
              <w:rPr>
                <w:sz w:val="22"/>
                <w:szCs w:val="22"/>
                <w:color w:val="auto"/>
              </w:rPr>
            </w:pPr>
          </w:p>
        </w:tc>
        <w:tc>
          <w:tcPr>
            <w:tcW w:w="136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shd w:val="clear" w:color="auto" w:fill="D1EDF4"/>
          </w:tcPr>
          <w:p>
            <w:pPr>
              <w:spacing w:after="0"/>
              <w:rPr>
                <w:sz w:val="22"/>
                <w:szCs w:val="22"/>
                <w:color w:val="auto"/>
              </w:rPr>
            </w:pPr>
          </w:p>
        </w:tc>
        <w:tc>
          <w:tcPr>
            <w:tcW w:w="160" w:type="dxa"/>
            <w:vAlign w:val="bottom"/>
            <w:shd w:val="clear" w:color="auto" w:fill="D1EDF4"/>
          </w:tcPr>
          <w:p>
            <w:pPr>
              <w:spacing w:after="0"/>
              <w:rPr>
                <w:sz w:val="22"/>
                <w:szCs w:val="22"/>
                <w:color w:val="auto"/>
              </w:rPr>
            </w:pPr>
          </w:p>
        </w:tc>
        <w:tc>
          <w:tcPr>
            <w:tcW w:w="120" w:type="dxa"/>
            <w:vAlign w:val="bottom"/>
            <w:shd w:val="clear" w:color="auto" w:fill="D1EDF4"/>
          </w:tcPr>
          <w:p>
            <w:pPr>
              <w:spacing w:after="0"/>
              <w:rPr>
                <w:sz w:val="22"/>
                <w:szCs w:val="22"/>
                <w:color w:val="auto"/>
              </w:rPr>
            </w:pPr>
          </w:p>
        </w:tc>
        <w:tc>
          <w:tcPr>
            <w:tcW w:w="122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0" w:type="dxa"/>
            <w:vAlign w:val="bottom"/>
          </w:tcPr>
          <w:p>
            <w:pPr>
              <w:spacing w:after="0"/>
              <w:rPr>
                <w:sz w:val="1"/>
                <w:szCs w:val="1"/>
                <w:color w:val="auto"/>
              </w:rPr>
            </w:pPr>
          </w:p>
        </w:tc>
      </w:tr>
      <w:tr>
        <w:trPr>
          <w:trHeight w:val="253"/>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4"/>
        </w:trPr>
        <w:tc>
          <w:tcPr>
            <w:tcW w:w="74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160" w:type="dxa"/>
            <w:vAlign w:val="bottom"/>
            <w:shd w:val="clear" w:color="auto" w:fill="D1EDF4"/>
          </w:tcPr>
          <w:p>
            <w:pPr>
              <w:spacing w:after="0"/>
              <w:rPr>
                <w:sz w:val="22"/>
                <w:szCs w:val="22"/>
                <w:color w:val="auto"/>
              </w:rPr>
            </w:pPr>
          </w:p>
        </w:tc>
        <w:tc>
          <w:tcPr>
            <w:tcW w:w="140" w:type="dxa"/>
            <w:vAlign w:val="bottom"/>
            <w:tcBorders>
              <w:bottom w:val="single" w:sz="8" w:color="auto"/>
            </w:tcBorders>
            <w:shd w:val="clear" w:color="auto" w:fill="D1EDF4"/>
          </w:tcPr>
          <w:p>
            <w:pPr>
              <w:spacing w:after="0"/>
              <w:rPr>
                <w:sz w:val="22"/>
                <w:szCs w:val="22"/>
                <w:color w:val="auto"/>
              </w:rPr>
            </w:pPr>
          </w:p>
        </w:tc>
        <w:tc>
          <w:tcPr>
            <w:tcW w:w="1360" w:type="dxa"/>
            <w:vAlign w:val="bottom"/>
            <w:tcBorders>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3"/>
            <w:shd w:val="clear" w:color="auto" w:fill="D1EDF4"/>
          </w:tcPr>
          <w:p>
            <w:pPr>
              <w:spacing w:after="0"/>
              <w:rPr>
                <w:sz w:val="22"/>
                <w:szCs w:val="22"/>
                <w:color w:val="auto"/>
              </w:rPr>
            </w:pPr>
          </w:p>
        </w:tc>
        <w:tc>
          <w:tcPr>
            <w:tcW w:w="160" w:type="dxa"/>
            <w:vAlign w:val="bottom"/>
            <w:tcBorders>
              <w:bottom w:val="single" w:sz="8" w:color="auto"/>
            </w:tcBorders>
            <w:shd w:val="clear" w:color="auto" w:fill="D1EDF4"/>
          </w:tcPr>
          <w:p>
            <w:pPr>
              <w:spacing w:after="0"/>
              <w:rPr>
                <w:sz w:val="22"/>
                <w:szCs w:val="22"/>
                <w:color w:val="auto"/>
              </w:rPr>
            </w:pPr>
          </w:p>
        </w:tc>
        <w:tc>
          <w:tcPr>
            <w:tcW w:w="120" w:type="dxa"/>
            <w:vAlign w:val="bottom"/>
            <w:tcBorders>
              <w:bottom w:val="single" w:sz="8" w:color="auto"/>
            </w:tcBorders>
            <w:shd w:val="clear" w:color="auto" w:fill="D1EDF4"/>
          </w:tcPr>
          <w:p>
            <w:pPr>
              <w:spacing w:after="0"/>
              <w:rPr>
                <w:sz w:val="22"/>
                <w:szCs w:val="22"/>
                <w:color w:val="auto"/>
              </w:rPr>
            </w:pPr>
          </w:p>
        </w:tc>
        <w:tc>
          <w:tcPr>
            <w:tcW w:w="1220" w:type="dxa"/>
            <w:vAlign w:val="bottom"/>
            <w:tcBorders>
              <w:bottom w:val="single" w:sz="8" w:color="auto"/>
            </w:tcBorders>
            <w:gridSpan w:val="2"/>
            <w:shd w:val="clear" w:color="auto" w:fill="D1EDF4"/>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7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(benefit) provision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5"/>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0" w:type="dxa"/>
            <w:vAlign w:val="bottom"/>
          </w:tcPr>
          <w:p>
            <w:pPr>
              <w:spacing w:after="0"/>
              <w:rPr>
                <w:sz w:val="1"/>
                <w:szCs w:val="1"/>
                <w:color w:val="auto"/>
              </w:rPr>
            </w:pPr>
          </w:p>
        </w:tc>
      </w:tr>
      <w:tr>
        <w:trPr>
          <w:trHeight w:val="244"/>
        </w:trPr>
        <w:tc>
          <w:tcPr>
            <w:tcW w:w="7420" w:type="dxa"/>
            <w:vAlign w:val="bottom"/>
            <w:tcBorders>
              <w:top w:val="single" w:sz="8" w:color="D1EDF4"/>
            </w:tcBorders>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Total tax (benefit) provision</w:t>
            </w:r>
          </w:p>
        </w:tc>
        <w:tc>
          <w:tcPr>
            <w:tcW w:w="160" w:type="dxa"/>
            <w:vAlign w:val="bottom"/>
            <w:tcBorders>
              <w:top w:val="single" w:sz="8" w:color="D1EDF4"/>
            </w:tcBorders>
            <w:shd w:val="clear" w:color="auto" w:fill="D1EDF4"/>
          </w:tcPr>
          <w:p>
            <w:pPr>
              <w:spacing w:after="0"/>
              <w:rPr>
                <w:sz w:val="21"/>
                <w:szCs w:val="21"/>
                <w:color w:val="auto"/>
              </w:rPr>
            </w:pPr>
          </w:p>
        </w:tc>
        <w:tc>
          <w:tcPr>
            <w:tcW w:w="14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1EDF4"/>
              </w:rPr>
              <w:t>$</w:t>
            </w:r>
          </w:p>
        </w:tc>
        <w:tc>
          <w:tcPr>
            <w:tcW w:w="1360" w:type="dxa"/>
            <w:vAlign w:val="bottom"/>
            <w:tcBorders>
              <w:top w:val="single" w:sz="8" w:color="auto"/>
            </w:tcBorders>
            <w:gridSpan w:val="2"/>
            <w:shd w:val="clear" w:color="auto" w:fill="D1EDF4"/>
          </w:tcPr>
          <w:p>
            <w:pPr>
              <w:jc w:val="right"/>
              <w:spacing w:after="0" w:line="244" w:lineRule="exact"/>
              <w:rPr>
                <w:sz w:val="20"/>
                <w:szCs w:val="20"/>
                <w:color w:val="auto"/>
              </w:rPr>
            </w:pPr>
            <w:r>
              <w:rPr>
                <w:rFonts w:ascii="Times New Roman" w:cs="Times New Roman" w:eastAsia="Times New Roman" w:hAnsi="Times New Roman"/>
                <w:sz w:val="22"/>
                <w:szCs w:val="22"/>
                <w:color w:val="auto"/>
              </w:rPr>
              <w:t>9</w:t>
            </w:r>
          </w:p>
        </w:tc>
        <w:tc>
          <w:tcPr>
            <w:tcW w:w="20" w:type="dxa"/>
            <w:vAlign w:val="bottom"/>
            <w:tcBorders>
              <w:top w:val="single" w:sz="8" w:color="D1EDF4"/>
            </w:tcBorders>
            <w:shd w:val="clear" w:color="auto" w:fill="D1EDF4"/>
          </w:tcPr>
          <w:p>
            <w:pPr>
              <w:spacing w:after="0"/>
              <w:rPr>
                <w:sz w:val="21"/>
                <w:szCs w:val="21"/>
                <w:color w:val="auto"/>
              </w:rPr>
            </w:pPr>
          </w:p>
        </w:tc>
        <w:tc>
          <w:tcPr>
            <w:tcW w:w="20" w:type="dxa"/>
            <w:vAlign w:val="bottom"/>
            <w:tcBorders>
              <w:top w:val="single" w:sz="8" w:color="D1EDF4"/>
            </w:tcBorders>
            <w:shd w:val="clear" w:color="auto" w:fill="D1EDF4"/>
          </w:tcPr>
          <w:p>
            <w:pPr>
              <w:spacing w:after="0"/>
              <w:rPr>
                <w:sz w:val="21"/>
                <w:szCs w:val="21"/>
                <w:color w:val="auto"/>
              </w:rPr>
            </w:pPr>
          </w:p>
        </w:tc>
        <w:tc>
          <w:tcPr>
            <w:tcW w:w="180" w:type="dxa"/>
            <w:vAlign w:val="bottom"/>
            <w:tcBorders>
              <w:top w:val="single" w:sz="8" w:color="D1EDF4"/>
            </w:tcBorders>
            <w:shd w:val="clear" w:color="auto" w:fill="D1EDF4"/>
          </w:tcPr>
          <w:p>
            <w:pPr>
              <w:spacing w:after="0"/>
              <w:rPr>
                <w:sz w:val="21"/>
                <w:szCs w:val="21"/>
                <w:color w:val="auto"/>
              </w:rPr>
            </w:pPr>
          </w:p>
        </w:tc>
        <w:tc>
          <w:tcPr>
            <w:tcW w:w="160" w:type="dxa"/>
            <w:vAlign w:val="bottom"/>
            <w:tcBorders>
              <w:top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tcBorders>
              <w:top w:val="single" w:sz="8" w:color="auto"/>
              <w:bottom w:val="single" w:sz="8" w:color="auto"/>
            </w:tcBorders>
            <w:shd w:val="clear" w:color="auto" w:fill="D1EDF4"/>
          </w:tcPr>
          <w:p>
            <w:pPr>
              <w:spacing w:after="0"/>
              <w:rPr>
                <w:sz w:val="21"/>
                <w:szCs w:val="21"/>
                <w:color w:val="auto"/>
              </w:rPr>
            </w:pPr>
          </w:p>
        </w:tc>
        <w:tc>
          <w:tcPr>
            <w:tcW w:w="1220" w:type="dxa"/>
            <w:vAlign w:val="bottom"/>
            <w:tcBorders>
              <w:top w:val="single" w:sz="8" w:color="auto"/>
              <w:bottom w:val="single" w:sz="8" w:color="auto"/>
            </w:tcBorders>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700" w:right="720" w:bottom="175" w:gutter="0" w:footer="0" w:header="0"/>
        </w:sectPr>
      </w:pPr>
    </w:p>
    <w:bookmarkStart w:id="99" w:name="page100"/>
    <w:bookmarkEnd w:id="99"/>
    <w:p>
      <w:pPr>
        <w:ind w:left="720"/>
        <w:spacing w:after="0"/>
        <w:rPr>
          <w:sz w:val="20"/>
          <w:szCs w:val="20"/>
          <w:color w:val="auto"/>
        </w:rPr>
      </w:pPr>
      <w:r>
        <w:rPr>
          <w:rFonts w:ascii="Times New Roman" w:cs="Times New Roman" w:eastAsia="Times New Roman" w:hAnsi="Times New Roman"/>
          <w:sz w:val="20"/>
          <w:szCs w:val="20"/>
          <w:color w:val="auto"/>
        </w:rPr>
        <w:t>The Company’s effective income tax rate reconciliation is composed of the following for the periods presented: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Federal statutory rate</w:t>
            </w:r>
          </w:p>
        </w:tc>
        <w:tc>
          <w:tcPr>
            <w:tcW w:w="140" w:type="dxa"/>
            <w:vAlign w:val="bottom"/>
            <w:shd w:val="clear" w:color="auto" w:fill="D1EDF4"/>
          </w:tcPr>
          <w:p>
            <w:pPr>
              <w:spacing w:after="0"/>
              <w:rPr>
                <w:sz w:val="21"/>
                <w:szCs w:val="21"/>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22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360" w:type="dxa"/>
            <w:vAlign w:val="bottom"/>
            <w:shd w:val="clear" w:color="auto" w:fill="D1EDF4"/>
          </w:tcPr>
          <w:p>
            <w:pPr>
              <w:spacing w:after="0"/>
              <w:rPr>
                <w:sz w:val="21"/>
                <w:szCs w:val="21"/>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21.00%</w:t>
            </w:r>
          </w:p>
        </w:tc>
        <w:tc>
          <w:tcPr>
            <w:tcW w:w="0" w:type="dxa"/>
            <w:vAlign w:val="bottom"/>
          </w:tcPr>
          <w:p>
            <w:pPr>
              <w:spacing w:after="0"/>
              <w:rPr>
                <w:sz w:val="1"/>
                <w:szCs w:val="1"/>
                <w:color w:val="auto"/>
              </w:rPr>
            </w:pPr>
          </w:p>
        </w:tc>
      </w:tr>
      <w:tr>
        <w:trPr>
          <w:trHeight w:val="253"/>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tax net of federal benefit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Tax credits and foreign rate differential</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0.70%</w:t>
            </w:r>
          </w:p>
        </w:tc>
        <w:tc>
          <w:tcPr>
            <w:tcW w:w="0" w:type="dxa"/>
            <w:vAlign w:val="bottom"/>
          </w:tcPr>
          <w:p>
            <w:pPr>
              <w:spacing w:after="0"/>
              <w:rPr>
                <w:sz w:val="1"/>
                <w:szCs w:val="1"/>
                <w:color w:val="auto"/>
              </w:rPr>
            </w:pPr>
          </w:p>
        </w:tc>
      </w:tr>
      <w:tr>
        <w:trPr>
          <w:trHeight w:val="254"/>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fair value of warrants and convertible notes</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(3.33)%</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(0.59)%</w:t>
            </w:r>
          </w:p>
        </w:tc>
        <w:tc>
          <w:tcPr>
            <w:tcW w:w="0" w:type="dxa"/>
            <w:vAlign w:val="bottom"/>
          </w:tcPr>
          <w:p>
            <w:pPr>
              <w:spacing w:after="0"/>
              <w:rPr>
                <w:sz w:val="1"/>
                <w:szCs w:val="1"/>
                <w:color w:val="auto"/>
              </w:rPr>
            </w:pPr>
          </w:p>
        </w:tc>
      </w:tr>
      <w:tr>
        <w:trPr>
          <w:trHeight w:val="253"/>
        </w:trPr>
        <w:tc>
          <w:tcPr>
            <w:tcW w:w="7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Convertible debt</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29.41%</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(7.03)%</w:t>
            </w:r>
          </w:p>
        </w:tc>
        <w:tc>
          <w:tcPr>
            <w:tcW w:w="0" w:type="dxa"/>
            <w:vAlign w:val="bottom"/>
          </w:tcPr>
          <w:p>
            <w:pPr>
              <w:spacing w:after="0"/>
              <w:rPr>
                <w:sz w:val="1"/>
                <w:szCs w:val="1"/>
                <w:color w:val="auto"/>
              </w:rPr>
            </w:pPr>
          </w:p>
        </w:tc>
      </w:tr>
      <w:tr>
        <w:trPr>
          <w:trHeight w:val="254"/>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(2.54)%</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0.61%</w:t>
            </w:r>
          </w:p>
        </w:tc>
        <w:tc>
          <w:tcPr>
            <w:tcW w:w="0" w:type="dxa"/>
            <w:vAlign w:val="bottom"/>
          </w:tcPr>
          <w:p>
            <w:pPr>
              <w:spacing w:after="0"/>
              <w:rPr>
                <w:sz w:val="1"/>
                <w:szCs w:val="1"/>
                <w:color w:val="auto"/>
              </w:rPr>
            </w:pPr>
          </w:p>
        </w:tc>
      </w:tr>
      <w:tr>
        <w:trPr>
          <w:trHeight w:val="253"/>
        </w:trPr>
        <w:tc>
          <w:tcPr>
            <w:tcW w:w="7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40" w:type="dxa"/>
            <w:vAlign w:val="bottom"/>
            <w:tcBorders>
              <w:bottom w:val="single" w:sz="8" w:color="auto"/>
            </w:tcBorders>
            <w:shd w:val="clear" w:color="auto" w:fill="D1EDF4"/>
          </w:tcPr>
          <w:p>
            <w:pPr>
              <w:spacing w:after="0"/>
              <w:rPr>
                <w:sz w:val="22"/>
                <w:szCs w:val="2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(45.80)%</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tcBorders>
              <w:bottom w:val="single" w:sz="8" w:color="auto"/>
            </w:tcBorders>
            <w:shd w:val="clear" w:color="auto" w:fill="D1EDF4"/>
          </w:tcPr>
          <w:p>
            <w:pPr>
              <w:spacing w:after="0"/>
              <w:rPr>
                <w:sz w:val="22"/>
                <w:szCs w:val="22"/>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(14.27)%</w:t>
            </w:r>
          </w:p>
        </w:tc>
        <w:tc>
          <w:tcPr>
            <w:tcW w:w="0" w:type="dxa"/>
            <w:vAlign w:val="bottom"/>
          </w:tcPr>
          <w:p>
            <w:pPr>
              <w:spacing w:after="0"/>
              <w:rPr>
                <w:sz w:val="1"/>
                <w:szCs w:val="1"/>
                <w:color w:val="auto"/>
              </w:rPr>
            </w:pPr>
          </w:p>
        </w:tc>
      </w:tr>
      <w:tr>
        <w:trPr>
          <w:trHeight w:val="27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Benefit (provision) for income taxes</w:t>
            </w: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(0.00%)</w:t>
            </w:r>
          </w:p>
        </w:tc>
        <w:tc>
          <w:tcPr>
            <w:tcW w:w="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0" w:type="dxa"/>
            <w:vAlign w:val="bottom"/>
          </w:tcPr>
          <w:p>
            <w:pPr>
              <w:spacing w:after="0"/>
              <w:rPr>
                <w:sz w:val="1"/>
                <w:szCs w:val="1"/>
                <w:color w:val="auto"/>
              </w:rPr>
            </w:pPr>
          </w:p>
        </w:tc>
      </w:tr>
      <w:tr>
        <w:trPr>
          <w:trHeight w:val="458"/>
        </w:trPr>
        <w:tc>
          <w:tcPr>
            <w:tcW w:w="75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The components of net deferred tax assets are as follows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44"/>
        </w:trPr>
        <w:tc>
          <w:tcPr>
            <w:tcW w:w="7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43,032</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31,038</w:t>
            </w:r>
          </w:p>
        </w:tc>
        <w:tc>
          <w:tcPr>
            <w:tcW w:w="0" w:type="dxa"/>
            <w:vAlign w:val="bottom"/>
          </w:tcPr>
          <w:p>
            <w:pPr>
              <w:spacing w:after="0"/>
              <w:rPr>
                <w:sz w:val="1"/>
                <w:szCs w:val="1"/>
                <w:color w:val="auto"/>
              </w:rPr>
            </w:pPr>
          </w:p>
        </w:tc>
      </w:tr>
      <w:tr>
        <w:trPr>
          <w:trHeight w:val="254"/>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Deferred revenue</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Tax credits</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5,627</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4,795</w:t>
            </w:r>
          </w:p>
        </w:tc>
        <w:tc>
          <w:tcPr>
            <w:tcW w:w="0" w:type="dxa"/>
            <w:vAlign w:val="bottom"/>
          </w:tcPr>
          <w:p>
            <w:pPr>
              <w:spacing w:after="0"/>
              <w:rPr>
                <w:sz w:val="1"/>
                <w:szCs w:val="1"/>
                <w:color w:val="auto"/>
              </w:rPr>
            </w:pPr>
          </w:p>
        </w:tc>
      </w:tr>
      <w:tr>
        <w:trPr>
          <w:trHeight w:val="253"/>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Stock based compensation</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3,259</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Non deductible interest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1,221</w:t>
            </w:r>
          </w:p>
        </w:tc>
        <w:tc>
          <w:tcPr>
            <w:tcW w:w="0" w:type="dxa"/>
            <w:vAlign w:val="bottom"/>
          </w:tcPr>
          <w:p>
            <w:pPr>
              <w:spacing w:after="0"/>
              <w:rPr>
                <w:sz w:val="1"/>
                <w:szCs w:val="1"/>
                <w:color w:val="auto"/>
              </w:rPr>
            </w:pPr>
          </w:p>
        </w:tc>
      </w:tr>
      <w:tr>
        <w:trPr>
          <w:trHeight w:val="253"/>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Lease liability</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Accruals and reserves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tcBorders>
              <w:bottom w:val="single" w:sz="8" w:color="auto"/>
            </w:tcBorders>
            <w:shd w:val="clear" w:color="auto" w:fill="D1EDF4"/>
          </w:tcPr>
          <w:p>
            <w:pPr>
              <w:spacing w:after="0"/>
              <w:rPr>
                <w:sz w:val="22"/>
                <w:szCs w:val="2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tcBorders>
              <w:bottom w:val="single" w:sz="8" w:color="auto"/>
            </w:tcBorders>
            <w:shd w:val="clear" w:color="auto" w:fill="D1EDF4"/>
          </w:tcPr>
          <w:p>
            <w:pPr>
              <w:spacing w:after="0"/>
              <w:rPr>
                <w:sz w:val="22"/>
                <w:szCs w:val="22"/>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D1EDF4"/>
            </w:tcBorders>
            <w:gridSpan w:val="2"/>
          </w:tcPr>
          <w:p>
            <w:pPr>
              <w:ind w:left="24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57,674</w:t>
            </w:r>
          </w:p>
        </w:tc>
        <w:tc>
          <w:tcPr>
            <w:tcW w:w="22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39,762</w:t>
            </w: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40" w:type="dxa"/>
            <w:vAlign w:val="bottom"/>
            <w:tcBorders>
              <w:bottom w:val="single" w:sz="8" w:color="auto"/>
            </w:tcBorders>
            <w:shd w:val="clear" w:color="auto" w:fill="D1EDF4"/>
          </w:tcPr>
          <w:p>
            <w:pPr>
              <w:spacing w:after="0"/>
              <w:rPr>
                <w:sz w:val="21"/>
                <w:szCs w:val="21"/>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(56,492)</w:t>
            </w:r>
          </w:p>
        </w:tc>
        <w:tc>
          <w:tcPr>
            <w:tcW w:w="22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360" w:type="dxa"/>
            <w:vAlign w:val="bottom"/>
            <w:tcBorders>
              <w:bottom w:val="single" w:sz="8" w:color="auto"/>
            </w:tcBorders>
            <w:shd w:val="clear" w:color="auto" w:fill="D1EDF4"/>
          </w:tcPr>
          <w:p>
            <w:pPr>
              <w:spacing w:after="0"/>
              <w:rPr>
                <w:sz w:val="21"/>
                <w:szCs w:val="21"/>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(38,750)</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D1EDF4"/>
            </w:tcBorders>
            <w:gridSpan w:val="2"/>
          </w:tcPr>
          <w:p>
            <w:pPr>
              <w:ind w:left="240"/>
              <w:spacing w:after="0"/>
              <w:rPr>
                <w:sz w:val="20"/>
                <w:szCs w:val="20"/>
                <w:color w:val="auto"/>
              </w:rPr>
            </w:pPr>
            <w:r>
              <w:rPr>
                <w:rFonts w:ascii="Times New Roman" w:cs="Times New Roman" w:eastAsia="Times New Roman" w:hAnsi="Times New Roman"/>
                <w:sz w:val="20"/>
                <w:szCs w:val="20"/>
                <w:color w:val="auto"/>
              </w:rPr>
              <w:t>Total deferred tax assets, net of valuation allowance</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w:t>
            </w:r>
          </w:p>
        </w:tc>
        <w:tc>
          <w:tcPr>
            <w:tcW w:w="22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0" w:type="dxa"/>
            <w:vAlign w:val="bottom"/>
          </w:tcPr>
          <w:p>
            <w:pPr>
              <w:spacing w:after="0"/>
              <w:rPr>
                <w:sz w:val="1"/>
                <w:szCs w:val="1"/>
                <w:color w:val="auto"/>
              </w:rPr>
            </w:pPr>
          </w:p>
        </w:tc>
      </w:tr>
      <w:tr>
        <w:trPr>
          <w:trHeight w:val="244"/>
        </w:trPr>
        <w:tc>
          <w:tcPr>
            <w:tcW w:w="7580" w:type="dxa"/>
            <w:vAlign w:val="bottom"/>
            <w:gridSpan w:val="2"/>
            <w:shd w:val="clear" w:color="auto" w:fill="D1EDF4"/>
          </w:tcPr>
          <w:p>
            <w:pPr>
              <w:spacing w:after="0"/>
              <w:rPr>
                <w:sz w:val="21"/>
                <w:szCs w:val="21"/>
                <w:color w:val="auto"/>
              </w:rPr>
            </w:pPr>
          </w:p>
        </w:tc>
        <w:tc>
          <w:tcPr>
            <w:tcW w:w="140" w:type="dxa"/>
            <w:vAlign w:val="bottom"/>
            <w:shd w:val="clear" w:color="auto" w:fill="D1EDF4"/>
          </w:tcPr>
          <w:p>
            <w:pPr>
              <w:spacing w:after="0"/>
              <w:rPr>
                <w:sz w:val="21"/>
                <w:szCs w:val="21"/>
                <w:color w:val="auto"/>
              </w:rPr>
            </w:pPr>
          </w:p>
        </w:tc>
        <w:tc>
          <w:tcPr>
            <w:tcW w:w="1360" w:type="dxa"/>
            <w:vAlign w:val="bottom"/>
            <w:shd w:val="clear" w:color="auto" w:fill="D1EDF4"/>
          </w:tcPr>
          <w:p>
            <w:pPr>
              <w:spacing w:after="0"/>
              <w:rPr>
                <w:sz w:val="21"/>
                <w:szCs w:val="21"/>
                <w:color w:val="auto"/>
              </w:rPr>
            </w:pPr>
          </w:p>
        </w:tc>
        <w:tc>
          <w:tcPr>
            <w:tcW w:w="220" w:type="dxa"/>
            <w:vAlign w:val="bottom"/>
            <w:shd w:val="clear" w:color="auto" w:fill="D1EDF4"/>
          </w:tcPr>
          <w:p>
            <w:pPr>
              <w:spacing w:after="0"/>
              <w:rPr>
                <w:sz w:val="21"/>
                <w:szCs w:val="21"/>
                <w:color w:val="auto"/>
              </w:rPr>
            </w:pPr>
          </w:p>
        </w:tc>
        <w:tc>
          <w:tcPr>
            <w:tcW w:w="20" w:type="dxa"/>
            <w:vAlign w:val="bottom"/>
            <w:shd w:val="clear" w:color="auto" w:fill="D1EDF4"/>
          </w:tcPr>
          <w:p>
            <w:pPr>
              <w:spacing w:after="0"/>
              <w:rPr>
                <w:sz w:val="21"/>
                <w:szCs w:val="21"/>
                <w:color w:val="auto"/>
              </w:rPr>
            </w:pPr>
          </w:p>
        </w:tc>
        <w:tc>
          <w:tcPr>
            <w:tcW w:w="360" w:type="dxa"/>
            <w:vAlign w:val="bottom"/>
            <w:shd w:val="clear" w:color="auto" w:fill="D1EDF4"/>
          </w:tcPr>
          <w:p>
            <w:pPr>
              <w:spacing w:after="0"/>
              <w:rPr>
                <w:sz w:val="21"/>
                <w:szCs w:val="21"/>
                <w:color w:val="auto"/>
              </w:rPr>
            </w:pPr>
          </w:p>
        </w:tc>
        <w:tc>
          <w:tcPr>
            <w:tcW w:w="1120" w:type="dxa"/>
            <w:vAlign w:val="bottom"/>
            <w:shd w:val="clear" w:color="auto" w:fill="D1EDF4"/>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7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Intangibles</w:t>
            </w:r>
          </w:p>
        </w:tc>
        <w:tc>
          <w:tcPr>
            <w:tcW w:w="140" w:type="dxa"/>
            <w:vAlign w:val="bottom"/>
            <w:shd w:val="clear" w:color="auto" w:fill="D1EDF4"/>
          </w:tcPr>
          <w:p>
            <w:pPr>
              <w:spacing w:after="0"/>
              <w:rPr>
                <w:sz w:val="22"/>
                <w:szCs w:val="22"/>
                <w:color w:val="auto"/>
              </w:rPr>
            </w:pPr>
          </w:p>
        </w:tc>
        <w:tc>
          <w:tcPr>
            <w:tcW w:w="13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shd w:val="clear" w:color="auto" w:fill="D1EDF4"/>
          </w:tcPr>
          <w:p>
            <w:pPr>
              <w:spacing w:after="0"/>
              <w:rPr>
                <w:sz w:val="22"/>
                <w:szCs w:val="22"/>
                <w:color w:val="auto"/>
              </w:rPr>
            </w:pP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(926)</w:t>
            </w:r>
          </w:p>
        </w:tc>
        <w:tc>
          <w:tcPr>
            <w:tcW w:w="0" w:type="dxa"/>
            <w:vAlign w:val="bottom"/>
          </w:tcPr>
          <w:p>
            <w:pPr>
              <w:spacing w:after="0"/>
              <w:rPr>
                <w:sz w:val="1"/>
                <w:szCs w:val="1"/>
                <w:color w:val="auto"/>
              </w:rPr>
            </w:pPr>
          </w:p>
        </w:tc>
      </w:tr>
      <w:tr>
        <w:trPr>
          <w:trHeight w:val="253"/>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54"/>
        </w:trPr>
        <w:tc>
          <w:tcPr>
            <w:tcW w:w="7580" w:type="dxa"/>
            <w:vAlign w:val="bottom"/>
            <w:gridSpan w:val="2"/>
            <w:shd w:val="clear" w:color="auto" w:fill="D1EDF4"/>
          </w:tcPr>
          <w:p>
            <w:pPr>
              <w:ind w:left="24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40" w:type="dxa"/>
            <w:vAlign w:val="bottom"/>
            <w:tcBorders>
              <w:bottom w:val="single" w:sz="8" w:color="auto"/>
            </w:tcBorders>
            <w:shd w:val="clear" w:color="auto" w:fill="D1EDF4"/>
          </w:tcPr>
          <w:p>
            <w:pPr>
              <w:spacing w:after="0"/>
              <w:rPr>
                <w:sz w:val="22"/>
                <w:szCs w:val="22"/>
                <w:color w:val="auto"/>
              </w:rPr>
            </w:pPr>
          </w:p>
        </w:tc>
        <w:tc>
          <w:tcPr>
            <w:tcW w:w="13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(1,182)</w:t>
            </w:r>
          </w:p>
        </w:tc>
        <w:tc>
          <w:tcPr>
            <w:tcW w:w="220" w:type="dxa"/>
            <w:vAlign w:val="bottom"/>
            <w:shd w:val="clear" w:color="auto" w:fill="D1EDF4"/>
          </w:tcPr>
          <w:p>
            <w:pPr>
              <w:spacing w:after="0"/>
              <w:rPr>
                <w:sz w:val="22"/>
                <w:szCs w:val="22"/>
                <w:color w:val="auto"/>
              </w:rPr>
            </w:pPr>
          </w:p>
        </w:tc>
        <w:tc>
          <w:tcPr>
            <w:tcW w:w="20" w:type="dxa"/>
            <w:vAlign w:val="bottom"/>
            <w:shd w:val="clear" w:color="auto" w:fill="D1EDF4"/>
          </w:tcPr>
          <w:p>
            <w:pPr>
              <w:spacing w:after="0"/>
              <w:rPr>
                <w:sz w:val="22"/>
                <w:szCs w:val="22"/>
                <w:color w:val="auto"/>
              </w:rPr>
            </w:pPr>
          </w:p>
        </w:tc>
        <w:tc>
          <w:tcPr>
            <w:tcW w:w="360" w:type="dxa"/>
            <w:vAlign w:val="bottom"/>
            <w:tcBorders>
              <w:bottom w:val="single" w:sz="8" w:color="auto"/>
            </w:tcBorders>
            <w:shd w:val="clear" w:color="auto" w:fill="D1EDF4"/>
          </w:tcPr>
          <w:p>
            <w:pPr>
              <w:spacing w:after="0"/>
              <w:rPr>
                <w:sz w:val="22"/>
                <w:szCs w:val="22"/>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(1,012)</w:t>
            </w:r>
          </w:p>
        </w:tc>
        <w:tc>
          <w:tcPr>
            <w:tcW w:w="0" w:type="dxa"/>
            <w:vAlign w:val="bottom"/>
          </w:tcPr>
          <w:p>
            <w:pPr>
              <w:spacing w:after="0"/>
              <w:rPr>
                <w:sz w:val="1"/>
                <w:szCs w:val="1"/>
                <w:color w:val="auto"/>
              </w:rPr>
            </w:pPr>
          </w:p>
        </w:tc>
      </w:tr>
      <w:tr>
        <w:trPr>
          <w:trHeight w:val="254"/>
        </w:trPr>
        <w:tc>
          <w:tcPr>
            <w:tcW w:w="7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deferred tax assets</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20"/>
          <w:szCs w:val="20"/>
          <w:color w:val="auto"/>
        </w:rPr>
        <w:t>Deferred tax assets are reduced by valuation allowances if, based on the consideration of all available evidence, it is more likely than not that some portion of the deferred tax asset will not be realized.</w:t>
      </w:r>
    </w:p>
    <w:p>
      <w:pPr>
        <w:spacing w:after="0" w:line="88" w:lineRule="exact"/>
        <w:rPr>
          <w:sz w:val="20"/>
          <w:szCs w:val="20"/>
          <w:color w:val="auto"/>
        </w:rPr>
      </w:pPr>
    </w:p>
    <w:p>
      <w:pPr>
        <w:jc w:val="both"/>
        <w:ind w:firstLine="480"/>
        <w:spacing w:after="0" w:line="249" w:lineRule="auto"/>
        <w:rPr>
          <w:sz w:val="20"/>
          <w:szCs w:val="20"/>
          <w:color w:val="auto"/>
        </w:rPr>
      </w:pPr>
      <w:r>
        <w:rPr>
          <w:rFonts w:ascii="Times New Roman" w:cs="Times New Roman" w:eastAsia="Times New Roman" w:hAnsi="Times New Roman"/>
          <w:sz w:val="20"/>
          <w:szCs w:val="20"/>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w:cs="Times New Roman" w:eastAsia="Times New Roman" w:hAnsi="Times New Roman"/>
          <w:sz w:val="20"/>
          <w:szCs w:val="20"/>
          <w:b w:val="1"/>
          <w:bCs w:val="1"/>
          <w:color w:val="auto"/>
        </w:rPr>
        <w:t>NOL</w:t>
      </w:r>
      <w:r>
        <w:rPr>
          <w:rFonts w:ascii="Times New Roman" w:cs="Times New Roman" w:eastAsia="Times New Roman" w:hAnsi="Times New Roman"/>
          <w:sz w:val="20"/>
          <w:szCs w:val="20"/>
          <w:color w:val="auto"/>
        </w:rPr>
        <w:t>”) and tax credits carryforwards, the Company will need to generate sufficient future taxable income in each respective jurisdiction.</w:t>
      </w:r>
    </w:p>
    <w:p>
      <w:pPr>
        <w:spacing w:after="0" w:line="348"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As of June 30, 2023, the Company had federal and state NOLs for approximately $38.2 million and $58.2 million, respectively, which begin to expire in 2029 if not utilized. The Company had federal NOLs for approximately $148.5 million which do not expire. The use of the NOLs may be subject to certain limitations under Section 382 of the Internal Revenue Code of 1986 (the “Code”) and similar state tax law. As of June 30, 2023, the Company had research and development tax credit carryforwards of approximately $5.7 million and $5.3 million for federal and state tax purposes, respectively. The federal credits begin to expire in 2029 and the state tax credits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800"/>
          </w:cols>
          <w:pgMar w:left="720" w:top="700" w:right="720" w:bottom="175" w:gutter="0" w:footer="0" w:header="0"/>
        </w:sectPr>
      </w:pPr>
    </w:p>
    <w:bookmarkStart w:id="100" w:name="page101"/>
    <w:bookmarkEnd w:id="100"/>
    <w:p>
      <w:pPr>
        <w:jc w:val="both"/>
        <w:ind w:firstLine="480"/>
        <w:spacing w:after="0" w:line="258" w:lineRule="auto"/>
        <w:rPr>
          <w:sz w:val="20"/>
          <w:szCs w:val="20"/>
          <w:color w:val="auto"/>
        </w:rPr>
      </w:pPr>
      <w:r>
        <w:rPr>
          <w:rFonts w:ascii="Times New Roman" w:cs="Times New Roman" w:eastAsia="Times New Roman" w:hAnsi="Times New Roman"/>
          <w:sz w:val="20"/>
          <w:szCs w:val="20"/>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160"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The total amount of gross unrecognized tax benefits was $5.5 million as of June 30, 2023, of which none would affect the effective tax rate if recognized because such recognition would result in an increase in the deferred tax assets with a corresponding increase in the valuation allowance, therefore having no impact. The aggregate changes in the balance of gross unrecognized tax benefits are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Borders>
              <w:bottom w:val="single" w:sz="8" w:color="auto"/>
            </w:tcBorders>
          </w:tcPr>
          <w:p>
            <w:pPr>
              <w:spacing w:after="0"/>
              <w:rPr>
                <w:sz w:val="17"/>
                <w:szCs w:val="17"/>
                <w:color w:val="auto"/>
              </w:rPr>
            </w:pPr>
          </w:p>
        </w:tc>
      </w:tr>
      <w:tr>
        <w:trPr>
          <w:trHeight w:val="243"/>
        </w:trPr>
        <w:tc>
          <w:tcPr>
            <w:tcW w:w="7560" w:type="dxa"/>
            <w:vAlign w:val="bottom"/>
            <w:tcBorders>
              <w:bottom w:val="single" w:sz="8" w:color="D1EDF4"/>
            </w:tcBorders>
          </w:tcPr>
          <w:p>
            <w:pPr>
              <w:spacing w:after="0"/>
              <w:rPr>
                <w:sz w:val="21"/>
                <w:szCs w:val="21"/>
                <w:color w:val="auto"/>
              </w:rPr>
            </w:pPr>
          </w:p>
        </w:tc>
        <w:tc>
          <w:tcPr>
            <w:tcW w:w="20" w:type="dxa"/>
            <w:vAlign w:val="bottom"/>
            <w:tcBorders>
              <w:bottom w:val="single" w:sz="8" w:color="D1EDF4"/>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D1EDF4"/>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4"/>
        </w:trPr>
        <w:tc>
          <w:tcPr>
            <w:tcW w:w="758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Balance at beginning of year</w:t>
            </w:r>
          </w:p>
        </w:tc>
        <w:tc>
          <w:tcPr>
            <w:tcW w:w="940" w:type="dxa"/>
            <w:vAlign w:val="bottom"/>
            <w:shd w:val="clear" w:color="auto" w:fill="D1EDF4"/>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4,916</w:t>
            </w:r>
          </w:p>
        </w:tc>
        <w:tc>
          <w:tcPr>
            <w:tcW w:w="220" w:type="dxa"/>
            <w:vAlign w:val="bottom"/>
            <w:shd w:val="clear" w:color="auto" w:fill="D1EDF4"/>
          </w:tcPr>
          <w:p>
            <w:pPr>
              <w:spacing w:after="0"/>
              <w:rPr>
                <w:sz w:val="21"/>
                <w:szCs w:val="21"/>
                <w:color w:val="auto"/>
              </w:rPr>
            </w:pPr>
          </w:p>
        </w:tc>
        <w:tc>
          <w:tcPr>
            <w:tcW w:w="380" w:type="dxa"/>
            <w:vAlign w:val="bottom"/>
            <w:shd w:val="clear" w:color="auto" w:fill="D1EDF4"/>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4,189</w:t>
            </w:r>
          </w:p>
        </w:tc>
      </w:tr>
      <w:tr>
        <w:trPr>
          <w:trHeight w:val="254"/>
        </w:trPr>
        <w:tc>
          <w:tcPr>
            <w:tcW w:w="75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Decrease related to prior period tax positions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4"/>
        </w:trPr>
        <w:tc>
          <w:tcPr>
            <w:tcW w:w="7580" w:type="dxa"/>
            <w:vAlign w:val="bottom"/>
            <w:gridSpan w:val="2"/>
            <w:shd w:val="clear" w:color="auto" w:fill="D1EDF4"/>
          </w:tcPr>
          <w:p>
            <w:pPr>
              <w:ind w:left="120"/>
              <w:spacing w:after="0"/>
              <w:rPr>
                <w:sz w:val="20"/>
                <w:szCs w:val="20"/>
                <w:color w:val="auto"/>
              </w:rPr>
            </w:pPr>
            <w:r>
              <w:rPr>
                <w:rFonts w:ascii="Times New Roman" w:cs="Times New Roman" w:eastAsia="Times New Roman" w:hAnsi="Times New Roman"/>
                <w:sz w:val="20"/>
                <w:szCs w:val="20"/>
                <w:color w:val="auto"/>
              </w:rPr>
              <w:t>Increase related to current year tax positions</w:t>
            </w:r>
          </w:p>
        </w:tc>
        <w:tc>
          <w:tcPr>
            <w:tcW w:w="940" w:type="dxa"/>
            <w:vAlign w:val="bottom"/>
            <w:tcBorders>
              <w:bottom w:val="single" w:sz="8" w:color="auto"/>
            </w:tcBorders>
            <w:shd w:val="clear" w:color="auto" w:fill="D1EDF4"/>
          </w:tcPr>
          <w:p>
            <w:pPr>
              <w:spacing w:after="0"/>
              <w:rPr>
                <w:sz w:val="22"/>
                <w:szCs w:val="22"/>
                <w:color w:val="auto"/>
              </w:rPr>
            </w:pPr>
          </w:p>
        </w:tc>
        <w:tc>
          <w:tcPr>
            <w:tcW w:w="5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711</w:t>
            </w:r>
          </w:p>
        </w:tc>
        <w:tc>
          <w:tcPr>
            <w:tcW w:w="220" w:type="dxa"/>
            <w:vAlign w:val="bottom"/>
            <w:shd w:val="clear" w:color="auto" w:fill="D1EDF4"/>
          </w:tcPr>
          <w:p>
            <w:pPr>
              <w:spacing w:after="0"/>
              <w:rPr>
                <w:sz w:val="22"/>
                <w:szCs w:val="22"/>
                <w:color w:val="auto"/>
              </w:rPr>
            </w:pPr>
          </w:p>
        </w:tc>
        <w:tc>
          <w:tcPr>
            <w:tcW w:w="380" w:type="dxa"/>
            <w:vAlign w:val="bottom"/>
            <w:tcBorders>
              <w:bottom w:val="single" w:sz="8" w:color="auto"/>
            </w:tcBorders>
            <w:shd w:val="clear" w:color="auto" w:fill="D1EDF4"/>
          </w:tcPr>
          <w:p>
            <w:pPr>
              <w:spacing w:after="0"/>
              <w:rPr>
                <w:sz w:val="22"/>
                <w:szCs w:val="22"/>
                <w:color w:val="auto"/>
              </w:rPr>
            </w:pPr>
          </w:p>
        </w:tc>
        <w:tc>
          <w:tcPr>
            <w:tcW w:w="112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727</w:t>
            </w:r>
          </w:p>
        </w:tc>
      </w:tr>
      <w:tr>
        <w:trPr>
          <w:trHeight w:val="244"/>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year</w:t>
            </w: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47"/>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5,460</w:t>
            </w:r>
          </w:p>
        </w:tc>
        <w:tc>
          <w:tcPr>
            <w:tcW w:w="220" w:type="dxa"/>
            <w:vAlign w:val="bottom"/>
          </w:tcPr>
          <w:p>
            <w:pPr>
              <w:spacing w:after="0"/>
              <w:rPr>
                <w:sz w:val="21"/>
                <w:szCs w:val="21"/>
                <w:color w:val="auto"/>
              </w:rPr>
            </w:pPr>
          </w:p>
        </w:tc>
        <w:tc>
          <w:tcPr>
            <w:tcW w:w="3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4,916</w:t>
            </w:r>
          </w:p>
        </w:tc>
      </w:tr>
    </w:tbl>
    <w:p>
      <w:pPr>
        <w:spacing w:after="0" w:line="371" w:lineRule="exact"/>
        <w:rPr>
          <w:sz w:val="20"/>
          <w:szCs w:val="20"/>
          <w:color w:val="auto"/>
        </w:rPr>
      </w:pPr>
    </w:p>
    <w:p>
      <w:pPr>
        <w:jc w:val="both"/>
        <w:ind w:firstLine="480"/>
        <w:spacing w:after="0" w:line="252" w:lineRule="auto"/>
        <w:rPr>
          <w:sz w:val="20"/>
          <w:szCs w:val="20"/>
          <w:color w:val="auto"/>
        </w:rPr>
      </w:pPr>
      <w:r>
        <w:rPr>
          <w:rFonts w:ascii="Times New Roman" w:cs="Times New Roman" w:eastAsia="Times New Roman" w:hAnsi="Times New Roman"/>
          <w:sz w:val="20"/>
          <w:szCs w:val="20"/>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234"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20"/>
          <w:szCs w:val="20"/>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Net Loss Per Share</w:t>
      </w:r>
    </w:p>
    <w:p>
      <w:pPr>
        <w:spacing w:after="0" w:line="243"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share attributable to Common Stockholders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173"/>
        </w:trPr>
        <w:tc>
          <w:tcPr>
            <w:tcW w:w="7780" w:type="dxa"/>
            <w:vAlign w:val="bottom"/>
            <w:tcBorders>
              <w:bottom w:val="single" w:sz="8" w:color="D1ED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88"/>
              <w:spacing w:after="0" w:line="173" w:lineRule="exact"/>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D1EDF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385"/>
              <w:spacing w:after="0" w:line="173"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D1EDF4"/>
            </w:tcBorders>
          </w:tcPr>
          <w:p>
            <w:pPr>
              <w:spacing w:after="0"/>
              <w:rPr>
                <w:sz w:val="15"/>
                <w:szCs w:val="15"/>
                <w:color w:val="auto"/>
              </w:rPr>
            </w:pPr>
          </w:p>
        </w:tc>
      </w:tr>
      <w:tr>
        <w:trPr>
          <w:trHeight w:val="220"/>
        </w:trPr>
        <w:tc>
          <w:tcPr>
            <w:tcW w:w="7780" w:type="dxa"/>
            <w:vAlign w:val="bottom"/>
            <w:shd w:val="clear" w:color="auto" w:fill="D1EDF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Numerator:</w:t>
            </w:r>
          </w:p>
        </w:tc>
        <w:tc>
          <w:tcPr>
            <w:tcW w:w="200" w:type="dxa"/>
            <w:vAlign w:val="bottom"/>
            <w:shd w:val="clear" w:color="auto" w:fill="D1EDF4"/>
          </w:tcPr>
          <w:p>
            <w:pPr>
              <w:spacing w:after="0"/>
              <w:rPr>
                <w:sz w:val="19"/>
                <w:szCs w:val="19"/>
                <w:color w:val="auto"/>
              </w:rPr>
            </w:pPr>
          </w:p>
        </w:tc>
        <w:tc>
          <w:tcPr>
            <w:tcW w:w="108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08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 basic and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(34,480)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(56,314)</w:t>
            </w:r>
          </w:p>
        </w:tc>
        <w:tc>
          <w:tcPr>
            <w:tcW w:w="220" w:type="dxa"/>
            <w:vAlign w:val="bottom"/>
          </w:tcPr>
          <w:p>
            <w:pPr>
              <w:spacing w:after="0"/>
              <w:rPr>
                <w:sz w:val="20"/>
                <w:szCs w:val="20"/>
                <w:color w:val="auto"/>
              </w:rPr>
            </w:pPr>
          </w:p>
        </w:tc>
      </w:tr>
      <w:tr>
        <w:trPr>
          <w:trHeight w:val="229"/>
        </w:trPr>
        <w:tc>
          <w:tcPr>
            <w:tcW w:w="778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080" w:type="dxa"/>
            <w:vAlign w:val="bottom"/>
            <w:shd w:val="clear" w:color="auto" w:fill="D1EDF4"/>
          </w:tcPr>
          <w:p>
            <w:pPr>
              <w:spacing w:after="0"/>
              <w:rPr>
                <w:sz w:val="19"/>
                <w:szCs w:val="19"/>
                <w:color w:val="auto"/>
              </w:rPr>
            </w:pPr>
          </w:p>
        </w:tc>
        <w:tc>
          <w:tcPr>
            <w:tcW w:w="240" w:type="dxa"/>
            <w:vAlign w:val="bottom"/>
            <w:shd w:val="clear" w:color="auto" w:fill="D1EDF4"/>
          </w:tcPr>
          <w:p>
            <w:pPr>
              <w:spacing w:after="0"/>
              <w:rPr>
                <w:sz w:val="19"/>
                <w:szCs w:val="19"/>
                <w:color w:val="auto"/>
              </w:rPr>
            </w:pPr>
          </w:p>
        </w:tc>
        <w:tc>
          <w:tcPr>
            <w:tcW w:w="200" w:type="dxa"/>
            <w:vAlign w:val="bottom"/>
            <w:shd w:val="clear" w:color="auto" w:fill="D1EDF4"/>
          </w:tcPr>
          <w:p>
            <w:pPr>
              <w:spacing w:after="0"/>
              <w:rPr>
                <w:sz w:val="19"/>
                <w:szCs w:val="19"/>
                <w:color w:val="auto"/>
              </w:rPr>
            </w:pPr>
          </w:p>
        </w:tc>
        <w:tc>
          <w:tcPr>
            <w:tcW w:w="1080" w:type="dxa"/>
            <w:vAlign w:val="bottom"/>
            <w:shd w:val="clear" w:color="auto" w:fill="D1EDF4"/>
          </w:tcPr>
          <w:p>
            <w:pPr>
              <w:spacing w:after="0"/>
              <w:rPr>
                <w:sz w:val="19"/>
                <w:szCs w:val="19"/>
                <w:color w:val="auto"/>
              </w:rPr>
            </w:pPr>
          </w:p>
        </w:tc>
        <w:tc>
          <w:tcPr>
            <w:tcW w:w="220" w:type="dxa"/>
            <w:vAlign w:val="bottom"/>
            <w:shd w:val="clear" w:color="auto" w:fill="D1EDF4"/>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Denominator:</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0"/>
        </w:trPr>
        <w:tc>
          <w:tcPr>
            <w:tcW w:w="77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Weighted-average shares used in computing net loss per share attributable to Common</w:t>
            </w:r>
          </w:p>
        </w:tc>
        <w:tc>
          <w:tcPr>
            <w:tcW w:w="200" w:type="dxa"/>
            <w:vAlign w:val="bottom"/>
            <w:shd w:val="clear" w:color="auto" w:fill="D1EDF4"/>
          </w:tcPr>
          <w:p>
            <w:pPr>
              <w:spacing w:after="0"/>
              <w:rPr>
                <w:sz w:val="20"/>
                <w:szCs w:val="20"/>
                <w:color w:val="auto"/>
              </w:rPr>
            </w:pPr>
          </w:p>
        </w:tc>
        <w:tc>
          <w:tcPr>
            <w:tcW w:w="1080" w:type="dxa"/>
            <w:vAlign w:val="bottom"/>
            <w:shd w:val="clear" w:color="auto" w:fill="D1EDF4"/>
          </w:tcPr>
          <w:p>
            <w:pPr>
              <w:spacing w:after="0"/>
              <w:rPr>
                <w:sz w:val="20"/>
                <w:szCs w:val="20"/>
                <w:color w:val="auto"/>
              </w:rPr>
            </w:pPr>
          </w:p>
        </w:tc>
        <w:tc>
          <w:tcPr>
            <w:tcW w:w="240" w:type="dxa"/>
            <w:vAlign w:val="bottom"/>
            <w:shd w:val="clear" w:color="auto" w:fill="D1EDF4"/>
          </w:tcPr>
          <w:p>
            <w:pPr>
              <w:spacing w:after="0"/>
              <w:rPr>
                <w:sz w:val="20"/>
                <w:szCs w:val="20"/>
                <w:color w:val="auto"/>
              </w:rPr>
            </w:pPr>
          </w:p>
        </w:tc>
        <w:tc>
          <w:tcPr>
            <w:tcW w:w="200" w:type="dxa"/>
            <w:vAlign w:val="bottom"/>
            <w:shd w:val="clear" w:color="auto" w:fill="D1EDF4"/>
          </w:tcPr>
          <w:p>
            <w:pPr>
              <w:spacing w:after="0"/>
              <w:rPr>
                <w:sz w:val="20"/>
                <w:szCs w:val="20"/>
                <w:color w:val="auto"/>
              </w:rPr>
            </w:pPr>
          </w:p>
        </w:tc>
        <w:tc>
          <w:tcPr>
            <w:tcW w:w="1080" w:type="dxa"/>
            <w:vAlign w:val="bottom"/>
            <w:shd w:val="clear" w:color="auto" w:fill="D1EDF4"/>
          </w:tcPr>
          <w:p>
            <w:pPr>
              <w:spacing w:after="0"/>
              <w:rPr>
                <w:sz w:val="20"/>
                <w:szCs w:val="20"/>
                <w:color w:val="auto"/>
              </w:rPr>
            </w:pPr>
          </w:p>
        </w:tc>
        <w:tc>
          <w:tcPr>
            <w:tcW w:w="220" w:type="dxa"/>
            <w:vAlign w:val="bottom"/>
            <w:shd w:val="clear" w:color="auto" w:fill="D1EDF4"/>
          </w:tcPr>
          <w:p>
            <w:pPr>
              <w:spacing w:after="0"/>
              <w:rPr>
                <w:sz w:val="20"/>
                <w:szCs w:val="20"/>
                <w:color w:val="auto"/>
              </w:rPr>
            </w:pPr>
          </w:p>
        </w:tc>
      </w:tr>
      <w:tr>
        <w:trPr>
          <w:trHeight w:val="229"/>
        </w:trPr>
        <w:tc>
          <w:tcPr>
            <w:tcW w:w="778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Stockholders, basic and diluted</w:t>
            </w:r>
          </w:p>
        </w:tc>
        <w:tc>
          <w:tcPr>
            <w:tcW w:w="200" w:type="dxa"/>
            <w:vAlign w:val="bottom"/>
            <w:tcBorders>
              <w:bottom w:val="single" w:sz="8" w:color="auto"/>
            </w:tcBorders>
            <w:shd w:val="clear" w:color="auto" w:fill="D1EDF4"/>
          </w:tcPr>
          <w:p>
            <w:pPr>
              <w:spacing w:after="0"/>
              <w:rPr>
                <w:sz w:val="19"/>
                <w:szCs w:val="19"/>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46,499,850</w:t>
            </w:r>
          </w:p>
        </w:tc>
        <w:tc>
          <w:tcPr>
            <w:tcW w:w="240" w:type="dxa"/>
            <w:vAlign w:val="bottom"/>
            <w:shd w:val="clear" w:color="auto" w:fill="D1EDF4"/>
          </w:tcPr>
          <w:p>
            <w:pPr>
              <w:spacing w:after="0"/>
              <w:rPr>
                <w:sz w:val="19"/>
                <w:szCs w:val="19"/>
                <w:color w:val="auto"/>
              </w:rPr>
            </w:pPr>
          </w:p>
        </w:tc>
        <w:tc>
          <w:tcPr>
            <w:tcW w:w="200" w:type="dxa"/>
            <w:vAlign w:val="bottom"/>
            <w:tcBorders>
              <w:bottom w:val="single" w:sz="8" w:color="auto"/>
            </w:tcBorders>
            <w:shd w:val="clear" w:color="auto" w:fill="D1EDF4"/>
          </w:tcPr>
          <w:p>
            <w:pPr>
              <w:spacing w:after="0"/>
              <w:rPr>
                <w:sz w:val="19"/>
                <w:szCs w:val="19"/>
                <w:color w:val="auto"/>
              </w:rPr>
            </w:pPr>
          </w:p>
        </w:tc>
        <w:tc>
          <w:tcPr>
            <w:tcW w:w="108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27,268,887</w:t>
            </w:r>
          </w:p>
        </w:tc>
        <w:tc>
          <w:tcPr>
            <w:tcW w:w="220" w:type="dxa"/>
            <w:vAlign w:val="bottom"/>
            <w:shd w:val="clear" w:color="auto" w:fill="D1EDF4"/>
          </w:tcPr>
          <w:p>
            <w:pPr>
              <w:spacing w:after="0"/>
              <w:rPr>
                <w:sz w:val="19"/>
                <w:szCs w:val="19"/>
                <w:color w:val="auto"/>
              </w:rPr>
            </w:pPr>
          </w:p>
        </w:tc>
      </w:tr>
      <w:tr>
        <w:trPr>
          <w:trHeight w:val="256"/>
        </w:trPr>
        <w:tc>
          <w:tcPr>
            <w:tcW w:w="778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(0.74)</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220" w:type="dxa"/>
            <w:vAlign w:val="bottom"/>
          </w:tcPr>
          <w:p>
            <w:pPr>
              <w:spacing w:after="0"/>
              <w:rPr>
                <w:sz w:val="22"/>
                <w:szCs w:val="22"/>
                <w:color w:val="auto"/>
              </w:rPr>
            </w:pPr>
          </w:p>
        </w:tc>
      </w:tr>
    </w:tbl>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potential shares of Common Stock that were excluded from the computation of diluted net loss per share attributable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Stockholders for the periods presented because including them would have been antidilutive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240" w:type="dxa"/>
            <w:vAlign w:val="bottom"/>
          </w:tcPr>
          <w:p>
            <w:pPr>
              <w:spacing w:after="0"/>
              <w:rPr>
                <w:sz w:val="17"/>
                <w:szCs w:val="17"/>
                <w:color w:val="auto"/>
              </w:rPr>
            </w:pPr>
          </w:p>
        </w:tc>
      </w:tr>
      <w:tr>
        <w:trPr>
          <w:trHeight w:val="220"/>
        </w:trPr>
        <w:tc>
          <w:tcPr>
            <w:tcW w:w="8000" w:type="dxa"/>
            <w:vAlign w:val="bottom"/>
            <w:tcBorders>
              <w:bottom w:val="single" w:sz="8" w:color="D1EDF4"/>
            </w:tcBorders>
          </w:tcPr>
          <w:p>
            <w:pPr>
              <w:spacing w:after="0"/>
              <w:rPr>
                <w:sz w:val="19"/>
                <w:szCs w:val="19"/>
                <w:color w:val="auto"/>
              </w:rPr>
            </w:pPr>
          </w:p>
        </w:tc>
        <w:tc>
          <w:tcPr>
            <w:tcW w:w="20" w:type="dxa"/>
            <w:vAlign w:val="bottom"/>
            <w:tcBorders>
              <w:bottom w:val="single" w:sz="8" w:color="D1EDF4"/>
            </w:tcBorders>
          </w:tcPr>
          <w:p>
            <w:pPr>
              <w:spacing w:after="0"/>
              <w:rPr>
                <w:sz w:val="19"/>
                <w:szCs w:val="19"/>
                <w:color w:val="auto"/>
              </w:rPr>
            </w:pPr>
          </w:p>
        </w:tc>
        <w:tc>
          <w:tcPr>
            <w:tcW w:w="11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D1EDF4"/>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D1EDF4"/>
            </w:tcBorders>
          </w:tcPr>
          <w:p>
            <w:pPr>
              <w:spacing w:after="0"/>
              <w:rPr>
                <w:sz w:val="19"/>
                <w:szCs w:val="19"/>
                <w:color w:val="auto"/>
              </w:rPr>
            </w:pPr>
          </w:p>
        </w:tc>
      </w:tr>
      <w:tr>
        <w:trPr>
          <w:trHeight w:val="220"/>
        </w:trPr>
        <w:tc>
          <w:tcPr>
            <w:tcW w:w="8020" w:type="dxa"/>
            <w:vAlign w:val="bottom"/>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Stock options and RSUs</w:t>
            </w:r>
          </w:p>
        </w:tc>
        <w:tc>
          <w:tcPr>
            <w:tcW w:w="1140" w:type="dxa"/>
            <w:vAlign w:val="bottom"/>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14,462,348</w:t>
            </w:r>
          </w:p>
        </w:tc>
        <w:tc>
          <w:tcPr>
            <w:tcW w:w="1400" w:type="dxa"/>
            <w:vAlign w:val="bottom"/>
            <w:gridSpan w:val="2"/>
            <w:shd w:val="clear" w:color="auto" w:fill="D1EDF4"/>
          </w:tcPr>
          <w:p>
            <w:pPr>
              <w:jc w:val="right"/>
              <w:spacing w:after="0" w:line="220" w:lineRule="exact"/>
              <w:rPr>
                <w:sz w:val="20"/>
                <w:szCs w:val="20"/>
                <w:color w:val="auto"/>
              </w:rPr>
            </w:pPr>
            <w:r>
              <w:rPr>
                <w:rFonts w:ascii="Times New Roman" w:cs="Times New Roman" w:eastAsia="Times New Roman" w:hAnsi="Times New Roman"/>
                <w:sz w:val="20"/>
                <w:szCs w:val="20"/>
                <w:color w:val="auto"/>
              </w:rPr>
              <w:t>11,568,090</w:t>
            </w:r>
          </w:p>
        </w:tc>
        <w:tc>
          <w:tcPr>
            <w:tcW w:w="240" w:type="dxa"/>
            <w:vAlign w:val="bottom"/>
            <w:shd w:val="clear" w:color="auto" w:fill="D1EDF4"/>
          </w:tcPr>
          <w:p>
            <w:pPr>
              <w:spacing w:after="0"/>
              <w:rPr>
                <w:sz w:val="19"/>
                <w:szCs w:val="19"/>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Convertible notes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5,827,990</w:t>
            </w:r>
          </w:p>
        </w:tc>
        <w:tc>
          <w:tcPr>
            <w:tcW w:w="240" w:type="dxa"/>
            <w:vAlign w:val="bottom"/>
          </w:tcPr>
          <w:p>
            <w:pPr>
              <w:spacing w:after="0"/>
              <w:rPr>
                <w:sz w:val="20"/>
                <w:szCs w:val="20"/>
                <w:color w:val="auto"/>
              </w:rPr>
            </w:pPr>
          </w:p>
        </w:tc>
      </w:tr>
      <w:tr>
        <w:trPr>
          <w:trHeight w:val="229"/>
        </w:trPr>
        <w:tc>
          <w:tcPr>
            <w:tcW w:w="8020" w:type="dxa"/>
            <w:vAlign w:val="bottom"/>
            <w:gridSpan w:val="2"/>
            <w:shd w:val="clear" w:color="auto" w:fill="D1EDF4"/>
          </w:tcPr>
          <w:p>
            <w:pPr>
              <w:spacing w:after="0"/>
              <w:rPr>
                <w:sz w:val="20"/>
                <w:szCs w:val="20"/>
                <w:color w:val="auto"/>
              </w:rPr>
            </w:pPr>
            <w:r>
              <w:rPr>
                <w:rFonts w:ascii="Times New Roman" w:cs="Times New Roman" w:eastAsia="Times New Roman" w:hAnsi="Times New Roman"/>
                <w:sz w:val="20"/>
                <w:szCs w:val="20"/>
                <w:color w:val="auto"/>
              </w:rPr>
              <w:t>Common stock warrants</w:t>
            </w:r>
          </w:p>
        </w:tc>
        <w:tc>
          <w:tcPr>
            <w:tcW w:w="1140" w:type="dxa"/>
            <w:vAlign w:val="bottom"/>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21,050,077</w:t>
            </w:r>
          </w:p>
        </w:tc>
        <w:tc>
          <w:tcPr>
            <w:tcW w:w="1400" w:type="dxa"/>
            <w:vAlign w:val="bottom"/>
            <w:gridSpan w:val="2"/>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4,658,865</w:t>
            </w:r>
          </w:p>
        </w:tc>
        <w:tc>
          <w:tcPr>
            <w:tcW w:w="240" w:type="dxa"/>
            <w:vAlign w:val="bottom"/>
            <w:shd w:val="clear" w:color="auto" w:fill="D1EDF4"/>
          </w:tcPr>
          <w:p>
            <w:pPr>
              <w:spacing w:after="0"/>
              <w:rPr>
                <w:sz w:val="19"/>
                <w:szCs w:val="19"/>
                <w:color w:val="auto"/>
              </w:rPr>
            </w:pPr>
          </w:p>
        </w:tc>
      </w:tr>
      <w:tr>
        <w:trPr>
          <w:trHeight w:val="230"/>
        </w:trPr>
        <w:tc>
          <w:tcPr>
            <w:tcW w:w="8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Common stock subject to vesting - CyborgOps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475,638</w:t>
            </w:r>
          </w:p>
        </w:tc>
        <w:tc>
          <w:tcPr>
            <w:tcW w:w="240" w:type="dxa"/>
            <w:vAlign w:val="bottom"/>
          </w:tcPr>
          <w:p>
            <w:pPr>
              <w:spacing w:after="0"/>
              <w:rPr>
                <w:sz w:val="20"/>
                <w:szCs w:val="20"/>
                <w:color w:val="auto"/>
              </w:rPr>
            </w:pPr>
          </w:p>
        </w:tc>
      </w:tr>
      <w:tr>
        <w:trPr>
          <w:trHeight w:val="220"/>
        </w:trPr>
        <w:tc>
          <w:tcPr>
            <w:tcW w:w="8020" w:type="dxa"/>
            <w:vAlign w:val="bottom"/>
            <w:tcBorders>
              <w:top w:val="single" w:sz="8" w:color="D1EDF4"/>
            </w:tcBorders>
            <w:gridSpan w:val="2"/>
            <w:shd w:val="clear" w:color="auto" w:fill="D1EDF4"/>
          </w:tcPr>
          <w:p>
            <w:pPr>
              <w:spacing w:after="0" w:line="220" w:lineRule="exact"/>
              <w:rPr>
                <w:sz w:val="20"/>
                <w:szCs w:val="20"/>
                <w:color w:val="auto"/>
              </w:rPr>
            </w:pPr>
            <w:r>
              <w:rPr>
                <w:rFonts w:ascii="Times New Roman" w:cs="Times New Roman" w:eastAsia="Times New Roman" w:hAnsi="Times New Roman"/>
                <w:sz w:val="20"/>
                <w:szCs w:val="20"/>
                <w:color w:val="auto"/>
              </w:rPr>
              <w:t>Total potential shares of common stock excluded from the computation of diluted net loss per</w:t>
            </w:r>
          </w:p>
        </w:tc>
        <w:tc>
          <w:tcPr>
            <w:tcW w:w="1140" w:type="dxa"/>
            <w:vAlign w:val="bottom"/>
            <w:tcBorders>
              <w:top w:val="single" w:sz="8" w:color="auto"/>
            </w:tcBorders>
            <w:shd w:val="clear" w:color="auto" w:fill="D1EDF4"/>
          </w:tcPr>
          <w:p>
            <w:pPr>
              <w:spacing w:after="0"/>
              <w:rPr>
                <w:sz w:val="19"/>
                <w:szCs w:val="19"/>
                <w:color w:val="auto"/>
              </w:rPr>
            </w:pPr>
          </w:p>
        </w:tc>
        <w:tc>
          <w:tcPr>
            <w:tcW w:w="240" w:type="dxa"/>
            <w:vAlign w:val="bottom"/>
            <w:tcBorders>
              <w:top w:val="single" w:sz="8" w:color="D1EDF4"/>
            </w:tcBorders>
            <w:shd w:val="clear" w:color="auto" w:fill="D1EDF4"/>
          </w:tcPr>
          <w:p>
            <w:pPr>
              <w:spacing w:after="0"/>
              <w:rPr>
                <w:sz w:val="19"/>
                <w:szCs w:val="19"/>
                <w:color w:val="auto"/>
              </w:rPr>
            </w:pPr>
          </w:p>
        </w:tc>
        <w:tc>
          <w:tcPr>
            <w:tcW w:w="1160" w:type="dxa"/>
            <w:vAlign w:val="bottom"/>
            <w:tcBorders>
              <w:top w:val="single" w:sz="8" w:color="auto"/>
            </w:tcBorders>
            <w:shd w:val="clear" w:color="auto" w:fill="D1EDF4"/>
          </w:tcPr>
          <w:p>
            <w:pPr>
              <w:spacing w:after="0"/>
              <w:rPr>
                <w:sz w:val="19"/>
                <w:szCs w:val="19"/>
                <w:color w:val="auto"/>
              </w:rPr>
            </w:pPr>
          </w:p>
        </w:tc>
        <w:tc>
          <w:tcPr>
            <w:tcW w:w="240" w:type="dxa"/>
            <w:vAlign w:val="bottom"/>
            <w:tcBorders>
              <w:top w:val="single" w:sz="8" w:color="D1EDF4"/>
            </w:tcBorders>
            <w:shd w:val="clear" w:color="auto" w:fill="D1EDF4"/>
          </w:tcPr>
          <w:p>
            <w:pPr>
              <w:spacing w:after="0"/>
              <w:rPr>
                <w:sz w:val="19"/>
                <w:szCs w:val="19"/>
                <w:color w:val="auto"/>
              </w:rPr>
            </w:pPr>
          </w:p>
        </w:tc>
      </w:tr>
      <w:tr>
        <w:trPr>
          <w:trHeight w:val="240"/>
        </w:trPr>
        <w:tc>
          <w:tcPr>
            <w:tcW w:w="80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share</w:t>
            </w:r>
          </w:p>
        </w:tc>
        <w:tc>
          <w:tcPr>
            <w:tcW w:w="20" w:type="dxa"/>
            <w:vAlign w:val="bottom"/>
            <w:tcBorders>
              <w:bottom w:val="single" w:sz="8" w:color="auto"/>
            </w:tcBorders>
            <w:shd w:val="clear" w:color="auto" w:fill="D1EDF4"/>
          </w:tcPr>
          <w:p>
            <w:pPr>
              <w:spacing w:after="0"/>
              <w:rPr>
                <w:sz w:val="20"/>
                <w:szCs w:val="20"/>
                <w:color w:val="auto"/>
              </w:rPr>
            </w:pPr>
          </w:p>
        </w:tc>
        <w:tc>
          <w:tcPr>
            <w:tcW w:w="114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35,616,239</w:t>
            </w:r>
          </w:p>
        </w:tc>
        <w:tc>
          <w:tcPr>
            <w:tcW w:w="240" w:type="dxa"/>
            <w:vAlign w:val="bottom"/>
            <w:shd w:val="clear" w:color="auto" w:fill="D1EDF4"/>
          </w:tcPr>
          <w:p>
            <w:pPr>
              <w:spacing w:after="0"/>
              <w:rPr>
                <w:sz w:val="20"/>
                <w:szCs w:val="20"/>
                <w:color w:val="auto"/>
              </w:rPr>
            </w:pPr>
          </w:p>
        </w:tc>
        <w:tc>
          <w:tcPr>
            <w:tcW w:w="1160" w:type="dxa"/>
            <w:vAlign w:val="bottom"/>
            <w:tcBorders>
              <w:bottom w:val="single" w:sz="8" w:color="auto"/>
            </w:tcBorders>
            <w:shd w:val="clear" w:color="auto" w:fill="D1EDF4"/>
          </w:tcPr>
          <w:p>
            <w:pPr>
              <w:jc w:val="right"/>
              <w:spacing w:after="0"/>
              <w:rPr>
                <w:sz w:val="20"/>
                <w:szCs w:val="20"/>
                <w:color w:val="auto"/>
              </w:rPr>
            </w:pPr>
            <w:r>
              <w:rPr>
                <w:rFonts w:ascii="Times New Roman" w:cs="Times New Roman" w:eastAsia="Times New Roman" w:hAnsi="Times New Roman"/>
                <w:sz w:val="20"/>
                <w:szCs w:val="20"/>
                <w:color w:val="auto"/>
              </w:rPr>
              <w:t>22,530,583</w:t>
            </w:r>
          </w:p>
        </w:tc>
        <w:tc>
          <w:tcPr>
            <w:tcW w:w="240" w:type="dxa"/>
            <w:vAlign w:val="bottom"/>
            <w:shd w:val="clear" w:color="auto" w:fill="D1EDF4"/>
          </w:tcPr>
          <w:p>
            <w:pPr>
              <w:spacing w:after="0"/>
              <w:rPr>
                <w:sz w:val="20"/>
                <w:szCs w:val="20"/>
                <w:color w:val="auto"/>
              </w:rPr>
            </w:pPr>
          </w:p>
        </w:tc>
      </w:tr>
    </w:tbl>
    <w:p>
      <w:pPr>
        <w:spacing w:after="0" w:line="210" w:lineRule="exact"/>
        <w:rPr>
          <w:sz w:val="20"/>
          <w:szCs w:val="20"/>
          <w:color w:val="auto"/>
        </w:rPr>
      </w:pPr>
    </w:p>
    <w:p>
      <w:pPr>
        <w:ind w:right="260" w:firstLine="720"/>
        <w:spacing w:after="0" w:line="277" w:lineRule="auto"/>
        <w:rPr>
          <w:sz w:val="20"/>
          <w:szCs w:val="20"/>
          <w:color w:val="auto"/>
        </w:rPr>
      </w:pPr>
      <w:r>
        <w:rPr>
          <w:rFonts w:ascii="Times New Roman" w:cs="Times New Roman" w:eastAsia="Times New Roman" w:hAnsi="Times New Roman"/>
          <w:sz w:val="20"/>
          <w:szCs w:val="20"/>
          <w:color w:val="auto"/>
        </w:rPr>
        <w:t>The Company excluded 14,397,022 earnout shares from the calculation of diluted EPS for the year ended June 30, 2023 as they are subject to market conditions for which the necessary conditions have not been satisfied.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800"/>
          </w:cols>
          <w:pgMar w:left="720" w:top="700" w:right="720" w:bottom="175" w:gutter="0" w:footer="0" w:header="0"/>
        </w:sectPr>
      </w:pPr>
    </w:p>
    <w:bookmarkStart w:id="101" w:name="page102"/>
    <w:bookmarkEnd w:id="101"/>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The Company excluded 300,376 options from the calculation of diluted EPS for the year ended June 30, 2022. These equity awards were excluded from the calculation of diluted EPS as they are subject to performance conditions for which the necessary conditions were not satisfied as of June 30, 2022.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CyborgOps Acquisition</w:t>
      </w:r>
    </w:p>
    <w:p>
      <w:pPr>
        <w:spacing w:after="0" w:line="243"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On May 23, 2022, the Company entered into an Asset Purchase Agreement (“Asset Purchase Agreement”) with CyborgOps, a provider of artificial intelligence-based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Company’s technology, including acquiring CyborgOps’ assembled workforce to assist in such development. Pursuant to the Asset Purchase Agreement, the stockholders of CyborgOps were entitled to receive up to $6.8 million in total consideration, consisting of 601,764 shares of the Company’s Common Stock valued at $8.75 per share and $1.5 million in cash consideration, consisting of $0.1 million in cash paid upon closing and a $1.4 million promissory note. The promissory note had interest at 5% and required monthly payments of $50 thousand, consisting of interest and principal payments, beginning in June 2022. All of the unpaid principal and accrued interest was paid off at the close of the Merger.</w:t>
      </w:r>
    </w:p>
    <w:p>
      <w:pPr>
        <w:spacing w:after="0" w:line="125" w:lineRule="exact"/>
        <w:rPr>
          <w:sz w:val="20"/>
          <w:szCs w:val="20"/>
          <w:color w:val="auto"/>
        </w:rPr>
      </w:pPr>
    </w:p>
    <w:p>
      <w:pPr>
        <w:jc w:val="both"/>
        <w:ind w:firstLine="480"/>
        <w:spacing w:after="0" w:line="244" w:lineRule="auto"/>
        <w:rPr>
          <w:sz w:val="20"/>
          <w:szCs w:val="20"/>
          <w:color w:val="auto"/>
        </w:rPr>
      </w:pPr>
      <w:r>
        <w:rPr>
          <w:rFonts w:ascii="Times New Roman" w:cs="Times New Roman" w:eastAsia="Times New Roman" w:hAnsi="Times New Roman"/>
          <w:sz w:val="20"/>
          <w:szCs w:val="20"/>
          <w:color w:val="auto"/>
        </w:rPr>
        <w:t>Of the $6.8 million total consideration, $2.2 million was accounted for as consideration transferred, consisting of $0.2 million in cash paid upon closing, $1.0 million deferred cash consideration and $ 1.1 million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(refer to Note 11). In fiscal year 2023, 256,891 of the awards were cancelled due to the termination of the employees by the Company. The promissory note was accounted for as post-acquisition compensation expense due to certain cancellation and forgiveness provisions based on continuing employment requirements of certain employees, who were also the primary owners of CyborgOps. The continuing employment conditions were not met, however the loan was paid off in fiscal 2023 at the time of the Merger.</w:t>
      </w:r>
    </w:p>
    <w:p>
      <w:pPr>
        <w:spacing w:after="0" w:line="127" w:lineRule="exact"/>
        <w:rPr>
          <w:sz w:val="20"/>
          <w:szCs w:val="20"/>
          <w:color w:val="auto"/>
        </w:rPr>
      </w:pPr>
    </w:p>
    <w:p>
      <w:pPr>
        <w:jc w:val="both"/>
        <w:ind w:firstLine="480"/>
        <w:spacing w:after="0" w:line="247" w:lineRule="auto"/>
        <w:rPr>
          <w:sz w:val="20"/>
          <w:szCs w:val="20"/>
          <w:color w:val="auto"/>
        </w:rPr>
      </w:pPr>
      <w:r>
        <w:rPr>
          <w:rFonts w:ascii="Times New Roman" w:cs="Times New Roman" w:eastAsia="Times New Roman" w:hAnsi="Times New Roman"/>
          <w:sz w:val="20"/>
          <w:szCs w:val="20"/>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 million (refer to Note 4), $0.2 million deferred tax liability and goodwill of $1.2 million.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19" w:lineRule="exact"/>
        <w:rPr>
          <w:sz w:val="20"/>
          <w:szCs w:val="20"/>
          <w:color w:val="auto"/>
        </w:rPr>
      </w:pPr>
    </w:p>
    <w:p>
      <w:pPr>
        <w:jc w:val="both"/>
        <w:ind w:firstLine="480"/>
        <w:spacing w:after="0" w:line="258" w:lineRule="auto"/>
        <w:rPr>
          <w:sz w:val="20"/>
          <w:szCs w:val="20"/>
          <w:color w:val="auto"/>
        </w:rPr>
      </w:pPr>
      <w:r>
        <w:rPr>
          <w:rFonts w:ascii="Times New Roman" w:cs="Times New Roman" w:eastAsia="Times New Roman" w:hAnsi="Times New Roman"/>
          <w:sz w:val="20"/>
          <w:szCs w:val="20"/>
          <w:color w:val="auto"/>
        </w:rPr>
        <w:t>The revenue and earnings of the acquired business have been included in the Company’s results since the acquisition date. The Company incurred approximately $0.2 million in acquisition-related costs, which were expensed as incurred in general and administrative in the Company’s consolidated statement of operations and comprehensive loss.</w:t>
      </w:r>
    </w:p>
    <w:p>
      <w:pPr>
        <w:spacing w:after="0" w:line="338" w:lineRule="exact"/>
        <w:rPr>
          <w:sz w:val="20"/>
          <w:szCs w:val="20"/>
          <w:color w:val="auto"/>
        </w:rPr>
      </w:pPr>
    </w:p>
    <w:p>
      <w:pPr>
        <w:jc w:val="both"/>
        <w:ind w:right="140" w:firstLine="720"/>
        <w:spacing w:after="0" w:line="258" w:lineRule="auto"/>
        <w:rPr>
          <w:sz w:val="20"/>
          <w:szCs w:val="20"/>
          <w:color w:val="auto"/>
        </w:rPr>
      </w:pPr>
      <w:r>
        <w:rPr>
          <w:rFonts w:ascii="Times New Roman" w:cs="Times New Roman" w:eastAsia="Times New Roman" w:hAnsi="Times New Roman"/>
          <w:sz w:val="20"/>
          <w:szCs w:val="20"/>
          <w:color w:val="auto"/>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Related Party Transactions</w:t>
      </w:r>
    </w:p>
    <w:p>
      <w:pPr>
        <w:spacing w:after="0" w:line="243"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During the year ended June 30, 2023, as part of the Company’s private placement that closed in May 2023, the Company received $3.0 million of proceeds in exchange for 1,500,000 newly issued shares of Common Stock of the Company from Cleveland Avenue, LLC, an entity which holds a greater than 10% interest in the Company, and therefore is a related party. A board member of the Company also is an officer of Cleveland Avenue, LLC.</w:t>
      </w:r>
    </w:p>
    <w:p>
      <w:pPr>
        <w:spacing w:after="0" w:line="191"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As of June 30, 2022, the Company had $9.6 million of convertible promissory notes and embedded warrants with entities in which a member of the Company’s board of directors is an officer and has a financial interest (“affiliated entities”) and were classified as a current liability on the consolidated balance sheet at that time. The convertible promissory notes and embedded warrants due to a related party were converted into shares of Common Stock in the Company during the year ended June 30, 2023. As of June 30, 2023, the Company has no convertible promissory notes and embedded warrants balance due to a related party. Refer to Note 7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800"/>
          </w:cols>
          <w:pgMar w:left="720" w:top="929" w:right="720" w:bottom="175" w:gutter="0" w:footer="0" w:header="0"/>
        </w:sectPr>
      </w:pPr>
    </w:p>
    <w:bookmarkStart w:id="102" w:name="page103"/>
    <w:bookmarkEnd w:id="102"/>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During the year ended June 30, 2023, the Company received an equity investment of $1.0 million from an investor who held a significant portion of the Company’s convertible promissory notes at the time of the investment in exchange for 133,133 shares in the Company. Refer to Note 9 for further details.</w:t>
      </w:r>
    </w:p>
    <w:p>
      <w:pPr>
        <w:spacing w:after="0" w:line="188" w:lineRule="exact"/>
        <w:rPr>
          <w:sz w:val="20"/>
          <w:szCs w:val="20"/>
          <w:color w:val="auto"/>
        </w:rPr>
      </w:pPr>
    </w:p>
    <w:p>
      <w:pPr>
        <w:jc w:val="both"/>
        <w:ind w:right="300" w:firstLine="720"/>
        <w:spacing w:after="0" w:line="304" w:lineRule="auto"/>
        <w:rPr>
          <w:sz w:val="20"/>
          <w:szCs w:val="20"/>
          <w:color w:val="auto"/>
        </w:rPr>
      </w:pPr>
      <w:r>
        <w:rPr>
          <w:rFonts w:ascii="Times New Roman" w:cs="Times New Roman" w:eastAsia="Times New Roman" w:hAnsi="Times New Roman"/>
          <w:sz w:val="19"/>
          <w:szCs w:val="19"/>
          <w:color w:val="auto"/>
        </w:rPr>
        <w:t>Additionally, during the year ended June 30, 2023, the Company granted 1,200,000 of RSUs to a director of the Company who was appointed Interim CEO in March 2023, with a grant date fair value of $4.56 per RSU. Refer to Note 11 for further details.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Amendment to Credit Agreement</w:t>
      </w:r>
    </w:p>
    <w:p>
      <w:pPr>
        <w:spacing w:after="0" w:line="23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0"/>
          <w:szCs w:val="20"/>
          <w:color w:val="auto"/>
        </w:rPr>
        <w:t>On October 10, 2023, the Company entered into a Third Amendment to Credit Agreement (the “Third Amendment”) with Metropolitan, the administrative, payment and collateral agent for Lenders, pursuant to which the parties amended certain covenants of the existing credit agreement, dated as of September 21, 2022 and as amended on March 31, 2023 and May 22, 2023 (the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 purchase price of $0.01 per share (the “Third Amendment Conversion Warrants”). The effectiveness of the Third Amendment is conditioned, in part, (1) upon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and expected to close on or around October 16, 2023 (see below), and (2) the Company hiring a chief financial officer reasonably satisfactory to Metropolitan, which the Company and Metropolitan have agreed will be satisfied with the appointment of Mr. Nathan Cook, consultant, as Interim Chief Financial Officer following the filing of the Company’s annual report on Form 10-K, and (3) evidence that the Company has engaged the services of an investment bank reasonably acceptable to Metropolitan on terms reasonably acceptable to Metropolitan to provide capital markets advisory services in connection with upcoming capital raises.</w:t>
      </w:r>
    </w:p>
    <w:p>
      <w:pPr>
        <w:spacing w:after="0" w:line="201"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Upon the effectiveness of the Third Amendment, the Company will obtain waivers of all previous financial covenant breaches. Further, the Third Amendment also eliminates all financial covenants with the exception of two which are a minimum cash collateral balance of $10.0 million and the “cash burn” covenant. The definition of this covenant was also revised to allow for the exclusion of certain expenses from the calculation, including severance and certain outside professional fee expenses. New agreed upon “cash burn” covenant levels were also agreed upon. Subject to certain excluded payments, the decrease in operating cash may not exceed an agreed amount for each rolling three-month period, subject to certain customary operating fluctuations and adjustments. The amount is set at $10.7 million for October 2023, $11.4 million for November 2023 and $10.3 million for December 2023, and declines after that date. Without an injection of further capital, the Company anticipates being unable to comply with the minimum unrestricted cash covenant in approximately mid-December 2023.</w:t>
      </w:r>
    </w:p>
    <w:p>
      <w:pPr>
        <w:spacing w:after="0" w:line="20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Third Amended and Restated Fee Letter</w:t>
      </w:r>
    </w:p>
    <w:p>
      <w:pPr>
        <w:spacing w:after="0" w:line="23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19"/>
          <w:szCs w:val="19"/>
          <w:color w:val="auto"/>
        </w:rPr>
        <w:t>On October 10, 2023, Presto, in connection with the Third Amendment and in consideration for Metropolitan’s entering into the Third Amendment, entered into the Third Amended and Restated Fee Letter (the “Third Amendment Fee”) with Metropolitan, pursuant to which the Company paid an amendment fee equal to $100 thousand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to Purchase Common Stock</w:t>
      </w:r>
    </w:p>
    <w:p>
      <w:pPr>
        <w:spacing w:after="0" w:line="231"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700" w:right="720" w:bottom="175"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auto"/>
        </w:rPr>
        <w:t>Lock-Up Agreements</w:t>
      </w:r>
    </w:p>
    <w:p>
      <w:pPr>
        <w:spacing w:after="0" w:line="23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On October 10, 2023, in connection with the Third Amendment,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Purchase Agreement</w:t>
      </w:r>
    </w:p>
    <w:p>
      <w:pPr>
        <w:spacing w:after="0" w:line="231" w:lineRule="exact"/>
        <w:rPr>
          <w:sz w:val="20"/>
          <w:szCs w:val="20"/>
          <w:color w:val="auto"/>
        </w:rPr>
      </w:pPr>
    </w:p>
    <w:p>
      <w:pPr>
        <w:jc w:val="both"/>
        <w:ind w:firstLine="720"/>
        <w:spacing w:after="0" w:line="244" w:lineRule="auto"/>
        <w:rPr>
          <w:sz w:val="20"/>
          <w:szCs w:val="20"/>
          <w:color w:val="auto"/>
        </w:rPr>
      </w:pPr>
      <w:r>
        <w:rPr>
          <w:rFonts w:ascii="Times New Roman" w:cs="Times New Roman" w:eastAsia="Times New Roman" w:hAnsi="Times New Roman"/>
          <w:sz w:val="20"/>
          <w:szCs w:val="20"/>
          <w:color w:val="auto"/>
        </w:rPr>
        <w:t>On October 10, 2023, the Company entered into a Securities Purchase Agreement (the “Purchase Agreement”) with the Purchaser, pursuant to which the Company agreed to sell an aggregate of 1,500,000 newly issued shares of the Company’s common stock, $ 0.0001 par value per share (the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Private Placement is expected to close on or around October 16,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Registration Rights Agreement</w:t>
      </w:r>
    </w:p>
    <w:p>
      <w:pPr>
        <w:spacing w:after="0" w:line="230"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CEO Transition and Interim CFO Appointment</w:t>
      </w:r>
    </w:p>
    <w:p>
      <w:pPr>
        <w:spacing w:after="0" w:line="23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On July 30, 2023, Krishna Gupta tendered his resignation as interim Chief Executive Officer of the Company effective immediately. Mr. Gupta remains a director and Chairman of the Board.</w:t>
      </w:r>
    </w:p>
    <w:p>
      <w:pPr>
        <w:spacing w:after="0" w:line="157" w:lineRule="exact"/>
        <w:rPr>
          <w:sz w:val="20"/>
          <w:szCs w:val="20"/>
          <w:color w:val="auto"/>
        </w:rPr>
      </w:pPr>
    </w:p>
    <w:p>
      <w:pPr>
        <w:jc w:val="both"/>
        <w:ind w:firstLine="720"/>
        <w:spacing w:after="0" w:line="305" w:lineRule="auto"/>
        <w:rPr>
          <w:sz w:val="20"/>
          <w:szCs w:val="20"/>
          <w:color w:val="auto"/>
        </w:rPr>
      </w:pPr>
      <w:r>
        <w:rPr>
          <w:rFonts w:ascii="Times New Roman" w:cs="Times New Roman" w:eastAsia="Times New Roman" w:hAnsi="Times New Roman"/>
          <w:sz w:val="19"/>
          <w:szCs w:val="19"/>
          <w:color w:val="auto"/>
        </w:rPr>
        <w:t>On August 1, 2023, the Board appointed Xavier Casanova to serve as Chief Executive Officer. Mr. Casanova, 47, has served as Chief Operating Officer of the Company since March 2023. He previously served as Chief Product Officer of Presto since July 2022.</w:t>
      </w:r>
    </w:p>
    <w:p>
      <w:pPr>
        <w:spacing w:after="0" w:line="135"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On August 1, 2023, the Board appointed Stanley Mbugua to serve as Interim Chief Financial Officer. Mr. Mbugua has served as Chief Accounting Officer of the Company since March 2023, a role in which he will remain while serving as Interim Chief Financial Officer.</w:t>
      </w:r>
    </w:p>
    <w:p>
      <w:pPr>
        <w:spacing w:after="0" w:line="178" w:lineRule="exact"/>
        <w:rPr>
          <w:sz w:val="20"/>
          <w:szCs w:val="20"/>
          <w:color w:val="auto"/>
        </w:rPr>
      </w:pPr>
    </w:p>
    <w:p>
      <w:pPr>
        <w:jc w:val="both"/>
        <w:ind w:firstLine="720"/>
        <w:spacing w:after="0" w:line="278" w:lineRule="auto"/>
        <w:rPr>
          <w:sz w:val="20"/>
          <w:szCs w:val="20"/>
          <w:color w:val="auto"/>
        </w:rPr>
      </w:pPr>
      <w:r>
        <w:rPr>
          <w:rFonts w:ascii="Times New Roman" w:cs="Times New Roman" w:eastAsia="Times New Roman" w:hAnsi="Times New Roman"/>
          <w:sz w:val="20"/>
          <w:szCs w:val="20"/>
          <w:color w:val="auto"/>
        </w:rPr>
        <w:t>The Company is in the process of finalizing the compensation and terms of separation of the Company with Mr. Gupta and determining potential changes to the compensation arrangements for Mr. Casanova and Mbugua.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4" w:lineRule="exact"/>
        <w:rPr>
          <w:sz w:val="20"/>
          <w:szCs w:val="20"/>
          <w:color w:val="auto"/>
        </w:rPr>
      </w:pPr>
    </w:p>
    <w:p>
      <w:pPr>
        <w:ind w:right="120" w:firstLine="720"/>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year ended June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June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700" w:right="720" w:bottom="175" w:gutter="0" w:footer="0" w:header="0"/>
        </w:sectPr>
      </w:pPr>
    </w:p>
    <w:bookmarkStart w:id="104" w:name="page105"/>
    <w:bookmarkEnd w:id="104"/>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Notwithstanding the identified material weaknesses, management, including our principal executive officer and principal financial officer, believes the consolidated financial information included in this Annual Report on Form 10-K fairly represent in all material respects our financial condition, results of operations and cash flows at and for the periods presented in accordance with U.S.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3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spacing w:after="0" w:line="26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As disclosed elsewhere in this Annual Report on Form 10-K, we completed the Business Combination on September 21, 2022. Prior to the Business Combination, VTAQ was a special purpose acquisition corporation. As a result, the design of the Company’s public company internal control over financial reporting post-Business Combination has required and will continue to require significant time and resources from our management and other personnel. Therefore, management was unable, without deploying an unreasonable level of resources, to conduct an assessment of the Company’s internal control over financial reporting as of June 30, 2023. Therefore, the Company is excluding management’s report on internal control over financial reporting pursuant to Section 215.02 of the SEC’s Regulation S-K Compliance and Disclosure Interpretations.</w:t>
      </w:r>
    </w:p>
    <w:p>
      <w:pPr>
        <w:spacing w:after="0" w:line="27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Despite the fact that our management was unable to make a full assessment of the effectiveness of our internal control over financial reporting, in the course of preparing our financial statements as of and for the year ended June 30, 2023, management identified certain deficiencies in our internal control over financial reporting that management believes to be a material weaknesses. A material weakness is a deficiency, or a combination of deficiencies, in internal control over financial reporting, such that a reasonable possibility exists that a material misstatement of our annual or interim financial statements would not be prevented or detected on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timely basis.</w:t>
      </w:r>
    </w:p>
    <w:p>
      <w:pPr>
        <w:spacing w:after="0" w:line="28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Specifically, we identified four material weaknesses. The material weaknesses that we have identified are listed below.</w:t>
      </w:r>
    </w:p>
    <w:p>
      <w:pPr>
        <w:spacing w:after="0" w:line="254" w:lineRule="exact"/>
        <w:rPr>
          <w:sz w:val="20"/>
          <w:szCs w:val="20"/>
          <w:color w:val="auto"/>
        </w:rPr>
      </w:pPr>
    </w:p>
    <w:p>
      <w:pPr>
        <w:ind w:left="1080" w:right="100"/>
        <w:spacing w:after="0" w:line="279" w:lineRule="auto"/>
        <w:tabs>
          <w:tab w:leader="none" w:pos="1451"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79" w:lineRule="exact"/>
        <w:rPr>
          <w:rFonts w:ascii="Arial" w:cs="Arial" w:eastAsia="Arial" w:hAnsi="Arial"/>
          <w:sz w:val="20"/>
          <w:szCs w:val="20"/>
          <w:color w:val="auto"/>
        </w:rPr>
      </w:pPr>
    </w:p>
    <w:p>
      <w:pPr>
        <w:ind w:left="1080" w:right="60"/>
        <w:spacing w:after="0" w:line="259" w:lineRule="auto"/>
        <w:tabs>
          <w:tab w:leader="none" w:pos="1451"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98" w:lineRule="exact"/>
        <w:rPr>
          <w:rFonts w:ascii="Arial" w:cs="Arial" w:eastAsia="Arial" w:hAnsi="Arial"/>
          <w:sz w:val="20"/>
          <w:szCs w:val="20"/>
          <w:color w:val="auto"/>
        </w:rPr>
      </w:pPr>
    </w:p>
    <w:p>
      <w:pPr>
        <w:ind w:left="1080" w:right="100"/>
        <w:spacing w:after="0" w:line="280" w:lineRule="auto"/>
        <w:tabs>
          <w:tab w:leader="none" w:pos="1451"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design and maintain effective controls over our financial statement closing process. Specifically, we did not design and maintain effective controls over certain account analyses and account reconciliations.</w:t>
      </w:r>
    </w:p>
    <w:p>
      <w:pPr>
        <w:spacing w:after="0" w:line="177" w:lineRule="exact"/>
        <w:rPr>
          <w:rFonts w:ascii="Arial" w:cs="Arial" w:eastAsia="Arial" w:hAnsi="Arial"/>
          <w:sz w:val="20"/>
          <w:szCs w:val="20"/>
          <w:color w:val="auto"/>
        </w:rPr>
      </w:pPr>
    </w:p>
    <w:p>
      <w:pPr>
        <w:ind w:left="1080" w:right="300"/>
        <w:spacing w:after="0" w:line="279" w:lineRule="auto"/>
        <w:tabs>
          <w:tab w:leader="none" w:pos="1451"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did not maintain internal accounting records to adequately support the reporting of certain transactions in our financial statements.</w:t>
      </w:r>
    </w:p>
    <w:p>
      <w:pPr>
        <w:spacing w:after="0" w:line="166" w:lineRule="exact"/>
        <w:rPr>
          <w:sz w:val="20"/>
          <w:szCs w:val="20"/>
          <w:color w:val="auto"/>
        </w:rPr>
      </w:pPr>
    </w:p>
    <w:p>
      <w:pPr>
        <w:ind w:right="260" w:firstLine="720"/>
        <w:spacing w:after="0" w:line="278" w:lineRule="auto"/>
        <w:rPr>
          <w:sz w:val="20"/>
          <w:szCs w:val="20"/>
          <w:color w:val="auto"/>
        </w:rPr>
      </w:pPr>
      <w:r>
        <w:rPr>
          <w:rFonts w:ascii="Times New Roman" w:cs="Times New Roman" w:eastAsia="Times New Roman" w:hAnsi="Times New Roman"/>
          <w:sz w:val="20"/>
          <w:szCs w:val="20"/>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67"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or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700" w:right="720" w:bottom="175"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Management’s Remediation Initiatives</w:t>
      </w:r>
    </w:p>
    <w:p>
      <w:pPr>
        <w:spacing w:after="0" w:line="243"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We have engaged a third-party firm to assist us with our development and execution of an internal control plan as we are required to comply with Section 404 of the Sarbanes and Oxley Act of 2002. We have completed the design phase and are in the testing stage of implementation of the plan to remediate the material weaknesses identified. Our plan includes the following actions that are currently in progress:</w:t>
      </w:r>
    </w:p>
    <w:p>
      <w:pPr>
        <w:spacing w:after="0" w:line="24" w:lineRule="exact"/>
        <w:rPr>
          <w:sz w:val="20"/>
          <w:szCs w:val="20"/>
          <w:color w:val="auto"/>
        </w:rPr>
      </w:pPr>
    </w:p>
    <w:p>
      <w:pPr>
        <w:ind w:left="1080"/>
        <w:spacing w:after="0" w:line="278" w:lineRule="auto"/>
        <w:tabs>
          <w:tab w:leader="none" w:pos="1451"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Designing and implementing a risk assessment process supporting the identification of risks facing us and designing formalized internal controls including policies over segregation of duties.</w:t>
      </w:r>
    </w:p>
    <w:p>
      <w:pPr>
        <w:spacing w:after="0" w:line="1" w:lineRule="exact"/>
        <w:rPr>
          <w:rFonts w:ascii="Arial" w:cs="Arial" w:eastAsia="Arial" w:hAnsi="Arial"/>
          <w:sz w:val="20"/>
          <w:szCs w:val="20"/>
          <w:color w:val="auto"/>
        </w:rPr>
      </w:pPr>
    </w:p>
    <w:p>
      <w:pPr>
        <w:ind w:left="1080" w:right="120"/>
        <w:spacing w:after="0" w:line="270" w:lineRule="auto"/>
        <w:tabs>
          <w:tab w:leader="none" w:pos="1451" w:val="left"/>
        </w:tabs>
        <w:numPr>
          <w:ilvl w:val="0"/>
          <w:numId w:val="43"/>
        </w:numPr>
        <w:rPr>
          <w:rFonts w:ascii="Arial" w:cs="Arial" w:eastAsia="Arial" w:hAnsi="Arial"/>
          <w:sz w:val="19"/>
          <w:szCs w:val="19"/>
          <w:color w:val="auto"/>
        </w:rPr>
      </w:pPr>
      <w:r>
        <w:rPr>
          <w:rFonts w:ascii="Times New Roman" w:cs="Times New Roman" w:eastAsia="Times New Roman" w:hAnsi="Times New Roman"/>
          <w:sz w:val="19"/>
          <w:szCs w:val="19"/>
          <w:color w:val="auto"/>
        </w:rPr>
        <w:t>Implementing controls to enhance our review of significant accounting transactions and other new technical accounting and financial reporting issues and preparing and reviewing accounting memoranda addressing these issues. Hired additional experienced accounting staff, including a Chief Accounting Officer and financial reporting roles as we transition to being a public company and are required to comply with Section 404 of the Sarbanes Oxley Act of 2002.</w:t>
      </w:r>
    </w:p>
    <w:p>
      <w:pPr>
        <w:spacing w:after="0" w:line="10" w:lineRule="exact"/>
        <w:rPr>
          <w:rFonts w:ascii="Arial" w:cs="Arial" w:eastAsia="Arial" w:hAnsi="Arial"/>
          <w:sz w:val="19"/>
          <w:szCs w:val="19"/>
          <w:color w:val="auto"/>
        </w:rPr>
      </w:pPr>
    </w:p>
    <w:p>
      <w:pPr>
        <w:ind w:left="1080" w:right="320"/>
        <w:spacing w:after="0" w:line="278" w:lineRule="auto"/>
        <w:tabs>
          <w:tab w:leader="none" w:pos="1451"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controls over our financial statement closing process including controls to enable an effective and timely review of account analyses and account reconciliations.</w:t>
      </w:r>
    </w:p>
    <w:p>
      <w:pPr>
        <w:spacing w:after="0" w:line="1" w:lineRule="exact"/>
        <w:rPr>
          <w:rFonts w:ascii="Arial" w:cs="Arial" w:eastAsia="Arial" w:hAnsi="Arial"/>
          <w:sz w:val="20"/>
          <w:szCs w:val="20"/>
          <w:color w:val="auto"/>
        </w:rPr>
      </w:pPr>
    </w:p>
    <w:p>
      <w:pPr>
        <w:ind w:left="1080" w:right="240"/>
        <w:spacing w:after="0" w:line="279" w:lineRule="auto"/>
        <w:tabs>
          <w:tab w:leader="none" w:pos="1451"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Implementing controls to enable an accurate and timely review of accounting records that support our accounting processes and maintain documents for internal accounting reviews.</w:t>
      </w:r>
    </w:p>
    <w:p>
      <w:pPr>
        <w:spacing w:after="0" w:line="16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plan to continue to devote significant time and attention to remediate the above material weakness as soon as reasonably practicable. As we continue to evaluate our controls, we will make the necessary changes to improve the organization’s demonstration of commitment to attract, develop and retain competent individuals in alignment with objectives. We believe these actions will be sufficient to remediate the identified material weakness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3"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9"/>
          <w:szCs w:val="19"/>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60"/>
          </w:cols>
          <w:pgMar w:left="720" w:top="696" w:right="760" w:bottom="175" w:gutter="0" w:footer="0" w:header="0"/>
        </w:sectPr>
      </w:pPr>
    </w:p>
    <w:bookmarkStart w:id="106" w:name="page107"/>
    <w:bookmarkEnd w:id="106"/>
    <w:p>
      <w:pPr>
        <w:ind w:left="53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4"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definitive proxy statement for our 2023 Annual Meeting of Stockholders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00" w:lineRule="exact"/>
        <w:rPr>
          <w:sz w:val="20"/>
          <w:szCs w:val="20"/>
          <w:color w:val="auto"/>
        </w:rPr>
      </w:pPr>
    </w:p>
    <w:p>
      <w:pPr>
        <w:spacing w:after="0" w:line="2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696" w:right="720" w:bottom="175"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w:t>
      </w:r>
    </w:p>
    <w:p>
      <w:pPr>
        <w:spacing w:after="0" w:line="2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exhibits are filed or furnished as an exhibit to this Annual Report on Form 10-K.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900" w:type="dxa"/>
            <w:vAlign w:val="bottom"/>
          </w:tcPr>
          <w:p>
            <w:pPr>
              <w:spacing w:after="0"/>
              <w:rPr>
                <w:sz w:val="16"/>
                <w:szCs w:val="16"/>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90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2.1†</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Merger Agreement, dated as of November 10, 2021, by and among VTAQ, Ventoux Merger Sub I, Ventoux Merger</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Sub II and Legacy Presto (incorporated by reference to Exhibit 2.1 to the Current Report on Form 8-K filed on</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November 10, 2021).</w:t>
            </w:r>
          </w:p>
        </w:tc>
      </w:tr>
      <w:tr>
        <w:trPr>
          <w:trHeight w:val="211"/>
        </w:trPr>
        <w:tc>
          <w:tcPr>
            <w:tcW w:w="9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2.2</w:t>
            </w:r>
          </w:p>
        </w:tc>
        <w:tc>
          <w:tcPr>
            <w:tcW w:w="9900" w:type="dxa"/>
            <w:vAlign w:val="bottom"/>
          </w:tcPr>
          <w:p>
            <w:pPr>
              <w:ind w:left="380"/>
              <w:spacing w:after="0" w:line="211" w:lineRule="exact"/>
              <w:rPr>
                <w:sz w:val="20"/>
                <w:szCs w:val="20"/>
                <w:color w:val="auto"/>
              </w:rPr>
            </w:pPr>
            <w:r>
              <w:rPr>
                <w:rFonts w:ascii="Times New Roman" w:cs="Times New Roman" w:eastAsia="Times New Roman" w:hAnsi="Times New Roman"/>
                <w:sz w:val="20"/>
                <w:szCs w:val="20"/>
                <w:color w:val="auto"/>
              </w:rPr>
              <w:t>Amendment No. 1 to Merger Agreement, dated as of April 1, 2022, by and among VTAQ, Ventoux Merger Sub I,</w:t>
            </w:r>
          </w:p>
        </w:tc>
      </w:tr>
      <w:tr>
        <w:trPr>
          <w:trHeight w:val="229"/>
        </w:trPr>
        <w:tc>
          <w:tcPr>
            <w:tcW w:w="900" w:type="dxa"/>
            <w:vAlign w:val="bottom"/>
          </w:tcPr>
          <w:p>
            <w:pPr>
              <w:spacing w:after="0"/>
              <w:rPr>
                <w:sz w:val="19"/>
                <w:szCs w:val="19"/>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Ventoux Merger Sub II and Presto (incorporated by reference to Exhibit 2.1 to the Current Report on Form 8-K filed</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on April 4, 2022).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2.3</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Amendment No. 2 to Merger Agreement, dated as of July 25, 2022, by and among VTAQ, Ventoux Merger Sub I,</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Ventoux Merger Sub II and Presto (incorporated by reference to Exhibit 2.1 to the Current Report on Form 8-K filed</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on July 26, 2022).</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3.1</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Second Amended &amp; Restated Certificate of Incorporation (incorporated by reference to Exhibit 3.1 to the Current</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Report on Form 8-K filed on September 27, 2022).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3.2</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Bylaws of Presto Automation Inc. (incorporated by reference to Exhibit 3.2 to the Current Report on Form 8-K filed</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on September 27, 2022).</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Description of Securities</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Credit Agreement, dated as of September 21, 2022, by and among New Presto, Surviving Corporation, Metropolitan</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Partners Group Administration, LLC, as administrative, payment and collateral agent, and the lenders from time-to-</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time party thereto (incorporated by reference to Exhibit 10.1 to the Current Report on Form 8-K filed on</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September 27, 2022).</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10.2</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Amended &amp; Restated Registration Rights Agreement dated as of September 21, 2022, by and among New Presto, the</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Sponsors, Cleveland Avenue, VTAQ’s officers and directors, Metropolitan and certain Legacy Presto stockholders</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(incorporated by reference to Exhibit 10.2 to the Current Report on Form 8-K filed on September 27, 2022).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10.3</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Amended &amp; Restated Warrant Agreement dated as of September 21, 2022, by and among, New Presto, the Sponsors</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and Continental Stock Transfer &amp; Trust Company (incorporated by reference to Exhibit 10.3 to the Current Report on</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Form 8-K filed on September 27, 2022).</w:t>
            </w:r>
          </w:p>
        </w:tc>
      </w:tr>
      <w:tr>
        <w:trPr>
          <w:trHeight w:val="210"/>
        </w:trPr>
        <w:tc>
          <w:tcPr>
            <w:tcW w:w="9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9900" w:type="dxa"/>
            <w:vAlign w:val="bottom"/>
          </w:tcPr>
          <w:p>
            <w:pPr>
              <w:ind w:left="380"/>
              <w:spacing w:after="0" w:line="209" w:lineRule="exact"/>
              <w:rPr>
                <w:sz w:val="20"/>
                <w:szCs w:val="20"/>
                <w:color w:val="auto"/>
              </w:rPr>
            </w:pPr>
            <w:r>
              <w:rPr>
                <w:rFonts w:ascii="Times New Roman" w:cs="Times New Roman" w:eastAsia="Times New Roman" w:hAnsi="Times New Roman"/>
                <w:sz w:val="20"/>
                <w:szCs w:val="20"/>
                <w:color w:val="auto"/>
              </w:rPr>
              <w:t>Governance Agreement, dated as of September 21, 2022 by and among, New Presto and certain of its affiliates</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(incorporated by reference to Exhibit 10.4 to the Current Report on Form 8-K filed on September 27, 2022).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10.5</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10.5 to the Current Report on Form 8-K</w:t>
            </w:r>
          </w:p>
        </w:tc>
      </w:tr>
      <w:tr>
        <w:trPr>
          <w:trHeight w:val="229"/>
        </w:trPr>
        <w:tc>
          <w:tcPr>
            <w:tcW w:w="900" w:type="dxa"/>
            <w:vAlign w:val="bottom"/>
            <w:shd w:val="clear" w:color="auto" w:fill="D1EDF4"/>
          </w:tcPr>
          <w:p>
            <w:pPr>
              <w:spacing w:after="0"/>
              <w:rPr>
                <w:sz w:val="19"/>
                <w:szCs w:val="19"/>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filed on September 27, 2022).</w:t>
            </w:r>
          </w:p>
        </w:tc>
      </w:tr>
      <w:tr>
        <w:trPr>
          <w:trHeight w:val="211"/>
        </w:trPr>
        <w:tc>
          <w:tcPr>
            <w:tcW w:w="9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10.6+</w:t>
            </w:r>
          </w:p>
        </w:tc>
        <w:tc>
          <w:tcPr>
            <w:tcW w:w="9900" w:type="dxa"/>
            <w:vAlign w:val="bottom"/>
          </w:tcPr>
          <w:p>
            <w:pPr>
              <w:ind w:left="380"/>
              <w:spacing w:after="0" w:line="211" w:lineRule="exact"/>
              <w:rPr>
                <w:sz w:val="20"/>
                <w:szCs w:val="20"/>
                <w:color w:val="auto"/>
              </w:rPr>
            </w:pPr>
            <w:r>
              <w:rPr>
                <w:rFonts w:ascii="Times New Roman" w:cs="Times New Roman" w:eastAsia="Times New Roman" w:hAnsi="Times New Roman"/>
                <w:sz w:val="20"/>
                <w:szCs w:val="20"/>
                <w:color w:val="auto"/>
              </w:rPr>
              <w:t>Presto Automation Inc. 2008 Stock Incentive Plan (incorporated by reference to Exhibit 10.6 to the Form S-1 filed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October 21, 2022).</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10.7+</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Presto Automation Inc. 2018 Equity Incentive Plan (incorporated by reference to Exhibit 10.7 to the Form S-1/A filed</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on December 16, 2022).</w:t>
            </w:r>
          </w:p>
        </w:tc>
      </w:tr>
      <w:tr>
        <w:trPr>
          <w:trHeight w:val="210"/>
        </w:trPr>
        <w:tc>
          <w:tcPr>
            <w:tcW w:w="9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10.8+</w:t>
            </w:r>
          </w:p>
        </w:tc>
        <w:tc>
          <w:tcPr>
            <w:tcW w:w="9900" w:type="dxa"/>
            <w:vAlign w:val="bottom"/>
          </w:tcPr>
          <w:p>
            <w:pPr>
              <w:ind w:left="380"/>
              <w:spacing w:after="0" w:line="209" w:lineRule="exact"/>
              <w:rPr>
                <w:sz w:val="20"/>
                <w:szCs w:val="20"/>
                <w:color w:val="auto"/>
              </w:rPr>
            </w:pPr>
            <w:r>
              <w:rPr>
                <w:rFonts w:ascii="Times New Roman" w:cs="Times New Roman" w:eastAsia="Times New Roman" w:hAnsi="Times New Roman"/>
                <w:sz w:val="20"/>
                <w:szCs w:val="20"/>
                <w:color w:val="auto"/>
              </w:rPr>
              <w:t>Presto Automation Inc. 2022 Incentive Award Plan (incorporated by reference to Exhibit 10.6 to the Current Report</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on Form 8-K filed on September 27, 2022).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10.9+</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Presto Automation Inc. 2022 Employee Stock Purchase Plan (incorporated by reference to Exhibit 10.7 to the Current</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Report on Form 8-K filed on September 27, 2022).</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10.10</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Amended &amp; Restated Cleveland Avenue Subscription Agreement, dated as of July 25, 2022, by and between VTAQ</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and Presto CA, LLC (incorporated by reference to Exhibit 10.2 to the Current Report on Form 8-K filed on July 26,</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2022).</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10.11</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Form of Amended &amp; Restated Equity Subscription Agreement (incorporated by reference to Exhibit 10.3 to the</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Current Report on Form 8-K filed on July 26, 2022).</w:t>
            </w:r>
          </w:p>
        </w:tc>
      </w:tr>
      <w:tr>
        <w:trPr>
          <w:trHeight w:val="210"/>
        </w:trPr>
        <w:tc>
          <w:tcPr>
            <w:tcW w:w="9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9900" w:type="dxa"/>
            <w:vAlign w:val="bottom"/>
          </w:tcPr>
          <w:p>
            <w:pPr>
              <w:ind w:left="380"/>
              <w:spacing w:after="0" w:line="209" w:lineRule="exact"/>
              <w:rPr>
                <w:sz w:val="20"/>
                <w:szCs w:val="20"/>
                <w:color w:val="auto"/>
              </w:rPr>
            </w:pPr>
            <w:r>
              <w:rPr>
                <w:rFonts w:ascii="Times New Roman" w:cs="Times New Roman" w:eastAsia="Times New Roman" w:hAnsi="Times New Roman"/>
                <w:sz w:val="20"/>
                <w:szCs w:val="20"/>
                <w:color w:val="auto"/>
              </w:rPr>
              <w:t>Offer Letter of Employment, dated as of February 23, 2021, by and between Dan Mosher and Presto Automation Inc.</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(incorporated by reference to Exhibit 10.12 to the Form S-1 filed on October 21, 2022).</w:t>
            </w:r>
          </w:p>
        </w:tc>
      </w:tr>
      <w:tr>
        <w:trPr>
          <w:trHeight w:val="230"/>
        </w:trPr>
        <w:tc>
          <w:tcPr>
            <w:tcW w:w="900" w:type="dxa"/>
            <w:vAlign w:val="bottom"/>
            <w:shd w:val="clear" w:color="auto" w:fill="D1EDF4"/>
          </w:tcPr>
          <w:p>
            <w:pPr>
              <w:spacing w:after="0" w:line="230" w:lineRule="exact"/>
              <w:rPr>
                <w:sz w:val="20"/>
                <w:szCs w:val="20"/>
                <w:color w:val="auto"/>
              </w:rPr>
            </w:pPr>
            <w:r>
              <w:rPr>
                <w:rFonts w:ascii="Times New Roman" w:cs="Times New Roman" w:eastAsia="Times New Roman" w:hAnsi="Times New Roman"/>
                <w:sz w:val="16"/>
                <w:szCs w:val="16"/>
                <w:color w:val="auto"/>
              </w:rPr>
              <w:t>10.13+</w:t>
            </w:r>
            <w:r>
              <w:rPr>
                <w:rFonts w:ascii="Arial Unicode MS" w:cs="Arial Unicode MS" w:eastAsia="Arial Unicode MS" w:hAnsi="Arial Unicode MS"/>
                <w:sz w:val="22"/>
                <w:szCs w:val="22"/>
                <w:color w:val="auto"/>
                <w:vertAlign w:val="superscript"/>
              </w:rPr>
              <w:t>∧</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Offer Letter of Employment, dated as of August 19, 2019, by and between Ashish Gupta and Presto Automation Inc.</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(incorporated by reference to Exhibit 10.13 to the Form S-1 filed on October 21, 2022).</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10.14††</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Consulting Agreement between Presto Automation Inc. and Ashish Gupta, dated March 4, 2023 (incorporated by</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reference to Exhibit 10.1 to the Current Report on Form 8-K filed on March 7, 2023).</w:t>
            </w:r>
          </w:p>
        </w:tc>
      </w:tr>
      <w:tr>
        <w:trPr>
          <w:trHeight w:val="229"/>
        </w:trPr>
        <w:tc>
          <w:tcPr>
            <w:tcW w:w="900" w:type="dxa"/>
            <w:vAlign w:val="bottom"/>
            <w:shd w:val="clear" w:color="auto" w:fill="D1EDF4"/>
          </w:tcPr>
          <w:p>
            <w:pPr>
              <w:spacing w:after="0"/>
              <w:rPr>
                <w:sz w:val="19"/>
                <w:szCs w:val="19"/>
                <w:color w:val="auto"/>
              </w:rPr>
            </w:pPr>
          </w:p>
        </w:tc>
        <w:tc>
          <w:tcPr>
            <w:tcW w:w="9900" w:type="dxa"/>
            <w:vAlign w:val="bottom"/>
            <w:shd w:val="clear" w:color="auto" w:fill="D1EDF4"/>
          </w:tcPr>
          <w:p>
            <w:pPr>
              <w:spacing w:after="0"/>
              <w:rPr>
                <w:sz w:val="19"/>
                <w:szCs w:val="19"/>
                <w:color w:val="auto"/>
              </w:rPr>
            </w:pPr>
          </w:p>
        </w:tc>
      </w:tr>
      <w:tr>
        <w:trPr>
          <w:trHeight w:val="211"/>
        </w:trPr>
        <w:tc>
          <w:tcPr>
            <w:tcW w:w="9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10.15</w:t>
            </w:r>
          </w:p>
        </w:tc>
        <w:tc>
          <w:tcPr>
            <w:tcW w:w="9900" w:type="dxa"/>
            <w:vAlign w:val="bottom"/>
          </w:tcPr>
          <w:p>
            <w:pPr>
              <w:ind w:left="380"/>
              <w:spacing w:after="0" w:line="211" w:lineRule="exact"/>
              <w:rPr>
                <w:sz w:val="20"/>
                <w:szCs w:val="20"/>
                <w:color w:val="auto"/>
              </w:rPr>
            </w:pPr>
            <w:r>
              <w:rPr>
                <w:rFonts w:ascii="Times New Roman" w:cs="Times New Roman" w:eastAsia="Times New Roman" w:hAnsi="Times New Roman"/>
                <w:sz w:val="20"/>
                <w:szCs w:val="20"/>
                <w:color w:val="auto"/>
              </w:rPr>
              <w:t>Waiver and First Amendment to Credit Agreement, dated March 31, 2023, by and among Presto Automation Inc., E</w:t>
            </w:r>
          </w:p>
        </w:tc>
      </w:tr>
      <w:tr>
        <w:trPr>
          <w:trHeight w:val="229"/>
        </w:trPr>
        <w:tc>
          <w:tcPr>
            <w:tcW w:w="900" w:type="dxa"/>
            <w:vAlign w:val="bottom"/>
          </w:tcPr>
          <w:p>
            <w:pPr>
              <w:spacing w:after="0"/>
              <w:rPr>
                <w:sz w:val="19"/>
                <w:szCs w:val="19"/>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La Carte, LLC, Metropolitan Partners Group Administration, LLC and certain lenders party thereto (incorporated by</w:t>
            </w:r>
          </w:p>
        </w:tc>
      </w:tr>
      <w:tr>
        <w:trPr>
          <w:trHeight w:val="267"/>
        </w:trPr>
        <w:tc>
          <w:tcPr>
            <w:tcW w:w="900" w:type="dxa"/>
            <w:vAlign w:val="bottom"/>
          </w:tcPr>
          <w:p>
            <w:pPr>
              <w:spacing w:after="0"/>
              <w:rPr>
                <w:sz w:val="23"/>
                <w:szCs w:val="23"/>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reference to Exhibit 10.1 to the Current Report on Form 8-K filed on April 6, 2023).</w:t>
            </w:r>
          </w:p>
        </w:tc>
      </w:tr>
      <w:tr>
        <w:trPr>
          <w:trHeight w:val="873"/>
        </w:trPr>
        <w:tc>
          <w:tcPr>
            <w:tcW w:w="900" w:type="dxa"/>
            <w:vAlign w:val="bottom"/>
          </w:tcPr>
          <w:p>
            <w:pPr>
              <w:spacing w:after="0"/>
              <w:rPr>
                <w:sz w:val="24"/>
                <w:szCs w:val="24"/>
                <w:color w:val="auto"/>
              </w:rPr>
            </w:pPr>
          </w:p>
        </w:tc>
        <w:tc>
          <w:tcPr>
            <w:tcW w:w="9900" w:type="dxa"/>
            <w:vAlign w:val="bottom"/>
          </w:tcPr>
          <w:p>
            <w:pPr>
              <w:ind w:left="4400"/>
              <w:spacing w:after="0"/>
              <w:rPr>
                <w:sz w:val="20"/>
                <w:szCs w:val="20"/>
                <w:color w:val="auto"/>
              </w:rPr>
            </w:pPr>
            <w:r>
              <w:rPr>
                <w:rFonts w:ascii="Times New Roman" w:cs="Times New Roman" w:eastAsia="Times New Roman" w:hAnsi="Times New Roman"/>
                <w:sz w:val="20"/>
                <w:szCs w:val="20"/>
                <w:color w:val="auto"/>
              </w:rPr>
              <w:t>51</w:t>
            </w:r>
          </w:p>
        </w:tc>
      </w:tr>
    </w:tbl>
    <w:p>
      <w:pPr>
        <w:sectPr>
          <w:pgSz w:w="12240" w:h="15840" w:orient="portrait"/>
          <w:cols w:equalWidth="0" w:num="1">
            <w:col w:w="10800"/>
          </w:cols>
          <w:pgMar w:left="720" w:top="696" w:right="720" w:bottom="139"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10.16</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Amended and Restated Fee Letter, dated March 31, 2023, by and among Presto Automation Inc., E La Carte, LLC,</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Metropolitan Partners Group Administration LLC and certain lenders party thereto (incorporated by reference to</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Exhibit 10.2 to the Current Report on Form 8-K filed on April 6, 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10.17</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Warrant to Purchase Common Stock, dated March 31, 2023, by and between Presto Automation Inc. and Metropolitan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Levered Partners Fund VII, LP (incorporated by reference to Exhibit 10.3 to the Current Report on Form 8-K filed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April 6, 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10.18</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Warrant to Purchase Common Stock, dated March 31, 2023, by and between Presto Automation Inc. and Metropolitan</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Partners Fund VII, LP (incorporated by reference to Exhibit 10.4 to the Current Report on Form 8-K filed on April 6,</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10.19</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Warrant to Purchase Common Stock, dated March 31, 2023, by and between Presto Automation Inc. and Metropolitan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Offshore Partners Fund VII, LP (incorporated by reference to Exhibit 10.5 to the Current Report on Form 8-K filed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April 6, 2023).</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10.20</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Warrant to Purchase Common Stock, dated March 31, 2023, by and between Presto Automation Inc. and CEOF</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Holdings, LP (incorporated by reference to Exhibit 10.6 to the Current Report on Form 8-K filed on April 6, 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10.21</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Registration Rights Agreement, dated as of March 31, 2023, by and among Presto Automation Inc. and certain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persons listed therein (incorporated by reference to Exhibit 10.7 to the Current Report on Form 8-K filed on April 6,</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10.22+</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Amendment to Consulting Agreement, dated May 3, 2023, by and between Presto Automation Inc. and Ashish Gupta</w:t>
            </w:r>
          </w:p>
        </w:tc>
      </w:tr>
      <w:tr>
        <w:trPr>
          <w:trHeight w:val="229"/>
        </w:trPr>
        <w:tc>
          <w:tcPr>
            <w:tcW w:w="900" w:type="dxa"/>
            <w:vAlign w:val="bottom"/>
            <w:shd w:val="clear" w:color="auto" w:fill="D1EDF4"/>
          </w:tcPr>
          <w:p>
            <w:pPr>
              <w:spacing w:after="0"/>
              <w:rPr>
                <w:sz w:val="19"/>
                <w:szCs w:val="19"/>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(incorporated by reference to Exhibit 10.1 to the Current Report on Form 8-K filed on May 10, 2023).</w:t>
            </w:r>
          </w:p>
        </w:tc>
      </w:tr>
      <w:tr>
        <w:trPr>
          <w:trHeight w:val="211"/>
        </w:trPr>
        <w:tc>
          <w:tcPr>
            <w:tcW w:w="9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10.23†</w:t>
            </w:r>
          </w:p>
        </w:tc>
        <w:tc>
          <w:tcPr>
            <w:tcW w:w="9900" w:type="dxa"/>
            <w:vAlign w:val="bottom"/>
          </w:tcPr>
          <w:p>
            <w:pPr>
              <w:ind w:left="380"/>
              <w:spacing w:after="0" w:line="211" w:lineRule="exact"/>
              <w:rPr>
                <w:sz w:val="20"/>
                <w:szCs w:val="20"/>
                <w:color w:val="auto"/>
              </w:rPr>
            </w:pPr>
            <w:r>
              <w:rPr>
                <w:rFonts w:ascii="Times New Roman" w:cs="Times New Roman" w:eastAsia="Times New Roman" w:hAnsi="Times New Roman"/>
                <w:sz w:val="20"/>
                <w:szCs w:val="20"/>
                <w:color w:val="auto"/>
              </w:rPr>
              <w:t>Form of Securities Purchase Agreement, dated May 22, 2023, by an among Presto Automation Inc. and each</w:t>
            </w:r>
          </w:p>
        </w:tc>
      </w:tr>
      <w:tr>
        <w:trPr>
          <w:trHeight w:val="229"/>
        </w:trPr>
        <w:tc>
          <w:tcPr>
            <w:tcW w:w="900" w:type="dxa"/>
            <w:vAlign w:val="bottom"/>
          </w:tcPr>
          <w:p>
            <w:pPr>
              <w:spacing w:after="0"/>
              <w:rPr>
                <w:sz w:val="19"/>
                <w:szCs w:val="19"/>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purchaser listed in the signature page thereto (incorporated by reference to Exhibit 10.1 to the Current Report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Form 8-K filed on May 22, 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10.24</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Form of Registration Rights Agreement, dated as of May 22, 2023, by and among Presto Automation Inc. and certain</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persons listed therein (incorporated by reference to Exhibit 10.2 to the Current Report on Form 8-K filed on May 22,</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11"/>
        </w:trPr>
        <w:tc>
          <w:tcPr>
            <w:tcW w:w="90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10.25</w:t>
            </w:r>
          </w:p>
        </w:tc>
        <w:tc>
          <w:tcPr>
            <w:tcW w:w="9900" w:type="dxa"/>
            <w:vAlign w:val="bottom"/>
          </w:tcPr>
          <w:p>
            <w:pPr>
              <w:ind w:left="380"/>
              <w:spacing w:after="0" w:line="211" w:lineRule="exact"/>
              <w:rPr>
                <w:sz w:val="20"/>
                <w:szCs w:val="20"/>
                <w:color w:val="auto"/>
              </w:rPr>
            </w:pPr>
            <w:r>
              <w:rPr>
                <w:rFonts w:ascii="Times New Roman" w:cs="Times New Roman" w:eastAsia="Times New Roman" w:hAnsi="Times New Roman"/>
                <w:sz w:val="20"/>
                <w:szCs w:val="20"/>
                <w:color w:val="auto"/>
              </w:rPr>
              <w:t>Second Amendment to Credit Agreement, dated as of May 22, 2023, by and among E la Carte, LLC (f/k/a Ventoux</w:t>
            </w:r>
          </w:p>
        </w:tc>
      </w:tr>
      <w:tr>
        <w:trPr>
          <w:trHeight w:val="229"/>
        </w:trPr>
        <w:tc>
          <w:tcPr>
            <w:tcW w:w="900" w:type="dxa"/>
            <w:vAlign w:val="bottom"/>
          </w:tcPr>
          <w:p>
            <w:pPr>
              <w:spacing w:after="0"/>
              <w:rPr>
                <w:sz w:val="19"/>
                <w:szCs w:val="19"/>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Merger Sub II LLC), Presto Automation Inc., the lenders party thereto and Metropolitan Partners Group</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Administration, LLC (incorporated by reference to Exhibit 10.3 to the Current Report on Form 8-K filed on May 22,</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10.26</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Amended and Restated Fee Letter, dated May 22, 2023, by and among E la Carte, LLC (f/k/a Ventoux Merger Sub II</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LLC), Presto Automation Inc. and Metropolitan Partners Group Administration LLC (incorporated by reference to</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Exhibit 10.4 to the Current Report on Form 8-K filed on May 22, 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10.27</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Warrant to Purchase Common Stock, dated May 22, 2023, by and between Presto Automation Inc. and Metropolitan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Levered Partners Fund VII, LP (incorporated by reference to Exhibit 10.5 to the Current Report on Form 8-K filed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May 22, 2023).</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10.28</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Warrant to Purchase Common Stock, dated May 22, 2023, by and between Presto Automation Inc. and Metropolitan</w:t>
            </w:r>
          </w:p>
        </w:tc>
      </w:tr>
      <w:tr>
        <w:trPr>
          <w:trHeight w:val="211"/>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11" w:lineRule="exact"/>
              <w:rPr>
                <w:sz w:val="20"/>
                <w:szCs w:val="20"/>
                <w:color w:val="auto"/>
              </w:rPr>
            </w:pPr>
            <w:r>
              <w:rPr>
                <w:rFonts w:ascii="Times New Roman" w:cs="Times New Roman" w:eastAsia="Times New Roman" w:hAnsi="Times New Roman"/>
                <w:sz w:val="20"/>
                <w:szCs w:val="20"/>
                <w:color w:val="auto"/>
              </w:rPr>
              <w:t>Partners Fund VII, LP (incorporated by reference to Exhibit 10.6 to the Current Report on Form 8-K filed on May 22,</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10.29</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Warrant to Purchase Common Stock, dated May 22, 2023, by and between Presto Automation Inc. and Metropolitan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Offshore Partners Fund VII, LP (incorporated by reference to Exhibit 10.7 to the Current Report on Form 8-K filed on</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May 22, 2023).</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10.30</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Warrant to Purchase Common Stock, dated May 22, 2023, by and between Presto Automation Inc. and CEOF</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Holdings, LP (incorporated by reference to Exhibit 10.8 to the Current Report on Form 8-K filed on May 22, 2023).</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10.31</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Registration Rights Agreement, dated as of March 31, 2023, by and among Presto Automation Inc. and certain</w:t>
            </w:r>
          </w:p>
        </w:tc>
      </w:tr>
      <w:tr>
        <w:trPr>
          <w:trHeight w:val="230"/>
        </w:trPr>
        <w:tc>
          <w:tcPr>
            <w:tcW w:w="900" w:type="dxa"/>
            <w:vAlign w:val="bottom"/>
          </w:tcPr>
          <w:p>
            <w:pPr>
              <w:spacing w:after="0"/>
              <w:rPr>
                <w:sz w:val="20"/>
                <w:szCs w:val="20"/>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persons listed therein (incorporated by reference to Exhibit 10.7 to the Current Report on Form 8-K filed on April 6,</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10.32*+</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Offer of Employment, Daniel Mosher, dated May 12, 2023</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10.33*+</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Offer of Employment, Xavier Casanova, dated April 25, 2023</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16.1</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Letter from Withum Smith+Brown, PC (incorporated by reference to Exhibit 16.1 to the Current Report on Form 8-K</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filed on November 2, 2022).</w:t>
            </w:r>
          </w:p>
        </w:tc>
      </w:tr>
      <w:tr>
        <w:trPr>
          <w:trHeight w:val="210"/>
        </w:trPr>
        <w:tc>
          <w:tcPr>
            <w:tcW w:w="9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21.1*</w:t>
            </w:r>
          </w:p>
        </w:tc>
        <w:tc>
          <w:tcPr>
            <w:tcW w:w="9900" w:type="dxa"/>
            <w:vAlign w:val="bottom"/>
          </w:tcPr>
          <w:p>
            <w:pPr>
              <w:ind w:left="380"/>
              <w:spacing w:after="0" w:line="210" w:lineRule="exact"/>
              <w:rPr>
                <w:sz w:val="20"/>
                <w:szCs w:val="20"/>
                <w:color w:val="auto"/>
              </w:rPr>
            </w:pPr>
            <w:r>
              <w:rPr>
                <w:rFonts w:ascii="Times New Roman" w:cs="Times New Roman" w:eastAsia="Times New Roman" w:hAnsi="Times New Roman"/>
                <w:sz w:val="20"/>
                <w:szCs w:val="20"/>
                <w:color w:val="auto"/>
              </w:rPr>
              <w:t>List of Subsidiaries*</w:t>
            </w:r>
          </w:p>
        </w:tc>
      </w:tr>
      <w:tr>
        <w:trPr>
          <w:trHeight w:val="25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Consent of Moss Adams, LLP.</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24.1</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Power of Attorney (included on signature page of this Annual Report on Form 10-K)</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spacing w:after="0"/>
              <w:rPr>
                <w:sz w:val="20"/>
                <w:szCs w:val="20"/>
                <w:color w:val="auto"/>
              </w:rPr>
            </w:pPr>
          </w:p>
        </w:tc>
      </w:tr>
      <w:tr>
        <w:trPr>
          <w:trHeight w:val="210"/>
        </w:trPr>
        <w:tc>
          <w:tcPr>
            <w:tcW w:w="9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auto"/>
              </w:rPr>
              <w:t>31.1*</w:t>
            </w:r>
          </w:p>
        </w:tc>
        <w:tc>
          <w:tcPr>
            <w:tcW w:w="9900" w:type="dxa"/>
            <w:vAlign w:val="bottom"/>
          </w:tcPr>
          <w:p>
            <w:pPr>
              <w:ind w:left="380"/>
              <w:spacing w:after="0" w:line="209" w:lineRule="exact"/>
              <w:rPr>
                <w:sz w:val="20"/>
                <w:szCs w:val="20"/>
                <w:color w:val="auto"/>
              </w:rPr>
            </w:pPr>
            <w:r>
              <w:rPr>
                <w:rFonts w:ascii="Times New Roman" w:cs="Times New Roman" w:eastAsia="Times New Roman" w:hAnsi="Times New Roman"/>
                <w:sz w:val="20"/>
                <w:szCs w:val="20"/>
                <w:color w:val="auto"/>
              </w:rPr>
              <w:t>Certification of Chief Executive Officer (Principal Executive Officer) Pursuant to Rules 13a-14(a) and 15d-14(a)</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under the Securities Exchange Act of 1934, as Adopted Pursuant to Section 302 of the Sarbanes-Oxley Act of 2002.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31.2*</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Certification of Chief Financial Officer (Principal Financial and Accounting Officer) Pursuant to Rules 13a-14(a) and</w:t>
            </w:r>
          </w:p>
        </w:tc>
      </w:tr>
      <w:tr>
        <w:trPr>
          <w:trHeight w:val="210"/>
        </w:trPr>
        <w:tc>
          <w:tcPr>
            <w:tcW w:w="900" w:type="dxa"/>
            <w:vAlign w:val="bottom"/>
            <w:shd w:val="clear" w:color="auto" w:fill="D1EDF4"/>
          </w:tcPr>
          <w:p>
            <w:pPr>
              <w:spacing w:after="0"/>
              <w:rPr>
                <w:sz w:val="18"/>
                <w:szCs w:val="18"/>
                <w:color w:val="auto"/>
              </w:rPr>
            </w:pPr>
          </w:p>
        </w:tc>
        <w:tc>
          <w:tcPr>
            <w:tcW w:w="9900" w:type="dxa"/>
            <w:vAlign w:val="bottom"/>
            <w:shd w:val="clear" w:color="auto" w:fill="D1EDF4"/>
          </w:tcPr>
          <w:p>
            <w:pPr>
              <w:ind w:left="380"/>
              <w:spacing w:after="0" w:line="209" w:lineRule="exact"/>
              <w:rPr>
                <w:sz w:val="20"/>
                <w:szCs w:val="20"/>
                <w:color w:val="auto"/>
              </w:rPr>
            </w:pPr>
            <w:r>
              <w:rPr>
                <w:rFonts w:ascii="Times New Roman" w:cs="Times New Roman" w:eastAsia="Times New Roman" w:hAnsi="Times New Roman"/>
                <w:sz w:val="20"/>
                <w:szCs w:val="20"/>
                <w:color w:val="auto"/>
              </w:rPr>
              <w:t>15d-14(a) under the Securities Exchange Act of 1934, as Adopted Pursuant to Section 302 of the Sarbanes-Oxley Act</w:t>
            </w:r>
          </w:p>
        </w:tc>
      </w:tr>
      <w:tr>
        <w:trPr>
          <w:trHeight w:val="250"/>
        </w:trPr>
        <w:tc>
          <w:tcPr>
            <w:tcW w:w="900" w:type="dxa"/>
            <w:vAlign w:val="bottom"/>
            <w:shd w:val="clear" w:color="auto" w:fill="D1EDF4"/>
          </w:tcPr>
          <w:p>
            <w:pPr>
              <w:spacing w:after="0"/>
              <w:rPr>
                <w:sz w:val="21"/>
                <w:szCs w:val="21"/>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of 2002.</w:t>
            </w:r>
          </w:p>
        </w:tc>
      </w:tr>
      <w:tr>
        <w:trPr>
          <w:trHeight w:val="848"/>
        </w:trPr>
        <w:tc>
          <w:tcPr>
            <w:tcW w:w="900" w:type="dxa"/>
            <w:vAlign w:val="bottom"/>
          </w:tcPr>
          <w:p>
            <w:pPr>
              <w:spacing w:after="0"/>
              <w:rPr>
                <w:sz w:val="24"/>
                <w:szCs w:val="24"/>
                <w:color w:val="auto"/>
              </w:rPr>
            </w:pPr>
          </w:p>
        </w:tc>
        <w:tc>
          <w:tcPr>
            <w:tcW w:w="9900" w:type="dxa"/>
            <w:vAlign w:val="bottom"/>
          </w:tcPr>
          <w:p>
            <w:pPr>
              <w:ind w:left="4400"/>
              <w:spacing w:after="0"/>
              <w:rPr>
                <w:sz w:val="20"/>
                <w:szCs w:val="20"/>
                <w:color w:val="auto"/>
              </w:rPr>
            </w:pPr>
            <w:r>
              <w:rPr>
                <w:rFonts w:ascii="Times New Roman" w:cs="Times New Roman" w:eastAsia="Times New Roman" w:hAnsi="Times New Roman"/>
                <w:sz w:val="20"/>
                <w:szCs w:val="20"/>
                <w:color w:val="auto"/>
              </w:rPr>
              <w:t>52</w:t>
            </w:r>
          </w:p>
        </w:tc>
      </w:tr>
    </w:tbl>
    <w:p>
      <w:pPr>
        <w:sectPr>
          <w:pgSz w:w="12240" w:h="15840" w:orient="portrait"/>
          <w:cols w:equalWidth="0" w:num="1">
            <w:col w:w="10800"/>
          </w:cols>
          <w:pgMar w:left="720" w:top="720" w:right="720" w:bottom="139"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Certification of Chief Executive Officer (Principal Executive Officer) Pursuant to 18 U.S.C. Section 1350, as Adopted</w:t>
            </w:r>
          </w:p>
        </w:tc>
      </w:tr>
      <w:tr>
        <w:trPr>
          <w:trHeight w:val="250"/>
        </w:trPr>
        <w:tc>
          <w:tcPr>
            <w:tcW w:w="900" w:type="dxa"/>
            <w:vAlign w:val="bottom"/>
          </w:tcPr>
          <w:p>
            <w:pPr>
              <w:spacing w:after="0"/>
              <w:rPr>
                <w:sz w:val="21"/>
                <w:szCs w:val="21"/>
                <w:color w:val="auto"/>
              </w:rPr>
            </w:pP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Pursuant to Section 906 of the Sarbanes-Oxley Act of 2002.</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32.2**</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Certification of Chief Financial Officer (Principal Financial and Accounting Officer) Pursuant to 18 U.S.C. Section</w:t>
            </w:r>
          </w:p>
        </w:tc>
      </w:tr>
      <w:tr>
        <w:trPr>
          <w:trHeight w:val="230"/>
        </w:trPr>
        <w:tc>
          <w:tcPr>
            <w:tcW w:w="900" w:type="dxa"/>
            <w:vAlign w:val="bottom"/>
            <w:shd w:val="clear" w:color="auto" w:fill="D1EDF4"/>
          </w:tcPr>
          <w:p>
            <w:pPr>
              <w:spacing w:after="0"/>
              <w:rPr>
                <w:sz w:val="20"/>
                <w:szCs w:val="20"/>
                <w:color w:val="auto"/>
              </w:rPr>
            </w:pP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1350, as Adopted Pursuant to Section 906 of the Sarbanes-Oxley Act of 2002.</w:t>
            </w:r>
          </w:p>
        </w:tc>
      </w:tr>
      <w:tr>
        <w:trPr>
          <w:trHeight w:val="229"/>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101.SCH*</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29"/>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101.DEF*</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30"/>
        </w:trPr>
        <w:tc>
          <w:tcPr>
            <w:tcW w:w="900" w:type="dxa"/>
            <w:vAlign w:val="bottom"/>
            <w:shd w:val="clear" w:color="auto" w:fill="D1EDF4"/>
          </w:tcPr>
          <w:p>
            <w:pPr>
              <w:spacing w:after="0"/>
              <w:rPr>
                <w:sz w:val="20"/>
                <w:szCs w:val="20"/>
                <w:color w:val="auto"/>
              </w:rPr>
            </w:pPr>
            <w:r>
              <w:rPr>
                <w:rFonts w:ascii="Times New Roman" w:cs="Times New Roman" w:eastAsia="Times New Roman" w:hAnsi="Times New Roman"/>
                <w:sz w:val="20"/>
                <w:szCs w:val="20"/>
                <w:color w:val="auto"/>
              </w:rPr>
              <w:t>101.PRE*</w:t>
            </w:r>
          </w:p>
        </w:tc>
        <w:tc>
          <w:tcPr>
            <w:tcW w:w="9900" w:type="dxa"/>
            <w:vAlign w:val="bottom"/>
            <w:shd w:val="clear" w:color="auto" w:fill="D1EDF4"/>
          </w:tcPr>
          <w:p>
            <w:pPr>
              <w:ind w:left="3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67"/>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9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171450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135pt,6.6pt" o:allowincell="f" strokecolor="#000000" strokeweight="1.0199pt"/>
            </w:pict>
          </mc:Fallback>
        </mc:AlternateContent>
      </w:r>
    </w:p>
    <w:p>
      <w:pPr>
        <w:spacing w:after="0" w:line="152" w:lineRule="exact"/>
        <w:rPr>
          <w:sz w:val="20"/>
          <w:szCs w:val="20"/>
          <w:color w:val="auto"/>
        </w:rPr>
      </w:pPr>
    </w:p>
    <w:p>
      <w:pPr>
        <w:ind w:left="360" w:right="300" w:hanging="360"/>
        <w:spacing w:after="0" w:line="278" w:lineRule="auto"/>
        <w:tabs>
          <w:tab w:leader="none" w:pos="36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68" w:lineRule="exact"/>
        <w:rPr>
          <w:sz w:val="20"/>
          <w:szCs w:val="20"/>
          <w:color w:val="auto"/>
        </w:rPr>
      </w:pPr>
    </w:p>
    <w:p>
      <w:pPr>
        <w:ind w:left="220" w:hanging="220"/>
        <w:spacing w:after="0"/>
        <w:tabs>
          <w:tab w:leader="none" w:pos="2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management contract of compensatory plan or arrangement.</w:t>
      </w:r>
    </w:p>
    <w:p>
      <w:pPr>
        <w:spacing w:after="0" w:line="254" w:lineRule="exact"/>
        <w:rPr>
          <w:rFonts w:ascii="Times New Roman" w:cs="Times New Roman" w:eastAsia="Times New Roman" w:hAnsi="Times New Roman"/>
          <w:sz w:val="20"/>
          <w:szCs w:val="20"/>
          <w:color w:val="auto"/>
        </w:rPr>
      </w:pPr>
    </w:p>
    <w:p>
      <w:pPr>
        <w:ind w:left="480" w:hanging="434"/>
        <w:spacing w:after="0" w:line="218" w:lineRule="exact"/>
        <w:rPr>
          <w:rFonts w:ascii="Times New Roman" w:cs="Times New Roman" w:eastAsia="Times New Roman" w:hAnsi="Times New Roman"/>
          <w:sz w:val="20"/>
          <w:szCs w:val="20"/>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200" w:lineRule="exact"/>
        <w:rPr>
          <w:sz w:val="20"/>
          <w:szCs w:val="20"/>
          <w:color w:val="auto"/>
        </w:rPr>
      </w:pPr>
    </w:p>
    <w:p>
      <w:pPr>
        <w:spacing w:after="0" w:line="238" w:lineRule="exact"/>
        <w:rPr>
          <w:sz w:val="20"/>
          <w:szCs w:val="20"/>
          <w:color w:val="auto"/>
        </w:rPr>
      </w:pPr>
    </w:p>
    <w:p>
      <w:pPr>
        <w:ind w:left="360" w:hanging="360"/>
        <w:spacing w:after="0"/>
        <w:tabs>
          <w:tab w:leader="none" w:pos="3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39"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699" w:right="720" w:bottom="175" w:gutter="0" w:footer="0" w:header="0"/>
        </w:sectPr>
      </w:pPr>
    </w:p>
    <w:bookmarkStart w:id="110" w:name="page111"/>
    <w:bookmarkEnd w:id="110"/>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43" w:lineRule="exact"/>
        <w:rPr>
          <w:sz w:val="20"/>
          <w:szCs w:val="20"/>
          <w:color w:val="auto"/>
        </w:rPr>
      </w:pPr>
    </w:p>
    <w:p>
      <w:pPr>
        <w:ind w:firstLine="72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hereunto duly authorized.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10, 2023</w:t>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PRESTO AUTOMATION INC.</w:t>
      </w:r>
    </w:p>
    <w:p>
      <w:pPr>
        <w:spacing w:after="0" w:line="202"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20"/>
          <w:szCs w:val="20"/>
          <w:color w:val="auto"/>
        </w:rPr>
        <w:t>By:</w:t>
        <w:tab/>
        <w:t>/s/ Xavier Cassanova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3902075</wp:posOffset>
                </wp:positionH>
                <wp:positionV relativeFrom="paragraph">
                  <wp:posOffset>15240</wp:posOffset>
                </wp:positionV>
                <wp:extent cx="295592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59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5pt,1.2pt" to="540pt,1.2pt" o:allowincell="f" strokecolor="#000000" strokeweight="0.4799pt"/>
            </w:pict>
          </mc:Fallback>
        </mc:AlternateContent>
      </w:r>
    </w:p>
    <w:p>
      <w:pPr>
        <w:spacing w:after="0" w:line="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Xavier Cassanova</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Title: Chief Executive Officer</w:t>
      </w:r>
    </w:p>
    <w:p>
      <w:pPr>
        <w:ind w:left="61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2" w:lineRule="exact"/>
        <w:rPr>
          <w:sz w:val="20"/>
          <w:szCs w:val="20"/>
          <w:color w:val="auto"/>
        </w:rPr>
      </w:pPr>
    </w:p>
    <w:p>
      <w:pPr>
        <w:ind w:left="5580"/>
        <w:spacing w:after="0"/>
        <w:tabs>
          <w:tab w:leader="none" w:pos="6120" w:val="left"/>
        </w:tabs>
        <w:rPr>
          <w:sz w:val="20"/>
          <w:szCs w:val="20"/>
          <w:color w:val="auto"/>
        </w:rPr>
      </w:pPr>
      <w:r>
        <w:rPr>
          <w:rFonts w:ascii="Times New Roman" w:cs="Times New Roman" w:eastAsia="Times New Roman" w:hAnsi="Times New Roman"/>
          <w:sz w:val="20"/>
          <w:szCs w:val="20"/>
          <w:color w:val="auto"/>
        </w:rPr>
        <w:t>By:</w:t>
        <w:tab/>
        <w:t>/s/ Stanley Mbugua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3902075</wp:posOffset>
                </wp:positionH>
                <wp:positionV relativeFrom="paragraph">
                  <wp:posOffset>15240</wp:posOffset>
                </wp:positionV>
                <wp:extent cx="295592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5592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5pt,1.2pt" to="540pt,1.2pt" o:allowincell="f" strokecolor="#000000" strokeweight="0.4799pt"/>
            </w:pict>
          </mc:Fallback>
        </mc:AlternateContent>
      </w:r>
    </w:p>
    <w:p>
      <w:pPr>
        <w:spacing w:after="0" w:line="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Name: Stanley Mbugua</w:t>
      </w:r>
    </w:p>
    <w:p>
      <w:pPr>
        <w:ind w:left="5580"/>
        <w:spacing w:after="0"/>
        <w:rPr>
          <w:sz w:val="20"/>
          <w:szCs w:val="20"/>
          <w:color w:val="auto"/>
        </w:rPr>
      </w:pPr>
      <w:r>
        <w:rPr>
          <w:rFonts w:ascii="Times New Roman" w:cs="Times New Roman" w:eastAsia="Times New Roman" w:hAnsi="Times New Roman"/>
          <w:sz w:val="20"/>
          <w:szCs w:val="20"/>
          <w:color w:val="auto"/>
        </w:rPr>
        <w:t>Title: Interim Chief Financial Officer</w:t>
      </w:r>
    </w:p>
    <w:p>
      <w:pPr>
        <w:ind w:left="61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500"/>
          </w:cols>
          <w:pgMar w:left="720" w:top="696" w:right="1020" w:bottom="175"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164" w:lineRule="exact"/>
        <w:rPr>
          <w:sz w:val="20"/>
          <w:szCs w:val="20"/>
          <w:color w:val="auto"/>
        </w:rPr>
      </w:pPr>
    </w:p>
    <w:p>
      <w:pPr>
        <w:jc w:val="both"/>
        <w:ind w:firstLine="480"/>
        <w:spacing w:after="0" w:line="245" w:lineRule="auto"/>
        <w:rPr>
          <w:sz w:val="20"/>
          <w:szCs w:val="20"/>
          <w:color w:val="auto"/>
        </w:rPr>
      </w:pPr>
      <w:r>
        <w:rPr>
          <w:rFonts w:ascii="Times New Roman" w:cs="Times New Roman" w:eastAsia="Times New Roman" w:hAnsi="Times New Roman"/>
          <w:sz w:val="20"/>
          <w:szCs w:val="20"/>
          <w:color w:val="auto"/>
        </w:rPr>
        <w:t>Each person whose signature appears below constitutes and appoints each of Xavier Casanova and Stanley Mbugua, acting alone or together with another attorney-in-fact, as his or her true and lawful attorney-in -fact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1" w:lineRule="exact"/>
        <w:rPr>
          <w:sz w:val="20"/>
          <w:szCs w:val="20"/>
          <w:color w:val="auto"/>
        </w:rPr>
      </w:pPr>
    </w:p>
    <w:p>
      <w:pPr>
        <w:jc w:val="both"/>
        <w:ind w:firstLine="48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Exchange Act, this report has been signed by the following persons on behalf of the registrant and in the capacities on the dates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180" w:type="dxa"/>
            <w:vAlign w:val="bottom"/>
          </w:tcPr>
          <w:p>
            <w:pPr>
              <w:spacing w:after="0"/>
              <w:rPr>
                <w:sz w:val="21"/>
                <w:szCs w:val="21"/>
                <w:color w:val="auto"/>
              </w:rPr>
            </w:pPr>
          </w:p>
        </w:tc>
        <w:tc>
          <w:tcPr>
            <w:tcW w:w="5020" w:type="dxa"/>
            <w:vAlign w:val="bottom"/>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70"/>
        </w:trPr>
        <w:tc>
          <w:tcPr>
            <w:tcW w:w="216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5020" w:type="dxa"/>
            <w:vAlign w:val="bottom"/>
            <w:vMerge w:val="continue"/>
          </w:tcPr>
          <w:p>
            <w:pPr>
              <w:spacing w:after="0"/>
              <w:rPr>
                <w:sz w:val="6"/>
                <w:szCs w:val="6"/>
                <w:color w:val="auto"/>
              </w:rPr>
            </w:pPr>
          </w:p>
        </w:tc>
        <w:tc>
          <w:tcPr>
            <w:tcW w:w="2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Xavier Casanova</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67"/>
        </w:trPr>
        <w:tc>
          <w:tcPr>
            <w:tcW w:w="216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Xavier Casanova</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Interim Chief Financial Officer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67"/>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Stanley Mbugua</w:t>
            </w:r>
          </w:p>
        </w:tc>
        <w:tc>
          <w:tcPr>
            <w:tcW w:w="118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Officer and Chief Accounting Officer)</w:t>
            </w: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Stanley Mbugua</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Krishna Gupta</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Krishna Gupta</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Ilya Golubovich</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9"/>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Ilya Golubovich</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Keith Kravcik</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9"/>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2"/>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Keith Kravcik</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Scott Raskin</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9"/>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Scott Raskin</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Gail Zauder</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3"/>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Gail Zauder</w:t>
            </w:r>
          </w:p>
        </w:tc>
        <w:tc>
          <w:tcPr>
            <w:tcW w:w="1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20"/>
                <w:szCs w:val="20"/>
                <w:color w:val="auto"/>
              </w:rPr>
              <w:t>Edward Scheetz</w:t>
            </w:r>
          </w:p>
        </w:tc>
        <w:tc>
          <w:tcPr>
            <w:tcW w:w="118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3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October 10, 2023</w:t>
            </w:r>
          </w:p>
        </w:tc>
        <w:tc>
          <w:tcPr>
            <w:tcW w:w="0" w:type="dxa"/>
            <w:vAlign w:val="bottom"/>
          </w:tcPr>
          <w:p>
            <w:pPr>
              <w:spacing w:after="0"/>
              <w:rPr>
                <w:sz w:val="1"/>
                <w:szCs w:val="1"/>
                <w:color w:val="auto"/>
              </w:rPr>
            </w:pPr>
          </w:p>
        </w:tc>
      </w:tr>
      <w:tr>
        <w:trPr>
          <w:trHeight w:val="28"/>
        </w:trPr>
        <w:tc>
          <w:tcPr>
            <w:tcW w:w="216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160" w:type="dxa"/>
            <w:vAlign w:val="bottom"/>
          </w:tcPr>
          <w:p>
            <w:pPr>
              <w:spacing w:after="0"/>
              <w:rPr>
                <w:sz w:val="20"/>
                <w:szCs w:val="20"/>
                <w:color w:val="auto"/>
              </w:rPr>
            </w:pPr>
            <w:r>
              <w:rPr>
                <w:rFonts w:ascii="Times New Roman" w:cs="Times New Roman" w:eastAsia="Times New Roman" w:hAnsi="Times New Roman"/>
                <w:sz w:val="20"/>
                <w:szCs w:val="20"/>
                <w:color w:val="auto"/>
              </w:rPr>
              <w:t>Edward Scheetz</w:t>
            </w:r>
          </w:p>
        </w:tc>
        <w:tc>
          <w:tcPr>
            <w:tcW w:w="118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-4492625</wp:posOffset>
                </wp:positionV>
                <wp:extent cx="678815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0"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3.7499pt" to="534.5pt,-353.7499pt" o:allowincell="f" strokecolor="#000000" strokeweight="0.23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XBRL Only Section</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6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Element</w:t>
            </w:r>
          </w:p>
        </w:tc>
        <w:tc>
          <w:tcPr>
            <w:tcW w:w="3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Value</w:t>
            </w:r>
          </w:p>
        </w:tc>
        <w:tc>
          <w:tcPr>
            <w:tcW w:w="3600" w:type="dxa"/>
            <w:vAlign w:val="bottom"/>
            <w:tcBorders>
              <w:top w:val="single" w:sz="8" w:color="auto"/>
              <w:bottom w:val="single" w:sz="8" w:color="auto"/>
              <w:right w:val="single" w:sz="8" w:color="auto"/>
            </w:tcBorders>
          </w:tcPr>
          <w:p>
            <w:pPr>
              <w:spacing w:after="0"/>
              <w:rPr>
                <w:sz w:val="20"/>
                <w:szCs w:val="20"/>
                <w:color w:val="auto"/>
              </w:rPr>
            </w:pPr>
          </w:p>
        </w:tc>
      </w:tr>
      <w:tr>
        <w:trPr>
          <w:trHeight w:val="220"/>
        </w:trPr>
        <w:tc>
          <w:tcPr>
            <w:tcW w:w="362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EntityCentralIndexKey#</w:t>
            </w:r>
          </w:p>
        </w:tc>
        <w:tc>
          <w:tcPr>
            <w:tcW w:w="358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0001822145</w:t>
            </w:r>
          </w:p>
        </w:tc>
        <w:tc>
          <w:tcPr>
            <w:tcW w:w="3600" w:type="dxa"/>
            <w:vAlign w:val="bottom"/>
            <w:tcBorders>
              <w:bottom w:val="single" w:sz="8" w:color="auto"/>
              <w:right w:val="single" w:sz="8" w:color="auto"/>
            </w:tcBorders>
          </w:tcPr>
          <w:p>
            <w:pPr>
              <w:spacing w:after="0"/>
              <w:rPr>
                <w:sz w:val="19"/>
                <w:szCs w:val="19"/>
                <w:color w:val="auto"/>
              </w:rPr>
            </w:pPr>
          </w:p>
        </w:tc>
      </w:tr>
      <w:tr>
        <w:trPr>
          <w:trHeight w:val="220"/>
        </w:trPr>
        <w:tc>
          <w:tcPr>
            <w:tcW w:w="362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CurrentFiscalYearEndDate</w:t>
            </w:r>
          </w:p>
        </w:tc>
        <w:tc>
          <w:tcPr>
            <w:tcW w:w="358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--06-30</w:t>
            </w:r>
          </w:p>
        </w:tc>
        <w:tc>
          <w:tcPr>
            <w:tcW w:w="3600" w:type="dxa"/>
            <w:vAlign w:val="bottom"/>
            <w:tcBorders>
              <w:bottom w:val="single" w:sz="8" w:color="auto"/>
              <w:right w:val="single" w:sz="8" w:color="auto"/>
            </w:tcBorders>
          </w:tcPr>
          <w:p>
            <w:pPr>
              <w:spacing w:after="0"/>
              <w:rPr>
                <w:sz w:val="19"/>
                <w:szCs w:val="19"/>
                <w:color w:val="auto"/>
              </w:rPr>
            </w:pPr>
          </w:p>
        </w:tc>
      </w:tr>
      <w:tr>
        <w:trPr>
          <w:trHeight w:val="220"/>
        </w:trPr>
        <w:tc>
          <w:tcPr>
            <w:tcW w:w="362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DocumentFiscalYearFocus</w:t>
            </w:r>
          </w:p>
        </w:tc>
        <w:tc>
          <w:tcPr>
            <w:tcW w:w="358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2023</w:t>
            </w:r>
          </w:p>
        </w:tc>
        <w:tc>
          <w:tcPr>
            <w:tcW w:w="3600" w:type="dxa"/>
            <w:vAlign w:val="bottom"/>
            <w:tcBorders>
              <w:bottom w:val="single" w:sz="8" w:color="auto"/>
              <w:right w:val="single" w:sz="8" w:color="auto"/>
            </w:tcBorders>
          </w:tcPr>
          <w:p>
            <w:pPr>
              <w:spacing w:after="0"/>
              <w:rPr>
                <w:sz w:val="19"/>
                <w:szCs w:val="19"/>
                <w:color w:val="auto"/>
              </w:rPr>
            </w:pPr>
          </w:p>
        </w:tc>
      </w:tr>
      <w:tr>
        <w:trPr>
          <w:trHeight w:val="220"/>
        </w:trPr>
        <w:tc>
          <w:tcPr>
            <w:tcW w:w="362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DocumentFiscalPeriodFocus</w:t>
            </w:r>
          </w:p>
        </w:tc>
        <w:tc>
          <w:tcPr>
            <w:tcW w:w="358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FY</w:t>
            </w:r>
          </w:p>
        </w:tc>
        <w:tc>
          <w:tcPr>
            <w:tcW w:w="3600" w:type="dxa"/>
            <w:vAlign w:val="bottom"/>
            <w:tcBorders>
              <w:bottom w:val="single" w:sz="8" w:color="auto"/>
              <w:right w:val="single" w:sz="8" w:color="auto"/>
            </w:tcBorders>
          </w:tcPr>
          <w:p>
            <w:pPr>
              <w:spacing w:after="0"/>
              <w:rPr>
                <w:sz w:val="19"/>
                <w:szCs w:val="19"/>
                <w:color w:val="auto"/>
              </w:rPr>
            </w:pPr>
          </w:p>
        </w:tc>
      </w:tr>
      <w:tr>
        <w:trPr>
          <w:trHeight w:val="221"/>
        </w:trPr>
        <w:tc>
          <w:tcPr>
            <w:tcW w:w="3620" w:type="dxa"/>
            <w:vAlign w:val="bottom"/>
            <w:tcBorders>
              <w:left w:val="single" w:sz="8" w:color="auto"/>
              <w:bottom w:val="single" w:sz="8" w:color="auto"/>
              <w:right w:val="single" w:sz="8" w:color="auto"/>
            </w:tcBorders>
          </w:tcPr>
          <w:p>
            <w:pPr>
              <w:ind w:left="100"/>
              <w:spacing w:after="0" w:line="221" w:lineRule="exact"/>
              <w:rPr>
                <w:sz w:val="20"/>
                <w:szCs w:val="20"/>
                <w:color w:val="auto"/>
              </w:rPr>
            </w:pPr>
            <w:r>
              <w:rPr>
                <w:rFonts w:ascii="Times New Roman" w:cs="Times New Roman" w:eastAsia="Times New Roman" w:hAnsi="Times New Roman"/>
                <w:sz w:val="20"/>
                <w:szCs w:val="20"/>
                <w:color w:val="auto"/>
              </w:rPr>
              <w:t>AmendmentFlag</w:t>
            </w:r>
          </w:p>
        </w:tc>
        <w:tc>
          <w:tcPr>
            <w:tcW w:w="3580" w:type="dxa"/>
            <w:vAlign w:val="bottom"/>
            <w:tcBorders>
              <w:bottom w:val="single" w:sz="8" w:color="auto"/>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20"/>
                <w:szCs w:val="20"/>
                <w:color w:val="auto"/>
              </w:rPr>
              <w:t>False</w:t>
            </w:r>
          </w:p>
        </w:tc>
        <w:tc>
          <w:tcPr>
            <w:tcW w:w="36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696" w:right="720" w:bottom="175" w:gutter="0" w:footer="0" w:header="0"/>
        </w:sectPr>
      </w:pPr>
    </w:p>
    <w:bookmarkStart w:id="112" w:name="page113"/>
    <w:bookmarkEnd w:id="112"/>
    <w:p>
      <w:pPr>
        <w:ind w:left="2400"/>
        <w:spacing w:after="0"/>
        <w:rPr>
          <w:sz w:val="20"/>
          <w:szCs w:val="20"/>
          <w:color w:val="auto"/>
        </w:rPr>
      </w:pPr>
      <w:r>
        <w:rPr>
          <w:rFonts w:ascii="Times New Roman" w:cs="Times New Roman" w:eastAsia="Times New Roman" w:hAnsi="Times New Roman"/>
          <w:sz w:val="40"/>
          <w:szCs w:val="40"/>
          <w:b w:val="1"/>
          <w:bCs w:val="1"/>
          <w:u w:val="single" w:color="auto"/>
          <w:color w:val="auto"/>
        </w:rPr>
        <w:t>BOARD OF DIRECTORS</w:t>
      </w:r>
    </w:p>
    <w:p>
      <w:pPr>
        <w:spacing w:after="0" w:line="25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Ilya Golubovich</w:t>
      </w:r>
    </w:p>
    <w:p>
      <w:pPr>
        <w:spacing w:after="0" w:line="4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Former Managing Director of I2BF Ventures</w:t>
      </w:r>
    </w:p>
    <w:p>
      <w:pPr>
        <w:spacing w:after="0" w:line="27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Krishna Gupta</w:t>
      </w:r>
    </w:p>
    <w:p>
      <w:pPr>
        <w:spacing w:after="0" w:line="4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CEO of Remus Capital</w:t>
      </w:r>
    </w:p>
    <w:p>
      <w:pPr>
        <w:spacing w:after="0" w:line="27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Keith Kravcik</w:t>
      </w:r>
    </w:p>
    <w:p>
      <w:pPr>
        <w:spacing w:after="0" w:line="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Former CFO of McDonald's</w:t>
      </w:r>
    </w:p>
    <w:p>
      <w:pPr>
        <w:spacing w:after="0" w:line="2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Scott Raskin</w:t>
      </w:r>
    </w:p>
    <w:p>
      <w:pPr>
        <w:spacing w:after="0" w:line="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President of Quotient Technology</w:t>
      </w:r>
    </w:p>
    <w:p>
      <w:pPr>
        <w:spacing w:after="0" w:line="2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Ed Scheetz</w:t>
      </w:r>
    </w:p>
    <w:p>
      <w:pPr>
        <w:spacing w:after="0" w:line="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CEO of Ventoux</w:t>
      </w:r>
    </w:p>
    <w:p>
      <w:pPr>
        <w:spacing w:after="0" w:line="2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Gail Zauder</w:t>
      </w:r>
    </w:p>
    <w:p>
      <w:pPr>
        <w:spacing w:after="0" w:line="4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color w:val="auto"/>
        </w:rPr>
        <w:t>Former CEO of Soap &amp; Glory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40"/>
          <w:szCs w:val="40"/>
          <w:b w:val="1"/>
          <w:bCs w:val="1"/>
          <w:u w:val="single" w:color="auto"/>
          <w:color w:val="auto"/>
        </w:rPr>
        <w:t>EXECUTIVE OFFICERS</w:t>
      </w:r>
    </w:p>
    <w:p>
      <w:pPr>
        <w:spacing w:after="0" w:line="25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Xavier Casanova</w:t>
      </w:r>
      <w:r>
        <w:rPr>
          <w:rFonts w:ascii="Times New Roman" w:cs="Times New Roman" w:eastAsia="Times New Roman" w:hAnsi="Times New Roman"/>
          <w:sz w:val="28"/>
          <w:szCs w:val="28"/>
          <w:color w:val="auto"/>
        </w:rPr>
        <w:t>, Chief Executive Officer</w:t>
      </w:r>
    </w:p>
    <w:p>
      <w:pPr>
        <w:spacing w:after="0" w:line="3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7"/>
          <w:szCs w:val="27"/>
          <w:b w:val="1"/>
          <w:bCs w:val="1"/>
          <w:color w:val="auto"/>
        </w:rPr>
        <w:t>William (Bill) Healey</w:t>
      </w:r>
      <w:r>
        <w:rPr>
          <w:rFonts w:ascii="Times New Roman" w:cs="Times New Roman" w:eastAsia="Times New Roman" w:hAnsi="Times New Roman"/>
          <w:sz w:val="27"/>
          <w:szCs w:val="27"/>
          <w:color w:val="auto"/>
        </w:rPr>
        <w:t>, Chief Technology Officer</w:t>
      </w:r>
    </w:p>
    <w:p>
      <w:pPr>
        <w:spacing w:after="0" w:line="3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Nathan Cook</w:t>
      </w:r>
      <w:r>
        <w:rPr>
          <w:rFonts w:ascii="Times New Roman" w:cs="Times New Roman" w:eastAsia="Times New Roman" w:hAnsi="Times New Roman"/>
          <w:sz w:val="28"/>
          <w:szCs w:val="28"/>
          <w:color w:val="auto"/>
        </w:rPr>
        <w:t>, Interim Chief Financial Officer</w:t>
      </w:r>
    </w:p>
    <w:p>
      <w:pPr>
        <w:spacing w:after="0" w:line="3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Justin Foster</w:t>
      </w:r>
      <w:r>
        <w:rPr>
          <w:rFonts w:ascii="Times New Roman" w:cs="Times New Roman" w:eastAsia="Times New Roman" w:hAnsi="Times New Roman"/>
          <w:sz w:val="28"/>
          <w:szCs w:val="28"/>
          <w:color w:val="auto"/>
        </w:rPr>
        <w:t>, Chief Revenue Officer</w:t>
      </w:r>
    </w:p>
    <w:p>
      <w:pPr>
        <w:spacing w:after="0" w:line="3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8"/>
          <w:szCs w:val="28"/>
          <w:b w:val="1"/>
          <w:bCs w:val="1"/>
          <w:color w:val="auto"/>
        </w:rPr>
        <w:t>Stanley Mbugua</w:t>
      </w:r>
      <w:r>
        <w:rPr>
          <w:rFonts w:ascii="Times New Roman" w:cs="Times New Roman" w:eastAsia="Times New Roman" w:hAnsi="Times New Roman"/>
          <w:sz w:val="28"/>
          <w:szCs w:val="28"/>
          <w:color w:val="auto"/>
        </w:rPr>
        <w:t>, Chief Accounting Officer</w:t>
      </w:r>
    </w:p>
    <w:sectPr>
      <w:pgSz w:w="12240" w:h="15840" w:orient="portrait"/>
      <w:cols w:equalWidth="0" w:num="1">
        <w:col w:w="9360"/>
      </w:cols>
      <w:pgMar w:left="1440" w:top="10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2"/>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4"/>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lowerRoman"/>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Roman"/>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upperLetter"/>
      <w:start w:val="4"/>
    </w:lvl>
  </w:abstractNum>
  <w:abstractNum w:abstractNumId="35">
    <w:nsid w:val="3855585C"/>
    <w:multiLevelType w:val="hybridMultilevel"/>
    <w:lvl w:ilvl="0">
      <w:lvlJc w:val="left"/>
      <w:lvlText w:val="[%1]"/>
      <w:numFmt w:val="upperLetter"/>
      <w:start w:val="1"/>
    </w:lvl>
  </w:abstractNum>
  <w:abstractNum w:abstractNumId="36">
    <w:nsid w:val="70A64E2A"/>
    <w:multiLevelType w:val="hybridMultilevel"/>
    <w:lvl w:ilvl="0">
      <w:lvlJc w:val="left"/>
      <w:lvlText w:val="%1"/>
      <w:numFmt w:val="decimal"/>
      <w:start w:val="10"/>
    </w:lvl>
  </w:abstractNum>
  <w:abstractNum w:abstractNumId="37">
    <w:nsid w:val="6A2342EC"/>
    <w:multiLevelType w:val="hybridMultilevel"/>
    <w:lvl w:ilvl="0">
      <w:lvlJc w:val="left"/>
      <w:lvlText w:val="%1"/>
      <w:numFmt w:val="decimal"/>
      <w:start w:val="10"/>
    </w:lvl>
  </w:abstractNum>
  <w:abstractNum w:abstractNumId="38">
    <w:nsid w:val="2A487CB0"/>
    <w:multiLevelType w:val="hybridMultilevel"/>
    <w:lvl w:ilvl="0">
      <w:lvlJc w:val="left"/>
      <w:lvlText w:val="[%1]"/>
      <w:numFmt w:val="upperLetter"/>
      <w:start w:val="1"/>
    </w:lvl>
  </w:abstractNum>
  <w:abstractNum w:abstractNumId="39">
    <w:nsid w:val="1D4ED43B"/>
    <w:multiLevelType w:val="hybridMultilevel"/>
    <w:lvl w:ilvl="0">
      <w:lvlJc w:val="left"/>
      <w:lvlText w:val="[%1]"/>
      <w:numFmt w:val="upperLetter"/>
      <w:start w:val="5"/>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lvl w:ilvl="1">
      <w:lvlJc w:val="left"/>
      <w:lvlText w:val=" "/>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2023-10-27T08:44:58Z</dcterms:created>
  <dcterms:modified xsi:type="dcterms:W3CDTF">2023-10-27T08:44:58Z</dcterms:modified>
</cp:coreProperties>
</file>