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381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3816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Hoffman-Flynt Katherine</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900" w:type="dxa"/>
            <w:vAlign w:val="bottom"/>
          </w:tcPr>
          <w:p>
            <w:pPr>
              <w:ind w:left="8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985 INDUSTRIAL ROAD, SUITE 205</w:t>
            </w:r>
          </w:p>
        </w:tc>
      </w:tr>
      <w:tr>
        <w:trPr>
          <w:trHeight w:val="208"/>
        </w:trPr>
        <w:tc>
          <w:tcPr>
            <w:tcW w:w="40" w:type="dxa"/>
            <w:vAlign w:val="bottom"/>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SAN CARLOS</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94070</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Presto Automation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PRST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60" w:type="dxa"/>
            <w:vAlign w:val="bottom"/>
            <w:tcBorders>
              <w:bottom w:val="single" w:sz="8" w:color="0000EE"/>
            </w:tcBorders>
          </w:tcPr>
          <w:p>
            <w:pPr>
              <w:spacing w:after="0"/>
              <w:rPr>
                <w:sz w:val="3"/>
                <w:szCs w:val="3"/>
                <w:color w:val="auto"/>
              </w:rPr>
            </w:pPr>
          </w:p>
        </w:tc>
        <w:tc>
          <w:tcPr>
            <w:tcW w:w="1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0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04/25/2024</w:t>
            </w: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$0.0001 par value</w:t>
            </w:r>
          </w:p>
        </w:tc>
        <w:tc>
          <w:tcPr>
            <w:tcW w:w="15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04/25/2024</w:t>
            </w: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300,000</w:t>
            </w:r>
            <w:r>
              <w:rPr>
                <w:rFonts w:ascii="Times New Roman" w:cs="Times New Roman" w:eastAsia="Times New Roman" w:hAnsi="Times New Roman"/>
                <w:sz w:val="22"/>
                <w:szCs w:val="22"/>
                <w:color w:val="008000"/>
                <w:w w:val="99"/>
                <w:vertAlign w:val="superscript"/>
              </w:rPr>
              <w:t>(1)</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346,952</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05/23/2024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center"/>
              <w:ind w:right="12"/>
              <w:spacing w:after="0"/>
              <w:rPr>
                <w:sz w:val="20"/>
                <w:szCs w:val="20"/>
                <w:color w:val="auto"/>
              </w:rPr>
            </w:pPr>
            <w:r>
              <w:rPr>
                <w:rFonts w:ascii="Times New Roman" w:cs="Times New Roman" w:eastAsia="Times New Roman" w:hAnsi="Times New Roman"/>
                <w:sz w:val="17"/>
                <w:szCs w:val="17"/>
                <w:color w:val="0000FF"/>
              </w:rPr>
              <w:t>59,661</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0.176</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287,291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underlying restricted stock units ("RSUs") granted to the reporting person on April 25, 2024 (the "Grant Date") pursuant to the Issuer's 2022 Incentive Award Plan. The RSUs vested 50 percent on the Grant Date and the remaining 50 percent will vest in equal annual installments for a period of five years, subject to the reporting person's continued employment. Each RSU represents the right to receive one share of Common Stock upon vesting.</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as disposed herein were granted as RSUs. The disposition of shares is associated with tax obligations of the reporting person associated with the vesting of RSUs.</w:t>
      </w:r>
    </w:p>
    <w:p>
      <w:pPr>
        <w:spacing w:after="0" w:line="50" w:lineRule="exact"/>
        <w:rPr>
          <w:rFonts w:ascii="Times New Roman" w:cs="Times New Roman" w:eastAsia="Times New Roman" w:hAnsi="Times New Roman"/>
          <w:sz w:val="13"/>
          <w:szCs w:val="13"/>
          <w:color w:val="008000"/>
        </w:rPr>
      </w:pPr>
    </w:p>
    <w:p>
      <w:pPr>
        <w:ind w:left="40" w:right="26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reflects the weighted average sales price. These shares were sold in multiple transactions at prices ranging from $0.171 to $0.180, inclusive. The reporting person hereby undertakes to provide upon request to the SEC staff, the issuer or any security holder of the issuer full information regarding the number of shares at each separate price within the range set forth in this footnote.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Susan Shinoff, Attorney-in- </w:t>
      </w:r>
      <w:r>
        <w:rPr>
          <w:rFonts w:ascii="Times New Roman" w:cs="Times New Roman" w:eastAsia="Times New Roman" w:hAnsi="Times New Roman"/>
          <w:sz w:val="33"/>
          <w:szCs w:val="33"/>
          <w:color w:val="0000FF"/>
          <w:vertAlign w:val="subscript"/>
        </w:rPr>
        <w:t>05/29/2024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44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2003170" TargetMode="External"/><Relationship Id="rId13" Type="http://schemas.openxmlformats.org/officeDocument/2006/relationships/hyperlink" Target="http://www.sec.gov/cgi-bin/browse-edgar?action=getcompany&amp;CIK=00018221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2024-05-29T16:53:41Z</dcterms:created>
  <dcterms:modified xsi:type="dcterms:W3CDTF">2024-05-29T16:53:41Z</dcterms:modified>
</cp:coreProperties>
</file>