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80" w:type="dxa"/>
            <w:vAlign w:val="bottom"/>
            <w:gridSpan w:val="3"/>
          </w:tcPr>
          <w:p>
            <w:pPr>
              <w:jc w:val="center"/>
              <w:ind w:right="1020"/>
              <w:spacing w:after="0"/>
              <w:rPr>
                <w:sz w:val="20"/>
                <w:szCs w:val="20"/>
                <w:color w:val="auto"/>
              </w:rPr>
            </w:pPr>
            <w:r>
              <w:rPr>
                <w:rFonts w:ascii="Arial" w:cs="Arial" w:eastAsia="Arial" w:hAnsi="Arial"/>
                <w:sz w:val="18"/>
                <w:szCs w:val="18"/>
                <w:b w:val="1"/>
                <w:bCs w:val="1"/>
                <w:color w:val="auto"/>
              </w:rPr>
              <w:t>FORM 8-K</w:t>
            </w:r>
          </w:p>
        </w:tc>
        <w:tc>
          <w:tcPr>
            <w:tcW w:w="2820" w:type="dxa"/>
            <w:vAlign w:val="bottom"/>
          </w:tcPr>
          <w:p>
            <w:pPr>
              <w:spacing w:after="0"/>
              <w:rPr>
                <w:sz w:val="20"/>
                <w:szCs w:val="20"/>
                <w:color w:val="auto"/>
              </w:rPr>
            </w:pPr>
          </w:p>
        </w:tc>
      </w:tr>
      <w:tr>
        <w:trPr>
          <w:trHeight w:val="432"/>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80" w:type="dxa"/>
            <w:vAlign w:val="bottom"/>
            <w:gridSpan w:val="3"/>
          </w:tcPr>
          <w:p>
            <w:pPr>
              <w:jc w:val="center"/>
              <w:ind w:right="1020"/>
              <w:spacing w:after="0"/>
              <w:rPr>
                <w:sz w:val="20"/>
                <w:szCs w:val="20"/>
                <w:color w:val="auto"/>
              </w:rPr>
            </w:pPr>
            <w:r>
              <w:rPr>
                <w:rFonts w:ascii="Arial" w:cs="Arial" w:eastAsia="Arial" w:hAnsi="Arial"/>
                <w:sz w:val="18"/>
                <w:szCs w:val="18"/>
                <w:b w:val="1"/>
                <w:bCs w:val="1"/>
                <w:color w:val="auto"/>
                <w:w w:val="99"/>
              </w:rPr>
              <w:t>CURRENT REPORT</w:t>
            </w:r>
          </w:p>
        </w:tc>
        <w:tc>
          <w:tcPr>
            <w:tcW w:w="2820" w:type="dxa"/>
            <w:vAlign w:val="bottom"/>
          </w:tcPr>
          <w:p>
            <w:pPr>
              <w:spacing w:after="0"/>
              <w:rPr>
                <w:sz w:val="24"/>
                <w:szCs w:val="24"/>
                <w:color w:val="auto"/>
              </w:rPr>
            </w:pPr>
          </w:p>
        </w:tc>
      </w:tr>
      <w:tr>
        <w:trPr>
          <w:trHeight w:val="414"/>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0" w:type="dxa"/>
            <w:vAlign w:val="bottom"/>
            <w:gridSpan w:val="4"/>
          </w:tcPr>
          <w:p>
            <w:pPr>
              <w:jc w:val="center"/>
              <w:ind w:right="800"/>
              <w:spacing w:after="0"/>
              <w:rPr>
                <w:sz w:val="20"/>
                <w:szCs w:val="20"/>
                <w:color w:val="auto"/>
              </w:rPr>
            </w:pPr>
            <w:r>
              <w:rPr>
                <w:rFonts w:ascii="Arial" w:cs="Arial" w:eastAsia="Arial" w:hAnsi="Arial"/>
                <w:sz w:val="18"/>
                <w:szCs w:val="18"/>
                <w:b w:val="1"/>
                <w:bCs w:val="1"/>
                <w:color w:val="auto"/>
                <w:w w:val="98"/>
              </w:rPr>
              <w:t>PURSUANT TO SECTION 13 OR 15(d) OF THE</w:t>
            </w:r>
          </w:p>
        </w:tc>
        <w:tc>
          <w:tcPr>
            <w:tcW w:w="2820" w:type="dxa"/>
            <w:vAlign w:val="bottom"/>
          </w:tcPr>
          <w:p>
            <w:pPr>
              <w:spacing w:after="0"/>
              <w:rPr>
                <w:sz w:val="24"/>
                <w:szCs w:val="24"/>
                <w:color w:val="auto"/>
              </w:rPr>
            </w:pPr>
          </w:p>
        </w:tc>
      </w:tr>
      <w:tr>
        <w:trPr>
          <w:trHeight w:val="234"/>
        </w:trPr>
        <w:tc>
          <w:tcPr>
            <w:tcW w:w="2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80" w:type="dxa"/>
            <w:vAlign w:val="bottom"/>
            <w:gridSpan w:val="3"/>
          </w:tcPr>
          <w:p>
            <w:pPr>
              <w:jc w:val="center"/>
              <w:ind w:right="1000"/>
              <w:spacing w:after="0"/>
              <w:rPr>
                <w:sz w:val="20"/>
                <w:szCs w:val="20"/>
                <w:color w:val="auto"/>
              </w:rPr>
            </w:pPr>
            <w:r>
              <w:rPr>
                <w:rFonts w:ascii="Arial" w:cs="Arial" w:eastAsia="Arial" w:hAnsi="Arial"/>
                <w:sz w:val="18"/>
                <w:szCs w:val="18"/>
                <w:b w:val="1"/>
                <w:bCs w:val="1"/>
                <w:color w:val="auto"/>
                <w:w w:val="99"/>
              </w:rPr>
              <w:t>SECURITIES EXCHANGE ACT OF 1934</w:t>
            </w:r>
          </w:p>
        </w:tc>
        <w:tc>
          <w:tcPr>
            <w:tcW w:w="2820" w:type="dxa"/>
            <w:vAlign w:val="bottom"/>
          </w:tcPr>
          <w:p>
            <w:pPr>
              <w:spacing w:after="0"/>
              <w:rPr>
                <w:sz w:val="20"/>
                <w:szCs w:val="20"/>
                <w:color w:val="auto"/>
              </w:rPr>
            </w:pPr>
          </w:p>
        </w:tc>
      </w:tr>
      <w:tr>
        <w:trPr>
          <w:trHeight w:val="432"/>
        </w:trPr>
        <w:tc>
          <w:tcPr>
            <w:tcW w:w="2960" w:type="dxa"/>
            <w:vAlign w:val="bottom"/>
          </w:tcPr>
          <w:p>
            <w:pPr>
              <w:spacing w:after="0"/>
              <w:rPr>
                <w:sz w:val="24"/>
                <w:szCs w:val="24"/>
                <w:color w:val="auto"/>
              </w:rPr>
            </w:pPr>
          </w:p>
        </w:tc>
        <w:tc>
          <w:tcPr>
            <w:tcW w:w="5460" w:type="dxa"/>
            <w:vAlign w:val="bottom"/>
            <w:gridSpan w:val="5"/>
          </w:tcPr>
          <w:p>
            <w:pPr>
              <w:jc w:val="center"/>
              <w:ind w:right="140"/>
              <w:spacing w:after="0"/>
              <w:rPr>
                <w:sz w:val="20"/>
                <w:szCs w:val="20"/>
                <w:color w:val="auto"/>
              </w:rPr>
            </w:pPr>
            <w:r>
              <w:rPr>
                <w:rFonts w:ascii="Arial" w:cs="Arial" w:eastAsia="Arial" w:hAnsi="Arial"/>
                <w:sz w:val="18"/>
                <w:szCs w:val="18"/>
                <w:color w:val="auto"/>
                <w:w w:val="90"/>
              </w:rPr>
              <w:t>Date of Report (Date of earliest event reported): October 9, 2023</w:t>
            </w:r>
          </w:p>
        </w:tc>
        <w:tc>
          <w:tcPr>
            <w:tcW w:w="2820" w:type="dxa"/>
            <w:vAlign w:val="bottom"/>
          </w:tcPr>
          <w:p>
            <w:pPr>
              <w:spacing w:after="0"/>
              <w:rPr>
                <w:sz w:val="24"/>
                <w:szCs w:val="24"/>
                <w:color w:val="auto"/>
              </w:rPr>
            </w:pPr>
          </w:p>
        </w:tc>
      </w:tr>
      <w:tr>
        <w:trPr>
          <w:trHeight w:val="418"/>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80" w:type="dxa"/>
            <w:vAlign w:val="bottom"/>
            <w:gridSpan w:val="3"/>
          </w:tcPr>
          <w:p>
            <w:pPr>
              <w:jc w:val="center"/>
              <w:ind w:right="1020"/>
              <w:spacing w:after="0"/>
              <w:rPr>
                <w:sz w:val="20"/>
                <w:szCs w:val="20"/>
                <w:color w:val="auto"/>
              </w:rPr>
            </w:pPr>
            <w:r>
              <w:rPr>
                <w:rFonts w:ascii="Arial" w:cs="Arial" w:eastAsia="Arial" w:hAnsi="Arial"/>
                <w:sz w:val="18"/>
                <w:szCs w:val="18"/>
                <w:b w:val="1"/>
                <w:bCs w:val="1"/>
                <w:color w:val="auto"/>
                <w:w w:val="91"/>
              </w:rPr>
              <w:t>Presto Automation Inc.</w:t>
            </w:r>
          </w:p>
        </w:tc>
        <w:tc>
          <w:tcPr>
            <w:tcW w:w="2820" w:type="dxa"/>
            <w:vAlign w:val="bottom"/>
          </w:tcPr>
          <w:p>
            <w:pPr>
              <w:spacing w:after="0"/>
              <w:rPr>
                <w:sz w:val="24"/>
                <w:szCs w:val="24"/>
                <w:color w:val="auto"/>
              </w:rPr>
            </w:pPr>
          </w:p>
        </w:tc>
      </w:tr>
      <w:tr>
        <w:trPr>
          <w:trHeight w:val="230"/>
        </w:trPr>
        <w:tc>
          <w:tcPr>
            <w:tcW w:w="2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00" w:type="dxa"/>
            <w:vAlign w:val="bottom"/>
            <w:gridSpan w:val="4"/>
          </w:tcPr>
          <w:p>
            <w:pPr>
              <w:jc w:val="center"/>
              <w:ind w:right="800"/>
              <w:spacing w:after="0"/>
              <w:rPr>
                <w:sz w:val="20"/>
                <w:szCs w:val="20"/>
                <w:color w:val="auto"/>
              </w:rPr>
            </w:pPr>
            <w:r>
              <w:rPr>
                <w:rFonts w:ascii="Arial" w:cs="Arial" w:eastAsia="Arial" w:hAnsi="Arial"/>
                <w:sz w:val="18"/>
                <w:szCs w:val="18"/>
                <w:color w:val="auto"/>
                <w:w w:val="90"/>
              </w:rPr>
              <w:t>(Exact name of registrant as specified in its charter)</w:t>
            </w:r>
          </w:p>
        </w:tc>
        <w:tc>
          <w:tcPr>
            <w:tcW w:w="2820" w:type="dxa"/>
            <w:vAlign w:val="bottom"/>
          </w:tcPr>
          <w:p>
            <w:pPr>
              <w:spacing w:after="0"/>
              <w:rPr>
                <w:sz w:val="20"/>
                <w:szCs w:val="20"/>
                <w:color w:val="auto"/>
              </w:rPr>
            </w:pPr>
          </w:p>
        </w:tc>
      </w:tr>
      <w:tr>
        <w:trPr>
          <w:trHeight w:val="439"/>
        </w:trPr>
        <w:tc>
          <w:tcPr>
            <w:tcW w:w="2960" w:type="dxa"/>
            <w:vAlign w:val="bottom"/>
          </w:tcPr>
          <w:p>
            <w:pPr>
              <w:jc w:val="center"/>
              <w:ind w:left="570"/>
              <w:spacing w:after="0"/>
              <w:rPr>
                <w:sz w:val="20"/>
                <w:szCs w:val="20"/>
                <w:color w:val="auto"/>
              </w:rPr>
            </w:pPr>
            <w:r>
              <w:rPr>
                <w:rFonts w:ascii="Arial" w:cs="Arial" w:eastAsia="Arial" w:hAnsi="Arial"/>
                <w:sz w:val="18"/>
                <w:szCs w:val="18"/>
                <w:b w:val="1"/>
                <w:bCs w:val="1"/>
                <w:color w:val="auto"/>
                <w:w w:val="93"/>
              </w:rPr>
              <w:t>Delaware</w:t>
            </w:r>
          </w:p>
        </w:tc>
        <w:tc>
          <w:tcPr>
            <w:tcW w:w="4480" w:type="dxa"/>
            <w:vAlign w:val="bottom"/>
            <w:gridSpan w:val="3"/>
          </w:tcPr>
          <w:p>
            <w:pPr>
              <w:jc w:val="center"/>
              <w:ind w:left="770"/>
              <w:spacing w:after="0"/>
              <w:rPr>
                <w:sz w:val="20"/>
                <w:szCs w:val="20"/>
                <w:color w:val="auto"/>
              </w:rPr>
            </w:pPr>
            <w:r>
              <w:rPr>
                <w:rFonts w:ascii="Arial" w:cs="Arial" w:eastAsia="Arial" w:hAnsi="Arial"/>
                <w:sz w:val="18"/>
                <w:szCs w:val="18"/>
                <w:b w:val="1"/>
                <w:bCs w:val="1"/>
                <w:color w:val="auto"/>
                <w:w w:val="90"/>
              </w:rPr>
              <w:t>001-39830</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20" w:type="dxa"/>
            <w:vAlign w:val="bottom"/>
          </w:tcPr>
          <w:p>
            <w:pPr>
              <w:jc w:val="center"/>
              <w:ind w:right="690"/>
              <w:spacing w:after="0"/>
              <w:rPr>
                <w:sz w:val="20"/>
                <w:szCs w:val="20"/>
                <w:color w:val="auto"/>
              </w:rPr>
            </w:pPr>
            <w:r>
              <w:rPr>
                <w:rFonts w:ascii="Arial" w:cs="Arial" w:eastAsia="Arial" w:hAnsi="Arial"/>
                <w:sz w:val="18"/>
                <w:szCs w:val="18"/>
                <w:b w:val="1"/>
                <w:bCs w:val="1"/>
                <w:color w:val="auto"/>
                <w:w w:val="91"/>
              </w:rPr>
              <w:t>84-2968594</w:t>
            </w:r>
          </w:p>
        </w:tc>
      </w:tr>
      <w:tr>
        <w:trPr>
          <w:trHeight w:val="202"/>
        </w:trPr>
        <w:tc>
          <w:tcPr>
            <w:tcW w:w="2960" w:type="dxa"/>
            <w:vAlign w:val="bottom"/>
            <w:tcBorders>
              <w:top w:val="single" w:sz="8" w:color="auto"/>
            </w:tcBorders>
          </w:tcPr>
          <w:p>
            <w:pPr>
              <w:jc w:val="center"/>
              <w:ind w:left="570"/>
              <w:spacing w:after="0" w:line="201" w:lineRule="exact"/>
              <w:rPr>
                <w:sz w:val="20"/>
                <w:szCs w:val="20"/>
                <w:color w:val="auto"/>
              </w:rPr>
            </w:pPr>
            <w:r>
              <w:rPr>
                <w:rFonts w:ascii="Arial" w:cs="Arial" w:eastAsia="Arial" w:hAnsi="Arial"/>
                <w:sz w:val="18"/>
                <w:szCs w:val="18"/>
                <w:color w:val="auto"/>
                <w:w w:val="92"/>
              </w:rPr>
              <w:t>(State or other jurisdiction</w:t>
            </w:r>
          </w:p>
        </w:tc>
        <w:tc>
          <w:tcPr>
            <w:tcW w:w="6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(Commission File Number)</w:t>
            </w:r>
          </w:p>
        </w:tc>
        <w:tc>
          <w:tcPr>
            <w:tcW w:w="20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820" w:type="dxa"/>
            <w:vAlign w:val="bottom"/>
            <w:tcBorders>
              <w:top w:val="single" w:sz="8" w:color="auto"/>
            </w:tcBorders>
          </w:tcPr>
          <w:p>
            <w:pPr>
              <w:jc w:val="center"/>
              <w:ind w:right="670"/>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2960" w:type="dxa"/>
            <w:vAlign w:val="bottom"/>
          </w:tcPr>
          <w:p>
            <w:pPr>
              <w:jc w:val="center"/>
              <w:ind w:left="570"/>
              <w:spacing w:after="0"/>
              <w:rPr>
                <w:sz w:val="20"/>
                <w:szCs w:val="20"/>
                <w:color w:val="auto"/>
              </w:rPr>
            </w:pPr>
            <w:r>
              <w:rPr>
                <w:rFonts w:ascii="Arial" w:cs="Arial" w:eastAsia="Arial" w:hAnsi="Arial"/>
                <w:sz w:val="18"/>
                <w:szCs w:val="18"/>
                <w:color w:val="auto"/>
                <w:w w:val="93"/>
              </w:rPr>
              <w:t>of incorporation)</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20" w:type="dxa"/>
            <w:vAlign w:val="bottom"/>
          </w:tcPr>
          <w:p>
            <w:pPr>
              <w:jc w:val="center"/>
              <w:ind w:right="67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80" w:type="dxa"/>
            <w:vAlign w:val="bottom"/>
            <w:gridSpan w:val="3"/>
          </w:tcPr>
          <w:p>
            <w:pPr>
              <w:jc w:val="center"/>
              <w:ind w:right="1000"/>
              <w:spacing w:after="0"/>
              <w:rPr>
                <w:sz w:val="20"/>
                <w:szCs w:val="20"/>
                <w:color w:val="auto"/>
              </w:rPr>
            </w:pPr>
            <w:r>
              <w:rPr>
                <w:rFonts w:ascii="Arial" w:cs="Arial" w:eastAsia="Arial" w:hAnsi="Arial"/>
                <w:sz w:val="18"/>
                <w:szCs w:val="18"/>
                <w:b w:val="1"/>
                <w:bCs w:val="1"/>
                <w:color w:val="auto"/>
                <w:w w:val="92"/>
              </w:rPr>
              <w:t>985 Industrial Road</w:t>
            </w:r>
          </w:p>
        </w:tc>
        <w:tc>
          <w:tcPr>
            <w:tcW w:w="2820" w:type="dxa"/>
            <w:vAlign w:val="bottom"/>
          </w:tcPr>
          <w:p>
            <w:pPr>
              <w:spacing w:after="0"/>
              <w:rPr>
                <w:sz w:val="24"/>
                <w:szCs w:val="24"/>
                <w:color w:val="auto"/>
              </w:rPr>
            </w:pPr>
          </w:p>
        </w:tc>
      </w:tr>
      <w:tr>
        <w:trPr>
          <w:trHeight w:val="220"/>
        </w:trPr>
        <w:tc>
          <w:tcPr>
            <w:tcW w:w="29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580" w:type="dxa"/>
            <w:vAlign w:val="bottom"/>
            <w:gridSpan w:val="3"/>
          </w:tcPr>
          <w:p>
            <w:pPr>
              <w:jc w:val="center"/>
              <w:ind w:right="1020"/>
              <w:spacing w:after="0"/>
              <w:rPr>
                <w:sz w:val="20"/>
                <w:szCs w:val="20"/>
                <w:color w:val="auto"/>
              </w:rPr>
            </w:pPr>
            <w:r>
              <w:rPr>
                <w:rFonts w:ascii="Arial" w:cs="Arial" w:eastAsia="Arial" w:hAnsi="Arial"/>
                <w:sz w:val="18"/>
                <w:szCs w:val="18"/>
                <w:b w:val="1"/>
                <w:bCs w:val="1"/>
                <w:color w:val="auto"/>
                <w:w w:val="90"/>
              </w:rPr>
              <w:t>San Carlos, CA 94070</w:t>
            </w:r>
          </w:p>
        </w:tc>
        <w:tc>
          <w:tcPr>
            <w:tcW w:w="2820" w:type="dxa"/>
            <w:vAlign w:val="bottom"/>
          </w:tcPr>
          <w:p>
            <w:pPr>
              <w:spacing w:after="0"/>
              <w:rPr>
                <w:sz w:val="19"/>
                <w:szCs w:val="19"/>
                <w:color w:val="auto"/>
              </w:rPr>
            </w:pPr>
          </w:p>
        </w:tc>
      </w:tr>
      <w:tr>
        <w:trPr>
          <w:trHeight w:val="230"/>
        </w:trPr>
        <w:tc>
          <w:tcPr>
            <w:tcW w:w="2960" w:type="dxa"/>
            <w:vAlign w:val="bottom"/>
          </w:tcPr>
          <w:p>
            <w:pPr>
              <w:spacing w:after="0"/>
              <w:rPr>
                <w:sz w:val="20"/>
                <w:szCs w:val="20"/>
                <w:color w:val="auto"/>
              </w:rPr>
            </w:pPr>
          </w:p>
        </w:tc>
        <w:tc>
          <w:tcPr>
            <w:tcW w:w="5460" w:type="dxa"/>
            <w:vAlign w:val="bottom"/>
            <w:gridSpan w:val="5"/>
          </w:tcPr>
          <w:p>
            <w:pPr>
              <w:jc w:val="center"/>
              <w:ind w:right="140"/>
              <w:spacing w:after="0"/>
              <w:rPr>
                <w:sz w:val="20"/>
                <w:szCs w:val="20"/>
                <w:color w:val="auto"/>
              </w:rPr>
            </w:pPr>
            <w:r>
              <w:rPr>
                <w:rFonts w:ascii="Arial" w:cs="Arial" w:eastAsia="Arial" w:hAnsi="Arial"/>
                <w:sz w:val="18"/>
                <w:szCs w:val="18"/>
                <w:color w:val="auto"/>
                <w:w w:val="92"/>
              </w:rPr>
              <w:t>(Address of principal executive offices, including zip code)</w:t>
            </w:r>
          </w:p>
        </w:tc>
        <w:tc>
          <w:tcPr>
            <w:tcW w:w="2820" w:type="dxa"/>
            <w:vAlign w:val="bottom"/>
          </w:tcPr>
          <w:p>
            <w:pPr>
              <w:spacing w:after="0"/>
              <w:rPr>
                <w:sz w:val="20"/>
                <w:szCs w:val="20"/>
                <w:color w:val="auto"/>
              </w:rPr>
            </w:pPr>
          </w:p>
        </w:tc>
      </w:tr>
      <w:tr>
        <w:trPr>
          <w:trHeight w:val="432"/>
        </w:trPr>
        <w:tc>
          <w:tcPr>
            <w:tcW w:w="2960" w:type="dxa"/>
            <w:vAlign w:val="bottom"/>
          </w:tcPr>
          <w:p>
            <w:pPr>
              <w:spacing w:after="0"/>
              <w:rPr>
                <w:sz w:val="24"/>
                <w:szCs w:val="24"/>
                <w:color w:val="auto"/>
              </w:rPr>
            </w:pPr>
          </w:p>
        </w:tc>
        <w:tc>
          <w:tcPr>
            <w:tcW w:w="5460" w:type="dxa"/>
            <w:vAlign w:val="bottom"/>
            <w:gridSpan w:val="5"/>
          </w:tcPr>
          <w:p>
            <w:pPr>
              <w:jc w:val="center"/>
              <w:ind w:right="140"/>
              <w:spacing w:after="0"/>
              <w:rPr>
                <w:sz w:val="20"/>
                <w:szCs w:val="20"/>
                <w:color w:val="auto"/>
              </w:rPr>
            </w:pPr>
            <w:r>
              <w:rPr>
                <w:rFonts w:ascii="Arial" w:cs="Arial" w:eastAsia="Arial" w:hAnsi="Arial"/>
                <w:sz w:val="18"/>
                <w:szCs w:val="18"/>
                <w:color w:val="auto"/>
                <w:w w:val="90"/>
              </w:rPr>
              <w:t>Registrant’s telephone number, including area code</w:t>
            </w:r>
            <w:r>
              <w:rPr>
                <w:rFonts w:ascii="Arial" w:cs="Arial" w:eastAsia="Arial" w:hAnsi="Arial"/>
                <w:sz w:val="18"/>
                <w:szCs w:val="18"/>
                <w:b w:val="1"/>
                <w:bCs w:val="1"/>
                <w:color w:val="auto"/>
                <w:w w:val="90"/>
              </w:rPr>
              <w:t>: (650) 817-9012</w:t>
            </w:r>
          </w:p>
        </w:tc>
        <w:tc>
          <w:tcPr>
            <w:tcW w:w="2820" w:type="dxa"/>
            <w:vAlign w:val="bottom"/>
          </w:tcPr>
          <w:p>
            <w:pPr>
              <w:spacing w:after="0"/>
              <w:rPr>
                <w:sz w:val="24"/>
                <w:szCs w:val="24"/>
                <w:color w:val="auto"/>
              </w:rPr>
            </w:pPr>
          </w:p>
        </w:tc>
      </w:tr>
      <w:tr>
        <w:trPr>
          <w:trHeight w:val="418"/>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80" w:type="dxa"/>
            <w:vAlign w:val="bottom"/>
            <w:gridSpan w:val="3"/>
          </w:tcPr>
          <w:p>
            <w:pPr>
              <w:jc w:val="center"/>
              <w:ind w:right="1020"/>
              <w:spacing w:after="0"/>
              <w:rPr>
                <w:sz w:val="20"/>
                <w:szCs w:val="20"/>
                <w:color w:val="auto"/>
              </w:rPr>
            </w:pPr>
            <w:r>
              <w:rPr>
                <w:rFonts w:ascii="Arial" w:cs="Arial" w:eastAsia="Arial" w:hAnsi="Arial"/>
                <w:sz w:val="18"/>
                <w:szCs w:val="18"/>
                <w:b w:val="1"/>
                <w:bCs w:val="1"/>
                <w:color w:val="auto"/>
                <w:w w:val="92"/>
              </w:rPr>
              <w:t>Not Applicable</w:t>
            </w:r>
          </w:p>
        </w:tc>
        <w:tc>
          <w:tcPr>
            <w:tcW w:w="2820" w:type="dxa"/>
            <w:vAlign w:val="bottom"/>
          </w:tcPr>
          <w:p>
            <w:pPr>
              <w:spacing w:after="0"/>
              <w:rPr>
                <w:sz w:val="24"/>
                <w:szCs w:val="24"/>
                <w:color w:val="auto"/>
              </w:rPr>
            </w:pPr>
          </w:p>
        </w:tc>
      </w:tr>
      <w:tr>
        <w:trPr>
          <w:trHeight w:val="230"/>
        </w:trPr>
        <w:tc>
          <w:tcPr>
            <w:tcW w:w="2960" w:type="dxa"/>
            <w:vAlign w:val="bottom"/>
          </w:tcPr>
          <w:p>
            <w:pPr>
              <w:spacing w:after="0"/>
              <w:rPr>
                <w:sz w:val="20"/>
                <w:szCs w:val="20"/>
                <w:color w:val="auto"/>
              </w:rPr>
            </w:pPr>
          </w:p>
        </w:tc>
        <w:tc>
          <w:tcPr>
            <w:tcW w:w="5460" w:type="dxa"/>
            <w:vAlign w:val="bottom"/>
            <w:gridSpan w:val="5"/>
          </w:tcPr>
          <w:p>
            <w:pPr>
              <w:jc w:val="center"/>
              <w:ind w:right="120"/>
              <w:spacing w:after="0"/>
              <w:rPr>
                <w:sz w:val="20"/>
                <w:szCs w:val="20"/>
                <w:color w:val="auto"/>
              </w:rPr>
            </w:pPr>
            <w:r>
              <w:rPr>
                <w:rFonts w:ascii="Arial" w:cs="Arial" w:eastAsia="Arial" w:hAnsi="Arial"/>
                <w:sz w:val="18"/>
                <w:szCs w:val="18"/>
                <w:color w:val="auto"/>
                <w:w w:val="89"/>
              </w:rPr>
              <w:t>(Former name or former address, if changed since last report)</w:t>
            </w:r>
          </w:p>
        </w:tc>
        <w:tc>
          <w:tcPr>
            <w:tcW w:w="2820" w:type="dxa"/>
            <w:vAlign w:val="bottom"/>
          </w:tcPr>
          <w:p>
            <w:pPr>
              <w:spacing w:after="0"/>
              <w:rPr>
                <w:sz w:val="20"/>
                <w:szCs w:val="20"/>
                <w:color w:val="auto"/>
              </w:rPr>
            </w:pPr>
          </w:p>
        </w:tc>
      </w:tr>
    </w:tbl>
    <w:p>
      <w:pPr>
        <w:spacing w:after="0" w:line="202"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w:t>
            </w:r>
          </w:p>
        </w:tc>
      </w:tr>
      <w:tr>
        <w:trPr>
          <w:trHeight w:val="241"/>
        </w:trPr>
        <w:tc>
          <w:tcPr>
            <w:tcW w:w="3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Trading 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Common stock, par value $0.0001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PRST</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02"/>
        </w:trPr>
        <w:tc>
          <w:tcPr>
            <w:tcW w:w="3840" w:type="dxa"/>
            <w:vAlign w:val="bottom"/>
            <w:gridSpan w:val="2"/>
          </w:tcPr>
          <w:p>
            <w:pPr>
              <w:jc w:val="center"/>
              <w:ind w:right="220"/>
              <w:spacing w:after="0" w:line="201" w:lineRule="exact"/>
              <w:rPr>
                <w:sz w:val="20"/>
                <w:szCs w:val="20"/>
                <w:color w:val="auto"/>
              </w:rPr>
            </w:pPr>
            <w:r>
              <w:rPr>
                <w:rFonts w:ascii="Arial" w:cs="Arial" w:eastAsia="Arial" w:hAnsi="Arial"/>
                <w:sz w:val="18"/>
                <w:szCs w:val="18"/>
                <w:color w:val="auto"/>
                <w:w w:val="89"/>
              </w:rPr>
              <w:t>Warrants, each whole warrant exercisable for one</w:t>
            </w:r>
          </w:p>
        </w:tc>
        <w:tc>
          <w:tcPr>
            <w:tcW w:w="3800" w:type="dxa"/>
            <w:vAlign w:val="bottom"/>
            <w:gridSpan w:val="2"/>
          </w:tcPr>
          <w:p>
            <w:pPr>
              <w:jc w:val="center"/>
              <w:ind w:right="200"/>
              <w:spacing w:after="0" w:line="201" w:lineRule="exact"/>
              <w:rPr>
                <w:sz w:val="20"/>
                <w:szCs w:val="20"/>
                <w:color w:val="auto"/>
              </w:rPr>
            </w:pPr>
            <w:r>
              <w:rPr>
                <w:rFonts w:ascii="Arial" w:cs="Arial" w:eastAsia="Arial" w:hAnsi="Arial"/>
                <w:sz w:val="18"/>
                <w:szCs w:val="18"/>
                <w:color w:val="auto"/>
                <w:w w:val="92"/>
              </w:rPr>
              <w:t>PRSTW</w:t>
            </w:r>
          </w:p>
        </w:tc>
        <w:tc>
          <w:tcPr>
            <w:tcW w:w="3600" w:type="dxa"/>
            <w:vAlign w:val="bottom"/>
          </w:tcPr>
          <w:p>
            <w:pPr>
              <w:jc w:val="center"/>
              <w:spacing w:after="0" w:line="201" w:lineRule="exact"/>
              <w:rPr>
                <w:sz w:val="20"/>
                <w:szCs w:val="20"/>
                <w:color w:val="auto"/>
              </w:rPr>
            </w:pPr>
            <w:r>
              <w:rPr>
                <w:rFonts w:ascii="Arial" w:cs="Arial" w:eastAsia="Arial" w:hAnsi="Arial"/>
                <w:sz w:val="18"/>
                <w:szCs w:val="18"/>
                <w:color w:val="auto"/>
                <w:w w:val="91"/>
              </w:rPr>
              <w:t>The Nasdaq Stock Market LLC</w:t>
            </w:r>
          </w:p>
        </w:tc>
      </w:tr>
      <w:tr>
        <w:trPr>
          <w:trHeight w:val="230"/>
        </w:trPr>
        <w:tc>
          <w:tcPr>
            <w:tcW w:w="38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share of common stock</w:t>
            </w: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20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70" w:lineRule="exact"/>
        <w:rPr>
          <w:sz w:val="24"/>
          <w:szCs w:val="24"/>
          <w:color w:val="auto"/>
        </w:rPr>
      </w:pPr>
    </w:p>
    <w:p>
      <w:pPr>
        <w:jc w:val="both"/>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Agreement</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October 10, 2023, Presto Automation Inc. (“Presto” or the “Company”) entered into a Securities Purchase Agreement (the “Purchase Agreement”) with Presto CA LLC, an accredited investor (the “Purchaser”), pursuant to which the Company agreed to sell 1,500,000 newly issued shares of the Company’s common stock, $0.0001 par value per share (the “Common Stock”), at a purchase price of $2.00 per share (the “Per Share Purchase Price”) for an aggregate purchase price of $3.0 million (the “Private Placement”). The Purchaser is affiliated with Cleveland Avenue LLC, and Keith Kravcik, a director of Presto, is the Chief Investment Officer of all of Cleveland Avenue’s various Investment Funds, including the funds invested in the Purchaser. The Purchase Agreement contains customary representations, warranties and covenants of the parties, and the closing is subject to customary closing conditions, including that the Third Amendment (as defined below) shall become effective concurrent with the closing of the Purchase Agreement. In addition, the Purchase Agreement includes anti-dilution provisions relating to future issuances or deemed issuances of the Company’s Common Stock from the closing date of the Private Placement to April 1, 2024 at a price per share below the Per Share Purchase Price, which would require the Company to issue additional shares of Common Stock to Purchaser, upon the terms and subject to the conditions contained in the Purchase Agreement.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The Private Placement is expected to close on or around October 16, 2023.</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foregoing summary of the Purchase Agreement does not purport to be complete and is subject to, and qualified in its entirety by, the full text of the Purchase Agreement filed as Exhibit 10.1 to this Current Report on Form 8-K and incorporated herein by reference.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Registration Rights Agreement</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Pursuant to the terms of the Purchase Agreement, upon the closing of the transactions contemplated under the Purchase Agreement, the Company will enter into a Registration Rights Agreement with the Purchaser (the “Registration Rights Agreement”). Under the Registration Rights Agreement, the Company will file a registration statement (“Registration Statement”) with the Securities and Exchange Commission (the “SEC”) within 30 days following the date of the Registration Rights Agreement for purposes of registering the resale of the shares of Common Stock issued in the Private Placement. The Company will also use commercially reasonable efforts to cause the SEC to declare the Registration Statement effective as promptly as possible after the filing of the Registration Statement and no later than the earlier of (i) the 60th calendar day following the date on which an additional Registration Statement is required to be filed under the Registration Rights Agreement (or, in the event of a “full review” by the Securities and Exchange Commission (the Commission”), the 90th calendar day following the date such additional Registration Statement is required to be filed under the Registration Rights Agreement) and (ii) the 5th trading day after the date the Company is notified by the SEC that the Registration Statement will not be “reviewed” or will not be subject to further review. The Company will also use its commercially reasonable efforts to keep each Registration Statement continuously effective under the Securities Act of 1933, as amended, (the “Securities Act”) until the earlier of (i) such time as all of the registrable securities covered by such Registration Statement have been sold by the holders publicly or sold pursuant to Rule 144 or (ii) the date that all registrable securities covered by such Registration Statement may be sold by non-affiliates of the Company without volume or manner-of-sale restrictions under Rule 144, and without the requirement for the Company to be in compliance with the current public information requirements under Rule 144, as determined by counsel to the Company pursuant to a written opinion letter to such effect, addressed and acceptable to the Company’s transfer agent and the affected holders.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both"/>
        <w:spacing w:after="0" w:line="308" w:lineRule="auto"/>
        <w:rPr>
          <w:sz w:val="20"/>
          <w:szCs w:val="20"/>
          <w:color w:val="auto"/>
        </w:rPr>
      </w:pPr>
      <w:r>
        <w:rPr>
          <w:rFonts w:ascii="Arial" w:cs="Arial" w:eastAsia="Arial" w:hAnsi="Arial"/>
          <w:sz w:val="17"/>
          <w:szCs w:val="17"/>
          <w:color w:val="auto"/>
        </w:rPr>
        <w:t>The foregoing summary of the Registration Rights Agreement does not purport to be complete and is subject to, and qualified in its entirety by, the full text of the form of Registration Rights Agreement, which is included as Exhibit A to the Purchase Agreement and is incorporated herein by reference.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Third Amendment to Credit Agreement</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October 10, 2023, the Company entered into a Third Amendment (the “Third Amendment”) to the Credit Agreement dated as of September 21, 2022, as amended on March 31, 2023 and May 22, 2023 (the “Credit Agreement”) with Metropolitan Partners Group Administration, LLC, the administrative, payment and collateral agent (the “Agent”) for Metropolitan Levered Partners Fund VII, LP, Metropolitan Partners Fund VII, LP, Metropolitan Offshore Partners Fund VII, LP and CEOF Holdings LP (collectively, the “Lenders”). Under the Credit Agreement, the Lenders extended initial term loans having an aggregate original principal amount of $55.0 million (the “Initial Term Loans”), which the Lenders agreed to extend by $3.0 million (the “Third Amendment Term Loans” and collectively, the “Term Loans”) pursuant to the terms, and subject to the conditions of the Third Amendment.</w:t>
      </w:r>
    </w:p>
    <w:p>
      <w:pPr>
        <w:spacing w:after="0" w:line="16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pursuant to the Third Amendment, subject to the satisfaction of the conditions set forth therein, (i) the Agent will waive any existing defaults under the Credit Agreement occurring from failure to comply with the net leverage ratio for the period ended June 30, 2023, the creation of a new subsidiary of the Company, failure to make timely payments that were due under the Credit Agreement on July 1, 2023 and failure to timely provide notice of a change of name of a subsidiary, (ii) the parties have agreed to amend certain terms of the Credit Agreement described below, (iii) the Lenders have agreed to exchange an aggregate of $6,000,000 of accrued and previously capitalized interest for warrants to purchase 3,000,000 shares of Common Stock at a purchase price of $0.01 per share (the “Third Amendment Conversion Warrants”).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amendments to the Credit Agreement provide that, with respect to interest accruing for the interest periods ending September 30, 2023 through to January 31, 2024, Presto may elect for that 100% of the accrued but unpaid interest under the Term Loans may be capitalized as principal, or “PIK Interest” on a monthly basis. After January 31, 2024, Presto may request that 100% of the accrued but unpaid interest under the Term Loans may be capitalized as principal, or “PIK Interest” on a monthly basis, subject to the prior approval by Agent. Absent such a request or in the absence of approval by the Agent, such interest is required to be paid in cash on a monthly basis.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p>
      <w:pPr>
        <w:jc w:val="both"/>
        <w:spacing w:after="0" w:line="296" w:lineRule="auto"/>
        <w:rPr>
          <w:sz w:val="20"/>
          <w:szCs w:val="20"/>
          <w:color w:val="auto"/>
        </w:rPr>
      </w:pPr>
      <w:r>
        <w:rPr>
          <w:rFonts w:ascii="Arial" w:cs="Arial" w:eastAsia="Arial" w:hAnsi="Arial"/>
          <w:sz w:val="16"/>
          <w:szCs w:val="16"/>
          <w:color w:val="auto"/>
        </w:rPr>
        <w:t>The effectiveness of the Third Amendment is conditioned, in part, upon (i) evidence of a gross amount of additional equity investments of $3 million, to be used for working capital purposes, which the Company expects to receive upon closing of the Private Placement, (ii) the Company hiring a chief financial officer reasonably satisfactory to the Agent, which the Company has done in connection with hiring Mr. Nathan Cook, as described in Item 5.02 of this Current Report on Form 8-K below, and (iii) by no later than October 16, 2023, evidence that the Company has engaged the services of an investment bank reasonably acceptable to the Agent, on economic terms reasonably acceptable to the Agent, to provide capital markets advisory services.</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also undertaken to pursue renewals of our Presto Touch solution with all of our existing customers with a transition to our next generation technology and, if this is not achieved by December 31, 2023, to provide and implement a strategic wind-down plan that is reasonably acceptable to the Agent with respect to our Presto Touch business.</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foregoing summary of the Third Amendment does not purport to be complete and is subject to, and qualified in its entirety by, the full text of the Third Amendment filed as Exhibit 10.2 to this Current Report on Form 8-K and incorporated herein by reference.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Third Amended and Restated Fee Letter</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connection with the effectiveness of the Third Amendment and in consideration for Agent entering into the Third Amendment, the Company entered into a Third Amended and Restated Fee Letter with Agent, pursuant to which the Company paid an amendment fee of $100,000 and agreed to issue warrants to purchase 25,000 shares of Common Stock at a purchase price of $0.01 per share (the “Third Amendment Warrants”) to the Lenders.</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foregoing summary of the Fee Letter does not purport to be complete and is subject to, and qualified in its entirety by, the full text of the Fee Letter filed as Exhibit 10.3 to this Current Report on Form 8-K and incorporated herein by reference.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Warrants to Purchase Common Stock</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the effectiveness of the Third Amendment, the Company will issue the Third Amendment Warrants and the Third Amendment Conversion Warrants (collectively, the “Warrants”). The Warrants may be exercised for cash or pursuant to a net exercise at any time on or before the date that is the five year anniversary of the date of the issuance of the Warrants; provided, that the Company shall not effect the exercise of any portion of the warrant to the extent that giving effect to such exercise, the holder thereof, together with its affiliates collectively would beneficially own in excess of 4.99% of the Common Stock outstanding immediately after giving effect to such exercise. In addition, the Third Amendment Conversion Warrants are subject to anti-dilution provisions relating to future issuances or deemed issuances of the Company’s Common Stock from the issuance date of the Third Amendment Conversion Warrants to April 1, 2024 at a price per share below $2.00, upon the terms and subject to the conditions contained in the Third Amendment Conversion Warrants.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 w:name="page5"/>
    <w:bookmarkEnd w:id="4"/>
    <w:p>
      <w:pPr>
        <w:jc w:val="both"/>
        <w:spacing w:after="0" w:line="253" w:lineRule="auto"/>
        <w:rPr>
          <w:sz w:val="20"/>
          <w:szCs w:val="20"/>
          <w:color w:val="auto"/>
        </w:rPr>
      </w:pPr>
      <w:r>
        <w:rPr>
          <w:rFonts w:ascii="Arial" w:cs="Arial" w:eastAsia="Arial" w:hAnsi="Arial"/>
          <w:sz w:val="18"/>
          <w:szCs w:val="18"/>
          <w:color w:val="auto"/>
        </w:rPr>
        <w:t>In addition, the parties agreed that the shares of Common Stock underlying the Warrants constitute “Registerable Securities” as defined in the registration rights agreement, dated as of March 31, 2023, by and among the Company and the Lenders (the “Metropolitan Registration Rights Agreement”). Under the Metropolitan Registration Rights Agreement, the Company has agreed to file a Registration Statement with the SEC within 30 days following the date of the issuance of the Warrants for purposes of registering the resale of the shares of Common Stock underlying the Warrants. The Company has also agreed to use its reasonable best efforts to cause the SEC to declare the Registration Statement effective as soon as possible after the filing of the Registration Statement and no later than the earlier of (i) the 60th calendar day following the date on which an additional Registration Statement is required to be filed under the Registration Rights Agreement (or, in the event of a “full review” by the Securities and Exchange Commission (the Commission”), the 90th calendar day following the date such additional Registration Statement is required to be filed under the Registration Rights Agreement) and (ii) the 3rd business day after the date the Company is notified by the SEC that the Registration Statement will not be “reviewed” or will not be subject to further review.</w:t>
      </w:r>
    </w:p>
    <w:p>
      <w:pPr>
        <w:spacing w:after="0" w:line="194"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foregoing summary of the Warrants and the Metropolitan Registration Rights Agreement does not purport to be complete and is subject to, and qualified in its entirety by, the full text of the Warrants filed as Exhibit 10.4, 10.5, 10.6, 10.7, 10.8, 10.9, 10.10 and 10.11 and the Metropolitan Registration Rights Agreement incorporated by reference as Exhibit 10.13 to this Current Report on Form 8-K and incorporated herein by reference.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Lock-Up Agreements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foregoing transactions, certain holders of the Company’s Common Stock entered into lock-up agreements with the Company agreeing not to transfer their shares until December 23, 2024. These shareholders included Presto CA LLC, entities affiliated with REMUS Capital and Romulus Capital, entities affiliated with I2BF Global Ventures and various other shareholders.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October 10, 2023, the Company issued a press release announcing the Company’s financial results for the fiscal year ended June 30, 2023. On the same day, the Company held a conference call to discuss the Company’s financial results for the fiscal year ended June 30, 2023.</w:t>
      </w:r>
    </w:p>
    <w:p>
      <w:pPr>
        <w:spacing w:after="0" w:line="14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 copy of the Company’s press release and a copy of the script of the conference call are attached hereto as Exhibits 99.1 and 99.2, respectively, and are hereby incorporated by reference in this Item 2.02. The information and exhibits contained in this Item 2.02 is being furnished and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3.02 Unregistered Sale of Equity Securities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regarding the Company’s issuance of Common Stock pursuant to the Purchase Agreement and the Warrants set forth in Item 1.01 of this Current Report on Form 8-K is incorporated by reference into this Item 3.02. The Common Stock to be issued pursuant to the Purchase Agreement and the Warrants issued pursuant to the Third Amendment have not been registered under the Securities Act, and will be or were issued, in each case, in reliance upon the exemption provided in Section 4(a)(2) of the Securities Act.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jc w:val="both"/>
        <w:ind w:right="2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October 9, 2023, the Board of Directors (the “Board”) of Presto appointed Nathan Cook to serve as Interim Chief Financial Officer, effective immediately following the filing of the Company’s Annual Report on Form 10-K (the “Effective Time”). After the Effective Time, Stanley Mbugua, the Company’s Chief Accounting Officer who has served as the Interim Chief Financial Officer since August 1, 2023 will no longer serve in such capacity and will continue to serve as the Company’s Chief Accounting Officer.</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Mr. Cook, age 51, is a Senior Managing Director at Teneo Capital LLC (“Teneo”), a global advisory firm, a position he has held since January 2023, where he provides accounting and financial consulting services. Prior to that, from February 2018 to December 2022, Mr. Cook was a Senior Managing Director at EY-Parthenon, the global strategy consulting arm of Ernst &amp; Young, where he led the U.S. West Coast Restructuring practice, Co-Led the Americas’ Reshaping Results Consumer Products team, and led the U.S. Chief Restructuring Officer practice. From 2015 to 2018, Mr. Cook was Founder and CEO of Red Rock Capital Partners, LLC, a corporate turnaround and management consulting firm. From 2001 to 2015, Mr. Cook was a Managing Director of AlixPartners, where he led the firm’s interim CFO practice in the U.S. Mr. Cook has served as Interim Chief Financial Officer at over 10 companies during the course of his career. Mr. Cook holds an MBA from the University of California, Los Angeles and a Bachelor of Business Administration from the University of Michigan.</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Mr. Cook has been, and will remain, employed by Teneo and will be providing his services pursuant to an Engagement Letter between the Company and Teneo (the “Engagement Letter”). The Company will pay a fixed monthly fee to Teneo of $90,000 per calendar month of service rendered by Mr. Cook and shall reimburse Teneo for its reasonable out-of-pocket expenses.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Mr. Cook’s appointment resulted from discussions held between the Company and the Agent in order to strengthen the Company’s financial reporting and financing capabilities. There are no other arrangements or understandings pursuant to Mr. Cook’s appointment as Chief Financial Officer and there are no family relationships among any of the Company’s executive officers, members of the Board and Mr. Cook, and there are no transactions with Mr. Cook that require disclosure pursuant to Item 404(a) of Regulation S-K.</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copy of the Engagement Letter is attached as Exhibit 10.12 to this Current Report on Form 8-K and the Company’s press release announcing the appointment of Mr. Cook is attached to this Current Report on Form 8-K as Exhibit 99.1.</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4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4"/>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1"/>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10100" w:type="dxa"/>
            <w:vAlign w:val="bottom"/>
            <w:gridSpan w:val="14"/>
          </w:tcPr>
          <w:p>
            <w:pPr>
              <w:spacing w:after="0"/>
              <w:rPr>
                <w:sz w:val="20"/>
                <w:szCs w:val="20"/>
                <w:color w:val="auto"/>
              </w:rPr>
            </w:pPr>
            <w:r>
              <w:rPr>
                <w:rFonts w:ascii="Arial" w:cs="Arial" w:eastAsia="Arial" w:hAnsi="Arial"/>
                <w:sz w:val="18"/>
                <w:szCs w:val="18"/>
                <w:b w:val="1"/>
                <w:bCs w:val="1"/>
                <w:color w:val="auto"/>
              </w:rPr>
              <w:t>Description</w:t>
            </w:r>
          </w:p>
        </w:tc>
      </w:tr>
      <w:tr>
        <w:trPr>
          <w:trHeight w:val="196"/>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360" w:type="dxa"/>
            <w:vAlign w:val="bottom"/>
            <w:tcBorders>
              <w:top w:val="single" w:sz="8" w:color="auto"/>
              <w:bottom w:val="single" w:sz="8" w:color="0000EE"/>
            </w:tcBorders>
            <w:gridSpan w:val="10"/>
            <w:shd w:val="clear" w:color="auto" w:fill="CCEEFF"/>
          </w:tcPr>
          <w:p>
            <w:pPr>
              <w:spacing w:after="0" w:line="176" w:lineRule="exact"/>
              <w:rPr>
                <w:sz w:val="20"/>
                <w:szCs w:val="20"/>
                <w:color w:val="auto"/>
              </w:rPr>
            </w:pPr>
            <w:r>
              <w:rPr>
                <w:rFonts w:ascii="Arial" w:cs="Arial" w:eastAsia="Arial" w:hAnsi="Arial"/>
                <w:sz w:val="18"/>
                <w:szCs w:val="18"/>
                <w:color w:val="0000EE"/>
                <w:w w:val="90"/>
              </w:rPr>
              <w:t>Securities Purchase Agreement, dated as of October 10, 2023, between Presto Automation Inc. and Presto CA LLC.</w:t>
            </w:r>
          </w:p>
        </w:tc>
        <w:tc>
          <w:tcPr>
            <w:tcW w:w="1740" w:type="dxa"/>
            <w:vAlign w:val="bottom"/>
            <w:tcBorders>
              <w:top w:val="single" w:sz="8" w:color="auto"/>
              <w:bottom w:val="single" w:sz="8" w:color="CCEEFF"/>
            </w:tcBorders>
            <w:gridSpan w:val="4"/>
            <w:shd w:val="clear" w:color="auto" w:fill="CCEEFF"/>
          </w:tcPr>
          <w:p>
            <w:pPr>
              <w:spacing w:after="0"/>
              <w:rPr>
                <w:sz w:val="17"/>
                <w:szCs w:val="17"/>
                <w:color w:val="auto"/>
              </w:rPr>
            </w:pPr>
          </w:p>
        </w:tc>
      </w:tr>
      <w:tr>
        <w:trPr>
          <w:trHeight w:val="175"/>
        </w:trPr>
        <w:tc>
          <w:tcPr>
            <w:tcW w:w="1020" w:type="dxa"/>
            <w:vAlign w:val="bottom"/>
          </w:tcPr>
          <w:p>
            <w:pPr>
              <w:spacing w:after="0" w:line="176" w:lineRule="exact"/>
              <w:rPr>
                <w:sz w:val="20"/>
                <w:szCs w:val="20"/>
                <w:color w:val="auto"/>
              </w:rPr>
            </w:pPr>
            <w:r>
              <w:rPr>
                <w:rFonts w:ascii="Arial" w:cs="Arial" w:eastAsia="Arial" w:hAnsi="Arial"/>
                <w:sz w:val="18"/>
                <w:szCs w:val="18"/>
                <w:color w:val="auto"/>
              </w:rPr>
              <w:t>10.2*</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4"/>
          </w:tcPr>
          <w:p>
            <w:pPr>
              <w:spacing w:after="0" w:line="176" w:lineRule="exact"/>
              <w:rPr>
                <w:sz w:val="20"/>
                <w:szCs w:val="20"/>
                <w:color w:val="auto"/>
              </w:rPr>
            </w:pPr>
            <w:r>
              <w:rPr>
                <w:rFonts w:ascii="Arial" w:cs="Arial" w:eastAsia="Arial" w:hAnsi="Arial"/>
                <w:sz w:val="18"/>
                <w:szCs w:val="18"/>
                <w:color w:val="0000EE"/>
                <w:w w:val="92"/>
              </w:rPr>
              <w:t>Third Amendment to Credit Agreement, dated as of October 10, 2023, by and among Presto Automation LLC, Presto Automation Inc., the</w:t>
            </w: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4"/>
          </w:tcPr>
          <w:p>
            <w:pPr>
              <w:spacing w:after="0" w:line="196" w:lineRule="exact"/>
              <w:rPr>
                <w:sz w:val="20"/>
                <w:szCs w:val="20"/>
                <w:color w:val="auto"/>
              </w:rPr>
            </w:pPr>
            <w:r>
              <w:rPr>
                <w:rFonts w:ascii="Arial" w:cs="Arial" w:eastAsia="Arial" w:hAnsi="Arial"/>
                <w:sz w:val="18"/>
                <w:szCs w:val="18"/>
                <w:color w:val="0000EE"/>
              </w:rPr>
              <w:t>lenders party thereto and Metropolitan Partners Group Administration, LLC.</w:t>
            </w: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280" w:type="dxa"/>
            <w:vAlign w:val="bottom"/>
            <w:tcBorders>
              <w:top w:val="single" w:sz="8" w:color="0000EE"/>
            </w:tcBorders>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10.3</w:t>
            </w:r>
          </w:p>
        </w:tc>
        <w:tc>
          <w:tcPr>
            <w:tcW w:w="120" w:type="dxa"/>
            <w:vAlign w:val="bottom"/>
            <w:shd w:val="clear" w:color="auto" w:fill="CCEEFF"/>
          </w:tcPr>
          <w:p>
            <w:pPr>
              <w:spacing w:after="0"/>
              <w:rPr>
                <w:sz w:val="15"/>
                <w:szCs w:val="15"/>
                <w:color w:val="auto"/>
              </w:rPr>
            </w:pPr>
          </w:p>
        </w:tc>
        <w:tc>
          <w:tcPr>
            <w:tcW w:w="10100" w:type="dxa"/>
            <w:vAlign w:val="bottom"/>
            <w:gridSpan w:val="14"/>
            <w:shd w:val="clear" w:color="auto" w:fill="CCEEFF"/>
          </w:tcPr>
          <w:p>
            <w:pPr>
              <w:spacing w:after="0" w:line="176" w:lineRule="exact"/>
              <w:rPr>
                <w:sz w:val="20"/>
                <w:szCs w:val="20"/>
                <w:color w:val="auto"/>
              </w:rPr>
            </w:pPr>
            <w:r>
              <w:rPr>
                <w:rFonts w:ascii="Arial" w:cs="Arial" w:eastAsia="Arial" w:hAnsi="Arial"/>
                <w:sz w:val="18"/>
                <w:szCs w:val="18"/>
                <w:color w:val="0000EE"/>
                <w:w w:val="91"/>
              </w:rPr>
              <w:t>Third Amended and Restated Fee Letter, dated October 10, 2023 by and Presto Automation LLC, Presto Automation Inc. and Metropolitan</w:t>
            </w:r>
          </w:p>
        </w:tc>
      </w:tr>
      <w:tr>
        <w:trPr>
          <w:trHeight w:val="196"/>
        </w:trPr>
        <w:tc>
          <w:tcPr>
            <w:tcW w:w="10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80" w:type="dxa"/>
            <w:vAlign w:val="bottom"/>
            <w:tcBorders>
              <w:top w:val="single" w:sz="8" w:color="0000EE"/>
            </w:tcBorders>
            <w:gridSpan w:val="13"/>
            <w:shd w:val="clear" w:color="auto" w:fill="CCEEFF"/>
          </w:tcPr>
          <w:p>
            <w:pPr>
              <w:spacing w:after="0" w:line="196" w:lineRule="exact"/>
              <w:rPr>
                <w:sz w:val="20"/>
                <w:szCs w:val="20"/>
                <w:color w:val="auto"/>
              </w:rPr>
            </w:pPr>
            <w:r>
              <w:rPr>
                <w:rFonts w:ascii="Arial" w:cs="Arial" w:eastAsia="Arial" w:hAnsi="Arial"/>
                <w:sz w:val="18"/>
                <w:szCs w:val="18"/>
                <w:color w:val="0000EE"/>
              </w:rPr>
              <w:t>Partners Group Administration LLC.</w:t>
            </w:r>
          </w:p>
        </w:tc>
        <w:tc>
          <w:tcPr>
            <w:tcW w:w="20" w:type="dxa"/>
            <w:vAlign w:val="bottom"/>
            <w:tcBorders>
              <w:top w:val="single" w:sz="8" w:color="CCEEFF"/>
            </w:tcBorders>
            <w:shd w:val="clear" w:color="auto" w:fill="CCEEFF"/>
          </w:tcPr>
          <w:p>
            <w:pPr>
              <w:spacing w:after="0"/>
              <w:rPr>
                <w:sz w:val="17"/>
                <w:szCs w:val="17"/>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28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Arial" w:cs="Arial" w:eastAsia="Arial" w:hAnsi="Arial"/>
                <w:sz w:val="18"/>
                <w:szCs w:val="18"/>
                <w:color w:val="auto"/>
              </w:rPr>
              <w:t>10.4</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4"/>
          </w:tcPr>
          <w:p>
            <w:pPr>
              <w:spacing w:after="0" w:line="176" w:lineRule="exact"/>
              <w:rPr>
                <w:sz w:val="20"/>
                <w:szCs w:val="20"/>
                <w:color w:val="auto"/>
              </w:rPr>
            </w:pPr>
            <w:r>
              <w:rPr>
                <w:rFonts w:ascii="Arial" w:cs="Arial" w:eastAsia="Arial" w:hAnsi="Arial"/>
                <w:sz w:val="18"/>
                <w:szCs w:val="18"/>
                <w:color w:val="0000EE"/>
                <w:w w:val="94"/>
              </w:rPr>
              <w:t>Form of Warrant to Purchase Common Stock (Conversion Warrant) by and between Presto Automation Inc. and Metropolitan Levered</w:t>
            </w: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4"/>
          </w:tcPr>
          <w:p>
            <w:pPr>
              <w:spacing w:after="0" w:line="196" w:lineRule="exact"/>
              <w:rPr>
                <w:sz w:val="20"/>
                <w:szCs w:val="20"/>
                <w:color w:val="auto"/>
              </w:rPr>
            </w:pPr>
            <w:r>
              <w:rPr>
                <w:rFonts w:ascii="Arial" w:cs="Arial" w:eastAsia="Arial" w:hAnsi="Arial"/>
                <w:sz w:val="18"/>
                <w:szCs w:val="18"/>
                <w:color w:val="0000EE"/>
              </w:rPr>
              <w:t>Partners Fund VII, LP.</w:t>
            </w: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4"/>
            <w:shd w:val="clear" w:color="auto" w:fill="CCEEFF"/>
          </w:tcPr>
          <w:p>
            <w:pPr>
              <w:spacing w:after="0" w:line="176" w:lineRule="exact"/>
              <w:rPr>
                <w:sz w:val="20"/>
                <w:szCs w:val="20"/>
                <w:color w:val="auto"/>
              </w:rPr>
            </w:pPr>
            <w:r>
              <w:rPr>
                <w:rFonts w:ascii="Arial" w:cs="Arial" w:eastAsia="Arial" w:hAnsi="Arial"/>
                <w:sz w:val="18"/>
                <w:szCs w:val="18"/>
                <w:color w:val="0000EE"/>
                <w:w w:val="94"/>
              </w:rPr>
              <w:t>Form of Warrant to Purchase Common Stock (Conversion Warrant) by and between Presto Automation Inc. and Metropolitan Partners</w:t>
            </w:r>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0000EE"/>
            </w:tcBorders>
            <w:gridSpan w:val="2"/>
            <w:shd w:val="clear" w:color="auto" w:fill="CCEEFF"/>
          </w:tcPr>
          <w:p>
            <w:pPr>
              <w:spacing w:after="0" w:line="196" w:lineRule="exact"/>
              <w:rPr>
                <w:sz w:val="20"/>
                <w:szCs w:val="20"/>
                <w:color w:val="auto"/>
              </w:rPr>
            </w:pPr>
            <w:r>
              <w:rPr>
                <w:rFonts w:ascii="Arial" w:cs="Arial" w:eastAsia="Arial" w:hAnsi="Arial"/>
                <w:sz w:val="18"/>
                <w:szCs w:val="18"/>
                <w:color w:val="0000EE"/>
                <w:w w:val="93"/>
              </w:rPr>
              <w:t>Fund VII, LP.</w:t>
            </w:r>
          </w:p>
        </w:tc>
        <w:tc>
          <w:tcPr>
            <w:tcW w:w="9100" w:type="dxa"/>
            <w:vAlign w:val="bottom"/>
            <w:tcBorders>
              <w:bottom w:val="single" w:sz="8" w:color="CCEEFF"/>
            </w:tcBorders>
            <w:gridSpan w:val="12"/>
            <w:shd w:val="clear" w:color="auto" w:fill="CCEEFF"/>
          </w:tcPr>
          <w:p>
            <w:pPr>
              <w:spacing w:after="0"/>
              <w:rPr>
                <w:sz w:val="18"/>
                <w:szCs w:val="18"/>
                <w:color w:val="auto"/>
              </w:rPr>
            </w:pPr>
          </w:p>
        </w:tc>
      </w:tr>
      <w:tr>
        <w:trPr>
          <w:trHeight w:val="176"/>
        </w:trPr>
        <w:tc>
          <w:tcPr>
            <w:tcW w:w="1020" w:type="dxa"/>
            <w:vAlign w:val="bottom"/>
          </w:tcPr>
          <w:p>
            <w:pPr>
              <w:spacing w:after="0" w:line="176" w:lineRule="exact"/>
              <w:rPr>
                <w:sz w:val="20"/>
                <w:szCs w:val="20"/>
                <w:color w:val="auto"/>
              </w:rPr>
            </w:pPr>
            <w:r>
              <w:rPr>
                <w:rFonts w:ascii="Arial" w:cs="Arial" w:eastAsia="Arial" w:hAnsi="Arial"/>
                <w:sz w:val="18"/>
                <w:szCs w:val="18"/>
                <w:color w:val="auto"/>
              </w:rPr>
              <w:t>10.6</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4"/>
          </w:tcPr>
          <w:p>
            <w:pPr>
              <w:spacing w:after="0" w:line="176" w:lineRule="exact"/>
              <w:rPr>
                <w:sz w:val="20"/>
                <w:szCs w:val="20"/>
                <w:color w:val="auto"/>
              </w:rPr>
            </w:pPr>
            <w:r>
              <w:rPr>
                <w:rFonts w:ascii="Arial" w:cs="Arial" w:eastAsia="Arial" w:hAnsi="Arial"/>
                <w:sz w:val="18"/>
                <w:szCs w:val="18"/>
                <w:color w:val="0000EE"/>
                <w:w w:val="94"/>
              </w:rPr>
              <w:t>Form of Warrant to Purchase Common Stock (Conversion Warrant) by and between Presto Automation Inc. and Metropolitan Offshore</w:t>
            </w: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4"/>
          </w:tcPr>
          <w:p>
            <w:pPr>
              <w:spacing w:after="0" w:line="196" w:lineRule="exact"/>
              <w:rPr>
                <w:sz w:val="20"/>
                <w:szCs w:val="20"/>
                <w:color w:val="auto"/>
              </w:rPr>
            </w:pPr>
            <w:r>
              <w:rPr>
                <w:rFonts w:ascii="Arial" w:cs="Arial" w:eastAsia="Arial" w:hAnsi="Arial"/>
                <w:sz w:val="18"/>
                <w:szCs w:val="18"/>
                <w:color w:val="0000EE"/>
              </w:rPr>
              <w:t>Partners Fund VII, LP.</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10.7</w:t>
            </w:r>
          </w:p>
        </w:tc>
        <w:tc>
          <w:tcPr>
            <w:tcW w:w="120" w:type="dxa"/>
            <w:vAlign w:val="bottom"/>
            <w:shd w:val="clear" w:color="auto" w:fill="CCEEFF"/>
          </w:tcPr>
          <w:p>
            <w:pPr>
              <w:spacing w:after="0"/>
              <w:rPr>
                <w:sz w:val="15"/>
                <w:szCs w:val="15"/>
                <w:color w:val="auto"/>
              </w:rPr>
            </w:pPr>
          </w:p>
        </w:tc>
        <w:tc>
          <w:tcPr>
            <w:tcW w:w="10100" w:type="dxa"/>
            <w:vAlign w:val="bottom"/>
            <w:gridSpan w:val="14"/>
            <w:shd w:val="clear" w:color="auto" w:fill="CCEEFF"/>
          </w:tcPr>
          <w:p>
            <w:pPr>
              <w:spacing w:after="0" w:line="176" w:lineRule="exact"/>
              <w:rPr>
                <w:sz w:val="20"/>
                <w:szCs w:val="20"/>
                <w:color w:val="auto"/>
              </w:rPr>
            </w:pPr>
            <w:r>
              <w:rPr>
                <w:rFonts w:ascii="Arial" w:cs="Arial" w:eastAsia="Arial" w:hAnsi="Arial"/>
                <w:sz w:val="18"/>
                <w:szCs w:val="18"/>
                <w:color w:val="0000EE"/>
                <w:w w:val="95"/>
              </w:rPr>
              <w:t>Form of Warrant to Purchase Common Stock (Conversion Warrant) by and between Presto Automation Inc. and CEOF Holdings, LP.</w:t>
            </w: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280" w:type="dxa"/>
            <w:vAlign w:val="bottom"/>
            <w:tcBorders>
              <w:top w:val="single" w:sz="8" w:color="0000EE"/>
            </w:tcBorders>
            <w:shd w:val="clear" w:color="auto" w:fill="CCEEFF"/>
          </w:tcPr>
          <w:p>
            <w:pPr>
              <w:spacing w:after="0" w:line="20" w:lineRule="exact"/>
              <w:rPr>
                <w:sz w:val="1"/>
                <w:szCs w:val="1"/>
                <w:color w:val="auto"/>
              </w:rPr>
            </w:pPr>
          </w:p>
        </w:tc>
        <w:tc>
          <w:tcPr>
            <w:tcW w:w="2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Arial" w:cs="Arial" w:eastAsia="Arial" w:hAnsi="Arial"/>
                <w:sz w:val="18"/>
                <w:szCs w:val="18"/>
                <w:color w:val="auto"/>
              </w:rPr>
              <w:t>10.8</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4"/>
          </w:tcPr>
          <w:p>
            <w:pPr>
              <w:spacing w:after="0" w:line="176" w:lineRule="exact"/>
              <w:rPr>
                <w:sz w:val="20"/>
                <w:szCs w:val="20"/>
                <w:color w:val="auto"/>
              </w:rPr>
            </w:pPr>
            <w:r>
              <w:rPr>
                <w:rFonts w:ascii="Arial" w:cs="Arial" w:eastAsia="Arial" w:hAnsi="Arial"/>
                <w:sz w:val="18"/>
                <w:szCs w:val="18"/>
                <w:color w:val="0000EE"/>
                <w:w w:val="91"/>
              </w:rPr>
              <w:t>Warrant to Purchase Common Stock, dated October 10, 2023, by and between Presto Automation Inc. and Metropolitan Levered Partners</w:t>
            </w: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4"/>
          </w:tcPr>
          <w:p>
            <w:pPr>
              <w:spacing w:after="0" w:line="196" w:lineRule="exact"/>
              <w:rPr>
                <w:sz w:val="20"/>
                <w:szCs w:val="20"/>
                <w:color w:val="auto"/>
              </w:rPr>
            </w:pPr>
            <w:r>
              <w:rPr>
                <w:rFonts w:ascii="Arial" w:cs="Arial" w:eastAsia="Arial" w:hAnsi="Arial"/>
                <w:sz w:val="18"/>
                <w:szCs w:val="18"/>
                <w:color w:val="0000EE"/>
              </w:rPr>
              <w:t>Fund VII, LP.</w:t>
            </w: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15"/>
                <w:szCs w:val="15"/>
                <w:color w:val="auto"/>
              </w:rPr>
            </w:pPr>
          </w:p>
        </w:tc>
        <w:tc>
          <w:tcPr>
            <w:tcW w:w="10100" w:type="dxa"/>
            <w:vAlign w:val="bottom"/>
            <w:gridSpan w:val="14"/>
            <w:shd w:val="clear" w:color="auto" w:fill="CCEEFF"/>
          </w:tcPr>
          <w:p>
            <w:pPr>
              <w:spacing w:after="0" w:line="176" w:lineRule="exact"/>
              <w:rPr>
                <w:sz w:val="20"/>
                <w:szCs w:val="20"/>
                <w:color w:val="auto"/>
              </w:rPr>
            </w:pPr>
            <w:r>
              <w:rPr>
                <w:rFonts w:ascii="Arial" w:cs="Arial" w:eastAsia="Arial" w:hAnsi="Arial"/>
                <w:sz w:val="18"/>
                <w:szCs w:val="18"/>
                <w:color w:val="0000EE"/>
                <w:w w:val="91"/>
              </w:rPr>
              <w:t>Warrant to Purchase Common Stock, dated October 10, 2023, by and between Presto Automation Inc. and Metropolitan Partners Fund VII,</w:t>
            </w:r>
          </w:p>
        </w:tc>
      </w:tr>
      <w:tr>
        <w:trPr>
          <w:trHeight w:val="216"/>
        </w:trPr>
        <w:tc>
          <w:tcPr>
            <w:tcW w:w="10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0000EE"/>
              <w:bottom w:val="single" w:sz="8" w:color="0000EE"/>
            </w:tcBorders>
            <w:shd w:val="clear" w:color="auto" w:fill="CCEEFF"/>
          </w:tcPr>
          <w:p>
            <w:pPr>
              <w:spacing w:after="0" w:line="196" w:lineRule="exact"/>
              <w:rPr>
                <w:sz w:val="20"/>
                <w:szCs w:val="20"/>
                <w:color w:val="auto"/>
              </w:rPr>
            </w:pPr>
            <w:r>
              <w:rPr>
                <w:rFonts w:ascii="Arial" w:cs="Arial" w:eastAsia="Arial" w:hAnsi="Arial"/>
                <w:sz w:val="18"/>
                <w:szCs w:val="18"/>
                <w:color w:val="0000EE"/>
                <w:w w:val="81"/>
              </w:rPr>
              <w:t>LP.</w:t>
            </w:r>
          </w:p>
        </w:tc>
        <w:tc>
          <w:tcPr>
            <w:tcW w:w="9840" w:type="dxa"/>
            <w:vAlign w:val="bottom"/>
            <w:tcBorders>
              <w:top w:val="single" w:sz="8" w:color="0000EE"/>
              <w:bottom w:val="single" w:sz="8" w:color="CCEEFF"/>
            </w:tcBorders>
            <w:gridSpan w:val="12"/>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6"/>
        </w:trPr>
        <w:tc>
          <w:tcPr>
            <w:tcW w:w="1020" w:type="dxa"/>
            <w:vAlign w:val="bottom"/>
          </w:tcPr>
          <w:p>
            <w:pPr>
              <w:spacing w:after="0" w:line="176" w:lineRule="exact"/>
              <w:rPr>
                <w:sz w:val="20"/>
                <w:szCs w:val="20"/>
                <w:color w:val="auto"/>
              </w:rPr>
            </w:pPr>
            <w:r>
              <w:rPr>
                <w:rFonts w:ascii="Arial" w:cs="Arial" w:eastAsia="Arial" w:hAnsi="Arial"/>
                <w:sz w:val="18"/>
                <w:szCs w:val="18"/>
                <w:color w:val="auto"/>
              </w:rPr>
              <w:t>10.10</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4"/>
          </w:tcPr>
          <w:p>
            <w:pPr>
              <w:spacing w:after="0" w:line="176" w:lineRule="exact"/>
              <w:rPr>
                <w:sz w:val="20"/>
                <w:szCs w:val="20"/>
                <w:color w:val="auto"/>
              </w:rPr>
            </w:pPr>
            <w:r>
              <w:rPr>
                <w:rFonts w:ascii="Arial" w:cs="Arial" w:eastAsia="Arial" w:hAnsi="Arial"/>
                <w:sz w:val="18"/>
                <w:szCs w:val="18"/>
                <w:color w:val="0000EE"/>
                <w:w w:val="91"/>
              </w:rPr>
              <w:t>Warrant to Purchase Common Stock, dated October 10, 2023, by and between Presto Automation Inc. and Metropolitan Offshore Partners</w:t>
            </w: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4"/>
          </w:tcPr>
          <w:p>
            <w:pPr>
              <w:spacing w:after="0" w:line="196" w:lineRule="exact"/>
              <w:rPr>
                <w:sz w:val="20"/>
                <w:szCs w:val="20"/>
                <w:color w:val="auto"/>
              </w:rPr>
            </w:pPr>
            <w:r>
              <w:rPr>
                <w:rFonts w:ascii="Arial" w:cs="Arial" w:eastAsia="Arial" w:hAnsi="Arial"/>
                <w:sz w:val="18"/>
                <w:szCs w:val="18"/>
                <w:color w:val="0000EE"/>
              </w:rPr>
              <w:t>Fund VII, LP.</w:t>
            </w: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10.11</w:t>
            </w:r>
          </w:p>
        </w:tc>
        <w:tc>
          <w:tcPr>
            <w:tcW w:w="120" w:type="dxa"/>
            <w:vAlign w:val="bottom"/>
            <w:shd w:val="clear" w:color="auto" w:fill="CCEEFF"/>
          </w:tcPr>
          <w:p>
            <w:pPr>
              <w:spacing w:after="0"/>
              <w:rPr>
                <w:sz w:val="17"/>
                <w:szCs w:val="17"/>
                <w:color w:val="auto"/>
              </w:rPr>
            </w:pPr>
          </w:p>
        </w:tc>
        <w:tc>
          <w:tcPr>
            <w:tcW w:w="10100" w:type="dxa"/>
            <w:vAlign w:val="bottom"/>
            <w:gridSpan w:val="14"/>
            <w:shd w:val="clear" w:color="auto" w:fill="CCEEFF"/>
          </w:tcPr>
          <w:p>
            <w:pPr>
              <w:spacing w:after="0" w:line="176" w:lineRule="exact"/>
              <w:rPr>
                <w:sz w:val="20"/>
                <w:szCs w:val="20"/>
                <w:color w:val="auto"/>
              </w:rPr>
            </w:pPr>
            <w:r>
              <w:rPr>
                <w:rFonts w:ascii="Arial" w:cs="Arial" w:eastAsia="Arial" w:hAnsi="Arial"/>
                <w:sz w:val="18"/>
                <w:szCs w:val="18"/>
                <w:color w:val="0000EE"/>
                <w:w w:val="98"/>
              </w:rPr>
              <w:t>Warrant to Purchase Common Stock, dated October 10, 2023, by and between Presto Automation Inc. and CEOF Holdings, LP.</w:t>
            </w:r>
          </w:p>
        </w:tc>
      </w:tr>
      <w:tr>
        <w:trPr>
          <w:trHeight w:val="176"/>
        </w:trPr>
        <w:tc>
          <w:tcPr>
            <w:tcW w:w="102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10.12</w:t>
            </w:r>
          </w:p>
        </w:tc>
        <w:tc>
          <w:tcPr>
            <w:tcW w:w="120" w:type="dxa"/>
            <w:vAlign w:val="bottom"/>
            <w:tcBorders>
              <w:top w:val="single" w:sz="8" w:color="CCEEFF"/>
            </w:tcBorders>
          </w:tcPr>
          <w:p>
            <w:pPr>
              <w:spacing w:after="0"/>
              <w:rPr>
                <w:sz w:val="15"/>
                <w:szCs w:val="15"/>
                <w:color w:val="auto"/>
              </w:rPr>
            </w:pPr>
          </w:p>
        </w:tc>
        <w:tc>
          <w:tcPr>
            <w:tcW w:w="9180" w:type="dxa"/>
            <w:vAlign w:val="bottom"/>
            <w:tcBorders>
              <w:top w:val="single" w:sz="8" w:color="0000EE"/>
            </w:tcBorders>
            <w:gridSpan w:val="11"/>
          </w:tcPr>
          <w:p>
            <w:pPr>
              <w:spacing w:after="0" w:line="176" w:lineRule="exact"/>
              <w:rPr>
                <w:sz w:val="20"/>
                <w:szCs w:val="20"/>
                <w:color w:val="auto"/>
              </w:rPr>
            </w:pPr>
            <w:r>
              <w:rPr>
                <w:rFonts w:ascii="Arial" w:cs="Arial" w:eastAsia="Arial" w:hAnsi="Arial"/>
                <w:sz w:val="18"/>
                <w:szCs w:val="18"/>
                <w:color w:val="0000EE"/>
              </w:rPr>
              <w:t>Engagement Letter, dated as of October 6, 2023, between Presto Automation Inc. and Teneo Capital LLC.</w:t>
            </w:r>
          </w:p>
        </w:tc>
        <w:tc>
          <w:tcPr>
            <w:tcW w:w="920" w:type="dxa"/>
            <w:vAlign w:val="bottom"/>
            <w:tcBorders>
              <w:top w:val="single" w:sz="8" w:color="CCEEFF"/>
            </w:tcBorders>
            <w:gridSpan w:val="3"/>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280" w:type="dxa"/>
            <w:vAlign w:val="bottom"/>
            <w:tcBorders>
              <w:top w:val="single" w:sz="8" w:color="0000EE"/>
            </w:tcBorders>
          </w:tcPr>
          <w:p>
            <w:pPr>
              <w:spacing w:after="0" w:line="20" w:lineRule="exact"/>
              <w:rPr>
                <w:sz w:val="1"/>
                <w:szCs w:val="1"/>
                <w:color w:val="auto"/>
              </w:rPr>
            </w:pPr>
          </w:p>
        </w:tc>
        <w:tc>
          <w:tcPr>
            <w:tcW w:w="21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10.13</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4"/>
            <w:shd w:val="clear" w:color="auto" w:fill="CCEEFF"/>
          </w:tcPr>
          <w:p>
            <w:pPr>
              <w:spacing w:after="0" w:line="176" w:lineRule="exact"/>
              <w:rPr>
                <w:rFonts w:ascii="Arial" w:cs="Arial" w:eastAsia="Arial" w:hAnsi="Arial"/>
                <w:sz w:val="18"/>
                <w:szCs w:val="18"/>
                <w:color w:val="0000EE"/>
                <w:w w:val="95"/>
              </w:rPr>
            </w:pPr>
            <w:hyperlink r:id="rId18">
              <w:r>
                <w:rPr>
                  <w:rFonts w:ascii="Arial" w:cs="Arial" w:eastAsia="Arial" w:hAnsi="Arial"/>
                  <w:sz w:val="18"/>
                  <w:szCs w:val="18"/>
                  <w:color w:val="0000EE"/>
                  <w:w w:val="95"/>
                </w:rPr>
                <w:t>Registration Rights Agreement, dated as of March 31, 2023, by and among Presto Automation Inc. and certain persons listed therein</w:t>
              </w:r>
            </w:hyperlink>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14"/>
            <w:shd w:val="clear" w:color="auto" w:fill="CCEEFF"/>
          </w:tcPr>
          <w:p>
            <w:pPr>
              <w:spacing w:after="0" w:line="196" w:lineRule="exact"/>
              <w:rPr>
                <w:rFonts w:ascii="Arial" w:cs="Arial" w:eastAsia="Arial" w:hAnsi="Arial"/>
                <w:sz w:val="18"/>
                <w:szCs w:val="18"/>
                <w:color w:val="0000EE"/>
              </w:rPr>
            </w:pPr>
            <w:hyperlink r:id="rId18">
              <w:r>
                <w:rPr>
                  <w:rFonts w:ascii="Arial" w:cs="Arial" w:eastAsia="Arial" w:hAnsi="Arial"/>
                  <w:sz w:val="18"/>
                  <w:szCs w:val="18"/>
                  <w:color w:val="0000EE"/>
                </w:rPr>
                <w:t>(incorporated by reference to Exhibit 10.7 of Presto’s Current Report on Form 8-K filed on April 6, 2023).</w:t>
              </w:r>
            </w:hyperlink>
          </w:p>
        </w:tc>
      </w:tr>
      <w:tr>
        <w:trPr>
          <w:trHeight w:val="175"/>
        </w:trPr>
        <w:tc>
          <w:tcPr>
            <w:tcW w:w="102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99.1</w:t>
            </w:r>
          </w:p>
        </w:tc>
        <w:tc>
          <w:tcPr>
            <w:tcW w:w="120" w:type="dxa"/>
            <w:vAlign w:val="bottom"/>
            <w:tcBorders>
              <w:top w:val="single" w:sz="8" w:color="CCEEFF"/>
            </w:tcBorders>
          </w:tcPr>
          <w:p>
            <w:pPr>
              <w:spacing w:after="0"/>
              <w:rPr>
                <w:sz w:val="15"/>
                <w:szCs w:val="15"/>
                <w:color w:val="auto"/>
              </w:rPr>
            </w:pPr>
          </w:p>
        </w:tc>
        <w:tc>
          <w:tcPr>
            <w:tcW w:w="7660" w:type="dxa"/>
            <w:vAlign w:val="bottom"/>
            <w:tcBorders>
              <w:top w:val="single" w:sz="8" w:color="0000EE"/>
            </w:tcBorders>
            <w:gridSpan w:val="9"/>
          </w:tcPr>
          <w:p>
            <w:pPr>
              <w:spacing w:after="0" w:line="176" w:lineRule="exact"/>
              <w:rPr>
                <w:sz w:val="20"/>
                <w:szCs w:val="20"/>
                <w:color w:val="auto"/>
              </w:rPr>
            </w:pPr>
            <w:r>
              <w:rPr>
                <w:rFonts w:ascii="Arial" w:cs="Arial" w:eastAsia="Arial" w:hAnsi="Arial"/>
                <w:sz w:val="18"/>
                <w:szCs w:val="18"/>
                <w:color w:val="0000EE"/>
              </w:rPr>
              <w:t>Press Release dated October 10, 2023.</w:t>
            </w:r>
          </w:p>
        </w:tc>
        <w:tc>
          <w:tcPr>
            <w:tcW w:w="2440" w:type="dxa"/>
            <w:vAlign w:val="bottom"/>
            <w:tcBorders>
              <w:top w:val="single" w:sz="8" w:color="CCEEFF"/>
            </w:tcBorders>
            <w:gridSpan w:val="5"/>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99.2</w:t>
            </w:r>
          </w:p>
        </w:tc>
        <w:tc>
          <w:tcPr>
            <w:tcW w:w="120" w:type="dxa"/>
            <w:vAlign w:val="bottom"/>
            <w:tcBorders>
              <w:bottom w:val="single" w:sz="8" w:color="CCEEFF"/>
            </w:tcBorders>
            <w:shd w:val="clear" w:color="auto" w:fill="CCEEFF"/>
          </w:tcPr>
          <w:p>
            <w:pPr>
              <w:spacing w:after="0"/>
              <w:rPr>
                <w:sz w:val="17"/>
                <w:szCs w:val="17"/>
                <w:color w:val="auto"/>
              </w:rPr>
            </w:pPr>
          </w:p>
        </w:tc>
        <w:tc>
          <w:tcPr>
            <w:tcW w:w="3240" w:type="dxa"/>
            <w:vAlign w:val="bottom"/>
            <w:tcBorders>
              <w:bottom w:val="single" w:sz="8" w:color="0000EE"/>
            </w:tcBorders>
            <w:gridSpan w:val="6"/>
            <w:shd w:val="clear" w:color="auto" w:fill="CCEEFF"/>
          </w:tcPr>
          <w:p>
            <w:pPr>
              <w:spacing w:after="0" w:line="176" w:lineRule="exact"/>
              <w:rPr>
                <w:sz w:val="20"/>
                <w:szCs w:val="20"/>
                <w:color w:val="auto"/>
              </w:rPr>
            </w:pPr>
            <w:r>
              <w:rPr>
                <w:rFonts w:ascii="Arial" w:cs="Arial" w:eastAsia="Arial" w:hAnsi="Arial"/>
                <w:sz w:val="18"/>
                <w:szCs w:val="18"/>
                <w:color w:val="0000EE"/>
                <w:w w:val="90"/>
              </w:rPr>
              <w:t>Earnings Call Script dated October 10, 2023.</w:t>
            </w:r>
          </w:p>
        </w:tc>
        <w:tc>
          <w:tcPr>
            <w:tcW w:w="6860" w:type="dxa"/>
            <w:vAlign w:val="bottom"/>
            <w:tcBorders>
              <w:bottom w:val="single" w:sz="8" w:color="CCEEFF"/>
            </w:tcBorders>
            <w:gridSpan w:val="8"/>
            <w:shd w:val="clear" w:color="auto" w:fill="CCEEFF"/>
          </w:tcPr>
          <w:p>
            <w:pPr>
              <w:spacing w:after="0"/>
              <w:rPr>
                <w:sz w:val="17"/>
                <w:szCs w:val="17"/>
                <w:color w:val="auto"/>
              </w:rPr>
            </w:pP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0"/>
                <w:szCs w:val="20"/>
                <w:color w:val="auto"/>
              </w:rPr>
            </w:pPr>
          </w:p>
        </w:tc>
        <w:tc>
          <w:tcPr>
            <w:tcW w:w="10100" w:type="dxa"/>
            <w:vAlign w:val="bottom"/>
            <w:gridSpan w:val="14"/>
          </w:tcPr>
          <w:p>
            <w:pPr>
              <w:spacing w:after="0"/>
              <w:rPr>
                <w:sz w:val="20"/>
                <w:szCs w:val="20"/>
                <w:color w:val="auto"/>
              </w:rPr>
            </w:pPr>
            <w:r>
              <w:rPr>
                <w:rFonts w:ascii="Arial" w:cs="Arial" w:eastAsia="Arial" w:hAnsi="Arial"/>
                <w:sz w:val="18"/>
                <w:szCs w:val="18"/>
                <w:color w:val="auto"/>
              </w:rPr>
              <w:t>Cover Page Interactive Data File (embedded with the Inline XBRL document)</w:t>
            </w:r>
          </w:p>
        </w:tc>
      </w:tr>
    </w:tbl>
    <w:p>
      <w:pPr>
        <w:spacing w:after="0" w:line="187" w:lineRule="exact"/>
        <w:rPr>
          <w:sz w:val="20"/>
          <w:szCs w:val="20"/>
          <w:color w:val="auto"/>
        </w:rPr>
      </w:pPr>
    </w:p>
    <w:p>
      <w:pPr>
        <w:ind w:left="340" w:right="20" w:hanging="332"/>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Certain of the exhibits and schedules to this Exhibit have been omitted in accordance with Regulation S-K Item 601(a)(5). The Registrant agrees to furnish a copy of all omitted exhibits and schedules to the SEC upon its request.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PRESTO AUTOMATION INC.</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Arial" w:cs="Arial" w:eastAsia="Arial" w:hAnsi="Arial"/>
          <w:sz w:val="18"/>
          <w:szCs w:val="18"/>
          <w:color w:val="auto"/>
        </w:rPr>
        <w:t>By:</w:t>
        <w:tab/>
        <w:t>/s/ Susan Shinoff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7"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Name: Susan Shinoff</w:t>
      </w:r>
    </w:p>
    <w:p>
      <w:pPr>
        <w:spacing w:after="0" w:line="23" w:lineRule="exact"/>
        <w:rPr>
          <w:sz w:val="20"/>
          <w:szCs w:val="20"/>
          <w:color w:val="auto"/>
        </w:rPr>
      </w:pPr>
    </w:p>
    <w:p>
      <w:pPr>
        <w:ind w:left="7220"/>
        <w:spacing w:after="0"/>
        <w:tabs>
          <w:tab w:leader="none" w:pos="77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General Counsel and 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October 10, 2023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jc w:val="right"/>
        <w:spacing w:after="0"/>
        <w:rPr>
          <w:sz w:val="20"/>
          <w:szCs w:val="20"/>
          <w:color w:val="auto"/>
        </w:rPr>
      </w:pPr>
      <w:r>
        <w:rPr>
          <w:rFonts w:ascii="Arial" w:cs="Arial" w:eastAsia="Arial" w:hAnsi="Arial"/>
          <w:sz w:val="22"/>
          <w:szCs w:val="22"/>
          <w:b w:val="1"/>
          <w:bCs w:val="1"/>
          <w:color w:val="auto"/>
        </w:rPr>
        <w:t>Exhibit 10.1</w:t>
      </w:r>
    </w:p>
    <w:p>
      <w:pPr>
        <w:spacing w:after="0" w:line="247"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PURCHASE AGREEMENT</w:t>
      </w:r>
    </w:p>
    <w:p>
      <w:pPr>
        <w:spacing w:after="0" w:line="229"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This Securities Purchase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is dated as of October 10, 2023, between Presto Automation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and the purchaser identified on the signature pages hereto (including its successors and assigns, the “</w:t>
      </w:r>
      <w:r>
        <w:rPr>
          <w:rFonts w:ascii="Arial" w:cs="Arial" w:eastAsia="Arial" w:hAnsi="Arial"/>
          <w:sz w:val="17"/>
          <w:szCs w:val="17"/>
          <w:u w:val="single" w:color="auto"/>
          <w:color w:val="auto"/>
        </w:rPr>
        <w:t>Purchaser</w:t>
      </w:r>
      <w:r>
        <w:rPr>
          <w:rFonts w:ascii="Arial" w:cs="Arial" w:eastAsia="Arial" w:hAnsi="Arial"/>
          <w:sz w:val="17"/>
          <w:szCs w:val="17"/>
          <w:color w:val="auto"/>
        </w:rPr>
        <w:t>”).</w:t>
      </w:r>
    </w:p>
    <w:p>
      <w:pPr>
        <w:spacing w:after="0" w:line="14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WHEREAS, subject to the terms and conditions set forth in this Agreement and pursuant to Section 4(a)(2) of the Securities Act (as defined below), the Company desires to issue and sell to the Purchaser, and the Purchaser desires to purchase from the Company, securities of the Company as more fully described in this Agreement.</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IN CONSIDERATION of the mutual covenants contained in this Agreement, and for other good and valuable consideration, the receipt and adequacy of which are hereby acknowledged, the Company and the Purchaser agree as follows: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Definitions</w:t>
      </w:r>
      <w:r>
        <w:rPr>
          <w:rFonts w:ascii="Arial" w:cs="Arial" w:eastAsia="Arial" w:hAnsi="Arial"/>
          <w:sz w:val="18"/>
          <w:szCs w:val="18"/>
          <w:color w:val="auto"/>
        </w:rPr>
        <w:t>. In addition to the terms defined elsewhere in this Agreement, for all purposes of this Agreement, the following terms have the meanings set forth in this Section 1.1:</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Acquiring Person</w:t>
      </w:r>
      <w:r>
        <w:rPr>
          <w:rFonts w:ascii="Arial" w:cs="Arial" w:eastAsia="Arial" w:hAnsi="Arial"/>
          <w:sz w:val="18"/>
          <w:szCs w:val="18"/>
          <w:color w:val="auto"/>
        </w:rPr>
        <w:t>” shall have the meaning ascribed to such term in Section 4.4.</w:t>
      </w:r>
    </w:p>
    <w:p>
      <w:pPr>
        <w:spacing w:after="0" w:line="225" w:lineRule="exact"/>
        <w:rPr>
          <w:sz w:val="20"/>
          <w:szCs w:val="20"/>
          <w:color w:val="auto"/>
        </w:rPr>
      </w:pPr>
    </w:p>
    <w:p>
      <w:pPr>
        <w:jc w:val="both"/>
        <w:ind w:left="66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Adjustment Right</w:t>
      </w:r>
      <w:r>
        <w:rPr>
          <w:rFonts w:ascii="Arial" w:cs="Arial" w:eastAsia="Arial" w:hAnsi="Arial"/>
          <w:sz w:val="18"/>
          <w:szCs w:val="18"/>
          <w:color w:val="auto"/>
        </w:rPr>
        <w:t>” means any right granted with respect to any securities issued in connection with, or with respect to, any issuance or sale (or deemed issuance or sale in accordance with Section 4.11) of shares of Common Stock that could result in a decrease in the net consideration received by the Company in connection with, or with respect to, such securities (including, without limitation, any cash settlement rights, cash adjustment or other similar rights).</w:t>
      </w:r>
    </w:p>
    <w:p>
      <w:pPr>
        <w:spacing w:after="0" w:line="187" w:lineRule="exact"/>
        <w:rPr>
          <w:sz w:val="20"/>
          <w:szCs w:val="20"/>
          <w:color w:val="auto"/>
        </w:rPr>
      </w:pPr>
    </w:p>
    <w:p>
      <w:pPr>
        <w:jc w:val="both"/>
        <w:ind w:left="6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70" w:lineRule="exact"/>
        <w:rPr>
          <w:sz w:val="20"/>
          <w:szCs w:val="20"/>
          <w:color w:val="auto"/>
        </w:rPr>
      </w:pPr>
    </w:p>
    <w:p>
      <w:pPr>
        <w:jc w:val="both"/>
        <w:ind w:left="66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Stock Plan</w:t>
      </w:r>
      <w:r>
        <w:rPr>
          <w:rFonts w:ascii="Arial" w:cs="Arial" w:eastAsia="Arial" w:hAnsi="Arial"/>
          <w:sz w:val="18"/>
          <w:szCs w:val="18"/>
          <w:color w:val="auto"/>
        </w:rPr>
        <w:t>” means any employee benefit plan which has been approved by the board of directors of the Company prior to or subsequent to the date hereof pursuant to which shares of Common Stock and standard options to purchase Common Stock may be issued to any employee, officer or director for services provided to the Company in their capacity as such.</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means the board of directors of the Company.</w:t>
      </w:r>
    </w:p>
    <w:p>
      <w:pPr>
        <w:spacing w:after="0" w:line="225" w:lineRule="exact"/>
        <w:rPr>
          <w:sz w:val="20"/>
          <w:szCs w:val="20"/>
          <w:color w:val="auto"/>
        </w:rPr>
      </w:pPr>
    </w:p>
    <w:p>
      <w:pPr>
        <w:jc w:val="both"/>
        <w:ind w:left="660" w:firstLine="648"/>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Day</w:t>
      </w:r>
      <w:r>
        <w:rPr>
          <w:rFonts w:ascii="Arial" w:cs="Arial" w:eastAsia="Arial" w:hAnsi="Arial"/>
          <w:sz w:val="16"/>
          <w:szCs w:val="16"/>
          <w:color w:val="auto"/>
        </w:rPr>
        <w:t xml:space="preserve">” means any day other than Saturday, Sunday or other day on which commercial banks in The City of New York are authorized or required by law to remain closed;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are generally open for use by customers on such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 w:name="page10"/>
    <w:bookmarkEnd w:id="9"/>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means the closing of the purchase and sale of the Shares pursuant to Section 2.1.</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Closing Bid Price</w:t>
      </w:r>
      <w:r>
        <w:rPr>
          <w:rFonts w:ascii="Arial" w:cs="Arial" w:eastAsia="Arial" w:hAnsi="Arial"/>
          <w:sz w:val="16"/>
          <w:szCs w:val="16"/>
          <w:color w:val="auto"/>
        </w:rPr>
        <w:t>” and “</w:t>
      </w:r>
      <w:r>
        <w:rPr>
          <w:rFonts w:ascii="Arial" w:cs="Arial" w:eastAsia="Arial" w:hAnsi="Arial"/>
          <w:sz w:val="16"/>
          <w:szCs w:val="16"/>
          <w:u w:val="single" w:color="auto"/>
          <w:color w:val="auto"/>
        </w:rPr>
        <w:t>Closing Sale Price</w:t>
      </w:r>
      <w:r>
        <w:rPr>
          <w:rFonts w:ascii="Arial" w:cs="Arial" w:eastAsia="Arial" w:hAnsi="Arial"/>
          <w:sz w:val="16"/>
          <w:szCs w:val="16"/>
          <w:color w:val="auto"/>
        </w:rPr>
        <w:t>” means, for any security as of any date, the last closing bid price and last closing trade price, respectively, for such security on the Trading Market, as reported by Bloomberg, or, if the Trading Market begins to operate on an extended hours basis and does not designate the closing bid price or the closing trade price, as the case may be, then the last bid price or the last trade price, respectively, of such security prior to 4:00:00 p.m., New York time, as reported by Bloomberg, or, if the Trading Market is not the principal securities exchange or trading market for such security, the last closing bid price or last trade price, respectively, of such security on the principal securities exchange or trading market where such security is listed or traded as reported by Bloomberg, or if the foregoing do not apply, the last closing bid price or last trade price, respectively, of such security in the over-the-counter market on the electronic bulletin board for such security as reported by Bloomberg, or, if no closing bid price or last trade price, respectively, is reported for such security by Bloomberg, the average of the bid prices, or the ask prices, respectively, of any market makers for such security as reported in the OTC Link or “pink sheets” by OTC Markets Group Inc. (formerly Pink OTC Markets Inc.). If the Closing Bid Price or the Closing Sale Price cannot be calculated for a security on a particular date on any of the foregoing bases, the Closing Bid Price or the Closing Sale Price, as the case may be, of such security on such date shall be the fair market value as mutually determined by the Company and the Purchaser. All such determinations to be appropriately adjusted for any stock dividend, stock split, stock combination, reclassification or other similar transaction during the applicable calculation period.</w:t>
      </w:r>
    </w:p>
    <w:p>
      <w:pPr>
        <w:spacing w:after="0" w:line="17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Closing Date</w:t>
      </w:r>
      <w:r>
        <w:rPr>
          <w:rFonts w:ascii="Arial" w:cs="Arial" w:eastAsia="Arial" w:hAnsi="Arial"/>
          <w:sz w:val="16"/>
          <w:szCs w:val="16"/>
          <w:color w:val="auto"/>
        </w:rPr>
        <w:t>” means the Trading Day on, or at the election of the Company, immediately following, the date on which all of the Transaction Documents have been executed and delivered by the applicable parties thereto, and all conditions precedent to (i) the Purchaser’s obligations to pay the Subscription Amount and (ii) the Company’s obligations to deliver the Shares, in each case, have been satisfied or waived. The Closing Date shall be October 16, 2023 or such other time and date as the Purchaser and the Company may agree upon in writing.</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means the United States Securities and Exchange Commission.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of the Company, par value $0.0001 per share, and any other class of securities into which such securities may hereafter be reclassified or changed.</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Common Stock Equivalents</w:t>
      </w:r>
      <w:r>
        <w:rPr>
          <w:rFonts w:ascii="Arial" w:cs="Arial" w:eastAsia="Arial" w:hAnsi="Arial"/>
          <w:sz w:val="17"/>
          <w:szCs w:val="17"/>
          <w:color w:val="auto"/>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381"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10" w:name="page11"/>
    <w:bookmarkEnd w:id="10"/>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Convertible Securities</w:t>
      </w:r>
      <w:r>
        <w:rPr>
          <w:rFonts w:ascii="Arial" w:cs="Arial" w:eastAsia="Arial" w:hAnsi="Arial"/>
          <w:sz w:val="18"/>
          <w:szCs w:val="18"/>
          <w:color w:val="auto"/>
        </w:rPr>
        <w:t>” means any stock or securities (other than Options) directly or indirectly convertible into or exercisable or exchangeable for shares of Common Stock.</w:t>
      </w:r>
    </w:p>
    <w:p>
      <w:pPr>
        <w:spacing w:after="0" w:line="17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Agreement</w:t>
      </w:r>
      <w:r>
        <w:rPr>
          <w:rFonts w:ascii="Arial" w:cs="Arial" w:eastAsia="Arial" w:hAnsi="Arial"/>
          <w:sz w:val="18"/>
          <w:szCs w:val="18"/>
          <w:color w:val="auto"/>
        </w:rPr>
        <w:t>” means the credit agreement, dated as of September 21, 2022, with Metropolitan Partners Group Administration, LLC, as administrative, payment and collateral agent for the lenders, as amended by the First Amendment to Credit Agreement, dated March 31, 2023 and as further amended by the Second Amendment to Credit Agreement, dated May 22, 2023.</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Disclosure Schedules</w:t>
      </w:r>
      <w:r>
        <w:rPr>
          <w:rFonts w:ascii="Arial" w:cs="Arial" w:eastAsia="Arial" w:hAnsi="Arial"/>
          <w:sz w:val="18"/>
          <w:szCs w:val="18"/>
          <w:color w:val="auto"/>
        </w:rPr>
        <w:t>” means the Disclosure Schedules of the Company delivered concurrently herewith.</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Exchange Act</w:t>
      </w:r>
      <w:r>
        <w:rPr>
          <w:rFonts w:ascii="Arial" w:cs="Arial" w:eastAsia="Arial" w:hAnsi="Arial"/>
          <w:sz w:val="17"/>
          <w:szCs w:val="17"/>
          <w:color w:val="auto"/>
        </w:rPr>
        <w:t>” means the Securities Exchange Act of 1934, as amended, and the rules and regulations promulgated thereunder.</w:t>
      </w:r>
    </w:p>
    <w:p>
      <w:pPr>
        <w:spacing w:after="0" w:line="237"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Securities</w:t>
      </w:r>
      <w:r>
        <w:rPr>
          <w:rFonts w:ascii="Arial" w:cs="Arial" w:eastAsia="Arial" w:hAnsi="Arial"/>
          <w:sz w:val="16"/>
          <w:szCs w:val="16"/>
          <w:color w:val="auto"/>
        </w:rPr>
        <w:t>” means, without duplication, (i) shares of Common Stock or standard options to purchase Common Stock issued to directors, officers or employees of the Company for services rendered to the Company in their capacity as such pursuant to an Approved Stock Plan, provided that the exercise price of any such options is not lowered, none of such options are amended to increase the number of shares issuable thereunder and none of the terms or conditions of any such options are otherwise materially changed in any manner that adversely affects the Purchaser; (ii) shares of Common Stock issued upon the conversion or exercise of Convertible Securities (other than standard options to purchase Common Stock issued pursuant to an Approved Stock Plan that are covered by clause (i) above) outstanding prior to the Closing Date, provided that the conversion price of any such Convertible Securities (other than standard options to purchase Common Stock issued pursuant to an Approved Stock Plan that are covered by clause (i) above) is not lowered, none of such Convertible Securities (other than standard options to purchase Common Stock issued pursuant to an Approved Stock Plan that are covered by clause (i) above) are amended to increase the number of shares issuable thereunder and none of the terms or conditions of any such Convertible Securities (other than standard options to purchase Common Stock issued pursuant to an Approved Stock Plan that are covered by clause (i) above) are otherwise materially changed in any manner that adversely affects the Purchaser; and (iii) the shares of Common Stock issuable upon exercise of (A) warrants to purchase 400,000 shares of Common Stock, with an exercise price of $0.01 per share, issued to Metropolitan Levered Partners Fund VII, LP, Metropolitan Partners Fund VII, LP, Metropolitan Offshore Partners Fund VII, LP and CEOF Holdings LP (the “</w:t>
      </w:r>
      <w:r>
        <w:rPr>
          <w:rFonts w:ascii="Arial" w:cs="Arial" w:eastAsia="Arial" w:hAnsi="Arial"/>
          <w:sz w:val="16"/>
          <w:szCs w:val="16"/>
          <w:u w:val="single" w:color="auto"/>
          <w:color w:val="auto"/>
        </w:rPr>
        <w:t>Metropolitan Entities</w:t>
      </w:r>
      <w:r>
        <w:rPr>
          <w:rFonts w:ascii="Arial" w:cs="Arial" w:eastAsia="Arial" w:hAnsi="Arial"/>
          <w:sz w:val="16"/>
          <w:szCs w:val="16"/>
          <w:color w:val="auto"/>
        </w:rPr>
        <w:t>”), (B) warrants to purchase 500,000 shares of Common Stock, with an exercise price of $0.01 per share, issued to the Metropolitan Entities, (C) warrants to purchase 2,000,000 shares of Common Stock, with an exercise price of $0.01 per share, issued to the Metropolitan Entities, (D) warrants to purchase 25,000 shares of Common Stock, with an exercise price of $0.01 per share, issued in connection with the Third Amendment and (E) warrants to 3,000,000 purchase shares of Common Stock, with an exercise price of $0.01 per share, issued to in connection with the Third Amendment.</w:t>
      </w:r>
    </w:p>
    <w:p>
      <w:pPr>
        <w:spacing w:after="0" w:line="38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11" w:name="page12"/>
    <w:bookmarkEnd w:id="11"/>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FCPA</w:t>
      </w:r>
      <w:r>
        <w:rPr>
          <w:rFonts w:ascii="Arial" w:cs="Arial" w:eastAsia="Arial" w:hAnsi="Arial"/>
          <w:sz w:val="18"/>
          <w:szCs w:val="18"/>
          <w:color w:val="auto"/>
        </w:rPr>
        <w:t>” means the Foreign Corrupt Practices Act of 1977, as amended.</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shall have the meaning ascribed to such term in Section 3.1(h).</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Liens</w:t>
      </w:r>
      <w:r>
        <w:rPr>
          <w:rFonts w:ascii="Arial" w:cs="Arial" w:eastAsia="Arial" w:hAnsi="Arial"/>
          <w:sz w:val="18"/>
          <w:szCs w:val="18"/>
          <w:color w:val="auto"/>
        </w:rPr>
        <w:t>” means a lien, charge pledge, security interest, encumbrance, right of first refusal, preemptive right or other restriction.</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shall have the meaning assigned to such term in Section 3.1(b).</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Options</w:t>
      </w:r>
      <w:r>
        <w:rPr>
          <w:rFonts w:ascii="Arial" w:cs="Arial" w:eastAsia="Arial" w:hAnsi="Arial"/>
          <w:sz w:val="17"/>
          <w:szCs w:val="17"/>
          <w:color w:val="auto"/>
        </w:rPr>
        <w:t>” means any rights, warrants or options to subscribe for or purchase shares of Common Stock or Convertible Securities.</w:t>
      </w:r>
    </w:p>
    <w:p>
      <w:pPr>
        <w:spacing w:after="0" w:line="2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Proceeding</w:t>
      </w:r>
      <w:r>
        <w:rPr>
          <w:rFonts w:ascii="Arial" w:cs="Arial" w:eastAsia="Arial" w:hAnsi="Arial"/>
          <w:sz w:val="18"/>
          <w:szCs w:val="18"/>
          <w:color w:val="auto"/>
        </w:rPr>
        <w:t>” means an action, claim, suit, investigation or proceeding (including, without limitation, an informal investigation or partial proceeding, such as a deposition), whether commenced or threatened in writing.</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 Party</w:t>
      </w:r>
      <w:r>
        <w:rPr>
          <w:rFonts w:ascii="Arial" w:cs="Arial" w:eastAsia="Arial" w:hAnsi="Arial"/>
          <w:sz w:val="18"/>
          <w:szCs w:val="18"/>
          <w:color w:val="auto"/>
        </w:rPr>
        <w:t>” shall have the meaning ascribed to such term in Section 4.6.</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Rights Agreement</w:t>
      </w:r>
      <w:r>
        <w:rPr>
          <w:rFonts w:ascii="Arial" w:cs="Arial" w:eastAsia="Arial" w:hAnsi="Arial"/>
          <w:sz w:val="18"/>
          <w:szCs w:val="18"/>
          <w:color w:val="auto"/>
        </w:rPr>
        <w:t xml:space="preserve">” means the Registration Rights Agreement, dated as of the Closing Date, among the Company and the Purchaser,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means a registration statement meeting the requirements set forth in the Registration Rights Agreement and covering the resale by the Purchaser of the Shares.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Approvals</w:t>
      </w:r>
      <w:r>
        <w:rPr>
          <w:rFonts w:ascii="Arial" w:cs="Arial" w:eastAsia="Arial" w:hAnsi="Arial"/>
          <w:sz w:val="18"/>
          <w:szCs w:val="18"/>
          <w:color w:val="auto"/>
        </w:rPr>
        <w:t>” shall have the meaning ascribed to such term in Section 3.1(e).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144</w:t>
      </w:r>
      <w:r>
        <w:rPr>
          <w:rFonts w:ascii="Arial" w:cs="Arial" w:eastAsia="Arial" w:hAnsi="Arial"/>
          <w:sz w:val="18"/>
          <w:szCs w:val="18"/>
          <w:color w:val="auto"/>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 Reports</w:t>
      </w:r>
      <w:r>
        <w:rPr>
          <w:rFonts w:ascii="Arial" w:cs="Arial" w:eastAsia="Arial" w:hAnsi="Arial"/>
          <w:sz w:val="18"/>
          <w:szCs w:val="18"/>
          <w:color w:val="auto"/>
        </w:rPr>
        <w:t>” shall have the meaning ascribed to such term in Section 3.1(h).</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and the rules and regulations promulgated thereunder.</w:t>
      </w:r>
    </w:p>
    <w:p>
      <w:pPr>
        <w:spacing w:after="0" w:line="200" w:lineRule="exact"/>
        <w:rPr>
          <w:sz w:val="20"/>
          <w:szCs w:val="20"/>
          <w:color w:val="auto"/>
        </w:rPr>
      </w:pPr>
    </w:p>
    <w:p>
      <w:pPr>
        <w:spacing w:after="0" w:line="241"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12" w:name="page13"/>
    <w:bookmarkEnd w:id="12"/>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means the shares of Common Stock issued or issuable to the Purchaser pursuant to this Agreement.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Short Sales</w:t>
      </w:r>
      <w:r>
        <w:rPr>
          <w:rFonts w:ascii="Arial" w:cs="Arial" w:eastAsia="Arial" w:hAnsi="Arial"/>
          <w:sz w:val="18"/>
          <w:szCs w:val="18"/>
          <w:color w:val="auto"/>
        </w:rPr>
        <w:t>” means all “short sales” as defined in Rule 200 of Regulation SHO under the Exchange Act (but shall not be deemed to include locating and/or borrowing shares of Common Stock).</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Subscription Amount</w:t>
      </w:r>
      <w:r>
        <w:rPr>
          <w:rFonts w:ascii="Arial" w:cs="Arial" w:eastAsia="Arial" w:hAnsi="Arial"/>
          <w:sz w:val="18"/>
          <w:szCs w:val="18"/>
          <w:color w:val="auto"/>
        </w:rPr>
        <w:t>” means $3,000,000 in United States dollars and in immediately available funds.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any subsidiary of the Company and shall, where applicable, also include any direct or indirect subsidiary of the Company formed or acquired after the date hereof.</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Day</w:t>
      </w:r>
      <w:r>
        <w:rPr>
          <w:rFonts w:ascii="Arial" w:cs="Arial" w:eastAsia="Arial" w:hAnsi="Arial"/>
          <w:sz w:val="18"/>
          <w:szCs w:val="18"/>
          <w:color w:val="auto"/>
        </w:rPr>
        <w:t>” means a day on which the principal Trading Market is open for trading.</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Market</w:t>
      </w:r>
      <w:r>
        <w:rPr>
          <w:rFonts w:ascii="Arial" w:cs="Arial" w:eastAsia="Arial" w:hAnsi="Arial"/>
          <w:sz w:val="18"/>
          <w:szCs w:val="18"/>
          <w:color w:val="auto"/>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Documents</w:t>
      </w:r>
      <w:r>
        <w:rPr>
          <w:rFonts w:ascii="Arial" w:cs="Arial" w:eastAsia="Arial" w:hAnsi="Arial"/>
          <w:sz w:val="18"/>
          <w:szCs w:val="18"/>
          <w:color w:val="auto"/>
        </w:rPr>
        <w:t>” means this Agreement, the Registration Rights Agreement, all exhibits and schedules thereto and hereto and any other documents or agreements executed in connection with the transactions contemplated hereunder.</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 Agent</w:t>
      </w:r>
      <w:r>
        <w:rPr>
          <w:rFonts w:ascii="Arial" w:cs="Arial" w:eastAsia="Arial" w:hAnsi="Arial"/>
          <w:sz w:val="18"/>
          <w:szCs w:val="18"/>
          <w:color w:val="auto"/>
        </w:rPr>
        <w:t>” means Continental Stock Transfer &amp; Trust Company, the current transfer agent of the Company, with a mailing address of 1 State Street, 30th Floor, New York, New York 10004 , and any successor transfer agent of the Company.</w:t>
      </w:r>
    </w:p>
    <w:p>
      <w:pPr>
        <w:spacing w:after="0" w:line="1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VWAP</w:t>
      </w:r>
      <w:r>
        <w:rPr>
          <w:rFonts w:ascii="Arial" w:cs="Arial" w:eastAsia="Arial" w:hAnsi="Arial"/>
          <w:sz w:val="17"/>
          <w:szCs w:val="17"/>
          <w:color w:val="auto"/>
        </w:rPr>
        <w:t>” means, for any security as of any date, the dollar volume-weighted average price for such security on the Trading Market during the period beginning at 9:30:01 a.m., New York time (or such other time as the Trading Market publicly announces is the official open of trading), and ending at 4:00:00 p.m., New York time (or such other time as the Trading Market publicly announces is the official close of trading), as reported by Bloomberg through its “Volume at Price” function or, if the foregoing does not apply, the dollar volume-weighted average price of such security in the over-the-counter market on the electronic bulletin board for such security during the period beginning at 9:30:01 a.m., New York time (or such other time as such market publicly announces is the official open of trading), and ending at 4:00:00 p.m., New York time (or such other time as such market publicly announces is the official close of trading), as reported by Bloomberg, or, if no dollar volume-weighted average price is reported for such security by Bloomberg for such hours, the average of the highest Closing Bid Price and the lowest closing ask price of any of the market makers for such security as reported in the OTC Link or “pink sheets” by OTC Markets Group Inc. (formerly Pink OTC Markets Inc.). If the VWAP cannot be calculated for a security on a particular date on any of the foregoing bases, the VWAP of such security on such date shall be the fair market value as mutually determined by the Company and the Purchaser. All such determinations shall be appropriately adjusted for any stock dividend, stock split, stock combination, reclassification or other similar transaction during the applicable calculation period.</w:t>
      </w:r>
    </w:p>
    <w:p>
      <w:pPr>
        <w:spacing w:after="0" w:line="200" w:lineRule="exact"/>
        <w:rPr>
          <w:sz w:val="20"/>
          <w:szCs w:val="20"/>
          <w:color w:val="auto"/>
        </w:rPr>
      </w:pPr>
    </w:p>
    <w:p>
      <w:pPr>
        <w:spacing w:after="0" w:line="202"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PURCHASE AND SALE</w:t>
      </w:r>
    </w:p>
    <w:p>
      <w:pPr>
        <w:spacing w:after="0" w:line="2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Closing</w:t>
      </w:r>
      <w:r>
        <w:rPr>
          <w:rFonts w:ascii="Arial" w:cs="Arial" w:eastAsia="Arial" w:hAnsi="Arial"/>
          <w:sz w:val="18"/>
          <w:szCs w:val="18"/>
          <w:color w:val="auto"/>
        </w:rPr>
        <w:t>. On the Closing Date, upon the terms and subject to the conditions set forth herein, the Company agrees to sell, and the Purchaser agrees to purchase, 1,500,000 Shares for a purchase price of $2.00 per Share (the “</w:t>
      </w:r>
      <w:r>
        <w:rPr>
          <w:rFonts w:ascii="Arial" w:cs="Arial" w:eastAsia="Arial" w:hAnsi="Arial"/>
          <w:sz w:val="18"/>
          <w:szCs w:val="18"/>
          <w:u w:val="single" w:color="auto"/>
          <w:color w:val="auto"/>
        </w:rPr>
        <w:t>Per Share Purchase Price</w:t>
      </w:r>
      <w:r>
        <w:rPr>
          <w:rFonts w:ascii="Arial" w:cs="Arial" w:eastAsia="Arial" w:hAnsi="Arial"/>
          <w:sz w:val="18"/>
          <w:szCs w:val="18"/>
          <w:color w:val="auto"/>
        </w:rPr>
        <w:t>”). The Purchaser shall deliver to the Company, via wire transfer, immediately available funds equal to the Subscription Amount, and the Company shall deliver to the Purchaser the Shares as determined pursuant to Section 2.2(a), and the Company and the Purchaser shall deliver the other items set forth in Section 2.2 deliverable at the Closing. Upon satisfaction or waiver of the covenants and conditions set forth in Sections 2.2 and 2.3, the Closing shall take place remotely by electronic transfer of the Closing documentation.</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Deliveries</w:t>
      </w:r>
      <w:r>
        <w:rPr>
          <w:rFonts w:ascii="Arial" w:cs="Arial" w:eastAsia="Arial" w:hAnsi="Arial"/>
          <w:sz w:val="18"/>
          <w:szCs w:val="18"/>
          <w:color w:val="auto"/>
        </w:rPr>
        <w:t>.</w:t>
      </w:r>
    </w:p>
    <w:p>
      <w:pPr>
        <w:spacing w:after="0" w:line="225" w:lineRule="exact"/>
        <w:rPr>
          <w:sz w:val="20"/>
          <w:szCs w:val="20"/>
          <w:color w:val="auto"/>
        </w:rPr>
      </w:pPr>
    </w:p>
    <w:p>
      <w:pPr>
        <w:ind w:left="1540" w:hanging="236"/>
        <w:spacing w:after="0"/>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or prior to the Closing Date, the Company shall deliver or cause to be delivered to the Purchaser the following:</w:t>
      </w:r>
    </w:p>
    <w:p>
      <w:pPr>
        <w:spacing w:after="0" w:line="225" w:lineRule="exact"/>
        <w:rPr>
          <w:rFonts w:ascii="Arial" w:cs="Arial" w:eastAsia="Arial" w:hAnsi="Arial"/>
          <w:sz w:val="18"/>
          <w:szCs w:val="18"/>
          <w:color w:val="auto"/>
        </w:rPr>
      </w:pPr>
    </w:p>
    <w:p>
      <w:pPr>
        <w:ind w:left="2160" w:hanging="208"/>
        <w:spacing w:after="0"/>
        <w:tabs>
          <w:tab w:leader="none" w:pos="2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this Agreement duly executed by the Company;</w:t>
      </w:r>
    </w:p>
    <w:p>
      <w:pPr>
        <w:spacing w:after="0" w:line="225" w:lineRule="exact"/>
        <w:rPr>
          <w:rFonts w:ascii="Arial" w:cs="Arial" w:eastAsia="Arial" w:hAnsi="Arial"/>
          <w:sz w:val="18"/>
          <w:szCs w:val="18"/>
          <w:color w:val="auto"/>
        </w:rPr>
      </w:pPr>
    </w:p>
    <w:p>
      <w:pPr>
        <w:jc w:val="both"/>
        <w:ind w:left="1300" w:firstLine="652"/>
        <w:spacing w:after="0" w:line="259" w:lineRule="auto"/>
        <w:tabs>
          <w:tab w:leader="none" w:pos="2214" w:val="left"/>
        </w:tabs>
        <w:numPr>
          <w:ilvl w:val="1"/>
          <w:numId w:val="3"/>
        </w:numPr>
        <w:rPr>
          <w:rFonts w:ascii="Arial" w:cs="Arial" w:eastAsia="Arial" w:hAnsi="Arial"/>
          <w:sz w:val="18"/>
          <w:szCs w:val="18"/>
          <w:color w:val="auto"/>
        </w:rPr>
      </w:pPr>
      <w:r>
        <w:rPr>
          <w:rFonts w:ascii="Arial" w:cs="Arial" w:eastAsia="Arial" w:hAnsi="Arial"/>
          <w:sz w:val="18"/>
          <w:szCs w:val="18"/>
          <w:color w:val="auto"/>
        </w:rPr>
        <w:t>a copy of the irrevocable instructions to the Transfer Agent instructing the Transfer Agent to deliver, on an expedited basis, a certificate evidencing 1,500,000 Shares, registered in the name of the Purchaser, or, at the election of the Purchaser, evidence of the issuance of the Purchaser’s Shares hereunder as held in DRS book-entry form by the Transfer Agent and registered in the name of the Purchaser, which evidence shall be reasonably satisfactory to the Purchaser;</w:t>
      </w:r>
    </w:p>
    <w:p>
      <w:pPr>
        <w:spacing w:after="0" w:line="186" w:lineRule="exact"/>
        <w:rPr>
          <w:rFonts w:ascii="Arial" w:cs="Arial" w:eastAsia="Arial" w:hAnsi="Arial"/>
          <w:sz w:val="18"/>
          <w:szCs w:val="18"/>
          <w:color w:val="auto"/>
        </w:rPr>
      </w:pPr>
    </w:p>
    <w:p>
      <w:pPr>
        <w:ind w:left="1300" w:right="20" w:firstLine="652"/>
        <w:spacing w:after="0" w:line="277" w:lineRule="auto"/>
        <w:tabs>
          <w:tab w:leader="none" w:pos="2275"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Company shall have provided the Purchaser with wire instructions, on Company letterhead and executed by the Chief Executive Officer or Chief Financial Officer; and</w:t>
      </w:r>
    </w:p>
    <w:p>
      <w:pPr>
        <w:spacing w:after="0" w:line="170" w:lineRule="exact"/>
        <w:rPr>
          <w:rFonts w:ascii="Arial" w:cs="Arial" w:eastAsia="Arial" w:hAnsi="Arial"/>
          <w:sz w:val="18"/>
          <w:szCs w:val="18"/>
          <w:color w:val="auto"/>
        </w:rPr>
      </w:pPr>
    </w:p>
    <w:p>
      <w:pPr>
        <w:ind w:left="2260" w:hanging="308"/>
        <w:spacing w:after="0"/>
        <w:tabs>
          <w:tab w:leader="none" w:pos="22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Registration Rights Agreement duly executed by the Company.</w:t>
      </w:r>
    </w:p>
    <w:p>
      <w:pPr>
        <w:spacing w:after="0" w:line="225" w:lineRule="exact"/>
        <w:rPr>
          <w:rFonts w:ascii="Arial" w:cs="Arial" w:eastAsia="Arial" w:hAnsi="Arial"/>
          <w:sz w:val="18"/>
          <w:szCs w:val="18"/>
          <w:color w:val="auto"/>
        </w:rPr>
      </w:pPr>
    </w:p>
    <w:p>
      <w:pPr>
        <w:ind w:left="660" w:right="20" w:firstLine="644"/>
        <w:spacing w:after="0" w:line="277" w:lineRule="auto"/>
        <w:tabs>
          <w:tab w:leader="none" w:pos="1581"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or prior to the Closing Date, the Purchaser shall deliver or cause to be delivered to the Company, to the extent not previously delivered, the following:</w:t>
      </w:r>
    </w:p>
    <w:p>
      <w:pPr>
        <w:spacing w:after="0" w:line="170" w:lineRule="exact"/>
        <w:rPr>
          <w:rFonts w:ascii="Arial" w:cs="Arial" w:eastAsia="Arial" w:hAnsi="Arial"/>
          <w:sz w:val="18"/>
          <w:szCs w:val="18"/>
          <w:color w:val="auto"/>
        </w:rPr>
      </w:pPr>
    </w:p>
    <w:p>
      <w:pPr>
        <w:ind w:left="2160" w:hanging="208"/>
        <w:spacing w:after="0"/>
        <w:tabs>
          <w:tab w:leader="none" w:pos="2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Subscription Amount by wire transfer to the account specified by the Company; and</w:t>
      </w:r>
    </w:p>
    <w:p>
      <w:pPr>
        <w:spacing w:after="0" w:line="225" w:lineRule="exact"/>
        <w:rPr>
          <w:rFonts w:ascii="Arial" w:cs="Arial" w:eastAsia="Arial" w:hAnsi="Arial"/>
          <w:sz w:val="18"/>
          <w:szCs w:val="18"/>
          <w:color w:val="auto"/>
        </w:rPr>
      </w:pPr>
    </w:p>
    <w:p>
      <w:pPr>
        <w:ind w:left="2220" w:hanging="268"/>
        <w:spacing w:after="0"/>
        <w:tabs>
          <w:tab w:leader="none" w:pos="22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Registration Rights Agreement duly executed by the Purchaser.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Closing Conditions</w:t>
      </w:r>
      <w:r>
        <w:rPr>
          <w:rFonts w:ascii="Arial" w:cs="Arial" w:eastAsia="Arial" w:hAnsi="Arial"/>
          <w:sz w:val="18"/>
          <w:szCs w:val="18"/>
          <w:color w:val="auto"/>
        </w:rPr>
        <w:t>.</w:t>
      </w:r>
    </w:p>
    <w:p>
      <w:pPr>
        <w:spacing w:after="0" w:line="225" w:lineRule="exact"/>
        <w:rPr>
          <w:sz w:val="20"/>
          <w:szCs w:val="20"/>
          <w:color w:val="auto"/>
        </w:rPr>
      </w:pPr>
    </w:p>
    <w:p>
      <w:pPr>
        <w:ind w:left="880" w:hanging="236"/>
        <w:spacing w:after="0"/>
        <w:tabs>
          <w:tab w:leader="none" w:pos="88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obligations of the Company hereunder in connection with the Closing are subject to the following conditions being met:</w:t>
      </w:r>
    </w:p>
    <w:p>
      <w:pPr>
        <w:spacing w:after="0" w:line="236" w:lineRule="exact"/>
        <w:rPr>
          <w:rFonts w:ascii="Arial" w:cs="Arial" w:eastAsia="Arial" w:hAnsi="Arial"/>
          <w:sz w:val="17"/>
          <w:szCs w:val="17"/>
          <w:color w:val="auto"/>
        </w:rPr>
      </w:pPr>
    </w:p>
    <w:p>
      <w:pPr>
        <w:jc w:val="both"/>
        <w:ind w:left="640" w:firstLine="652"/>
        <w:spacing w:after="0" w:line="279" w:lineRule="auto"/>
        <w:tabs>
          <w:tab w:leader="none" w:pos="1518" w:val="left"/>
        </w:tabs>
        <w:numPr>
          <w:ilvl w:val="1"/>
          <w:numId w:val="4"/>
        </w:numPr>
        <w:rPr>
          <w:rFonts w:ascii="Arial" w:cs="Arial" w:eastAsia="Arial" w:hAnsi="Arial"/>
          <w:sz w:val="17"/>
          <w:szCs w:val="17"/>
          <w:color w:val="auto"/>
        </w:rPr>
      </w:pPr>
      <w:r>
        <w:rPr>
          <w:rFonts w:ascii="Arial" w:cs="Arial" w:eastAsia="Arial" w:hAnsi="Arial"/>
          <w:sz w:val="17"/>
          <w:szCs w:val="17"/>
          <w:color w:val="auto"/>
        </w:rPr>
        <w:t>the accuracy in all material respects (or, to the extent representations or warranties are qualified by materiality or Material Adverse Effect, in all respects) when made and on the Closing Date of the representations and warranties of the Purchaser contained herein (unless as of a specific date therein in which case they shall be accurate in all material respects (or, to the extent representations or warranties are qualified by materiality or Material Adverse Effect, in all respects) as of such date);</w:t>
      </w:r>
    </w:p>
    <w:p>
      <w:pPr>
        <w:spacing w:after="0" w:line="171" w:lineRule="exact"/>
        <w:rPr>
          <w:rFonts w:ascii="Arial" w:cs="Arial" w:eastAsia="Arial" w:hAnsi="Arial"/>
          <w:sz w:val="17"/>
          <w:szCs w:val="17"/>
          <w:color w:val="auto"/>
        </w:rPr>
      </w:pPr>
    </w:p>
    <w:p>
      <w:pPr>
        <w:ind w:left="640" w:firstLine="652"/>
        <w:spacing w:after="0" w:line="277" w:lineRule="auto"/>
        <w:tabs>
          <w:tab w:leader="none" w:pos="1572" w:val="left"/>
        </w:tabs>
        <w:numPr>
          <w:ilvl w:val="1"/>
          <w:numId w:val="4"/>
        </w:numPr>
        <w:rPr>
          <w:rFonts w:ascii="Arial" w:cs="Arial" w:eastAsia="Arial" w:hAnsi="Arial"/>
          <w:sz w:val="18"/>
          <w:szCs w:val="18"/>
          <w:color w:val="auto"/>
        </w:rPr>
      </w:pPr>
      <w:r>
        <w:rPr>
          <w:rFonts w:ascii="Arial" w:cs="Arial" w:eastAsia="Arial" w:hAnsi="Arial"/>
          <w:sz w:val="18"/>
          <w:szCs w:val="18"/>
          <w:color w:val="auto"/>
        </w:rPr>
        <w:t>all obligations, covenants and agreements of the Purchaser required to be performed at or prior to the Closing Date shall have been performed; and and</w:t>
      </w:r>
    </w:p>
    <w:p>
      <w:pPr>
        <w:spacing w:after="0" w:line="170" w:lineRule="exact"/>
        <w:rPr>
          <w:rFonts w:ascii="Arial" w:cs="Arial" w:eastAsia="Arial" w:hAnsi="Arial"/>
          <w:sz w:val="18"/>
          <w:szCs w:val="18"/>
          <w:color w:val="auto"/>
        </w:rPr>
      </w:pPr>
    </w:p>
    <w:p>
      <w:pPr>
        <w:ind w:left="1600" w:hanging="308"/>
        <w:spacing w:after="0"/>
        <w:tabs>
          <w:tab w:leader="none" w:pos="16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delivery by the Purchaser of the items set forth in Section 2.2(b) of this Agreement.</w:t>
      </w:r>
    </w:p>
    <w:p>
      <w:pPr>
        <w:spacing w:after="0" w:line="225" w:lineRule="exact"/>
        <w:rPr>
          <w:rFonts w:ascii="Arial" w:cs="Arial" w:eastAsia="Arial" w:hAnsi="Arial"/>
          <w:sz w:val="18"/>
          <w:szCs w:val="18"/>
          <w:color w:val="auto"/>
        </w:rPr>
      </w:pPr>
    </w:p>
    <w:p>
      <w:pPr>
        <w:ind w:left="900" w:hanging="256"/>
        <w:spacing w:after="0"/>
        <w:tabs>
          <w:tab w:leader="none" w:pos="9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obligations of the Purchaser hereunder in connection with the Closing are subject to the following conditions being met:</w:t>
      </w:r>
    </w:p>
    <w:p>
      <w:pPr>
        <w:spacing w:after="0" w:line="236" w:lineRule="exact"/>
        <w:rPr>
          <w:rFonts w:ascii="Arial" w:cs="Arial" w:eastAsia="Arial" w:hAnsi="Arial"/>
          <w:sz w:val="17"/>
          <w:szCs w:val="17"/>
          <w:color w:val="auto"/>
        </w:rPr>
      </w:pPr>
    </w:p>
    <w:p>
      <w:pPr>
        <w:jc w:val="both"/>
        <w:ind w:left="640" w:firstLine="652"/>
        <w:spacing w:after="0" w:line="279" w:lineRule="auto"/>
        <w:tabs>
          <w:tab w:leader="none" w:pos="1518" w:val="left"/>
        </w:tabs>
        <w:numPr>
          <w:ilvl w:val="1"/>
          <w:numId w:val="4"/>
        </w:numPr>
        <w:rPr>
          <w:rFonts w:ascii="Arial" w:cs="Arial" w:eastAsia="Arial" w:hAnsi="Arial"/>
          <w:sz w:val="17"/>
          <w:szCs w:val="17"/>
          <w:color w:val="auto"/>
        </w:rPr>
      </w:pPr>
      <w:r>
        <w:rPr>
          <w:rFonts w:ascii="Arial" w:cs="Arial" w:eastAsia="Arial" w:hAnsi="Arial"/>
          <w:sz w:val="17"/>
          <w:szCs w:val="17"/>
          <w:color w:val="auto"/>
        </w:rPr>
        <w:t>the accuracy in all material respects (or, to the extent representations or warranties are qualified by materiality or Material Adverse Effect, in all respects) when made and on the Closing Date of the representations and warranties of the Company contained herein (unless as of a specific date therein in which case they shall be accurate in all material respects or, to the extent representations or warranties are qualified by materiality or Material Adverse Effect, in all respects) as of such date);</w:t>
      </w:r>
    </w:p>
    <w:p>
      <w:pPr>
        <w:spacing w:after="0" w:line="171" w:lineRule="exact"/>
        <w:rPr>
          <w:rFonts w:ascii="Arial" w:cs="Arial" w:eastAsia="Arial" w:hAnsi="Arial"/>
          <w:sz w:val="17"/>
          <w:szCs w:val="17"/>
          <w:color w:val="auto"/>
        </w:rPr>
      </w:pPr>
    </w:p>
    <w:p>
      <w:pPr>
        <w:ind w:left="640" w:firstLine="652"/>
        <w:spacing w:after="0" w:line="277" w:lineRule="auto"/>
        <w:tabs>
          <w:tab w:leader="none" w:pos="1553" w:val="left"/>
        </w:tabs>
        <w:numPr>
          <w:ilvl w:val="1"/>
          <w:numId w:val="4"/>
        </w:numPr>
        <w:rPr>
          <w:rFonts w:ascii="Arial" w:cs="Arial" w:eastAsia="Arial" w:hAnsi="Arial"/>
          <w:sz w:val="18"/>
          <w:szCs w:val="18"/>
          <w:color w:val="auto"/>
        </w:rPr>
      </w:pPr>
      <w:r>
        <w:rPr>
          <w:rFonts w:ascii="Arial" w:cs="Arial" w:eastAsia="Arial" w:hAnsi="Arial"/>
          <w:sz w:val="18"/>
          <w:szCs w:val="18"/>
          <w:color w:val="auto"/>
        </w:rPr>
        <w:t>all obligations, covenants and agreements of the Company required to be performed at or prior to the Closing Date shall have been performed;</w:t>
      </w:r>
    </w:p>
    <w:p>
      <w:pPr>
        <w:spacing w:after="0" w:line="170" w:lineRule="exact"/>
        <w:rPr>
          <w:rFonts w:ascii="Arial" w:cs="Arial" w:eastAsia="Arial" w:hAnsi="Arial"/>
          <w:sz w:val="18"/>
          <w:szCs w:val="18"/>
          <w:color w:val="auto"/>
        </w:rPr>
      </w:pPr>
    </w:p>
    <w:p>
      <w:pPr>
        <w:ind w:left="1600" w:hanging="308"/>
        <w:spacing w:after="0"/>
        <w:tabs>
          <w:tab w:leader="none" w:pos="16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delivery by the Company of the items set forth in Section 2.2(a) of this Agreement;</w:t>
      </w:r>
    </w:p>
    <w:p>
      <w:pPr>
        <w:spacing w:after="0" w:line="225" w:lineRule="exact"/>
        <w:rPr>
          <w:rFonts w:ascii="Arial" w:cs="Arial" w:eastAsia="Arial" w:hAnsi="Arial"/>
          <w:sz w:val="18"/>
          <w:szCs w:val="18"/>
          <w:color w:val="auto"/>
        </w:rPr>
      </w:pPr>
    </w:p>
    <w:p>
      <w:pPr>
        <w:ind w:left="1600" w:hanging="308"/>
        <w:spacing w:after="0"/>
        <w:tabs>
          <w:tab w:leader="none" w:pos="1600" w:val="left"/>
        </w:tabs>
        <w:numPr>
          <w:ilvl w:val="1"/>
          <w:numId w:val="4"/>
        </w:numPr>
        <w:rPr>
          <w:rFonts w:ascii="Arial" w:cs="Arial" w:eastAsia="Arial" w:hAnsi="Arial"/>
          <w:sz w:val="16"/>
          <w:szCs w:val="16"/>
          <w:color w:val="auto"/>
        </w:rPr>
      </w:pPr>
      <w:r>
        <w:rPr>
          <w:rFonts w:ascii="Arial" w:cs="Arial" w:eastAsia="Arial" w:hAnsi="Arial"/>
          <w:sz w:val="16"/>
          <w:szCs w:val="16"/>
          <w:color w:val="auto"/>
        </w:rPr>
        <w:t>there shall have been no Material Adverse Effect with respect to the Company from the date hereof to the Closing Date;</w:t>
      </w:r>
    </w:p>
    <w:p>
      <w:pPr>
        <w:spacing w:after="0" w:line="248" w:lineRule="exact"/>
        <w:rPr>
          <w:rFonts w:ascii="Arial" w:cs="Arial" w:eastAsia="Arial" w:hAnsi="Arial"/>
          <w:sz w:val="16"/>
          <w:szCs w:val="16"/>
          <w:color w:val="auto"/>
        </w:rPr>
      </w:pPr>
    </w:p>
    <w:p>
      <w:pPr>
        <w:jc w:val="both"/>
        <w:ind w:left="640" w:firstLine="652"/>
        <w:spacing w:after="0" w:line="291" w:lineRule="auto"/>
        <w:tabs>
          <w:tab w:leader="none" w:pos="1545" w:val="left"/>
        </w:tabs>
        <w:numPr>
          <w:ilvl w:val="1"/>
          <w:numId w:val="4"/>
        </w:numPr>
        <w:rPr>
          <w:rFonts w:ascii="Arial" w:cs="Arial" w:eastAsia="Arial" w:hAnsi="Arial"/>
          <w:sz w:val="16"/>
          <w:szCs w:val="16"/>
          <w:color w:val="auto"/>
        </w:rPr>
      </w:pPr>
      <w:r>
        <w:rPr>
          <w:rFonts w:ascii="Arial" w:cs="Arial" w:eastAsia="Arial" w:hAnsi="Arial"/>
          <w:sz w:val="16"/>
          <w:szCs w:val="16"/>
          <w:color w:val="auto"/>
        </w:rPr>
        <w:t>from the date hereof to the Closing Date, trading in the Common Stock shall not have been suspended by the Commission or the Company’s principal Trading Market, and, at any time prior to the Closing Date, trading in securities generally as reported by Bloomberg L.P. shall not have been suspended or limited, or minimum prices shall not have been established on securities whose trades are reported by such service, or on any Trading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the Purchaser, makes it impracticable or inadvisable to purchase the Shares at the Closing; and</w:t>
      </w:r>
    </w:p>
    <w:p>
      <w:pPr>
        <w:spacing w:after="0" w:line="166" w:lineRule="exact"/>
        <w:rPr>
          <w:rFonts w:ascii="Arial" w:cs="Arial" w:eastAsia="Arial" w:hAnsi="Arial"/>
          <w:sz w:val="16"/>
          <w:szCs w:val="16"/>
          <w:color w:val="auto"/>
        </w:rPr>
      </w:pPr>
    </w:p>
    <w:p>
      <w:pPr>
        <w:ind w:left="640" w:firstLine="652"/>
        <w:spacing w:after="0" w:line="308" w:lineRule="auto"/>
        <w:tabs>
          <w:tab w:leader="none" w:pos="1617" w:val="left"/>
        </w:tabs>
        <w:numPr>
          <w:ilvl w:val="1"/>
          <w:numId w:val="4"/>
        </w:numPr>
        <w:rPr>
          <w:rFonts w:ascii="Arial" w:cs="Arial" w:eastAsia="Arial" w:hAnsi="Arial"/>
          <w:sz w:val="17"/>
          <w:szCs w:val="17"/>
          <w:color w:val="auto"/>
        </w:rPr>
      </w:pPr>
      <w:r>
        <w:rPr>
          <w:rFonts w:ascii="Arial" w:cs="Arial" w:eastAsia="Arial" w:hAnsi="Arial"/>
          <w:sz w:val="17"/>
          <w:szCs w:val="17"/>
          <w:color w:val="auto"/>
        </w:rPr>
        <w:t>that certain Third Amendment to Credit Agreement with Metropolitan Partners Group Administration, LLC (the “</w:t>
      </w:r>
      <w:r>
        <w:rPr>
          <w:rFonts w:ascii="Arial" w:cs="Arial" w:eastAsia="Arial" w:hAnsi="Arial"/>
          <w:sz w:val="17"/>
          <w:szCs w:val="17"/>
          <w:u w:val="single" w:color="auto"/>
          <w:color w:val="auto"/>
        </w:rPr>
        <w:t>Third</w:t>
      </w:r>
      <w:r>
        <w:rPr>
          <w:rFonts w:ascii="Arial" w:cs="Arial" w:eastAsia="Arial" w:hAnsi="Arial"/>
          <w:sz w:val="17"/>
          <w:szCs w:val="17"/>
          <w:color w:val="auto"/>
        </w:rPr>
        <w:t xml:space="preserve"> </w:t>
      </w:r>
      <w:r>
        <w:rPr>
          <w:rFonts w:ascii="Arial" w:cs="Arial" w:eastAsia="Arial" w:hAnsi="Arial"/>
          <w:sz w:val="17"/>
          <w:szCs w:val="17"/>
          <w:u w:val="single" w:color="auto"/>
          <w:color w:val="auto"/>
        </w:rPr>
        <w:t>Amendment</w:t>
      </w:r>
      <w:r>
        <w:rPr>
          <w:rFonts w:ascii="Arial" w:cs="Arial" w:eastAsia="Arial" w:hAnsi="Arial"/>
          <w:sz w:val="17"/>
          <w:szCs w:val="17"/>
          <w:color w:val="auto"/>
        </w:rPr>
        <w:t>”), as provided to the Purchaser in summary form, shall have become effective concurrently with the Closing.</w:t>
      </w:r>
    </w:p>
    <w:p>
      <w:pPr>
        <w:spacing w:after="0" w:line="362"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w:t>
      </w:r>
    </w:p>
    <w:p>
      <w:pPr>
        <w:spacing w:after="0" w:line="21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Representations and Warranties of the Company</w:t>
      </w:r>
      <w:r>
        <w:rPr>
          <w:rFonts w:ascii="Arial" w:cs="Arial" w:eastAsia="Arial" w:hAnsi="Arial"/>
          <w:sz w:val="16"/>
          <w:szCs w:val="16"/>
          <w:color w:val="auto"/>
        </w:rPr>
        <w:t>. Except as set forth in the Disclosure Schedules, which Disclosure Schedules shall be deemed a part hereof and shall qualify any representation or otherwise made herein to the extent of the disclosure contained in the corresponding section of the Disclosure Schedule, or as set forth in (i) the SEC Reports or (ii) the draft Annual Report on Form 10-K for the fiscal year ended June 30, 2023 in the form provided to the Purchaser (the “</w:t>
      </w:r>
      <w:r>
        <w:rPr>
          <w:rFonts w:ascii="Arial" w:cs="Arial" w:eastAsia="Arial" w:hAnsi="Arial"/>
          <w:sz w:val="16"/>
          <w:szCs w:val="16"/>
          <w:u w:val="single" w:color="auto"/>
          <w:color w:val="auto"/>
        </w:rPr>
        <w:t>2023 Form 10-K</w:t>
      </w:r>
      <w:r>
        <w:rPr>
          <w:rFonts w:ascii="Arial" w:cs="Arial" w:eastAsia="Arial" w:hAnsi="Arial"/>
          <w:sz w:val="16"/>
          <w:szCs w:val="16"/>
          <w:color w:val="auto"/>
        </w:rPr>
        <w:t>”), the Company hereby makes the following representations and warranties to the Purchaser:</w:t>
      </w:r>
    </w:p>
    <w:p>
      <w:pPr>
        <w:spacing w:after="0" w:line="157" w:lineRule="exact"/>
        <w:rPr>
          <w:sz w:val="20"/>
          <w:szCs w:val="20"/>
          <w:color w:val="auto"/>
        </w:rPr>
      </w:pPr>
    </w:p>
    <w:p>
      <w:pPr>
        <w:jc w:val="both"/>
        <w:ind w:left="660" w:firstLine="644"/>
        <w:spacing w:after="0" w:line="275" w:lineRule="auto"/>
        <w:tabs>
          <w:tab w:leader="none" w:pos="1566" w:val="left"/>
        </w:tabs>
        <w:numPr>
          <w:ilvl w:val="0"/>
          <w:numId w:val="5"/>
        </w:numPr>
        <w:rPr>
          <w:rFonts w:ascii="Arial" w:cs="Arial" w:eastAsia="Arial" w:hAnsi="Arial"/>
          <w:sz w:val="17"/>
          <w:szCs w:val="17"/>
          <w:color w:val="auto"/>
        </w:rPr>
      </w:pPr>
      <w:r>
        <w:rPr>
          <w:rFonts w:ascii="Arial" w:cs="Arial" w:eastAsia="Arial" w:hAnsi="Arial"/>
          <w:sz w:val="17"/>
          <w:szCs w:val="17"/>
          <w:u w:val="single" w:color="auto"/>
          <w:color w:val="auto"/>
        </w:rPr>
        <w:t>Subsidiaries</w:t>
      </w:r>
      <w:r>
        <w:rPr>
          <w:rFonts w:ascii="Arial" w:cs="Arial" w:eastAsia="Arial" w:hAnsi="Arial"/>
          <w:sz w:val="17"/>
          <w:szCs w:val="17"/>
          <w:color w:val="auto"/>
        </w:rPr>
        <w:t>. All of the direct and indirect subsidiaries of the Company are set forth on Exhibit 8.1 of the Company’s Registration Statement on Form S-1 filed with the SEC on June 23, 2023 (the “</w:t>
      </w:r>
      <w:r>
        <w:rPr>
          <w:rFonts w:ascii="Arial" w:cs="Arial" w:eastAsia="Arial" w:hAnsi="Arial"/>
          <w:sz w:val="17"/>
          <w:szCs w:val="17"/>
          <w:u w:val="single" w:color="auto"/>
          <w:color w:val="auto"/>
        </w:rPr>
        <w:t>June Registration Statement</w:t>
      </w:r>
      <w:r>
        <w:rPr>
          <w:rFonts w:ascii="Arial" w:cs="Arial" w:eastAsia="Arial" w:hAnsi="Arial"/>
          <w:sz w:val="17"/>
          <w:szCs w:val="17"/>
          <w:color w:val="auto"/>
        </w:rPr>
        <w:t>”). The Company owns, directly or indirectly, all of the capital stock or other equity interests of each Subsidiary free and clear of any Liens except as disclosed in the 2023 Form 10-K and Liens imposed under the Credit Agreement, and all of the issued and outstanding shares of capital stock of each Subsidiary are validly issued and are fully paid, non-assessable and free of preemptive and similar rights to subscribe for or purchase securities.</w:t>
      </w:r>
    </w:p>
    <w:p>
      <w:pPr>
        <w:spacing w:after="0" w:line="176" w:lineRule="exact"/>
        <w:rPr>
          <w:rFonts w:ascii="Arial" w:cs="Arial" w:eastAsia="Arial" w:hAnsi="Arial"/>
          <w:sz w:val="17"/>
          <w:szCs w:val="17"/>
          <w:color w:val="auto"/>
        </w:rPr>
      </w:pPr>
    </w:p>
    <w:p>
      <w:pPr>
        <w:jc w:val="both"/>
        <w:ind w:left="660" w:firstLine="644"/>
        <w:spacing w:after="0" w:line="286" w:lineRule="auto"/>
        <w:tabs>
          <w:tab w:leader="none" w:pos="1576"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Organization and Qualification</w:t>
      </w:r>
      <w:r>
        <w:rPr>
          <w:rFonts w:ascii="Arial" w:cs="Arial" w:eastAsia="Arial" w:hAnsi="Arial"/>
          <w:sz w:val="16"/>
          <w:szCs w:val="16"/>
          <w:color w:val="auto"/>
        </w:rPr>
        <w:t>. The Company and each of the Subsidiaries is an entity duly incorporated or otherwise organized, validly existing and in good standing under the laws of the jurisdiction of its incorporation or organization, with the requisite power and authority to own and use its properties and assets and to carry on its business as currently conducted. Neither the Company nor any Subsidiary is in violation nor default of any of the provisions of its respective certificate or articles of incorporation, bylaws or other organizational or charter documents. Each of the Company and the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could not have or reasonably be expected to result in: (i) a material adverse effect on the legality, validity or enforceability of any Transaction Document, (ii) a material adverse effect on the results of operations, assets, business or condition (financial or otherwise) of the Company and the Subsidiaries, taken as a whole, or (iii) a material adverse effect on the Company’s ability to perform in any material respect on a timely basis its obligations under any Transaction Document (any of (i), (ii) or (iii), a “</w:t>
      </w:r>
      <w:r>
        <w:rPr>
          <w:rFonts w:ascii="Arial" w:cs="Arial" w:eastAsia="Arial" w:hAnsi="Arial"/>
          <w:sz w:val="16"/>
          <w:szCs w:val="16"/>
          <w:u w:val="single" w:color="auto"/>
          <w:color w:val="auto"/>
        </w:rPr>
        <w:t>Material</w:t>
      </w:r>
      <w:r>
        <w:rPr>
          <w:rFonts w:ascii="Arial" w:cs="Arial" w:eastAsia="Arial" w:hAnsi="Arial"/>
          <w:sz w:val="16"/>
          <w:szCs w:val="16"/>
          <w:color w:val="auto"/>
        </w:rPr>
        <w:t xml:space="preserve"> </w:t>
      </w:r>
      <w:r>
        <w:rPr>
          <w:rFonts w:ascii="Arial" w:cs="Arial" w:eastAsia="Arial" w:hAnsi="Arial"/>
          <w:sz w:val="16"/>
          <w:szCs w:val="16"/>
          <w:u w:val="single" w:color="auto"/>
          <w:color w:val="auto"/>
        </w:rPr>
        <w:t>Adverse Effect</w:t>
      </w:r>
      <w:r>
        <w:rPr>
          <w:rFonts w:ascii="Arial" w:cs="Arial" w:eastAsia="Arial" w:hAnsi="Arial"/>
          <w:sz w:val="16"/>
          <w:szCs w:val="16"/>
          <w:color w:val="auto"/>
        </w:rPr>
        <w:t>”; provided, however, that changes in the market price or trading volume of the Common Stock shall not alone, in and of itself, constitute a Material Adverse Effect). No Proceeding has been instituted in any such jurisdiction revoking, limiting or curtailing or seeking to revoke, limit or curtail such power and authority or qualification.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jc w:val="both"/>
        <w:ind w:left="4" w:firstLine="644"/>
        <w:spacing w:after="0" w:line="287" w:lineRule="auto"/>
        <w:tabs>
          <w:tab w:leader="none" w:pos="923" w:val="left"/>
        </w:tabs>
        <w:numPr>
          <w:ilvl w:val="1"/>
          <w:numId w:val="6"/>
        </w:numPr>
        <w:rPr>
          <w:rFonts w:ascii="Arial" w:cs="Arial" w:eastAsia="Arial" w:hAnsi="Arial"/>
          <w:sz w:val="16"/>
          <w:szCs w:val="16"/>
          <w:color w:val="auto"/>
        </w:rPr>
      </w:pPr>
      <w:r>
        <w:rPr>
          <w:rFonts w:ascii="Arial" w:cs="Arial" w:eastAsia="Arial" w:hAnsi="Arial"/>
          <w:sz w:val="16"/>
          <w:szCs w:val="16"/>
          <w:u w:val="single" w:color="auto"/>
          <w:color w:val="auto"/>
        </w:rPr>
        <w:t>Authorization; Enforcement</w:t>
      </w:r>
      <w:r>
        <w:rPr>
          <w:rFonts w:ascii="Arial" w:cs="Arial" w:eastAsia="Arial" w:hAnsi="Arial"/>
          <w:sz w:val="16"/>
          <w:szCs w:val="16"/>
          <w:color w:val="auto"/>
        </w:rPr>
        <w:t>. The Company has the requisite corporate power and authority to enter into and to consummate the transactions contemplated by this Agreement and each of the other Transaction Documents and otherwise to carry out its obligations hereunder and thereunder. The execution and delivery of this Agreement and each of the other Transaction Documents by the Company and the consummation by it of the transactions contemplated hereby and thereby have been duly authorized by all necessary action on the part of the Company and no further action is required by the Company, the Board of Directors or the Company’s stockholders in connection herewith or therewith other than in connection with the Required Approvals. This Agreement and each other Transaction Document to which it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71" w:lineRule="exact"/>
        <w:rPr>
          <w:rFonts w:ascii="Arial" w:cs="Arial" w:eastAsia="Arial" w:hAnsi="Arial"/>
          <w:sz w:val="16"/>
          <w:szCs w:val="16"/>
          <w:color w:val="auto"/>
        </w:rPr>
      </w:pPr>
    </w:p>
    <w:p>
      <w:pPr>
        <w:jc w:val="both"/>
        <w:ind w:left="4" w:firstLine="644"/>
        <w:spacing w:after="0" w:line="283" w:lineRule="auto"/>
        <w:tabs>
          <w:tab w:leader="none" w:pos="907" w:val="left"/>
        </w:tabs>
        <w:numPr>
          <w:ilvl w:val="1"/>
          <w:numId w:val="6"/>
        </w:numPr>
        <w:rPr>
          <w:rFonts w:ascii="Arial" w:cs="Arial" w:eastAsia="Arial" w:hAnsi="Arial"/>
          <w:sz w:val="16"/>
          <w:szCs w:val="16"/>
          <w:color w:val="auto"/>
        </w:rPr>
      </w:pPr>
      <w:r>
        <w:rPr>
          <w:rFonts w:ascii="Arial" w:cs="Arial" w:eastAsia="Arial" w:hAnsi="Arial"/>
          <w:sz w:val="16"/>
          <w:szCs w:val="16"/>
          <w:u w:val="single" w:color="auto"/>
          <w:color w:val="auto"/>
        </w:rPr>
        <w:t>No Conflicts</w:t>
      </w:r>
      <w:r>
        <w:rPr>
          <w:rFonts w:ascii="Arial" w:cs="Arial" w:eastAsia="Arial" w:hAnsi="Arial"/>
          <w:sz w:val="16"/>
          <w:szCs w:val="16"/>
          <w:color w:val="auto"/>
        </w:rPr>
        <w:t>. The execution, delivery and performance by the Company of this Agreement and the other Transaction Documents to which it is a party, the issuance and sale of the Shares and the consummation by it of the transactions contemplated hereby and thereby do not and will not (i) conflict with or violate any provision of the Company’s or any Subsidiary’s certificate or articles of incorporation, bylaws or other organizational or charter documents, or (ii) conflict with, or constitute a default (or an event that with notice or lapse of time or both would become a default) under, result in the creation of any material Lien upon any of the properties or assets of the Company or any Subsidiary, or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(except for such conflicts or defaults as have been waived or for which consent has been obtained prior to the Closing Date), or (iii) subject to receipt of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w:t>
      </w:r>
    </w:p>
    <w:p>
      <w:pPr>
        <w:spacing w:after="0" w:line="2" w:lineRule="exact"/>
        <w:rPr>
          <w:rFonts w:ascii="Arial" w:cs="Arial" w:eastAsia="Arial" w:hAnsi="Arial"/>
          <w:sz w:val="16"/>
          <w:szCs w:val="16"/>
          <w:color w:val="auto"/>
        </w:rPr>
      </w:pPr>
    </w:p>
    <w:p>
      <w:pPr>
        <w:ind w:left="264" w:hanging="264"/>
        <w:spacing w:after="0"/>
        <w:tabs>
          <w:tab w:leader="none" w:pos="264" w:val="left"/>
        </w:tabs>
        <w:numPr>
          <w:ilvl w:val="0"/>
          <w:numId w:val="7"/>
        </w:numPr>
        <w:rPr>
          <w:rFonts w:ascii="Arial" w:cs="Arial" w:eastAsia="Arial" w:hAnsi="Arial"/>
          <w:sz w:val="18"/>
          <w:szCs w:val="18"/>
          <w:color w:val="auto"/>
        </w:rPr>
      </w:pPr>
      <w:r>
        <w:rPr>
          <w:rFonts w:ascii="Arial" w:cs="Arial" w:eastAsia="Arial" w:hAnsi="Arial"/>
          <w:sz w:val="18"/>
          <w:szCs w:val="18"/>
          <w:color w:val="auto"/>
        </w:rPr>
        <w:t>and (iii), such as could not have or reasonably be expected to result in a Material Adverse Effect.</w:t>
      </w:r>
    </w:p>
    <w:p>
      <w:pPr>
        <w:spacing w:after="0" w:line="200" w:lineRule="exact"/>
        <w:rPr>
          <w:sz w:val="20"/>
          <w:szCs w:val="20"/>
          <w:color w:val="auto"/>
        </w:rPr>
      </w:pPr>
    </w:p>
    <w:p>
      <w:pPr>
        <w:spacing w:after="0" w:line="227"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7" w:name="page18"/>
    <w:bookmarkEnd w:id="17"/>
    <w:p>
      <w:pPr>
        <w:jc w:val="both"/>
        <w:ind w:left="-460" w:firstLine="644"/>
        <w:spacing w:after="0" w:line="272" w:lineRule="auto"/>
        <w:tabs>
          <w:tab w:leader="none" w:pos="446" w:val="left"/>
        </w:tabs>
        <w:numPr>
          <w:ilvl w:val="0"/>
          <w:numId w:val="8"/>
        </w:numPr>
        <w:rPr>
          <w:rFonts w:ascii="Arial" w:cs="Arial" w:eastAsia="Arial" w:hAnsi="Arial"/>
          <w:sz w:val="17"/>
          <w:szCs w:val="17"/>
          <w:color w:val="auto"/>
        </w:rPr>
      </w:pPr>
      <w:r>
        <w:rPr>
          <w:rFonts w:ascii="Arial" w:cs="Arial" w:eastAsia="Arial" w:hAnsi="Arial"/>
          <w:sz w:val="17"/>
          <w:szCs w:val="17"/>
          <w:u w:val="single" w:color="auto"/>
          <w:color w:val="auto"/>
        </w:rPr>
        <w:t>Filings, Consents and Approvals</w:t>
      </w:r>
      <w:r>
        <w:rPr>
          <w:rFonts w:ascii="Arial" w:cs="Arial" w:eastAsia="Arial" w:hAnsi="Arial"/>
          <w:sz w:val="17"/>
          <w:szCs w:val="17"/>
          <w:color w:val="auto"/>
        </w:rPr>
        <w:t>.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the Transaction Documents, other than: (i) the filings required pursuant to Section 4.3 of this Agreement, (ii) the filing with the Commission pursuant to the Registration Rights Agreement, (iii) the notice and/or application(s) to each applicable Trading Market for the issuance and sale of the Shares and the listing of the Shares for trading thereon in the time and manner required thereby, (iv) such filings as are required to be made under applicable state securities laws and (v) such consents or waivers that shall have been obtained prior to the Closing Date (collectively, the “</w:t>
      </w:r>
      <w:r>
        <w:rPr>
          <w:rFonts w:ascii="Arial" w:cs="Arial" w:eastAsia="Arial" w:hAnsi="Arial"/>
          <w:sz w:val="17"/>
          <w:szCs w:val="17"/>
          <w:u w:val="single" w:color="auto"/>
          <w:color w:val="auto"/>
        </w:rPr>
        <w:t>Required Approvals</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jc w:val="both"/>
        <w:ind w:left="-460" w:firstLine="644"/>
        <w:spacing w:after="0" w:line="259" w:lineRule="auto"/>
        <w:tabs>
          <w:tab w:leader="none" w:pos="413"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Issuance of the Shares</w:t>
      </w:r>
      <w:r>
        <w:rPr>
          <w:rFonts w:ascii="Arial" w:cs="Arial" w:eastAsia="Arial" w:hAnsi="Arial"/>
          <w:sz w:val="18"/>
          <w:szCs w:val="18"/>
          <w:color w:val="auto"/>
        </w:rPr>
        <w:t>. The Shares are duly authorized and, when issued and paid for in accordance with the applicable Transaction Documents, will be duly and validly issued, fully paid and nonassessable, free and clear of all Liens imposed by the Company other than restrictions on transfer provided for in the Transaction Documents. The Company has reserved from its duly authorized capital stock the maximum number of shares of Common Stock issuable pursuant to this Agreement.</w:t>
      </w:r>
    </w:p>
    <w:p>
      <w:pPr>
        <w:spacing w:after="0" w:line="186" w:lineRule="exact"/>
        <w:rPr>
          <w:rFonts w:ascii="Arial" w:cs="Arial" w:eastAsia="Arial" w:hAnsi="Arial"/>
          <w:sz w:val="18"/>
          <w:szCs w:val="18"/>
          <w:color w:val="auto"/>
        </w:rPr>
      </w:pPr>
    </w:p>
    <w:p>
      <w:pPr>
        <w:jc w:val="both"/>
        <w:ind w:left="-460" w:firstLine="644"/>
        <w:spacing w:after="0" w:line="284" w:lineRule="auto"/>
        <w:tabs>
          <w:tab w:leader="none" w:pos="443"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Capitalization</w:t>
      </w:r>
      <w:r>
        <w:rPr>
          <w:rFonts w:ascii="Arial" w:cs="Arial" w:eastAsia="Arial" w:hAnsi="Arial"/>
          <w:sz w:val="16"/>
          <w:szCs w:val="16"/>
          <w:color w:val="auto"/>
        </w:rPr>
        <w:t>. The capitalization of the Company as of the date hereof is as set forth in the 2023 Form 10-K. The Company has not issued any capital stock since its most recently filed periodic report under the Exchange Act, other than pursuant to the exercise of employee stock options under the Company’s stock option plans, the issuance of shares of Common Stock to employees pursuant to the Company’s employee stock purchase plans and pursuant to the conversion and/or exercise of Common Stock Equivalents outstanding as of the date of the most recently filed periodic report under the Exchange Act. No Person has any right of first refusal, preemptive right, right of participation, or any similar right to participate in the transactions contemplated by the Transaction Documents.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shares of Common Stock or the capital stock of any Subsidiary, or contracts, commitments, understandings or arrangements by which the Company or any Subsidiary is or may become bound to issue additional shares of Common Stock or Common Stock Equivalents or capital stock of any Subsidiary. The issuance and sale of the Shares will not obligate the Company or any Subsidiary to issue shares of Common Stock or other securities to any Person (other than the Purchasers). There are no outstanding securities or instruments of the Company or any Subsidiary with any provision that adjusts the exercise, conversion, exchange or reset price of such security or instrument upon an issuance of securities by the Company or any Subsidiary. 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such Subsidiary. The Company does not have any stock appreciation rights or “phantom stock” plans or agreements or any similar plan or agreement. All of the outstanding shares of capital stock of the Company are duly authorized, validly issued, fully paid and nonassessable, have been issued in compliance with all applicable federal and state securities laws, and none of such outstanding shares was issued in violation of any preemptive rights or similar rights to subscribe for or purchase securities. Except for the Required Approvals, no further approval or authorization of any stockholder, the Board of Directors or others is required for the issuance and sale of the Shares. There are no stockholders agreements, voting agreements or other similar agreements with respect to the Company’s capital stock to which the Company is a party or, to the knowledge of the Company, between or among any of the Company’s stockholders.</w:t>
      </w:r>
    </w:p>
    <w:p>
      <w:pPr>
        <w:spacing w:after="0" w:line="39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8" w:name="page19"/>
    <w:bookmarkEnd w:id="18"/>
    <w:p>
      <w:pPr>
        <w:jc w:val="both"/>
        <w:ind w:left="-460" w:firstLine="644"/>
        <w:spacing w:after="0" w:line="285" w:lineRule="auto"/>
        <w:tabs>
          <w:tab w:leader="none" w:pos="456"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SEC Reports; 2023 Form 10-K; Financial Statements</w:t>
      </w:r>
      <w:r>
        <w:rPr>
          <w:rFonts w:ascii="Arial" w:cs="Arial" w:eastAsia="Arial" w:hAnsi="Arial"/>
          <w:sz w:val="16"/>
          <w:szCs w:val="16"/>
          <w:color w:val="auto"/>
        </w:rPr>
        <w:t>. The Company has filed all reports, schedules, forms, statements and other documents required to be filed by the Company under the Securities Act and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being collectively referred to herein as the “</w:t>
      </w:r>
      <w:r>
        <w:rPr>
          <w:rFonts w:ascii="Arial" w:cs="Arial" w:eastAsia="Arial" w:hAnsi="Arial"/>
          <w:sz w:val="16"/>
          <w:szCs w:val="16"/>
          <w:u w:val="single" w:color="auto"/>
          <w:color w:val="auto"/>
        </w:rPr>
        <w:t>SEC Reports</w:t>
      </w:r>
      <w:r>
        <w:rPr>
          <w:rFonts w:ascii="Arial" w:cs="Arial" w:eastAsia="Arial" w:hAnsi="Arial"/>
          <w:sz w:val="16"/>
          <w:szCs w:val="16"/>
          <w:color w:val="auto"/>
        </w:rPr>
        <w:t>”) on a timely basis or has received a valid extension of such time of filing and has filed any such SEC Reports prior to the expiration of any such extension. As of its date, the 2023 Form 10-K will comply in all material respects with the requirements of the Securities Act and the Exchange Act, as applicable, and the 2023 Form 10-K, when filed, will not contain any untrue statement of a material fact or omit to state a material fact required to be stated therein or necessary in order to make the statements therein, in the light of the circumstances under which they were made, not misleading. The financial statements of the Company included in the SEC Reports comply, and the financial statements of the Company to be included in the 2023 Form 10-K will comply, in all material respects with applicable accounting requirements and the rules and regulations of the Commission with respect thereto as in effect at the time of filing. Such financial statements have been, or will be, as applicable, prepared in all material respects in accordance with United States generally accepted accounting principles applied on a consistent basis during the periods involved (“</w:t>
      </w:r>
      <w:r>
        <w:rPr>
          <w:rFonts w:ascii="Arial" w:cs="Arial" w:eastAsia="Arial" w:hAnsi="Arial"/>
          <w:sz w:val="16"/>
          <w:szCs w:val="16"/>
          <w:u w:val="single" w:color="auto"/>
          <w:color w:val="auto"/>
        </w:rPr>
        <w:t>GAAP</w:t>
      </w:r>
      <w:r>
        <w:rPr>
          <w:rFonts w:ascii="Arial" w:cs="Arial" w:eastAsia="Arial" w:hAnsi="Arial"/>
          <w:sz w:val="16"/>
          <w:szCs w:val="16"/>
          <w:color w:val="auto"/>
        </w:rPr>
        <w:t>”), except as may be otherwise specified in such financial statements or the notes thereto and except that unaudited financial statements may not contain all footnotes required by GAAP, and fairly present, or will fairly present, as applicable,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spacing w:after="0" w:line="176" w:lineRule="exact"/>
        <w:rPr>
          <w:rFonts w:ascii="Arial" w:cs="Arial" w:eastAsia="Arial" w:hAnsi="Arial"/>
          <w:sz w:val="16"/>
          <w:szCs w:val="16"/>
          <w:color w:val="auto"/>
        </w:rPr>
      </w:pPr>
    </w:p>
    <w:p>
      <w:pPr>
        <w:jc w:val="both"/>
        <w:ind w:left="-460" w:firstLine="644"/>
        <w:spacing w:after="0" w:line="286" w:lineRule="auto"/>
        <w:tabs>
          <w:tab w:leader="none" w:pos="403"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Material Changes; Undisclosed Events, Liabilities or Developments</w:t>
      </w:r>
      <w:r>
        <w:rPr>
          <w:rFonts w:ascii="Arial" w:cs="Arial" w:eastAsia="Arial" w:hAnsi="Arial"/>
          <w:sz w:val="16"/>
          <w:szCs w:val="16"/>
          <w:color w:val="auto"/>
        </w:rPr>
        <w:t xml:space="preserve">. Except as disclosed in the 2023 Form 10-K, (i) there has been no event, occurrence or development that has had or that could reasonably be expected to result in a Material Adverse Effect, (ii) the Company has not incurred any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Commission, (iii) the Company has not altered its method of accounting, (iv) the Company has not declared or made any dividend or distribution of cash or other property to its stockholders or purchased, redeemed or made any agreements to purchase or redeem any shares of its capital stock and (v) the Company has not issued any equity securities to any officer, director or Affiliate, except pursuant to existing Company stock option plans or other equity plans. The Company does not have pending before the Commission any request for confidential treatment of information. Except for the issuance of the Shares contemplated by this Agreement or as set forth on </w:t>
      </w:r>
      <w:r>
        <w:rPr>
          <w:rFonts w:ascii="Arial" w:cs="Arial" w:eastAsia="Arial" w:hAnsi="Arial"/>
          <w:sz w:val="16"/>
          <w:szCs w:val="16"/>
          <w:u w:val="single" w:color="auto"/>
          <w:color w:val="auto"/>
        </w:rPr>
        <w:t>Schedule 3.1(i)</w:t>
      </w:r>
      <w:r>
        <w:rPr>
          <w:rFonts w:ascii="Arial" w:cs="Arial" w:eastAsia="Arial" w:hAnsi="Arial"/>
          <w:sz w:val="16"/>
          <w:szCs w:val="16"/>
          <w:color w:val="auto"/>
        </w:rPr>
        <w:t>, no event, liability, fact, circumstance, occurrence or development has occurred or exists or is reasonably expected to occur or exist with respect to the Company or its Subsidiaries or their respective businesses, properties, operations, assets or financial condition that would be required to be disclosed by the Company under applicable securities laws at the time this representation is made or deemed made that has not been publicly disclosed at least one Trading Day prior to the date that this representation is made.</w:t>
      </w:r>
    </w:p>
    <w:p>
      <w:pPr>
        <w:spacing w:after="0" w:line="39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9" w:name="page20"/>
    <w:bookmarkEnd w:id="19"/>
    <w:p>
      <w:pPr>
        <w:jc w:val="both"/>
        <w:ind w:left="-460" w:firstLine="644"/>
        <w:spacing w:after="0" w:line="269" w:lineRule="auto"/>
        <w:tabs>
          <w:tab w:leader="none" w:pos="403" w:val="left"/>
        </w:tabs>
        <w:numPr>
          <w:ilvl w:val="0"/>
          <w:numId w:val="10"/>
        </w:numPr>
        <w:rPr>
          <w:rFonts w:ascii="Arial" w:cs="Arial" w:eastAsia="Arial" w:hAnsi="Arial"/>
          <w:sz w:val="17"/>
          <w:szCs w:val="17"/>
          <w:color w:val="auto"/>
        </w:rPr>
      </w:pPr>
      <w:r>
        <w:rPr>
          <w:rFonts w:ascii="Arial" w:cs="Arial" w:eastAsia="Arial" w:hAnsi="Arial"/>
          <w:sz w:val="17"/>
          <w:szCs w:val="17"/>
          <w:u w:val="single" w:color="auto"/>
          <w:color w:val="auto"/>
        </w:rPr>
        <w:t>Litigation</w:t>
      </w:r>
      <w:r>
        <w:rPr>
          <w:rFonts w:ascii="Arial" w:cs="Arial" w:eastAsia="Arial" w:hAnsi="Arial"/>
          <w:sz w:val="17"/>
          <w:szCs w:val="17"/>
          <w:color w:val="auto"/>
        </w:rPr>
        <w:t>. There is no material action, suit, inquiry, notice of violation, proceeding or investigation pending or, to the knowledge of the Company, threatened against or affecting the Company, any Subsidiary or any of their respective properties before or by any court, arbitrator, governmental or administrative agency or regulatory authority (federal, state, county, local or foreign) (collectively, an “</w:t>
      </w:r>
      <w:r>
        <w:rPr>
          <w:rFonts w:ascii="Arial" w:cs="Arial" w:eastAsia="Arial" w:hAnsi="Arial"/>
          <w:sz w:val="17"/>
          <w:szCs w:val="17"/>
          <w:u w:val="single" w:color="auto"/>
          <w:color w:val="auto"/>
        </w:rPr>
        <w:t>Action</w:t>
      </w:r>
      <w:r>
        <w:rPr>
          <w:rFonts w:ascii="Arial" w:cs="Arial" w:eastAsia="Arial" w:hAnsi="Arial"/>
          <w:sz w:val="17"/>
          <w:szCs w:val="17"/>
          <w:color w:val="auto"/>
        </w:rPr>
        <w:t>”), which (i) adversely affects or challenges the legality, validity or enforceability of any of the Transaction Documents or the Shares or (ii) could, if there were an unfavorable decision, have or reasonably be expected to result in a Material Adverse Effect. Neither the Company nor any Subsidiary, nor any director or officer thereof, is or has been the subject of any action involving a claim of violation of or liability under federal or state securities laws or a claim of breach of fiduciary duty. There has not been, and to the knowledge of the Company, there is not pending or contemplated, any investigation by the Commission involving the Company or any current or former director or officer of the Company. The Commission has not issued any stop order or other order suspending the effectiveness of any registration statement filed by the Company or any Subsidiary under the Exchange Act or the Securities Act.</w:t>
      </w:r>
    </w:p>
    <w:p>
      <w:pPr>
        <w:spacing w:after="0" w:line="185" w:lineRule="exact"/>
        <w:rPr>
          <w:rFonts w:ascii="Arial" w:cs="Arial" w:eastAsia="Arial" w:hAnsi="Arial"/>
          <w:sz w:val="17"/>
          <w:szCs w:val="17"/>
          <w:color w:val="auto"/>
        </w:rPr>
      </w:pPr>
    </w:p>
    <w:p>
      <w:pPr>
        <w:jc w:val="both"/>
        <w:ind w:left="-460" w:firstLine="644"/>
        <w:spacing w:after="0" w:line="270" w:lineRule="auto"/>
        <w:tabs>
          <w:tab w:leader="none" w:pos="443" w:val="left"/>
        </w:tabs>
        <w:numPr>
          <w:ilvl w:val="0"/>
          <w:numId w:val="10"/>
        </w:numPr>
        <w:rPr>
          <w:rFonts w:ascii="Arial" w:cs="Arial" w:eastAsia="Arial" w:hAnsi="Arial"/>
          <w:sz w:val="17"/>
          <w:szCs w:val="17"/>
          <w:color w:val="auto"/>
        </w:rPr>
      </w:pPr>
      <w:r>
        <w:rPr>
          <w:rFonts w:ascii="Arial" w:cs="Arial" w:eastAsia="Arial" w:hAnsi="Arial"/>
          <w:sz w:val="17"/>
          <w:szCs w:val="17"/>
          <w:u w:val="single" w:color="auto"/>
          <w:color w:val="auto"/>
        </w:rPr>
        <w:t>Compliance</w:t>
      </w:r>
      <w:r>
        <w:rPr>
          <w:rFonts w:ascii="Arial" w:cs="Arial" w:eastAsia="Arial" w:hAnsi="Arial"/>
          <w:sz w:val="17"/>
          <w:szCs w:val="17"/>
          <w:color w:val="auto"/>
        </w:rPr>
        <w:t>.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material agreement or instrument to which it is a party or by which it or any of its material properties is bound (except for such breaches, violations or defaults as have been waived or for which consent has been obtained prior to the Closing Date), (ii) is in violation of any judgment, decree, or order of any court, arbitrator or other governmental authority or (iii) is or has been in violation of any statute, rule, ordinance or regulation of any governmental authority, including without limitation all foreign, federal, state and local laws relating to taxes, environmental protection, occupational health and safety, product quality and safety and employment and labor matters, except in each case as could not have or reasonably be expected to result in a Material Adverse Effect.</w:t>
      </w:r>
    </w:p>
    <w:p>
      <w:pPr>
        <w:spacing w:after="0" w:line="180" w:lineRule="exact"/>
        <w:rPr>
          <w:rFonts w:ascii="Arial" w:cs="Arial" w:eastAsia="Arial" w:hAnsi="Arial"/>
          <w:sz w:val="17"/>
          <w:szCs w:val="17"/>
          <w:color w:val="auto"/>
        </w:rPr>
      </w:pPr>
    </w:p>
    <w:p>
      <w:pPr>
        <w:jc w:val="both"/>
        <w:ind w:left="-460" w:firstLine="644"/>
        <w:spacing w:after="0" w:line="275" w:lineRule="auto"/>
        <w:tabs>
          <w:tab w:leader="none" w:pos="403" w:val="left"/>
        </w:tabs>
        <w:numPr>
          <w:ilvl w:val="0"/>
          <w:numId w:val="10"/>
        </w:numPr>
        <w:rPr>
          <w:rFonts w:ascii="Arial" w:cs="Arial" w:eastAsia="Arial" w:hAnsi="Arial"/>
          <w:sz w:val="17"/>
          <w:szCs w:val="17"/>
          <w:color w:val="auto"/>
        </w:rPr>
      </w:pPr>
      <w:r>
        <w:rPr>
          <w:rFonts w:ascii="Arial" w:cs="Arial" w:eastAsia="Arial" w:hAnsi="Arial"/>
          <w:sz w:val="17"/>
          <w:szCs w:val="17"/>
          <w:u w:val="single" w:color="auto"/>
          <w:color w:val="auto"/>
        </w:rPr>
        <w:t>Certain Fees</w:t>
      </w:r>
      <w:r>
        <w:rPr>
          <w:rFonts w:ascii="Arial" w:cs="Arial" w:eastAsia="Arial" w:hAnsi="Arial"/>
          <w:sz w:val="17"/>
          <w:szCs w:val="17"/>
          <w:color w:val="auto"/>
        </w:rPr>
        <w:t>. No brokerage or finder’s fees or commissions are or will be payable by the Company or any Subsidiary to any broker, financial advisor or consultant, finder, placement agent, investment banker, bank or other Person with respect to the transactions contemplated by the Transaction Documents. The Purchaser shall have no obligation with respect to any fees or with respect to any claims made by or on behalf of other Persons for fees of a type contemplated in this Section that may be due in connection with the transactions contemplated by the Transaction Documents due to an arrangement or agreement made by the Company.</w:t>
      </w:r>
    </w:p>
    <w:p>
      <w:pPr>
        <w:spacing w:after="0" w:line="39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0" w:name="page21"/>
    <w:bookmarkEnd w:id="20"/>
    <w:p>
      <w:pPr>
        <w:jc w:val="both"/>
        <w:ind w:left="-460" w:firstLine="644"/>
        <w:spacing w:after="0" w:line="286" w:lineRule="auto"/>
        <w:tabs>
          <w:tab w:leader="none" w:pos="493" w:val="left"/>
        </w:tabs>
        <w:numPr>
          <w:ilvl w:val="0"/>
          <w:numId w:val="11"/>
        </w:numPr>
        <w:rPr>
          <w:rFonts w:ascii="Arial" w:cs="Arial" w:eastAsia="Arial" w:hAnsi="Arial"/>
          <w:sz w:val="17"/>
          <w:szCs w:val="17"/>
          <w:color w:val="auto"/>
        </w:rPr>
      </w:pPr>
      <w:r>
        <w:rPr>
          <w:rFonts w:ascii="Arial" w:cs="Arial" w:eastAsia="Arial" w:hAnsi="Arial"/>
          <w:sz w:val="17"/>
          <w:szCs w:val="17"/>
          <w:u w:val="single" w:color="auto"/>
          <w:color w:val="auto"/>
        </w:rPr>
        <w:t>Private Placement</w:t>
      </w:r>
      <w:r>
        <w:rPr>
          <w:rFonts w:ascii="Arial" w:cs="Arial" w:eastAsia="Arial" w:hAnsi="Arial"/>
          <w:sz w:val="17"/>
          <w:szCs w:val="17"/>
          <w:color w:val="auto"/>
        </w:rPr>
        <w:t>. Assuming the accuracy of the Purchaser’s representations and warranties set forth in Section 3.2, no registration under the Securities Act is required for the offer and sale of the Shares by the Company to the Purchaser as contemplated hereby. The issuance and sale of the Shares hereunder does not contravene the rules and regulations of the Trading Market.</w:t>
      </w:r>
    </w:p>
    <w:p>
      <w:pPr>
        <w:spacing w:after="0" w:line="165" w:lineRule="exact"/>
        <w:rPr>
          <w:rFonts w:ascii="Arial" w:cs="Arial" w:eastAsia="Arial" w:hAnsi="Arial"/>
          <w:sz w:val="17"/>
          <w:szCs w:val="17"/>
          <w:color w:val="auto"/>
        </w:rPr>
      </w:pPr>
    </w:p>
    <w:p>
      <w:pPr>
        <w:jc w:val="both"/>
        <w:ind w:left="-460" w:right="20" w:firstLine="644"/>
        <w:spacing w:after="0" w:line="286" w:lineRule="auto"/>
        <w:tabs>
          <w:tab w:leader="none" w:pos="470" w:val="left"/>
        </w:tabs>
        <w:numPr>
          <w:ilvl w:val="0"/>
          <w:numId w:val="11"/>
        </w:numPr>
        <w:rPr>
          <w:rFonts w:ascii="Arial" w:cs="Arial" w:eastAsia="Arial" w:hAnsi="Arial"/>
          <w:sz w:val="17"/>
          <w:szCs w:val="17"/>
          <w:color w:val="auto"/>
        </w:rPr>
      </w:pPr>
      <w:r>
        <w:rPr>
          <w:rFonts w:ascii="Arial" w:cs="Arial" w:eastAsia="Arial" w:hAnsi="Arial"/>
          <w:sz w:val="17"/>
          <w:szCs w:val="17"/>
          <w:u w:val="single" w:color="auto"/>
          <w:color w:val="auto"/>
        </w:rPr>
        <w:t>Investment Company</w:t>
      </w:r>
      <w:r>
        <w:rPr>
          <w:rFonts w:ascii="Arial" w:cs="Arial" w:eastAsia="Arial" w:hAnsi="Arial"/>
          <w:sz w:val="17"/>
          <w:szCs w:val="17"/>
          <w:color w:val="auto"/>
        </w:rPr>
        <w:t>. The Company is not and immediately after receipt of payment for the Shares will not be an “investment company” required to register under the Investment Company Act of 1940, as amended. The Company shall conduct its business in a manner so that it will not become an “investment company” subject to registration under the Investment Company Act of 1940, as amended.</w:t>
      </w:r>
    </w:p>
    <w:p>
      <w:pPr>
        <w:spacing w:after="0" w:line="165" w:lineRule="exact"/>
        <w:rPr>
          <w:rFonts w:ascii="Arial" w:cs="Arial" w:eastAsia="Arial" w:hAnsi="Arial"/>
          <w:sz w:val="17"/>
          <w:szCs w:val="17"/>
          <w:color w:val="auto"/>
        </w:rPr>
      </w:pPr>
    </w:p>
    <w:p>
      <w:pPr>
        <w:jc w:val="both"/>
        <w:ind w:left="-460" w:firstLine="644"/>
        <w:spacing w:after="0" w:line="286" w:lineRule="auto"/>
        <w:tabs>
          <w:tab w:leader="none" w:pos="443" w:val="left"/>
        </w:tabs>
        <w:numPr>
          <w:ilvl w:val="0"/>
          <w:numId w:val="11"/>
        </w:numPr>
        <w:rPr>
          <w:rFonts w:ascii="Arial" w:cs="Arial" w:eastAsia="Arial" w:hAnsi="Arial"/>
          <w:sz w:val="17"/>
          <w:szCs w:val="17"/>
          <w:color w:val="auto"/>
        </w:rPr>
      </w:pPr>
      <w:r>
        <w:rPr>
          <w:rFonts w:ascii="Arial" w:cs="Arial" w:eastAsia="Arial" w:hAnsi="Arial"/>
          <w:sz w:val="17"/>
          <w:szCs w:val="17"/>
          <w:u w:val="single" w:color="auto"/>
          <w:color w:val="auto"/>
        </w:rPr>
        <w:t>Registration Rights</w:t>
      </w:r>
      <w:r>
        <w:rPr>
          <w:rFonts w:ascii="Arial" w:cs="Arial" w:eastAsia="Arial" w:hAnsi="Arial"/>
          <w:sz w:val="17"/>
          <w:szCs w:val="17"/>
          <w:color w:val="auto"/>
        </w:rPr>
        <w:t>. Other than the Purchaser and the other parties thereto pursuant to the Registration Rights Agreement and other than pursuant to agreements filed as exhibits to the June Registration Statement, no Person has any right to cause the Company or any Subsidiary to effect the registration under the Securities Act of any securities of the Company or any Subsidiary.</w:t>
      </w:r>
    </w:p>
    <w:p>
      <w:pPr>
        <w:spacing w:after="0" w:line="165" w:lineRule="exact"/>
        <w:rPr>
          <w:rFonts w:ascii="Arial" w:cs="Arial" w:eastAsia="Arial" w:hAnsi="Arial"/>
          <w:sz w:val="17"/>
          <w:szCs w:val="17"/>
          <w:color w:val="auto"/>
        </w:rPr>
      </w:pPr>
    </w:p>
    <w:p>
      <w:pPr>
        <w:jc w:val="both"/>
        <w:ind w:left="-460" w:firstLine="644"/>
        <w:spacing w:after="0" w:line="270" w:lineRule="auto"/>
        <w:tabs>
          <w:tab w:leader="none" w:pos="443" w:val="left"/>
        </w:tabs>
        <w:numPr>
          <w:ilvl w:val="0"/>
          <w:numId w:val="11"/>
        </w:numPr>
        <w:rPr>
          <w:rFonts w:ascii="Arial" w:cs="Arial" w:eastAsia="Arial" w:hAnsi="Arial"/>
          <w:sz w:val="17"/>
          <w:szCs w:val="17"/>
          <w:color w:val="auto"/>
        </w:rPr>
      </w:pPr>
      <w:r>
        <w:rPr>
          <w:rFonts w:ascii="Arial" w:cs="Arial" w:eastAsia="Arial" w:hAnsi="Arial"/>
          <w:sz w:val="17"/>
          <w:szCs w:val="17"/>
          <w:u w:val="single" w:color="auto"/>
          <w:color w:val="auto"/>
        </w:rPr>
        <w:t>Listing and Maintenance Requirements</w:t>
      </w:r>
      <w:r>
        <w:rPr>
          <w:rFonts w:ascii="Arial" w:cs="Arial" w:eastAsia="Arial" w:hAnsi="Arial"/>
          <w:sz w:val="17"/>
          <w:szCs w:val="17"/>
          <w:color w:val="auto"/>
        </w:rPr>
        <w:t>. The Common Stock is registered pursuant to Section 12(b) or 12(g) of the Exchange Act, and the Company has taken no action designed to, or which to its knowledge is likely to have the effect of, terminating the registration of the Common Stock under the Exchange Act nor has the Company received any notification that the Commission is contemplating terminating such registration. The Company has not, in the 12 months preceding the date hereof, received notice from any Trading Market on which the Common Stock is or has been listed or quoted to the effect that the Company is not in compliance with the listing or maintenance requirements of such Trading Market. The Company is, and has no reason to believe that it will not in the foreseeable future continue to be, in compliance with all such listing and maintenance requirements. The Common Stock is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w:t>
      </w:r>
    </w:p>
    <w:p>
      <w:pPr>
        <w:spacing w:after="0" w:line="180" w:lineRule="exact"/>
        <w:rPr>
          <w:rFonts w:ascii="Arial" w:cs="Arial" w:eastAsia="Arial" w:hAnsi="Arial"/>
          <w:sz w:val="17"/>
          <w:szCs w:val="17"/>
          <w:color w:val="auto"/>
        </w:rPr>
      </w:pPr>
    </w:p>
    <w:p>
      <w:pPr>
        <w:jc w:val="both"/>
        <w:ind w:left="-460" w:firstLine="644"/>
        <w:spacing w:after="0" w:line="273" w:lineRule="auto"/>
        <w:tabs>
          <w:tab w:leader="none" w:pos="470" w:val="left"/>
        </w:tabs>
        <w:numPr>
          <w:ilvl w:val="0"/>
          <w:numId w:val="11"/>
        </w:numPr>
        <w:rPr>
          <w:rFonts w:ascii="Arial" w:cs="Arial" w:eastAsia="Arial" w:hAnsi="Arial"/>
          <w:sz w:val="17"/>
          <w:szCs w:val="17"/>
          <w:color w:val="auto"/>
        </w:rPr>
      </w:pPr>
      <w:r>
        <w:rPr>
          <w:rFonts w:ascii="Arial" w:cs="Arial" w:eastAsia="Arial" w:hAnsi="Arial"/>
          <w:sz w:val="17"/>
          <w:szCs w:val="17"/>
          <w:u w:val="single" w:color="auto"/>
          <w:color w:val="auto"/>
        </w:rPr>
        <w:t>Disclosure</w:t>
      </w:r>
      <w:r>
        <w:rPr>
          <w:rFonts w:ascii="Arial" w:cs="Arial" w:eastAsia="Arial" w:hAnsi="Arial"/>
          <w:sz w:val="17"/>
          <w:szCs w:val="17"/>
          <w:color w:val="auto"/>
        </w:rPr>
        <w:t>. All of the disclosure furnished by or on behalf of the Company to the Purchaser regarding the Company and its Subsidiaries, their respective businesses and the transactions contemplated hereby, including the Disclosure Schedules to this Agreement, is true and correct in all material respects and does not contain any untrue statement of a material fact or omit to state any material fact necessary in order to make the statements made therein, in the light of the circumstances under which they were made, not misleading. The Company acknowledges and agrees that the Purchaser does not make and has not made any representations or warranties with respect to the transactions contemplated hereby other than those specifically set forth in Section 3.2 hereof.</w:t>
      </w:r>
    </w:p>
    <w:p>
      <w:pPr>
        <w:spacing w:after="0" w:line="39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1" w:name="page22"/>
    <w:bookmarkEnd w:id="21"/>
    <w:p>
      <w:pPr>
        <w:jc w:val="both"/>
        <w:ind w:left="660" w:firstLine="644"/>
        <w:spacing w:after="0" w:line="255" w:lineRule="auto"/>
        <w:tabs>
          <w:tab w:leader="none" w:pos="1533"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No Integrated Offering</w:t>
      </w:r>
      <w:r>
        <w:rPr>
          <w:rFonts w:ascii="Arial" w:cs="Arial" w:eastAsia="Arial" w:hAnsi="Arial"/>
          <w:sz w:val="18"/>
          <w:szCs w:val="18"/>
          <w:color w:val="auto"/>
        </w:rPr>
        <w:t>. Assuming the accuracy of the Purchaser’s representations and warranties set forth in Section 3.2, neither the Company, nor, to the Company’s knowledge, any of its Affiliates, nor any Person acting on its or their behalf has, directly or indirectly, made any offers or sales of any security or solicited any offers to buy any security, under circumstances that would cause this offering of the Shares to be integrated with prior offerings by the Company for purposes of (i) the Securities Act which would require the registration of any such securities under the Securities Act, or (ii) any applicable shareholder approval provisions of any Trading Market on which any of the securities of the Company are listed or designated.</w:t>
      </w:r>
    </w:p>
    <w:p>
      <w:pPr>
        <w:spacing w:after="0" w:line="192" w:lineRule="exact"/>
        <w:rPr>
          <w:rFonts w:ascii="Arial" w:cs="Arial" w:eastAsia="Arial" w:hAnsi="Arial"/>
          <w:sz w:val="18"/>
          <w:szCs w:val="18"/>
          <w:color w:val="auto"/>
        </w:rPr>
      </w:pPr>
    </w:p>
    <w:p>
      <w:pPr>
        <w:jc w:val="both"/>
        <w:ind w:left="660" w:firstLine="644"/>
        <w:spacing w:after="0" w:line="263" w:lineRule="auto"/>
        <w:tabs>
          <w:tab w:leader="none" w:pos="1556"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No General Solicitation</w:t>
      </w:r>
      <w:r>
        <w:rPr>
          <w:rFonts w:ascii="Arial" w:cs="Arial" w:eastAsia="Arial" w:hAnsi="Arial"/>
          <w:sz w:val="18"/>
          <w:szCs w:val="18"/>
          <w:color w:val="auto"/>
        </w:rPr>
        <w:t>. Neither the Company nor, to the Company’s knowledge, any Person acting on behalf of the Company has offered or sold any of the Shares by any form of general solicitation or general advertising. The Company has offered the Shares for sale only to the Purchaser, an “accredited investor” within the meaning of Rule 501 under the Securities Act.</w:t>
      </w:r>
    </w:p>
    <w:p>
      <w:pPr>
        <w:spacing w:after="0" w:line="18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Representations and Warranties of the Purchaser</w:t>
      </w:r>
      <w:r>
        <w:rPr>
          <w:rFonts w:ascii="Arial" w:cs="Arial" w:eastAsia="Arial" w:hAnsi="Arial"/>
          <w:sz w:val="18"/>
          <w:szCs w:val="18"/>
          <w:color w:val="auto"/>
        </w:rPr>
        <w:t>. The Purchaser hereby represents and warrants as of the date hereof and as of the Closing Date to the Company as follows (unless as of a specific date therein, in which case they shall be accurate as of such date):</w:t>
      </w:r>
    </w:p>
    <w:p>
      <w:pPr>
        <w:spacing w:after="0" w:line="170" w:lineRule="exact"/>
        <w:rPr>
          <w:sz w:val="20"/>
          <w:szCs w:val="20"/>
          <w:color w:val="auto"/>
        </w:rPr>
      </w:pPr>
    </w:p>
    <w:p>
      <w:pPr>
        <w:jc w:val="both"/>
        <w:ind w:left="660" w:firstLine="644"/>
        <w:spacing w:after="0" w:line="269" w:lineRule="auto"/>
        <w:tabs>
          <w:tab w:leader="none" w:pos="1552" w:val="left"/>
        </w:tabs>
        <w:numPr>
          <w:ilvl w:val="0"/>
          <w:numId w:val="13"/>
        </w:numPr>
        <w:rPr>
          <w:rFonts w:ascii="Arial" w:cs="Arial" w:eastAsia="Arial" w:hAnsi="Arial"/>
          <w:sz w:val="17"/>
          <w:szCs w:val="17"/>
          <w:color w:val="auto"/>
        </w:rPr>
      </w:pPr>
      <w:r>
        <w:rPr>
          <w:rFonts w:ascii="Arial" w:cs="Arial" w:eastAsia="Arial" w:hAnsi="Arial"/>
          <w:sz w:val="17"/>
          <w:szCs w:val="17"/>
          <w:u w:val="single" w:color="auto"/>
          <w:color w:val="auto"/>
        </w:rPr>
        <w:t>Organization; Authority</w:t>
      </w:r>
      <w:r>
        <w:rPr>
          <w:rFonts w:ascii="Arial" w:cs="Arial" w:eastAsia="Arial" w:hAnsi="Arial"/>
          <w:sz w:val="17"/>
          <w:szCs w:val="17"/>
          <w:color w:val="auto"/>
        </w:rPr>
        <w:t>. The Purchaser is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by the Transaction Documents and otherwise to carry out its obligations hereunder and thereunder. The execution and delivery of the Transaction Documents and performance by the Purchaser of the transactions contemplated by the Transaction Documents have been duly authorized by all necessary corporate, partnership, limited liability company or similar action, as applicable, on the part of the Purchaser. Each Transaction Document to which it is a party has been duly executed by the Purchaser, and when delivered by the Purchaser in accordance with the terms hereof, will constitute the valid and legally binding obligation of the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 w:name="page23"/>
    <w:bookmarkEnd w:id="22"/>
    <w:p>
      <w:pPr>
        <w:jc w:val="both"/>
        <w:ind w:left="-460" w:firstLine="644"/>
        <w:spacing w:after="0" w:line="254" w:lineRule="auto"/>
        <w:tabs>
          <w:tab w:leader="none" w:pos="443"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Own Account</w:t>
      </w:r>
      <w:r>
        <w:rPr>
          <w:rFonts w:ascii="Arial" w:cs="Arial" w:eastAsia="Arial" w:hAnsi="Arial"/>
          <w:sz w:val="18"/>
          <w:szCs w:val="18"/>
          <w:color w:val="auto"/>
        </w:rPr>
        <w:t>. The Purchaser understands that the Shares are “restricted securities” and have not been registered under the Securities Act or any applicable state securities law and is acquiring the Shares as principal for its own account and not with a view to or for distributing or reselling such Shares or any part thereof in violation of the Securities Act or any applicable state securities law, has no present intention of distributing any of such Shares in violation of the Securities Act or any applicable state securities law and has no direct or indirect arrangement or understandings with any other persons to distribute or regarding the distribution of such Shares in violation of the Securities Act or any applicable state securities law (this representation and warranty not limiting the Purchaser’s right to sell the Shares pursuant to the Registration Statement or otherwise in compliance with applicable federal and state securities laws). The Purchaser is acquiring the Shares hereunder in the ordinary course of its business.</w:t>
      </w:r>
    </w:p>
    <w:p>
      <w:pPr>
        <w:spacing w:after="0" w:line="191" w:lineRule="exact"/>
        <w:rPr>
          <w:rFonts w:ascii="Arial" w:cs="Arial" w:eastAsia="Arial" w:hAnsi="Arial"/>
          <w:sz w:val="18"/>
          <w:szCs w:val="18"/>
          <w:color w:val="auto"/>
        </w:rPr>
      </w:pPr>
    </w:p>
    <w:p>
      <w:pPr>
        <w:ind w:left="-460" w:right="20" w:firstLine="644"/>
        <w:spacing w:after="0" w:line="277" w:lineRule="auto"/>
        <w:tabs>
          <w:tab w:leader="none" w:pos="432"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Purchaser Status</w:t>
      </w:r>
      <w:r>
        <w:rPr>
          <w:rFonts w:ascii="Arial" w:cs="Arial" w:eastAsia="Arial" w:hAnsi="Arial"/>
          <w:sz w:val="18"/>
          <w:szCs w:val="18"/>
          <w:color w:val="auto"/>
        </w:rPr>
        <w:t>. At the time the Purchaser was offered the Shares, it was, and as of the date hereof it is, an “accredited investor” as defined in Rule 501(a)(1), (a)(2), (a)(3), (a)(5), (a)(6), (a)(7), (a)(8), (a)(9), (a)(12), or (a)(13) under the Securities Act.</w:t>
      </w:r>
    </w:p>
    <w:p>
      <w:pPr>
        <w:spacing w:after="0" w:line="170" w:lineRule="exact"/>
        <w:rPr>
          <w:rFonts w:ascii="Arial" w:cs="Arial" w:eastAsia="Arial" w:hAnsi="Arial"/>
          <w:sz w:val="18"/>
          <w:szCs w:val="18"/>
          <w:color w:val="auto"/>
        </w:rPr>
      </w:pPr>
    </w:p>
    <w:p>
      <w:pPr>
        <w:jc w:val="both"/>
        <w:ind w:left="-460" w:firstLine="644"/>
        <w:spacing w:after="0" w:line="259" w:lineRule="auto"/>
        <w:tabs>
          <w:tab w:leader="none" w:pos="443"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Experience of the Purchaser</w:t>
      </w:r>
      <w:r>
        <w:rPr>
          <w:rFonts w:ascii="Arial" w:cs="Arial" w:eastAsia="Arial" w:hAnsi="Arial"/>
          <w:sz w:val="18"/>
          <w:szCs w:val="18"/>
          <w:color w:val="auto"/>
        </w:rPr>
        <w:t>. The Purchaser, either alone or together with its representatives, has such knowledge, sophistication and experience in business and financial matters so as to be capable of evaluating the merits and risks of the prospective investment in the Shares, and has so evaluated the merits and risks of such investment. The Purchaser is able to bear the economic risk of an investment in the Shares and, at the present time, is able to afford a complete loss of such investment.</w:t>
      </w:r>
    </w:p>
    <w:p>
      <w:pPr>
        <w:spacing w:after="0" w:line="186" w:lineRule="exact"/>
        <w:rPr>
          <w:rFonts w:ascii="Arial" w:cs="Arial" w:eastAsia="Arial" w:hAnsi="Arial"/>
          <w:sz w:val="18"/>
          <w:szCs w:val="18"/>
          <w:color w:val="auto"/>
        </w:rPr>
      </w:pPr>
    </w:p>
    <w:p>
      <w:pPr>
        <w:jc w:val="both"/>
        <w:ind w:left="-460" w:firstLine="644"/>
        <w:spacing w:after="0" w:line="311" w:lineRule="auto"/>
        <w:tabs>
          <w:tab w:leader="none" w:pos="446"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General Solicitation</w:t>
      </w:r>
      <w:r>
        <w:rPr>
          <w:rFonts w:ascii="Arial" w:cs="Arial" w:eastAsia="Arial" w:hAnsi="Arial"/>
          <w:sz w:val="16"/>
          <w:szCs w:val="16"/>
          <w:color w:val="auto"/>
        </w:rPr>
        <w:t>. The Purchaser is not, to the Purchaser’s knowledge, purchasing the Shares as a result of any advertisement, article, notice or other communication regarding the Shares published in any newspaper, magazine or similar media or broadcast over television or radio or presented at any seminar or, to the knowledge of the Purchaser, any other general solicitation or general advertisement.</w:t>
      </w:r>
    </w:p>
    <w:p>
      <w:pPr>
        <w:spacing w:after="0" w:line="148" w:lineRule="exact"/>
        <w:rPr>
          <w:rFonts w:ascii="Arial" w:cs="Arial" w:eastAsia="Arial" w:hAnsi="Arial"/>
          <w:sz w:val="16"/>
          <w:szCs w:val="16"/>
          <w:color w:val="auto"/>
        </w:rPr>
      </w:pPr>
    </w:p>
    <w:p>
      <w:pPr>
        <w:jc w:val="both"/>
        <w:ind w:left="-460" w:firstLine="644"/>
        <w:spacing w:after="0" w:line="272" w:lineRule="auto"/>
        <w:tabs>
          <w:tab w:leader="none" w:pos="413" w:val="left"/>
        </w:tabs>
        <w:numPr>
          <w:ilvl w:val="0"/>
          <w:numId w:val="14"/>
        </w:numPr>
        <w:rPr>
          <w:rFonts w:ascii="Arial" w:cs="Arial" w:eastAsia="Arial" w:hAnsi="Arial"/>
          <w:sz w:val="17"/>
          <w:szCs w:val="17"/>
          <w:color w:val="auto"/>
        </w:rPr>
      </w:pPr>
      <w:r>
        <w:rPr>
          <w:rFonts w:ascii="Arial" w:cs="Arial" w:eastAsia="Arial" w:hAnsi="Arial"/>
          <w:sz w:val="17"/>
          <w:szCs w:val="17"/>
          <w:u w:val="single" w:color="auto"/>
          <w:color w:val="auto"/>
        </w:rPr>
        <w:t>Access to Information</w:t>
      </w:r>
      <w:r>
        <w:rPr>
          <w:rFonts w:ascii="Arial" w:cs="Arial" w:eastAsia="Arial" w:hAnsi="Arial"/>
          <w:sz w:val="17"/>
          <w:szCs w:val="17"/>
          <w:color w:val="auto"/>
        </w:rPr>
        <w:t>. The Purchaser acknowledges that it has had the opportunity to review the Transaction Documents (including all exhibits and schedules thereto), the SEC Reports and the 2023 Form 10-K and has been afforded (i) the opportunity to ask such questions as it has deemed necessary of, and to receive answers from, representatives of the Company concerning the terms and conditions of the offering of the Shares and the merits and risks of investing in the Shares;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w:t>
      </w:r>
    </w:p>
    <w:p>
      <w:pPr>
        <w:spacing w:after="0" w:line="39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3" w:name="page24"/>
    <w:bookmarkEnd w:id="23"/>
    <w:p>
      <w:pPr>
        <w:jc w:val="both"/>
        <w:ind w:left="660" w:firstLine="644"/>
        <w:spacing w:after="0" w:line="268" w:lineRule="auto"/>
        <w:tabs>
          <w:tab w:leader="none" w:pos="1563" w:val="left"/>
        </w:tabs>
        <w:numPr>
          <w:ilvl w:val="0"/>
          <w:numId w:val="15"/>
        </w:numPr>
        <w:rPr>
          <w:rFonts w:ascii="Arial" w:cs="Arial" w:eastAsia="Arial" w:hAnsi="Arial"/>
          <w:sz w:val="17"/>
          <w:szCs w:val="17"/>
          <w:color w:val="auto"/>
        </w:rPr>
      </w:pPr>
      <w:r>
        <w:rPr>
          <w:rFonts w:ascii="Arial" w:cs="Arial" w:eastAsia="Arial" w:hAnsi="Arial"/>
          <w:sz w:val="17"/>
          <w:szCs w:val="17"/>
          <w:u w:val="single" w:color="auto"/>
          <w:color w:val="auto"/>
        </w:rPr>
        <w:t>Certain Transactions and Confidentiality</w:t>
      </w:r>
      <w:r>
        <w:rPr>
          <w:rFonts w:ascii="Arial" w:cs="Arial" w:eastAsia="Arial" w:hAnsi="Arial"/>
          <w:sz w:val="17"/>
          <w:szCs w:val="17"/>
          <w:color w:val="auto"/>
        </w:rPr>
        <w:t>. Other than consummating the transactions contemplated hereunder, the Purchaser has not, nor has any Person acting on behalf of or pursuant to any understanding with the Purchaser, directly or indirectly executed any purchases or sales, including Short Sales, of the securities of the Company during the period commencing as of the time that the Purchaser first received a term sheet (written or oral) from the Company or any other Person representing the Company setting forth the material terms of the transactions contemplated hereunder and ending immediately prior to the execution hereof. Notwithstanding the foregoing, in the case of a Purchaser that is a multi-managed investment vehicle whereby separate portfolio managers manage separate portions of the Purchaser’s assets and the portfolio managers have no direct knowledge of the investment decisions made by the portfolio managers managing other portions of the Purchaser’s assets, the representation set forth above shall only apply with respect to the portion of assets managed by the portfolio manager that made the investment decision to purchase the Shares covered by this Agreement. Other than to other Persons party to this Agreement or to the Purchaser’s representatives that are bound by confidentiality obligations, including, without limitation, its officers, directors, partners, legal and other advisors, employees, agents and Affiliates, the Purchaser has maintained the confidentiality of all disclosures made to it in connection with this transaction (including the existence and terms of this transaction).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acknowledges and agrees that the representations contained in this Section 3.2 shall not modify, amend or affect the Purchaser’s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transactions contemplated hereby.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AGREEMENTS OF THE PARTIES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Transfer Restrictions</w:t>
      </w:r>
      <w:r>
        <w:rPr>
          <w:rFonts w:ascii="Arial" w:cs="Arial" w:eastAsia="Arial" w:hAnsi="Arial"/>
          <w:sz w:val="18"/>
          <w:szCs w:val="18"/>
          <w:color w:val="auto"/>
        </w:rPr>
        <w:t>.</w:t>
      </w:r>
    </w:p>
    <w:p>
      <w:pPr>
        <w:spacing w:after="0" w:line="225" w:lineRule="exact"/>
        <w:rPr>
          <w:sz w:val="20"/>
          <w:szCs w:val="20"/>
          <w:color w:val="auto"/>
        </w:rPr>
      </w:pPr>
    </w:p>
    <w:p>
      <w:pPr>
        <w:jc w:val="both"/>
        <w:ind w:left="660" w:firstLine="644"/>
        <w:spacing w:after="0" w:line="289" w:lineRule="auto"/>
        <w:tabs>
          <w:tab w:leader="none" w:pos="1565"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Shares may only be disposed of in compliance with state and federal securities laws. In connection with any transfer of Shares other than pursuant to an effective registration statement or Rule 144, to the Company or to an Affiliate of a Purchaser, the Company may require the transferor thereof to provide to the Company an opinion of counsel selected by the transferor and reasonably acceptable to the Company, the form and substance of which opinion shall be reasonably satisfactory to the Company, to the effect that such transfer does not require registration of such transferred Shares under the Securities Act. As a condition of transfer, any such transferee shall agree in writing to be bound by the terms of this Agreement and the Registration Rights Agreement and shall have the rights and obligations of a Purchaser under this Agreement and the Registration Rights Agreement. The Purchaser hereby covenants and agrees not to effect any sale or other transfer of the Shares other than (i) pursuant to the plan of distribution contained in a Registration Statement, (ii) in accordance with the provisions of Rule 144, or (iii) in compliance with another exemption from registration under the Securities Act and applicable state securities laws.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 w:name="page25"/>
    <w:bookmarkEnd w:id="24"/>
    <w:p>
      <w:pPr>
        <w:ind w:left="640"/>
        <w:spacing w:after="0"/>
        <w:rPr>
          <w:sz w:val="20"/>
          <w:szCs w:val="20"/>
          <w:color w:val="auto"/>
        </w:rPr>
      </w:pPr>
      <w:r>
        <w:rPr>
          <w:rFonts w:ascii="Arial" w:cs="Arial" w:eastAsia="Arial" w:hAnsi="Arial"/>
          <w:sz w:val="16"/>
          <w:szCs w:val="16"/>
          <w:color w:val="auto"/>
        </w:rPr>
        <w:t>(b) The Purchaser agrees to the imprinting, so long as is required by this Section 4.1, of a legend on any of the Shares in the following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form:</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SECURITY HAS NOT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w:t>
      </w:r>
    </w:p>
    <w:p>
      <w:pPr>
        <w:spacing w:after="0" w:line="192" w:lineRule="exact"/>
        <w:rPr>
          <w:sz w:val="20"/>
          <w:szCs w:val="20"/>
          <w:color w:val="auto"/>
        </w:rPr>
      </w:pPr>
    </w:p>
    <w:p>
      <w:pPr>
        <w:jc w:val="both"/>
        <w:ind w:firstLine="644"/>
        <w:spacing w:after="0" w:line="283" w:lineRule="auto"/>
        <w:tabs>
          <w:tab w:leader="none" w:pos="893"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 connection with a sale of Shares by the Purchaser in reliance on Rule 144 promulgated under the Securities Act, the Purchaser shall deliver to the Company a representation letter providing to the Company any information the Company deems necessary to determine that the sale of such Shares is made in compliance with Rule 144 promulgated under the Securities Act, including, as may be appropriate, a certification that the Purchaser is not an affiliate (as defined in Rule 144 promulgated under the Securities Act) of the Company and a certification as to the length of time such Shares have been held. Upon receipt of such representation letter, the Company shall promptly direct its transfer agent to remove the notation of a restrictive legend in the Purchaser’s book-entry account maintained by the Company’s transfer agent, including the legend referred to in Section 4.1(b), and the Company shall bear all costs associated with the removal of such legend in the Company’s books. At such time as the Shares have been sold pursuant to an effective registration statement under the Securities Act or have been held by the Purchaser for more than one year where the Purchaser is not, and has not been in the preceding three months, an affiliate (as defined in Rule 144 promulgated under the</w:t>
      </w:r>
    </w:p>
    <w:p>
      <w:pPr>
        <w:spacing w:after="0" w:line="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Securities Act) of the Company, if the book-entry account of the Purchaser still bears the notation of the restrictive legend referred to in Section 4.1(b), the Company agrees, upon request of the Purchaser or its permitted assignee, to take all steps necessary to promptly effect the removal of the legend described in Section 4.1(b), and the Company shall bear all costs associated with the removal of such legend, regardless of whether the request is made in connection with a sale or otherwise, so long as the Purchaser or its permitted assignee provides to the Company any information the Company deems reasonably necessary to determine that the legend is no longer required under the Securities Act or applicable state laws, including (if there is no such registration statement) a certification that the holder is not an affiliate (as defined in Rule 144 promulgated under the Securities Act) of the Company and a covenant to inform the Company if it should thereafter become an affiliate (as defined in Rule 144 promulgated under the Securities Act) and to consent to the notation of an appropriate restriction, and a certification as to the length of time such shares have been held. The Company shall cooperate with the Purchaser to effect the removal of the legend referred to in Section 4.1(b) at any time such legend is, in the Company’s sole judgment, no longer appropriate.</w:t>
      </w:r>
    </w:p>
    <w:p>
      <w:pPr>
        <w:spacing w:after="0" w:line="395"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25" w:name="page26"/>
    <w:bookmarkEnd w:id="25"/>
    <w:p>
      <w:pPr>
        <w:jc w:val="both"/>
        <w:ind w:left="660" w:firstLine="644"/>
        <w:spacing w:after="0" w:line="257" w:lineRule="auto"/>
        <w:tabs>
          <w:tab w:leader="none" w:pos="1567"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Purchaser agrees with the Company that the Purchaser will sell any Shares pursuant to either the registration requirements of the Securities Act, including any applicable prospectus delivery requirements, or an exemption therefrom, and that if Shares are sold pursuant to a Registration Statement, they will be sold in compliance with the plan of distribution set forth therein, and acknowledges that the removal of the restrictive legend from certificates representing Shares as set forth in this Section 4.1 is predicated upon the Company’s reliance upon this understanding.</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Integration</w:t>
      </w:r>
      <w:r>
        <w:rPr>
          <w:rFonts w:ascii="Arial" w:cs="Arial" w:eastAsia="Arial" w:hAnsi="Arial"/>
          <w:sz w:val="18"/>
          <w:szCs w:val="18"/>
          <w:color w:val="auto"/>
        </w:rPr>
        <w:t>. The Company shall not sell, offer for sale or solicit offers to buy or otherwise negotiate in respect of any security (as defined in Section 2 of the Securities Act) that would be integrated with the offer or sale of the Shares in a manner that would require the registration under the Securities Act of the sale of the Shares or that would be integrated with the offer or sale of the Shares for purposes of the rules and regulations of any Trading Market such that it would require shareholder approval prior to the closing of such other transaction unless shareholder approval is obtained before the closing of such subsequent transaction.</w:t>
      </w:r>
    </w:p>
    <w:p>
      <w:pPr>
        <w:spacing w:after="0" w:line="18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Securities Laws Disclosure; Publicity</w:t>
      </w:r>
      <w:r>
        <w:rPr>
          <w:rFonts w:ascii="Arial" w:cs="Arial" w:eastAsia="Arial" w:hAnsi="Arial"/>
          <w:sz w:val="17"/>
          <w:szCs w:val="17"/>
          <w:color w:val="auto"/>
        </w:rPr>
        <w:t>. The Company shall file a Current Report on Form 8-K, including the Transaction Documents as exhibits thereto, with the Commission within the time required by the Exchange Act. The Company and the Purchaser shall consult with each other in issuing any press releases with respect to the transactions contemplated hereby, and neither the Company nor the Purchaser shall issue any such press release nor otherwise make any such public statement other than required filings with the Commission without the prior consent of the Company, with respect to any press release of the Purchaser, or without the prior consent of the Purchaser, with respect to any press release of the Company, which consent shall not unreasonably be withheld or delayed, except if such disclosure is required by law, in which case the disclosing party shall promptly provide the other party with prior notice of such public statement or communication. Notwithstanding the foregoing, the Company shall not publicly disclose the name of the Purchaser, or include the name of the Purchaser in any filing with the Commission or any regulatory agency or Trading Market, without the prior written consent of the Purchaser, except (a) as required by federal securities law in connection with (i) any registration statement contemplated by the Registration Rights Agreement and (ii) the filing of final Transaction Documents with the Commission and (b) to the extent such disclosure is required by law or Trading Market regulations, in which case the Company shall provide the Purchaser with prior notice of such disclosure permitted under this clause (b) and reasonably cooperate with the Purchaser regarding such disclosure.</w:t>
      </w:r>
    </w:p>
    <w:p>
      <w:pPr>
        <w:spacing w:after="0" w:line="1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Shareholder Rights Plan</w:t>
      </w:r>
      <w:r>
        <w:rPr>
          <w:rFonts w:ascii="Arial" w:cs="Arial" w:eastAsia="Arial" w:hAnsi="Arial"/>
          <w:sz w:val="18"/>
          <w:szCs w:val="18"/>
          <w:color w:val="auto"/>
        </w:rPr>
        <w:t>. No claim will be made or enforced by the Company or, with the consent of the Company, any other Person, that the Purchaser is an “</w:t>
      </w:r>
      <w:r>
        <w:rPr>
          <w:rFonts w:ascii="Arial" w:cs="Arial" w:eastAsia="Arial" w:hAnsi="Arial"/>
          <w:sz w:val="18"/>
          <w:szCs w:val="18"/>
          <w:u w:val="single" w:color="auto"/>
          <w:color w:val="auto"/>
        </w:rPr>
        <w:t>Acquiring Person</w:t>
      </w:r>
      <w:r>
        <w:rPr>
          <w:rFonts w:ascii="Arial" w:cs="Arial" w:eastAsia="Arial" w:hAnsi="Arial"/>
          <w:sz w:val="18"/>
          <w:szCs w:val="18"/>
          <w:color w:val="auto"/>
        </w:rPr>
        <w:t>” under any control share acquisition, business combination, poison pill (including any distribution under a rights agreement) or similar anti-takeover plan or arrangement in effect or hereafter adopted by the Company, or that the Purchaser could be deemed to trigger the provisions of any such plan or arrangement, by virtue of receiving Shares under the Transaction Documents or under any other agreement between the Company and the Purchaser.</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Use of Proceeds</w:t>
      </w:r>
      <w:r>
        <w:rPr>
          <w:rFonts w:ascii="Arial" w:cs="Arial" w:eastAsia="Arial" w:hAnsi="Arial"/>
          <w:sz w:val="18"/>
          <w:szCs w:val="18"/>
          <w:color w:val="auto"/>
        </w:rPr>
        <w:t>. The Company shall use the net proceeds from the sale of the Shares hereunder for working capital and general corporate purposes and shall not use such proceeds: (a) for the satisfaction of any portion of the Company’s debt (other than payment of trade payables in the ordinary course of the Company’s business and prior practices), (b) for the redemption of any Common Stock or Common Stock Equivalents, (c) for the settlement of any outstanding litigation or (d) in violation of FCPA or OFAC regulations.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 w:name="page27"/>
    <w:bookmarkEnd w:id="26"/>
    <w:p>
      <w:pPr>
        <w:jc w:val="both"/>
        <w:ind w:firstLine="648"/>
        <w:spacing w:after="0" w:line="283"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u w:val="single" w:color="auto"/>
          <w:color w:val="auto"/>
        </w:rPr>
        <w:t>Indemnification of Purchaser</w:t>
      </w:r>
      <w:r>
        <w:rPr>
          <w:rFonts w:ascii="Arial" w:cs="Arial" w:eastAsia="Arial" w:hAnsi="Arial"/>
          <w:sz w:val="16"/>
          <w:szCs w:val="16"/>
          <w:color w:val="auto"/>
        </w:rPr>
        <w:t>. Subject to the provisions of this Section 4.6, the Company will indemnify and hold the Purchaser and its directors, officers, shareholders, members, partners, employees and agents (and any other Persons with a functionally equivalent role of a Person holding such titles notwithstanding a lack of such title or any other title), each Person who controls the Purchaser (within the meaning of Section 15 of the Securities Act and Section 20 of the Exchange Act), and the directors, officers, shareholders, agents, members, partners or employees (and any other Persons with a functionally equivalent role of a Person holding such titles notwithstanding a lack of such title or any other title) of such controlling persons (each, a “Purchaser Party”) harmless from any and all losses, liabilities, obligations, claims, contingencies, damages, costs and expenses, including all judgments, amounts paid in settlements, court costs and reasonable attorneys’ fees and costs of investigation that any such Purchaser Party may suffer or incur as a result of or relating to (a) any breach of any of the representations, warranties, covenants or agreements made by the Company in this Agreement or in the other Transaction Documents or (b) any action instituted against the Purchaser Parties in any capacity, or any of them or their respective Affiliates, by any stockholder of the Company who is not an Affiliate of such Purchaser Party, with respect to any of the transactions contemplated by the Transaction Documents (unless such action is solely based upon a material breach of such Purchaser Party’s representations, warranties or covenants under the Transaction Documents or any agreements or understandings such Purchaser Party may have with any such stockholder or any violations by such Purchaser Party of state or federal securities laws or any conduct by such Purchaser Party which is finally judicially determined to constitute fraud, gross negligence or willful misconduct. If any action shall be brought against any Purchaser Party in respect of which indemnity may be sought pursuant to this Agreement, such Purchaser Party shall promptly notify the Company in writing, and, the Company shall have the right to assume the defense thereof with counsel of its own choosing reasonably acceptable to the Purchaser Party. To the extent that a Purchaser Party fails to provide timely notice of a claim for indemnity under this Section 4.6 and such failure materially prejudices the Company’s ability to defend against such claim, the Company shall have no obligation under this Section 4.6 to indemnify the Purchaser Party for the claim (or portion thereof) that was so affected. Any Purchaser Party shall have the right to employ separate counsel in any such action and participate in the defense thereof, but the fees and expenses of such counsel shall be at the expense of such Purchaser Party except to the extent that (i) the employment thereof has been specifically authorized by the Company in writing, (ii) the Company has failed after a reasonable period of time to assume such defense and to employ counsel or (iii) in such action there is, in the reasonable opinion of counsel a material conflict on any material issue between the position of the Company and the position of such Purchaser Party, in which case the Company shall be responsible for the reasonable and documented fees and expenses of no more than one such separate counsel. The Company will not be liable to any Purchaser Party under this Agreement (y) for any settlement by a Purchaser Party effected without the Company’s prior written consent, which shall not be unreasonably withheld or delayed; or (z) to the extent, but only to the extent that a loss, claim, damage or liability is attributable to any Purchaser Party’s breach of any of the representations, warranties, covenants or agreements made by such Purchaser Party in this Agreement or in the other Transaction Documents. The indemnification required by this Section 4.6 shall be made by periodic payments of the amount thereof during the course of the investigation or defense, as and when bills are received or are incurred; provided, however, that if it is subsequently determined by a final, non-appealable judgment of a court of competent jurisdiction that a Purchaser was not entitled to receive such periodic payments, such Purchaser shall promptly (but in no event later than five Business Days) return such payments to the Company. The indemnity agreements contained herein shall be in addition to any cause of action or similar right of any Purchaser Party against the Company or others and any liabilities the Company may be subject to pursuant to law.</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 w:name="page28"/>
    <w:bookmarkEnd w:id="27"/>
    <w:p>
      <w:pPr>
        <w:jc w:val="both"/>
        <w:ind w:firstLine="648"/>
        <w:spacing w:after="0" w:line="289" w:lineRule="auto"/>
        <w:rPr>
          <w:sz w:val="20"/>
          <w:szCs w:val="20"/>
          <w:color w:val="auto"/>
        </w:rPr>
      </w:pPr>
      <w:r>
        <w:rPr>
          <w:rFonts w:ascii="Arial" w:cs="Arial" w:eastAsia="Arial" w:hAnsi="Arial"/>
          <w:sz w:val="16"/>
          <w:szCs w:val="16"/>
          <w:color w:val="auto"/>
        </w:rPr>
        <w:t xml:space="preserve">4.7 </w:t>
      </w:r>
      <w:r>
        <w:rPr>
          <w:rFonts w:ascii="Arial" w:cs="Arial" w:eastAsia="Arial" w:hAnsi="Arial"/>
          <w:sz w:val="16"/>
          <w:szCs w:val="16"/>
          <w:u w:val="single" w:color="auto"/>
          <w:color w:val="auto"/>
        </w:rPr>
        <w:t>Listing of Common Stock</w:t>
      </w:r>
      <w:r>
        <w:rPr>
          <w:rFonts w:ascii="Arial" w:cs="Arial" w:eastAsia="Arial" w:hAnsi="Arial"/>
          <w:sz w:val="16"/>
          <w:szCs w:val="16"/>
          <w:color w:val="auto"/>
        </w:rPr>
        <w:t>. The Company hereby agrees to use commercially reasonable efforts to maintain the listing or quotation of the Common Stock on the Trading Market on which it is currently listed, and concurrently with the Closing, the Company shall apply to list or quote all of the Shares on such Trading Market and promptly secure the listing of all of the Shares on such Trading Market. The Company further agrees, if the Company applies to have the Common Stock traded on any other Trading Market, it will then include in such application all of the Shares, and will take such other action as is necessary to cause all of the Shares to be listed or quoted on such other Trading Market as promptly as possible. The Company will then take all action reasonably necessary to continue the listing and trading of its Common Stock on a Trading Market and will comply in all respects with the Company’s reporting, filing and other obligations under the bylaws or rules of the Trading Market. The Company agrees to maintain the eligibility of the Common Stock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w:t>
      </w:r>
    </w:p>
    <w:p>
      <w:pPr>
        <w:spacing w:after="0" w:line="16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4.8 </w:t>
      </w:r>
      <w:r>
        <w:rPr>
          <w:rFonts w:ascii="Arial" w:cs="Arial" w:eastAsia="Arial" w:hAnsi="Arial"/>
          <w:sz w:val="16"/>
          <w:szCs w:val="16"/>
          <w:u w:val="single" w:color="auto"/>
          <w:color w:val="auto"/>
        </w:rPr>
        <w:t>Certain Transactions and Confidentiality</w:t>
      </w:r>
      <w:r>
        <w:rPr>
          <w:rFonts w:ascii="Arial" w:cs="Arial" w:eastAsia="Arial" w:hAnsi="Arial"/>
          <w:sz w:val="16"/>
          <w:szCs w:val="16"/>
          <w:color w:val="auto"/>
        </w:rPr>
        <w:t>. The Purchaser covenants that neither it, nor any Affiliate acting on its behalf or pursuant to any understanding with it will execute any purchases or sales, including Short Sales, of any of the Company’s securities during the period commencing with the execution of this Agreement and ending at such time that the transactions contemplated by this Agreement are first publicly announced pursuant to Section 4.3. The Purchaser covenants that until such time as the transactions contemplated by this Agreement are publicly disclosed by the Company pursuant to Section 4.3, the Purchaser will maintain the confidentiality of the existence and terms of this transaction and the information included in the Disclosure Schedules (other than as disclosed to its legal and other representatives). Notwithstanding the foregoing and notwithstanding anything contained in this Agreement to the contrary, the Company expressly acknowledges and agrees that (i) no Purchaser makes any representation, warranty or covenant hereby that it will not engage in effecting transactions in any securities of the Company after the time that the transactions contemplated by this Agreement are first publicly announced pursuant to Section 4.3, and (ii) no Purchaser shall be restricted or prohibited from effecting any transactions in any securities of the Company in accordance with applicable securities laws from and after the time that the transactions contemplated by this Agreement are first publicly announced pursuant to Section 4.3. Notwithstanding the foregoing, in the case of a Purchaser that is a multi-managed investment vehicle whereby separate portfolio managers manage separate portions of the Purchaser’s assets and the portfolio managers have no direct knowledge of the investment decisions made by the portfolio managers managing other portions of the Purchaser’s assets, the covenant set forth above shall only apply with respect to the portion of assets managed by the portfolio manager that made the investment decision to purchase the Shares covered by this Agreement.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 w:name="page29"/>
    <w:bookmarkEnd w:id="28"/>
    <w:p>
      <w:pPr>
        <w:jc w:val="both"/>
        <w:ind w:firstLine="648"/>
        <w:spacing w:after="0" w:line="263" w:lineRule="auto"/>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u w:val="single" w:color="auto"/>
          <w:color w:val="auto"/>
        </w:rPr>
        <w:t>Blue Sky Filings</w:t>
      </w:r>
      <w:r>
        <w:rPr>
          <w:rFonts w:ascii="Arial" w:cs="Arial" w:eastAsia="Arial" w:hAnsi="Arial"/>
          <w:sz w:val="18"/>
          <w:szCs w:val="18"/>
          <w:color w:val="auto"/>
        </w:rPr>
        <w:t>. The Company shall take such action as the Company shall reasonably determine is necessary in order to obtain an exemption for, or to qualify the Shares for, sale to the Purchaser at the Closing under applicable securities or “Blue Sky” laws of the states of the United States, and shall provide evidence of such actions promptly upon request of the Purchaser.</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4.10 </w:t>
      </w:r>
      <w:r>
        <w:rPr>
          <w:rFonts w:ascii="Arial" w:cs="Arial" w:eastAsia="Arial" w:hAnsi="Arial"/>
          <w:sz w:val="18"/>
          <w:szCs w:val="18"/>
          <w:u w:val="single" w:color="auto"/>
          <w:color w:val="auto"/>
        </w:rPr>
        <w:t>Acknowledgment of Dilution</w:t>
      </w:r>
      <w:r>
        <w:rPr>
          <w:rFonts w:ascii="Arial" w:cs="Arial" w:eastAsia="Arial" w:hAnsi="Arial"/>
          <w:sz w:val="18"/>
          <w:szCs w:val="18"/>
          <w:color w:val="auto"/>
        </w:rPr>
        <w:t>. The Company acknowledges that the issuance of the Shares may result in dilution of the outstanding shares of Common Stock, which dilution may be substantial under certain market conditions. The Company further acknowledges that its obligations under the Transaction Documents, including, without limitation, its obligation to issue the Shares pursuant to the Transaction Documents, are unconditional and absolute and not subject to any right of set off, counterclaim, delay or reduction, regardless of the effect of any such dilution or any claim the Company may have against the Purchaser and regardless of the dilutive effect that such issuance may have on the ownership of the other stockholders of the Company.</w:t>
      </w:r>
    </w:p>
    <w:p>
      <w:pPr>
        <w:spacing w:after="0" w:line="18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4.11 </w:t>
      </w:r>
      <w:r>
        <w:rPr>
          <w:rFonts w:ascii="Arial" w:cs="Arial" w:eastAsia="Arial" w:hAnsi="Arial"/>
          <w:sz w:val="17"/>
          <w:szCs w:val="17"/>
          <w:u w:val="single" w:color="auto"/>
          <w:color w:val="auto"/>
        </w:rPr>
        <w:t>Adjustment Upon Issuance of Shares of Common Stock</w:t>
      </w:r>
      <w:r>
        <w:rPr>
          <w:rFonts w:ascii="Arial" w:cs="Arial" w:eastAsia="Arial" w:hAnsi="Arial"/>
          <w:sz w:val="17"/>
          <w:szCs w:val="17"/>
          <w:color w:val="auto"/>
        </w:rPr>
        <w:t>. If and whenever on or after the Closing Date but prior to April 1, 2024 (the “</w:t>
      </w:r>
      <w:r>
        <w:rPr>
          <w:rFonts w:ascii="Arial" w:cs="Arial" w:eastAsia="Arial" w:hAnsi="Arial"/>
          <w:sz w:val="17"/>
          <w:szCs w:val="17"/>
          <w:b w:val="1"/>
          <w:bCs w:val="1"/>
          <w:color w:val="auto"/>
        </w:rPr>
        <w:t>Anti-Dilution Period</w:t>
      </w:r>
      <w:r>
        <w:rPr>
          <w:rFonts w:ascii="Arial" w:cs="Arial" w:eastAsia="Arial" w:hAnsi="Arial"/>
          <w:sz w:val="17"/>
          <w:szCs w:val="17"/>
          <w:color w:val="auto"/>
        </w:rPr>
        <w:t>”), the Company issues or sells, or in accordance with this Section 4.11 is deemed to have issued or sold, any shares of Common Stock</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the issuance or sale of shares of Common Stock owned or held by or for the account of the Company, but excluding Excluded Securities) for consideration per share (the “</w:t>
      </w:r>
      <w:r>
        <w:rPr>
          <w:rFonts w:ascii="Arial" w:cs="Arial" w:eastAsia="Arial" w:hAnsi="Arial"/>
          <w:sz w:val="17"/>
          <w:szCs w:val="17"/>
          <w:b w:val="1"/>
          <w:bCs w:val="1"/>
          <w:color w:val="auto"/>
        </w:rPr>
        <w:t>New Issuance Price</w:t>
      </w:r>
      <w:r>
        <w:rPr>
          <w:rFonts w:ascii="Arial" w:cs="Arial" w:eastAsia="Arial" w:hAnsi="Arial"/>
          <w:sz w:val="17"/>
          <w:szCs w:val="17"/>
          <w:color w:val="auto"/>
        </w:rPr>
        <w:t>”) less than the Per Share Purchase Price (as adjusted for any stock split, stock dividend, recapitalization or otherwise that occurs during the Anti-Dilution Period) (the foregoing a “</w:t>
      </w:r>
      <w:r>
        <w:rPr>
          <w:rFonts w:ascii="Arial" w:cs="Arial" w:eastAsia="Arial" w:hAnsi="Arial"/>
          <w:sz w:val="17"/>
          <w:szCs w:val="17"/>
          <w:b w:val="1"/>
          <w:bCs w:val="1"/>
          <w:color w:val="auto"/>
        </w:rPr>
        <w:t>Dilutive Issuance</w:t>
      </w:r>
      <w:r>
        <w:rPr>
          <w:rFonts w:ascii="Arial" w:cs="Arial" w:eastAsia="Arial" w:hAnsi="Arial"/>
          <w:sz w:val="17"/>
          <w:szCs w:val="17"/>
          <w:color w:val="auto"/>
        </w:rPr>
        <w:t>”), then immediately after such Dilutive Issuance, the Company shall issue to the Purchaser such number of additional Shares equal to (i) the product of (a) the number of Shares purchased by the Purchaser pursuant to this Agreement, multiplied by (b) the quotient of (x) the Per Share Purchase Price (as adjusted for stock splits and consolidations and related corporate events), divided by (y) the New Issuance Price, less (ii) the number of Shares originally issued pursuant to this Agreement. For all purposes of the foregoing (including, without limitation, determining the number of additional Shares and the New Issuance Price under this Section 4.11), the following shall be applicable:</w:t>
      </w:r>
    </w:p>
    <w:p>
      <w:pPr>
        <w:spacing w:after="0" w:line="181" w:lineRule="exact"/>
        <w:rPr>
          <w:sz w:val="20"/>
          <w:szCs w:val="20"/>
          <w:color w:val="auto"/>
        </w:rPr>
      </w:pPr>
    </w:p>
    <w:p>
      <w:pPr>
        <w:jc w:val="both"/>
        <w:ind w:left="660" w:firstLine="644"/>
        <w:spacing w:after="0" w:line="285" w:lineRule="auto"/>
        <w:tabs>
          <w:tab w:leader="none" w:pos="1552"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Issuance of Options</w:t>
      </w:r>
      <w:r>
        <w:rPr>
          <w:rFonts w:ascii="Arial" w:cs="Arial" w:eastAsia="Arial" w:hAnsi="Arial"/>
          <w:sz w:val="16"/>
          <w:szCs w:val="16"/>
          <w:color w:val="auto"/>
        </w:rPr>
        <w:t>. If, during the Anti-Dilution Period, the Company in any manner grants or sells any Options and the lowest price per share for which one share of Common Stock is at any time issuable upon the exercise of any such Option or upon conversion, exercise or exchange of any Convertible Securities issuable upon exercise of any such Option or otherwise pursuant to the terms thereof is less than the Per Share Purchase Price, then such share of Common Stock shall be deemed to be outstanding and to have been issued and sold by the Company at the time of the granting or sale of such Option for such price per share. For purposes of this Section 4.11(a), the “lowest price per share for which one share of Common Stock is at any time issuable upon the exercise of any such Options or upon conversion, exercise or exchange of any Convertible Securities issuable upon exercise of any such Option or otherwise pursuant to the terms thereof” shall be equal to (1) the lower of (x) the sum of the lowest amounts of consideration (if any) received or receivable by the Company with respect to any one share of Common Stock upon the granting or sale of such Option, upon exercise of such Option and upon conversion, exercise or exchange of any Convertible Security issuable upon exercise of such Option or otherwise pursuant to the terms thereof and (y) the lowest exercise price set forth in such Option for which one share of Common Stock is issuable (or may become issuable assuming all possible market conditions) upon the exercise of any such Options or upon conversion, exercise or exchange of any Convertible Securities issuable upon exercise of any such Option or otherwise pursuant to the terms thereof minus (2) the sum of all amounts paid or payable to the holder of such Option (or any other Person) upon the granting or sale of such Option, upon exercise of such Option and upon conversion, exercise or exchange of any Convertible Security issuable upon exercise of such Option or otherwise pursuant to the terms thereof plus the value of any other consideration received or receivable by, or benefit conferred on, the holder of such Option (or any other Person). Except as contemplated below, no additional Shares shall be issued upon the actual issuance of such shares of Common Stock or of such Convertible Securities upon the exercise of such Options or otherwise pursuant to the terms of or upon the actual issuance of such shares of Common Stock upon conversion, exercise or exchange of such Convertible Securities.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 w:name="page30"/>
    <w:bookmarkEnd w:id="29"/>
    <w:p>
      <w:pPr>
        <w:jc w:val="both"/>
        <w:ind w:left="4" w:firstLine="644"/>
        <w:spacing w:after="0" w:line="284" w:lineRule="auto"/>
        <w:tabs>
          <w:tab w:leader="none" w:pos="920" w:val="left"/>
        </w:tabs>
        <w:numPr>
          <w:ilvl w:val="1"/>
          <w:numId w:val="20"/>
        </w:numPr>
        <w:rPr>
          <w:rFonts w:ascii="Arial" w:cs="Arial" w:eastAsia="Arial" w:hAnsi="Arial"/>
          <w:sz w:val="16"/>
          <w:szCs w:val="16"/>
          <w:color w:val="auto"/>
        </w:rPr>
      </w:pPr>
      <w:r>
        <w:rPr>
          <w:rFonts w:ascii="Arial" w:cs="Arial" w:eastAsia="Arial" w:hAnsi="Arial"/>
          <w:sz w:val="16"/>
          <w:szCs w:val="16"/>
          <w:u w:val="single" w:color="auto"/>
          <w:color w:val="auto"/>
        </w:rPr>
        <w:t>Issuance of Convertible Securities</w:t>
      </w:r>
      <w:r>
        <w:rPr>
          <w:rFonts w:ascii="Arial" w:cs="Arial" w:eastAsia="Arial" w:hAnsi="Arial"/>
          <w:sz w:val="16"/>
          <w:szCs w:val="16"/>
          <w:color w:val="auto"/>
        </w:rPr>
        <w:t>. If, during the Anti-Dilution Period, the Company in any manner issues or sells any Convertible Securities and the lowest price per share for which one share of Common Stock is at any time issuable upon the conversion, exercise or exchange thereof or otherwise pursuant to the terms thereof is less than the Per Share Purchase Price, then such share of Common Stock shall be deemed to be outstanding and to have been issued and sold by the Company at the time of the issuance or sale of such Convertible Securities for such price per share. For the purposes of this Section 4.11(b), the “lowest price per share for which one share of Common Stock is at any time issuable upon the conversion, exercise or exchange thereof or otherwise pursuant to the terms thereof” shall be equal to (1) the lower of (x) the sum of the lowest amounts of consideration (if any) received or receivable by the Company with respect to one share of Common Stock upon the issuance or sale of the Convertible Security and upon conversion, exercise or exchange of such Convertible Security or otherwise pursuant to the terms thereof and</w:t>
      </w:r>
    </w:p>
    <w:p>
      <w:pPr>
        <w:jc w:val="both"/>
        <w:ind w:left="4" w:hanging="4"/>
        <w:spacing w:after="0" w:line="287" w:lineRule="auto"/>
        <w:tabs>
          <w:tab w:leader="none" w:pos="265"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lowest conversion price set forth in such Convertible Security for which one share of Common Stock is issuable (or may become issuable assuming all possible market conditions) upon conversion, exercise or exchange thereof or otherwise pursuant to the terms thereof minus (2) the sum of all amounts paid or payable to the holder of such Convertible Security (or any other Person) upon the issuance or sale of such Convertible Security plus the value of any other consideration received or receivable by, or benefit conferred on, the holder of such Convertible Security (or any other Person). Except as contemplated below, no additional Shares shall be issued upon the actual issuance of such shares of Common Stock upon conversion, exercise or exchange of such Convertible Securities or otherwise pursuant to the terms thereof, and if any such issuance or sale of such Convertible Securities is made upon exercise of any Options for which issuance of additional Shares has been or is to be made pursuant to other provisions of this Section 4.11, except as contemplated below, no additional Shares shall be issued by reason of such issuance or sale.</w:t>
      </w:r>
    </w:p>
    <w:p>
      <w:pPr>
        <w:spacing w:after="0" w:line="169" w:lineRule="exact"/>
        <w:rPr>
          <w:rFonts w:ascii="Arial" w:cs="Arial" w:eastAsia="Arial" w:hAnsi="Arial"/>
          <w:sz w:val="16"/>
          <w:szCs w:val="16"/>
          <w:color w:val="auto"/>
        </w:rPr>
      </w:pPr>
    </w:p>
    <w:p>
      <w:pPr>
        <w:jc w:val="both"/>
        <w:ind w:left="4" w:firstLine="644"/>
        <w:spacing w:after="0" w:line="282" w:lineRule="auto"/>
        <w:tabs>
          <w:tab w:leader="none" w:pos="910" w:val="left"/>
        </w:tabs>
        <w:numPr>
          <w:ilvl w:val="1"/>
          <w:numId w:val="21"/>
        </w:numPr>
        <w:rPr>
          <w:rFonts w:ascii="Arial" w:cs="Arial" w:eastAsia="Arial" w:hAnsi="Arial"/>
          <w:sz w:val="16"/>
          <w:szCs w:val="16"/>
          <w:color w:val="auto"/>
        </w:rPr>
      </w:pPr>
      <w:r>
        <w:rPr>
          <w:rFonts w:ascii="Arial" w:cs="Arial" w:eastAsia="Arial" w:hAnsi="Arial"/>
          <w:sz w:val="16"/>
          <w:szCs w:val="16"/>
          <w:u w:val="single" w:color="auto"/>
          <w:color w:val="auto"/>
        </w:rPr>
        <w:t>Calculation of Consideration Received</w:t>
      </w:r>
      <w:r>
        <w:rPr>
          <w:rFonts w:ascii="Arial" w:cs="Arial" w:eastAsia="Arial" w:hAnsi="Arial"/>
          <w:sz w:val="16"/>
          <w:szCs w:val="16"/>
          <w:color w:val="auto"/>
        </w:rPr>
        <w:t>. If any Option and/or Convertible Security and/or Adjustment Right is issued in connection with the issuance or sale or deemed issuance or sale of any other securities of the Company (as determined by the Purchaser, the “</w:t>
      </w:r>
      <w:r>
        <w:rPr>
          <w:rFonts w:ascii="Arial" w:cs="Arial" w:eastAsia="Arial" w:hAnsi="Arial"/>
          <w:sz w:val="16"/>
          <w:szCs w:val="16"/>
          <w:u w:val="single" w:color="auto"/>
          <w:color w:val="auto"/>
        </w:rPr>
        <w:t>Primary</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Security</w:t>
      </w:r>
      <w:r>
        <w:rPr>
          <w:rFonts w:ascii="Arial" w:cs="Arial" w:eastAsia="Arial" w:hAnsi="Arial"/>
          <w:sz w:val="16"/>
          <w:szCs w:val="16"/>
          <w:color w:val="auto"/>
        </w:rPr>
        <w:t>”, and such Option and/or Convertible Security and/or Adjustment Right, the “</w:t>
      </w:r>
      <w:r>
        <w:rPr>
          <w:rFonts w:ascii="Arial" w:cs="Arial" w:eastAsia="Arial" w:hAnsi="Arial"/>
          <w:sz w:val="16"/>
          <w:szCs w:val="16"/>
          <w:u w:val="single" w:color="auto"/>
          <w:color w:val="auto"/>
        </w:rPr>
        <w:t>Secondary Securities</w:t>
      </w:r>
      <w:r>
        <w:rPr>
          <w:rFonts w:ascii="Arial" w:cs="Arial" w:eastAsia="Arial" w:hAnsi="Arial"/>
          <w:sz w:val="16"/>
          <w:szCs w:val="16"/>
          <w:color w:val="auto"/>
        </w:rPr>
        <w:t>” and together with the Primary Security, each a “</w:t>
      </w:r>
      <w:r>
        <w:rPr>
          <w:rFonts w:ascii="Arial" w:cs="Arial" w:eastAsia="Arial" w:hAnsi="Arial"/>
          <w:sz w:val="16"/>
          <w:szCs w:val="16"/>
          <w:u w:val="single" w:color="auto"/>
          <w:color w:val="auto"/>
        </w:rPr>
        <w:t>Unit</w:t>
      </w:r>
      <w:r>
        <w:rPr>
          <w:rFonts w:ascii="Arial" w:cs="Arial" w:eastAsia="Arial" w:hAnsi="Arial"/>
          <w:sz w:val="16"/>
          <w:szCs w:val="16"/>
          <w:color w:val="auto"/>
        </w:rPr>
        <w:t>”), together comprising one integrated transaction (or one or more transactions if such issuances or sales or deemed issuances or sales of securities of the Company either (A) have at least one investor or purchaser in common, (B) are consummated in reasonable proximity to each other and/or (C) are consummated under the same plan of financing), the aggregate consideration per share of Common Stock with respect to such Primary Security shall be deemed to be the lowest of (x) the purchase price of such Unit, (y) if such Primary Security is an Option and/or Convertible Security, the lowest price per share for which one share of Common Stock is at any time issuable upon the exercise or conversion of the Primary Security in accordance with Section 4.11(a), (b) or (c) above and (z) the quotient of (I) the sum of the three (3) lowest VWAPs of the Common Stock during the five (5) Trading Day period immediately following the public announcement of such Dilutive Issuance, divided by (II) three (3) (for the avoidance of doubt, if such public announcement is released prior to the opening of the Trading Market on a Trading Day, such Trading Day shall be the first Trading Day in such five (5) Trading Day period). If any shares of Common Stock, Options or Convertible Securities are issued or sold or deemed to have been issued or sold for cash, the consideration received therefor will be deemed to be the net amount of consideration received by the Company therefor. If any shares of Common Stock, Options or Convertible Securities are issued or sold for a consideration other than cash, the amount of such consideration received by the Company will be the fair value of such consideration, except where such consideration consists of publicly traded securities, in which case the amount of consideration received by the Company for such securities will be the arithmetic average of the VWAPs of such security for each of the five (5) Trading Days immediately preceding the date of receipt. If any shares of Common Stock, Options or Convertible Securities are issued to the owners of the non-surviving entity in connection with any merger in which the Company is the surviving entity, the amount of consideration therefor will be deemed to be the fair value of such portion of the net assets and business of the non-surviving entity as is attributable to such shares of Common Stock, Options or Convertible Securities (as the case may be). The fair value of any consideration other than cash or publicly traded securities will be determined jointly by the Company and the Purchaser. If such parties are unable to reach agreement within 10 days after the occurrence of an event requiring valuation (the</w:t>
      </w:r>
    </w:p>
    <w:p>
      <w:pPr>
        <w:spacing w:after="0" w:line="10" w:lineRule="exact"/>
        <w:rPr>
          <w:sz w:val="20"/>
          <w:szCs w:val="20"/>
          <w:color w:val="auto"/>
        </w:rPr>
      </w:pPr>
    </w:p>
    <w:p>
      <w:pPr>
        <w:jc w:val="both"/>
        <w:ind w:left="4" w:right="20"/>
        <w:spacing w:after="0" w:line="25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Valuation Event</w:t>
      </w:r>
      <w:r>
        <w:rPr>
          <w:rFonts w:ascii="Arial" w:cs="Arial" w:eastAsia="Arial" w:hAnsi="Arial"/>
          <w:sz w:val="16"/>
          <w:szCs w:val="16"/>
          <w:color w:val="auto"/>
        </w:rPr>
        <w:t>”), the fair value of such consideration will be determined within five Trading Days after the 10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following such Valuation Event by an independent, reputable appraiser jointly selected by the Company and the Purchaser. The determination of such appraiser shall be final and binding upon all parties absent manifest error and the fees and expenses of such appraiser shall be borne by the Company.</w:t>
      </w:r>
    </w:p>
    <w:p>
      <w:pPr>
        <w:spacing w:after="0" w:line="200" w:lineRule="exact"/>
        <w:rPr>
          <w:sz w:val="20"/>
          <w:szCs w:val="20"/>
          <w:color w:val="auto"/>
        </w:rPr>
      </w:pPr>
    </w:p>
    <w:p>
      <w:pPr>
        <w:spacing w:after="0" w:line="211"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30" w:name="page31"/>
    <w:bookmarkEnd w:id="30"/>
    <w:p>
      <w:pPr>
        <w:jc w:val="both"/>
        <w:ind w:left="660" w:firstLine="644"/>
        <w:spacing w:after="0" w:line="275" w:lineRule="auto"/>
        <w:tabs>
          <w:tab w:leader="none" w:pos="1563" w:val="left"/>
        </w:tabs>
        <w:numPr>
          <w:ilvl w:val="0"/>
          <w:numId w:val="22"/>
        </w:numPr>
        <w:rPr>
          <w:rFonts w:ascii="Arial" w:cs="Arial" w:eastAsia="Arial" w:hAnsi="Arial"/>
          <w:sz w:val="17"/>
          <w:szCs w:val="17"/>
          <w:color w:val="auto"/>
        </w:rPr>
      </w:pPr>
      <w:r>
        <w:rPr>
          <w:rFonts w:ascii="Arial" w:cs="Arial" w:eastAsia="Arial" w:hAnsi="Arial"/>
          <w:sz w:val="17"/>
          <w:szCs w:val="17"/>
          <w:u w:val="single" w:color="auto"/>
          <w:color w:val="auto"/>
        </w:rPr>
        <w:t>Record Date</w:t>
      </w:r>
      <w:r>
        <w:rPr>
          <w:rFonts w:ascii="Arial" w:cs="Arial" w:eastAsia="Arial" w:hAnsi="Arial"/>
          <w:sz w:val="17"/>
          <w:szCs w:val="17"/>
          <w:color w:val="auto"/>
        </w:rPr>
        <w:t>. If the Company takes a record of the holders of shares of Common Stock for the purpose of entitling them (A) to receive a dividend or other distribution payable in shares of Common Stock, Options or in Convertible Securities or (B) to subscribe for or purchase shares of Common Stock, Options or Convertible Securities, then such record date will be deemed to be the date of the issuance or sale of the shares of Common Stock deemed to have been issued or sold upon the declaration of such dividend or the making of such other distribution or the date of the granting of such right of subscription or purchase (as the case may be).</w:t>
      </w:r>
    </w:p>
    <w:p>
      <w:pPr>
        <w:spacing w:after="0" w:line="176" w:lineRule="exact"/>
        <w:rPr>
          <w:rFonts w:ascii="Arial" w:cs="Arial" w:eastAsia="Arial" w:hAnsi="Arial"/>
          <w:sz w:val="17"/>
          <w:szCs w:val="17"/>
          <w:color w:val="auto"/>
        </w:rPr>
      </w:pPr>
    </w:p>
    <w:p>
      <w:pPr>
        <w:jc w:val="both"/>
        <w:ind w:left="660" w:firstLine="644"/>
        <w:spacing w:after="0" w:line="285" w:lineRule="auto"/>
        <w:tabs>
          <w:tab w:leader="none" w:pos="1552"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Issuance Cap</w:t>
      </w:r>
      <w:r>
        <w:rPr>
          <w:rFonts w:ascii="Arial" w:cs="Arial" w:eastAsia="Arial" w:hAnsi="Arial"/>
          <w:sz w:val="16"/>
          <w:szCs w:val="16"/>
          <w:color w:val="auto"/>
        </w:rPr>
        <w:t>. Notwithstanding anything to the contrary contained herein, the Purchaser and the Company agree that the total number of shares of Common Stock issued hereunder, together with the total number of shares of Common Stock issuable pursuant to the terms of the Warrants to Purchase Common Stock issued in connection with the Third Amendment, dated October 10, 2023, by and between the Company and the Metropolitan Entities (the “</w:t>
      </w:r>
      <w:r>
        <w:rPr>
          <w:rFonts w:ascii="Arial" w:cs="Arial" w:eastAsia="Arial" w:hAnsi="Arial"/>
          <w:sz w:val="16"/>
          <w:szCs w:val="16"/>
          <w:u w:val="single" w:color="auto"/>
          <w:color w:val="auto"/>
        </w:rPr>
        <w:t>Third Amendment Warrants</w:t>
      </w:r>
      <w:r>
        <w:rPr>
          <w:rFonts w:ascii="Arial" w:cs="Arial" w:eastAsia="Arial" w:hAnsi="Arial"/>
          <w:sz w:val="16"/>
          <w:szCs w:val="16"/>
          <w:color w:val="auto"/>
        </w:rPr>
        <w:t>”), may not exceed the requirements of Nasdaq Listing Rule 5635(d) (“</w:t>
      </w:r>
      <w:r>
        <w:rPr>
          <w:rFonts w:ascii="Arial" w:cs="Arial" w:eastAsia="Arial" w:hAnsi="Arial"/>
          <w:sz w:val="16"/>
          <w:szCs w:val="16"/>
          <w:u w:val="single" w:color="auto"/>
          <w:color w:val="auto"/>
        </w:rPr>
        <w:t>Nasdaq 19.99%</w:t>
      </w:r>
      <w:r>
        <w:rPr>
          <w:rFonts w:ascii="Arial" w:cs="Arial" w:eastAsia="Arial" w:hAnsi="Arial"/>
          <w:sz w:val="16"/>
          <w:szCs w:val="16"/>
          <w:color w:val="auto"/>
        </w:rPr>
        <w:t xml:space="preserve"> </w:t>
      </w:r>
      <w:r>
        <w:rPr>
          <w:rFonts w:ascii="Arial" w:cs="Arial" w:eastAsia="Arial" w:hAnsi="Arial"/>
          <w:sz w:val="16"/>
          <w:szCs w:val="16"/>
          <w:u w:val="single" w:color="auto"/>
          <w:color w:val="auto"/>
        </w:rPr>
        <w:t>Cap</w:t>
      </w:r>
      <w:r>
        <w:rPr>
          <w:rFonts w:ascii="Arial" w:cs="Arial" w:eastAsia="Arial" w:hAnsi="Arial"/>
          <w:sz w:val="16"/>
          <w:szCs w:val="16"/>
          <w:color w:val="auto"/>
        </w:rPr>
        <w:t>”), except that such limitation will not apply following Approval (defined below). If the aggregate number of shares of Common Stock issued to the Purchaser and holders of the Third Amendment Warrants reaches the Nasdaq 19.99% Cap, so as not to violate the 20% limit established in Listing Rule 5635(d), the Company shall as soon as reasonably practicable take all action necessary to obtain stockholder approval of the issuance of additional shares of Common Stock issuable pursuant to the terms of this Agreement and upon the exercise of the Third Amendment Warrants, if necessary, in accordance with the requirements of Nasdaq Listing Rule 5635(d) (the “</w:t>
      </w:r>
      <w:r>
        <w:rPr>
          <w:rFonts w:ascii="Arial" w:cs="Arial" w:eastAsia="Arial" w:hAnsi="Arial"/>
          <w:sz w:val="16"/>
          <w:szCs w:val="16"/>
          <w:u w:val="single" w:color="auto"/>
          <w:color w:val="auto"/>
        </w:rPr>
        <w:t>Approval</w:t>
      </w:r>
      <w:r>
        <w:rPr>
          <w:rFonts w:ascii="Arial" w:cs="Arial" w:eastAsia="Arial" w:hAnsi="Arial"/>
          <w:sz w:val="16"/>
          <w:szCs w:val="16"/>
          <w:color w:val="auto"/>
        </w:rPr>
        <w:t>”). Without limiting the generality of the foregoing sentence, as soon as reasonably practicable after the date of the application of the Nasdaq 19.99% Cap, but in no event later than seventy-five (75) days after such occurrence, the Company shall hold a meeting of its stockholders to seek the Approval. In connection with such meeting, the Company shall provide each stockholder with a proxy statement and shall use its reasonable best efforts to solicit the Approval and to cause its board of directors to recommend to the stockholders that they provide the Approval. Until Approval is obtained, (i) issuances of Common Stock pursuant to Section 4.11 hereof and (ii) increases to the Common Stock issuable pursuant to Section 2(b) of the Third Amendment Warrants shall be made between (x) the Purchaser and (y) the holders of the Third Amendment Warrants as nearly as possible on a pro rata basis based on the total amount of shares of Common Stock issued or issuable to such party (i.e. at any given time, the amount of Common Stock issuable upon the exercise of the Third Amendment Warrants (without regard to the Maximum Percentage (as defined in the Third Amendment Warrants) limitation therein, but subject to the Nasdaq 19.99% Cap) which may be exercised is equal to two (2) times the sum of (i) the shares of Common Stock originally issued pursuant to this Agreement and (ii) the shares issued pursuant to Section 4.11 hereof).</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Termination</w:t>
      </w:r>
      <w:r>
        <w:rPr>
          <w:rFonts w:ascii="Arial" w:cs="Arial" w:eastAsia="Arial" w:hAnsi="Arial"/>
          <w:sz w:val="17"/>
          <w:szCs w:val="17"/>
          <w:color w:val="auto"/>
        </w:rPr>
        <w:t xml:space="preserve">. This Agreement may be terminated by the Purchaser before the Closing, by written notice to the Company, if the Closing has not been consummated on or before the fifth Trading Day following the date 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such termination will affect the right of any party to sue for any breach by any other party (or parties); provided, further, that the right to terminate this Agreement pursuant to this Section 5.1 shall not be available to a party if such party’s breach of any representation, warranty, covenant or other agreement contained in this Agreement is the primary cause of the failure of the Closing to be consummated in accordance with the foregoing.</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 w:name="page32"/>
    <w:bookmarkEnd w:id="31"/>
    <w:p>
      <w:pPr>
        <w:jc w:val="both"/>
        <w:ind w:firstLine="648"/>
        <w:spacing w:after="0" w:line="257"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Fees and Expenses</w:t>
      </w:r>
      <w:r>
        <w:rPr>
          <w:rFonts w:ascii="Arial" w:cs="Arial" w:eastAsia="Arial" w:hAnsi="Arial"/>
          <w:sz w:val="18"/>
          <w:szCs w:val="18"/>
          <w:color w:val="auto"/>
        </w:rPr>
        <w:t>. Except as expressly set forth in the Transaction Documents to the contrary, each party shall pay the fees and expenses of its advisers, counsel, accountants and other experts, if any, and all other expenses incurred by such party incident to the negotiation, preparation, execution, delivery and performance of this Agreement. The Company shall pay all Transfer Agent fees (including, without limitation, any fees required for same-day processing of any instruction letter delivered by the Company and any exercise notice delivered by a Purchaser), stamp taxes and other taxes and duties levied in connection with the delivery of any Shares to the Purchaser.</w:t>
      </w:r>
    </w:p>
    <w:p>
      <w:pPr>
        <w:spacing w:after="0" w:line="188"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Entire Agreement</w:t>
      </w:r>
      <w:r>
        <w:rPr>
          <w:rFonts w:ascii="Arial" w:cs="Arial" w:eastAsia="Arial" w:hAnsi="Arial"/>
          <w:sz w:val="18"/>
          <w:szCs w:val="18"/>
          <w:color w:val="auto"/>
        </w:rPr>
        <w:t>. The Transaction Documents, together with the exhibits and schedules thereto,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spacing w:after="0" w:line="18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Notices</w:t>
      </w:r>
      <w:r>
        <w:rPr>
          <w:rFonts w:ascii="Arial" w:cs="Arial" w:eastAsia="Arial" w:hAnsi="Arial"/>
          <w:sz w:val="16"/>
          <w:szCs w:val="16"/>
          <w:color w:val="auto"/>
        </w:rPr>
        <w:t>. Any and all notices or other communications or deliveries required or permitted to be provided hereunder shall be in writing and shall be deemed given and effective on the earliest of: (a) the time of transmission, if such notice or communication is delivered via email attachment at the email address as set forth on the signature pages attached hereto at or prior to 5:30 p.m. (New York City time) on a Trading Day, (b) the next Trading Day after the time of transmission, if such notice or communication is delivered via email attachment at the email address as set forth on the signature pages attached hereto on a day that is not a Trading Day or later than 5:30 p.m. (New York City time) on any Trading Day, (c) the second 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w:t>
      </w:r>
    </w:p>
    <w:p>
      <w:pPr>
        <w:spacing w:after="0" w:line="16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u w:val="single" w:color="auto"/>
          <w:color w:val="auto"/>
        </w:rPr>
        <w:t>Amendments; Waivers</w:t>
      </w:r>
      <w:r>
        <w:rPr>
          <w:rFonts w:ascii="Arial" w:cs="Arial" w:eastAsia="Arial" w:hAnsi="Arial"/>
          <w:sz w:val="16"/>
          <w:szCs w:val="16"/>
          <w:color w:val="auto"/>
        </w:rPr>
        <w:t>. No provision of this Agreement may be waived, modified, supplemented or amended except in a written instrument signed, in the case of an amendment, by the Company and the Purchaser (or, in the case of an assignment of rights under Section 5.7, by the Purchaser or Purchasers holding at least 50.1% in interest of the Shares based on the initial Subscription Amount herunder) or, in the case of a waiver, by the party against whom enforcement of any such waived provision is sought.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 Any amendment effected in accordance with this Section 5.5 shall be binding upon the Purchaser and holder of Shares and the Company.</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herein are for convenience only, do not constitute a part of this Agreement and shall not be deemed to limit or affect any of the provisions hereof.</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shall be binding upon and inure to the benefit of the parties and their successors and permitted assigns. The Company may not assign this Agreement or any rights or obligations hereunder without the prior written consent of the Purchaser (other than by merger). The Purchaser may assign any or all of its rights under this Agreement to any Person to whom the Purchaser assigns or transfers any Shares, provided that such transferee agrees in writing to be bound, with respect to the transferred Shares, by the provisions of the Transaction Documents that apply to the “Purchaser.”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2" w:name="page33"/>
    <w:bookmarkEnd w:id="32"/>
    <w:p>
      <w:pPr>
        <w:jc w:val="both"/>
        <w:ind w:right="20" w:firstLine="648"/>
        <w:spacing w:after="0" w:line="342" w:lineRule="auto"/>
        <w:rPr>
          <w:sz w:val="20"/>
          <w:szCs w:val="20"/>
          <w:color w:val="auto"/>
        </w:rPr>
      </w:pPr>
      <w:r>
        <w:rPr>
          <w:rFonts w:ascii="Arial" w:cs="Arial" w:eastAsia="Arial" w:hAnsi="Arial"/>
          <w:sz w:val="16"/>
          <w:szCs w:val="16"/>
          <w:color w:val="auto"/>
        </w:rPr>
        <w:t xml:space="preserve">5.8 </w:t>
      </w:r>
      <w:r>
        <w:rPr>
          <w:rFonts w:ascii="Arial" w:cs="Arial" w:eastAsia="Arial" w:hAnsi="Arial"/>
          <w:sz w:val="16"/>
          <w:szCs w:val="16"/>
          <w:u w:val="single" w:color="auto"/>
          <w:color w:val="auto"/>
        </w:rPr>
        <w:t>No Third-Party Beneficiaries</w:t>
      </w:r>
      <w:r>
        <w:rPr>
          <w:rFonts w:ascii="Arial" w:cs="Arial" w:eastAsia="Arial" w:hAnsi="Arial"/>
          <w:sz w:val="16"/>
          <w:szCs w:val="16"/>
          <w:color w:val="auto"/>
        </w:rPr>
        <w:t>. This Agreement is intended for the benefit of the parties hereto and their respective successors and permitted assigns and is not for the benefit of, nor may any provision hereof be enforced by, any other Person, except as otherwise set forth in Section 4.6.</w:t>
      </w:r>
    </w:p>
    <w:p>
      <w:pPr>
        <w:spacing w:after="0" w:line="12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5.9 </w:t>
      </w:r>
      <w:r>
        <w:rPr>
          <w:rFonts w:ascii="Arial" w:cs="Arial" w:eastAsia="Arial" w:hAnsi="Arial"/>
          <w:sz w:val="17"/>
          <w:szCs w:val="17"/>
          <w:u w:val="single" w:color="auto"/>
          <w:color w:val="auto"/>
        </w:rPr>
        <w:t>Governing Law</w:t>
      </w:r>
      <w:r>
        <w:rPr>
          <w:rFonts w:ascii="Arial" w:cs="Arial" w:eastAsia="Arial" w:hAnsi="Arial"/>
          <w:sz w:val="17"/>
          <w:szCs w:val="17"/>
          <w:color w:val="auto"/>
        </w:rPr>
        <w:t>. All questions concerning the construction, validity, enforcement and interpretation of the Transaction Documents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action or Proceeding, any claim that it is not personally subject to the jurisdiction of any such court, that such action or Proceeding is improper or is an inconvenient venue for such Proceeding. Each party hereby irrevocably waives personal service of process and consents to process being served in any such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any party shall commence an action or Proceeding to enforce any provisions of the Transaction Documents, then, in addition to the obligations of the Company under Section 4.6, the prevailing party in such action or Proceeding shall be reimbursed by the non-prevailing party for its reasonable attorneys’ fees and other costs and expenses incurred with the investigation, preparation and prosecution of such action or Proceeding.</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u w:val="single" w:color="auto"/>
          <w:color w:val="auto"/>
        </w:rPr>
        <w:t>Survival</w:t>
      </w:r>
      <w:r>
        <w:rPr>
          <w:rFonts w:ascii="Arial" w:cs="Arial" w:eastAsia="Arial" w:hAnsi="Arial"/>
          <w:sz w:val="18"/>
          <w:szCs w:val="18"/>
          <w:color w:val="auto"/>
        </w:rPr>
        <w:t>. The representations and warranties contained herein shall survive the Closing and the delivery of the Shares.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u w:val="single" w:color="auto"/>
          <w:color w:val="auto"/>
        </w:rPr>
        <w:t>Execution</w:t>
      </w:r>
      <w:r>
        <w:rPr>
          <w:rFonts w:ascii="Arial" w:cs="Arial" w:eastAsia="Arial" w:hAnsi="Arial"/>
          <w:sz w:val="18"/>
          <w:szCs w:val="18"/>
          <w:color w:val="auto"/>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e-mail delivery of a “.pdf” format data file, such signature shall create a valid and binding obligation of the party executing (or on whose behalf such signature is executed) with the same force and effect as if such “.pdf” signature page were an original thereof.</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3" w:name="page34"/>
    <w:bookmarkEnd w:id="33"/>
    <w:p>
      <w:pPr>
        <w:jc w:val="both"/>
        <w:ind w:firstLine="648"/>
        <w:spacing w:after="0" w:line="273" w:lineRule="auto"/>
        <w:rPr>
          <w:sz w:val="20"/>
          <w:szCs w:val="20"/>
          <w:color w:val="auto"/>
        </w:rPr>
      </w:pPr>
      <w:r>
        <w:rPr>
          <w:rFonts w:ascii="Arial" w:cs="Arial" w:eastAsia="Arial" w:hAnsi="Arial"/>
          <w:sz w:val="17"/>
          <w:szCs w:val="17"/>
          <w:color w:val="auto"/>
        </w:rPr>
        <w:t xml:space="preserve">5.12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5.13 </w:t>
      </w:r>
      <w:r>
        <w:rPr>
          <w:rFonts w:ascii="Arial" w:cs="Arial" w:eastAsia="Arial" w:hAnsi="Arial"/>
          <w:sz w:val="18"/>
          <w:szCs w:val="18"/>
          <w:u w:val="single" w:color="auto"/>
          <w:color w:val="auto"/>
        </w:rPr>
        <w:t>Rescission and Withdrawal Right</w:t>
      </w:r>
      <w:r>
        <w:rPr>
          <w:rFonts w:ascii="Arial" w:cs="Arial" w:eastAsia="Arial" w:hAnsi="Arial"/>
          <w:sz w:val="18"/>
          <w:szCs w:val="18"/>
          <w:color w:val="auto"/>
        </w:rPr>
        <w:t>. Notwithstanding anything to the contrary contained in (and without limiting any similar provisions of) any of the other Transaction Documents, whenever the Purchaser exercises a right, election, demand or option under a Transaction Document and the Company does not timely perform its related obligations within the periods therein provided, then the Purchaser may rescind or withdraw, in its sole discretion from time to time upon written notice to the Company, any relevant notice, demand or election in whole or in part without prejudice to its future actions and rights.</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5.14 </w:t>
      </w:r>
      <w:r>
        <w:rPr>
          <w:rFonts w:ascii="Arial" w:cs="Arial" w:eastAsia="Arial" w:hAnsi="Arial"/>
          <w:sz w:val="18"/>
          <w:szCs w:val="18"/>
          <w:u w:val="single" w:color="auto"/>
          <w:color w:val="auto"/>
        </w:rPr>
        <w:t>Replacement of Shares</w:t>
      </w:r>
      <w:r>
        <w:rPr>
          <w:rFonts w:ascii="Arial" w:cs="Arial" w:eastAsia="Arial" w:hAnsi="Arial"/>
          <w:sz w:val="18"/>
          <w:szCs w:val="18"/>
          <w:color w:val="auto"/>
        </w:rPr>
        <w:t>. If any certificate or instrument evidencing any Shares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Shares.</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5.15 </w:t>
      </w:r>
      <w:r>
        <w:rPr>
          <w:rFonts w:ascii="Arial" w:cs="Arial" w:eastAsia="Arial" w:hAnsi="Arial"/>
          <w:sz w:val="17"/>
          <w:szCs w:val="17"/>
          <w:u w:val="single" w:color="auto"/>
          <w:color w:val="auto"/>
        </w:rPr>
        <w:t>Remedies</w:t>
      </w:r>
      <w:r>
        <w:rPr>
          <w:rFonts w:ascii="Arial" w:cs="Arial" w:eastAsia="Arial" w:hAnsi="Arial"/>
          <w:sz w:val="17"/>
          <w:szCs w:val="17"/>
          <w:color w:val="auto"/>
        </w:rPr>
        <w:t>. In addition to being entitled to exercise all rights provided herein or granted by law, including recovery of damages, the Purchaser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spacing w:after="0" w:line="17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5.16 </w:t>
      </w:r>
      <w:r>
        <w:rPr>
          <w:rFonts w:ascii="Arial" w:cs="Arial" w:eastAsia="Arial" w:hAnsi="Arial"/>
          <w:sz w:val="16"/>
          <w:szCs w:val="16"/>
          <w:u w:val="single" w:color="auto"/>
          <w:color w:val="auto"/>
        </w:rPr>
        <w:t>Payment Set Aside</w:t>
      </w:r>
      <w:r>
        <w:rPr>
          <w:rFonts w:ascii="Arial" w:cs="Arial" w:eastAsia="Arial" w:hAnsi="Arial"/>
          <w:sz w:val="16"/>
          <w:szCs w:val="16"/>
          <w:color w:val="auto"/>
        </w:rPr>
        <w:t>. To the extent that the Company makes a payment or payments to the Purchaser pursuant to any Transaction Document or a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spacing w:after="0" w:line="16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 xml:space="preserve">5.17 </w:t>
      </w:r>
      <w:r>
        <w:rPr>
          <w:rFonts w:ascii="Arial" w:cs="Arial" w:eastAsia="Arial" w:hAnsi="Arial"/>
          <w:sz w:val="17"/>
          <w:szCs w:val="17"/>
          <w:u w:val="single" w:color="auto"/>
          <w:color w:val="auto"/>
        </w:rPr>
        <w:t>Saturdays, Sundays, Holidays, etc.</w:t>
      </w:r>
      <w:r>
        <w:rPr>
          <w:rFonts w:ascii="Arial" w:cs="Arial" w:eastAsia="Arial" w:hAnsi="Arial"/>
          <w:sz w:val="17"/>
          <w:szCs w:val="17"/>
          <w:color w:val="auto"/>
        </w:rPr>
        <w:t xml:space="preserve">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4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5.18 </w:t>
      </w:r>
      <w:r>
        <w:rPr>
          <w:rFonts w:ascii="Arial" w:cs="Arial" w:eastAsia="Arial" w:hAnsi="Arial"/>
          <w:sz w:val="17"/>
          <w:szCs w:val="17"/>
          <w:u w:val="single" w:color="auto"/>
          <w:color w:val="auto"/>
        </w:rPr>
        <w:t>Construction</w:t>
      </w:r>
      <w:r>
        <w:rPr>
          <w:rFonts w:ascii="Arial" w:cs="Arial" w:eastAsia="Arial" w:hAnsi="Arial"/>
          <w:sz w:val="17"/>
          <w:szCs w:val="17"/>
          <w:color w:val="auto"/>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shares of Common Stock in any Transaction Document shall be subject to adjustment for reverse and forward stock splits, stock dividends, stock combinations and other similar transactions of the Common Stock that occur after the date of this Agreement.</w:t>
      </w:r>
    </w:p>
    <w:p>
      <w:pPr>
        <w:spacing w:after="0" w:line="17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5.19 </w:t>
      </w:r>
      <w:r>
        <w:rPr>
          <w:rFonts w:ascii="Arial" w:cs="Arial" w:eastAsia="Arial" w:hAnsi="Arial"/>
          <w:sz w:val="18"/>
          <w:szCs w:val="18"/>
          <w:b w:val="1"/>
          <w:bCs w:val="1"/>
          <w:u w:val="single" w:color="auto"/>
          <w:color w:val="auto"/>
        </w:rPr>
        <w:t>WAIVER OF JURY TRIAL</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IN ANY ACTION, SUIT, OR PROCEEDING IN ANY JURISDICTION BROUGHT BY ANY PARTY</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AGAINST ANY OTHER PARTY, THE PARTIES EACH KNOWINGLY AND INTENTIONALLY, TO THE GREATEST EXTENT PERMITTED BY APPLICABLE LAW, HEREBY ABSOLUTELY, UNCONDITIONALLY, IRREVOCABLY AND EXPRESSLY WAIVES FOREVER TRIAL BY JURY.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Pages Follow)</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4" w:name="page35"/>
    <w:bookmarkEnd w:id="34"/>
    <w:p>
      <w:pPr>
        <w:ind w:firstLine="648"/>
        <w:spacing w:after="0" w:line="277" w:lineRule="auto"/>
        <w:rPr>
          <w:sz w:val="20"/>
          <w:szCs w:val="20"/>
          <w:color w:val="auto"/>
        </w:rPr>
      </w:pPr>
      <w:r>
        <w:rPr>
          <w:rFonts w:ascii="Arial" w:cs="Arial" w:eastAsia="Arial" w:hAnsi="Arial"/>
          <w:sz w:val="18"/>
          <w:szCs w:val="18"/>
          <w:color w:val="auto"/>
        </w:rPr>
        <w:t>IN WITNESS WHEREOF, the parties hereto have caused this Securities Purchase Agreement to be duly executed by their respective authorized signatories as of the date first indicated above.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20" w:type="dxa"/>
            <w:vAlign w:val="bottom"/>
            <w:gridSpan w:val="2"/>
          </w:tcPr>
          <w:p>
            <w:pPr>
              <w:spacing w:after="0"/>
              <w:rPr>
                <w:sz w:val="20"/>
                <w:szCs w:val="20"/>
                <w:color w:val="auto"/>
              </w:rPr>
            </w:pPr>
            <w:r>
              <w:rPr>
                <w:rFonts w:ascii="Arial" w:cs="Arial" w:eastAsia="Arial" w:hAnsi="Arial"/>
                <w:sz w:val="18"/>
                <w:szCs w:val="18"/>
                <w:b w:val="1"/>
                <w:bCs w:val="1"/>
                <w:color w:val="auto"/>
              </w:rPr>
              <w:t>PRESTO AUTOMATION INC.</w:t>
            </w:r>
          </w:p>
        </w:tc>
        <w:tc>
          <w:tcPr>
            <w:tcW w:w="220" w:type="dxa"/>
            <w:vAlign w:val="bottom"/>
          </w:tcPr>
          <w:p>
            <w:pPr>
              <w:spacing w:after="0"/>
              <w:rPr>
                <w:sz w:val="17"/>
                <w:szCs w:val="17"/>
                <w:color w:val="auto"/>
              </w:rPr>
            </w:pPr>
          </w:p>
        </w:tc>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Address for Notice:</w:t>
            </w:r>
          </w:p>
        </w:tc>
      </w:tr>
      <w:tr>
        <w:trPr>
          <w:trHeight w:val="459"/>
        </w:trPr>
        <w:tc>
          <w:tcPr>
            <w:tcW w:w="4520" w:type="dxa"/>
            <w:vAlign w:val="bottom"/>
            <w:gridSpan w:val="2"/>
          </w:tcPr>
          <w:p>
            <w:pPr>
              <w:spacing w:after="0"/>
              <w:rPr>
                <w:sz w:val="20"/>
                <w:szCs w:val="20"/>
                <w:color w:val="auto"/>
              </w:rPr>
            </w:pPr>
            <w:r>
              <w:rPr>
                <w:rFonts w:ascii="Arial" w:cs="Arial" w:eastAsia="Arial" w:hAnsi="Arial"/>
                <w:sz w:val="18"/>
                <w:szCs w:val="18"/>
                <w:color w:val="auto"/>
              </w:rPr>
              <w:t>By:  /s/ Xavier Casanova</w:t>
            </w:r>
          </w:p>
        </w:tc>
        <w:tc>
          <w:tcPr>
            <w:tcW w:w="220" w:type="dxa"/>
            <w:vAlign w:val="bottom"/>
          </w:tcPr>
          <w:p>
            <w:pPr>
              <w:spacing w:after="0"/>
              <w:rPr>
                <w:sz w:val="24"/>
                <w:szCs w:val="24"/>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Email: [***]</w:t>
            </w:r>
          </w:p>
        </w:tc>
      </w:tr>
      <w:tr>
        <w:trPr>
          <w:trHeight w:val="202"/>
        </w:trPr>
        <w:tc>
          <w:tcPr>
            <w:tcW w:w="460" w:type="dxa"/>
            <w:vAlign w:val="bottom"/>
          </w:tcPr>
          <w:p>
            <w:pPr>
              <w:spacing w:after="0"/>
              <w:rPr>
                <w:sz w:val="17"/>
                <w:szCs w:val="17"/>
                <w:color w:val="auto"/>
              </w:rPr>
            </w:pPr>
          </w:p>
        </w:tc>
        <w:tc>
          <w:tcPr>
            <w:tcW w:w="40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Name: Xavier Casanova</w:t>
            </w: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30"/>
        </w:trPr>
        <w:tc>
          <w:tcPr>
            <w:tcW w:w="460" w:type="dxa"/>
            <w:vAlign w:val="bottom"/>
          </w:tcPr>
          <w:p>
            <w:pPr>
              <w:spacing w:after="0"/>
              <w:rPr>
                <w:sz w:val="20"/>
                <w:szCs w:val="20"/>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Title:  Chief Executive Officer</w:t>
            </w: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432"/>
        </w:trPr>
        <w:tc>
          <w:tcPr>
            <w:tcW w:w="4520" w:type="dxa"/>
            <w:vAlign w:val="bottom"/>
            <w:gridSpan w:val="2"/>
          </w:tcPr>
          <w:p>
            <w:pPr>
              <w:spacing w:after="0"/>
              <w:rPr>
                <w:sz w:val="20"/>
                <w:szCs w:val="20"/>
                <w:color w:val="auto"/>
              </w:rPr>
            </w:pPr>
            <w:r>
              <w:rPr>
                <w:rFonts w:ascii="Arial" w:cs="Arial" w:eastAsia="Arial" w:hAnsi="Arial"/>
                <w:sz w:val="18"/>
                <w:szCs w:val="18"/>
                <w:color w:val="auto"/>
              </w:rPr>
              <w:t>With a copy to (which shall not constitute notice):</w:t>
            </w: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PAGE INTENTIONALLY LEFT BLANK</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FOR PURCHASER FOLLOWS]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5" w:name="page36"/>
    <w:bookmarkEnd w:id="35"/>
    <w:p>
      <w:pPr>
        <w:jc w:val="center"/>
        <w:ind w:right="-19"/>
        <w:spacing w:after="0"/>
        <w:rPr>
          <w:sz w:val="20"/>
          <w:szCs w:val="20"/>
          <w:color w:val="auto"/>
        </w:rPr>
      </w:pPr>
      <w:r>
        <w:rPr>
          <w:rFonts w:ascii="Arial" w:cs="Arial" w:eastAsia="Arial" w:hAnsi="Arial"/>
          <w:sz w:val="18"/>
          <w:szCs w:val="18"/>
          <w:color w:val="auto"/>
        </w:rPr>
        <w:t>[PURCHASER SIGNATURE PAGES TO PRST SECURITIES PURCHASE AGREEMENT]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WITNESS WHEREOF, the undersigned have caused this Securities Purchase Agreement to be duly executed by their respective authorized signatories as of the date first indicated above.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Name of Purchaser: Presto CA LLC</w:t>
            </w:r>
          </w:p>
        </w:tc>
        <w:tc>
          <w:tcPr>
            <w:tcW w:w="3940" w:type="dxa"/>
            <w:vAlign w:val="bottom"/>
          </w:tcPr>
          <w:p>
            <w:pPr>
              <w:spacing w:after="0"/>
              <w:rPr>
                <w:sz w:val="20"/>
                <w:szCs w:val="20"/>
                <w:color w:val="auto"/>
              </w:rPr>
            </w:pPr>
          </w:p>
        </w:tc>
      </w:tr>
      <w:tr>
        <w:trPr>
          <w:trHeight w:val="439"/>
        </w:trPr>
        <w:tc>
          <w:tcPr>
            <w:tcW w:w="3940" w:type="dxa"/>
            <w:vAlign w:val="bottom"/>
          </w:tcPr>
          <w:p>
            <w:pPr>
              <w:spacing w:after="0"/>
              <w:rPr>
                <w:sz w:val="20"/>
                <w:szCs w:val="20"/>
                <w:color w:val="auto"/>
              </w:rPr>
            </w:pPr>
            <w:r>
              <w:rPr>
                <w:rFonts w:ascii="Arial" w:cs="Arial" w:eastAsia="Arial" w:hAnsi="Arial"/>
                <w:sz w:val="18"/>
                <w:szCs w:val="18"/>
                <w:i w:val="1"/>
                <w:iCs w:val="1"/>
                <w:color w:val="auto"/>
              </w:rPr>
              <w:t>Signature of Authorized Signatory of Purchaser</w:t>
            </w:r>
            <w:r>
              <w:rPr>
                <w:rFonts w:ascii="Arial" w:cs="Arial" w:eastAsia="Arial" w:hAnsi="Arial"/>
                <w:sz w:val="18"/>
                <w:szCs w:val="18"/>
                <w:color w:val="auto"/>
              </w:rPr>
              <w:t>:</w:t>
            </w:r>
          </w:p>
        </w:tc>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Joseph McCoy</w:t>
            </w:r>
          </w:p>
        </w:tc>
      </w:tr>
      <w:tr>
        <w:trPr>
          <w:trHeight w:val="466"/>
        </w:trPr>
        <w:tc>
          <w:tcPr>
            <w:tcW w:w="3940" w:type="dxa"/>
            <w:vAlign w:val="bottom"/>
          </w:tcPr>
          <w:p>
            <w:pPr>
              <w:spacing w:after="0"/>
              <w:rPr>
                <w:sz w:val="20"/>
                <w:szCs w:val="20"/>
                <w:color w:val="auto"/>
              </w:rPr>
            </w:pPr>
            <w:r>
              <w:rPr>
                <w:rFonts w:ascii="Arial" w:cs="Arial" w:eastAsia="Arial" w:hAnsi="Arial"/>
                <w:sz w:val="18"/>
                <w:szCs w:val="18"/>
                <w:color w:val="auto"/>
              </w:rPr>
              <w:t>Name of Authorized Signatory:</w:t>
            </w:r>
          </w:p>
        </w:tc>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Joseph McCoy</w:t>
            </w:r>
          </w:p>
        </w:tc>
      </w:tr>
      <w:tr>
        <w:trPr>
          <w:trHeight w:val="439"/>
        </w:trPr>
        <w:tc>
          <w:tcPr>
            <w:tcW w:w="3940" w:type="dxa"/>
            <w:vAlign w:val="bottom"/>
          </w:tcPr>
          <w:p>
            <w:pPr>
              <w:spacing w:after="0"/>
              <w:rPr>
                <w:sz w:val="20"/>
                <w:szCs w:val="20"/>
                <w:color w:val="auto"/>
              </w:rPr>
            </w:pPr>
            <w:r>
              <w:rPr>
                <w:rFonts w:ascii="Arial" w:cs="Arial" w:eastAsia="Arial" w:hAnsi="Arial"/>
                <w:sz w:val="18"/>
                <w:szCs w:val="18"/>
                <w:color w:val="auto"/>
              </w:rPr>
              <w:t>Title of Authorized Signatory:</w:t>
            </w:r>
          </w:p>
        </w:tc>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Authorized Signatory</w:t>
            </w:r>
          </w:p>
        </w:tc>
      </w:tr>
      <w:tr>
        <w:trPr>
          <w:trHeight w:val="466"/>
        </w:trPr>
        <w:tc>
          <w:tcPr>
            <w:tcW w:w="3940" w:type="dxa"/>
            <w:vAlign w:val="bottom"/>
          </w:tcPr>
          <w:p>
            <w:pPr>
              <w:spacing w:after="0"/>
              <w:rPr>
                <w:sz w:val="20"/>
                <w:szCs w:val="20"/>
                <w:color w:val="auto"/>
              </w:rPr>
            </w:pPr>
            <w:r>
              <w:rPr>
                <w:rFonts w:ascii="Arial" w:cs="Arial" w:eastAsia="Arial" w:hAnsi="Arial"/>
                <w:sz w:val="18"/>
                <w:szCs w:val="18"/>
                <w:color w:val="auto"/>
              </w:rPr>
              <w:t>Email Address of Authorized Signatory:</w:t>
            </w:r>
          </w:p>
        </w:tc>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r>
      <w:tr>
        <w:trPr>
          <w:trHeight w:val="432"/>
        </w:trPr>
        <w:tc>
          <w:tcPr>
            <w:tcW w:w="3940" w:type="dxa"/>
            <w:vAlign w:val="bottom"/>
          </w:tcPr>
          <w:p>
            <w:pPr>
              <w:spacing w:after="0"/>
              <w:rPr>
                <w:sz w:val="20"/>
                <w:szCs w:val="20"/>
                <w:color w:val="auto"/>
              </w:rPr>
            </w:pPr>
            <w:r>
              <w:rPr>
                <w:rFonts w:ascii="Arial" w:cs="Arial" w:eastAsia="Arial" w:hAnsi="Arial"/>
                <w:sz w:val="18"/>
                <w:szCs w:val="18"/>
                <w:color w:val="auto"/>
              </w:rPr>
              <w:t>Address for Notice to Purchaser:</w:t>
            </w:r>
          </w:p>
        </w:tc>
        <w:tc>
          <w:tcPr>
            <w:tcW w:w="3940" w:type="dxa"/>
            <w:vAlign w:val="bottom"/>
          </w:tcPr>
          <w:p>
            <w:pPr>
              <w:spacing w:after="0"/>
              <w:rPr>
                <w:sz w:val="24"/>
                <w:szCs w:val="24"/>
                <w:color w:val="auto"/>
              </w:rPr>
            </w:pPr>
          </w:p>
        </w:tc>
      </w:tr>
      <w:tr>
        <w:trPr>
          <w:trHeight w:val="418"/>
        </w:trPr>
        <w:tc>
          <w:tcPr>
            <w:tcW w:w="3940" w:type="dxa"/>
            <w:vAlign w:val="bottom"/>
          </w:tcPr>
          <w:p>
            <w:pPr>
              <w:spacing w:after="0"/>
              <w:rPr>
                <w:sz w:val="20"/>
                <w:szCs w:val="20"/>
                <w:color w:val="auto"/>
              </w:rPr>
            </w:pPr>
            <w:r>
              <w:rPr>
                <w:rFonts w:ascii="Arial" w:cs="Arial" w:eastAsia="Arial" w:hAnsi="Arial"/>
                <w:sz w:val="18"/>
                <w:szCs w:val="18"/>
                <w:color w:val="auto"/>
              </w:rPr>
              <w:t>222 N. Canal Street, Third Floor</w:t>
            </w:r>
          </w:p>
        </w:tc>
        <w:tc>
          <w:tcPr>
            <w:tcW w:w="3940" w:type="dxa"/>
            <w:vAlign w:val="bottom"/>
          </w:tcPr>
          <w:p>
            <w:pPr>
              <w:spacing w:after="0"/>
              <w:rPr>
                <w:sz w:val="24"/>
                <w:szCs w:val="24"/>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Chicago, IL 60606</w:t>
            </w:r>
          </w:p>
        </w:tc>
        <w:tc>
          <w:tcPr>
            <w:tcW w:w="394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240"/>
          </w:cols>
          <w:pgMar w:left="320" w:top="9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Shares: 1,500,000</w:t>
      </w:r>
    </w:p>
    <w:p>
      <w:pPr>
        <w:spacing w:after="0" w:line="225" w:lineRule="exact"/>
        <w:rPr>
          <w:sz w:val="20"/>
          <w:szCs w:val="20"/>
          <w:color w:val="auto"/>
        </w:rPr>
      </w:pPr>
    </w:p>
    <w:p>
      <w:pPr>
        <w:spacing w:after="0"/>
        <w:tabs>
          <w:tab w:leader="none" w:pos="1560" w:val="left"/>
        </w:tabs>
        <w:rPr>
          <w:sz w:val="20"/>
          <w:szCs w:val="20"/>
          <w:color w:val="auto"/>
        </w:rPr>
      </w:pPr>
      <w:r>
        <w:rPr>
          <w:rFonts w:ascii="Arial" w:cs="Arial" w:eastAsia="Arial" w:hAnsi="Arial"/>
          <w:sz w:val="18"/>
          <w:szCs w:val="18"/>
          <w:color w:val="auto"/>
        </w:rPr>
        <w:t>EIN Number:</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14605</wp:posOffset>
            </wp:positionV>
            <wp:extent cx="249428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PAGES CONTINUE]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REGISTRATION RIGHTS AGREEMENT</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This Registration Rights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made and entered into as of October 16, 2023, between Presto Automation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the purchaser signatory hereto (the “</w:t>
      </w:r>
      <w:r>
        <w:rPr>
          <w:rFonts w:ascii="Arial" w:cs="Arial" w:eastAsia="Arial" w:hAnsi="Arial"/>
          <w:sz w:val="18"/>
          <w:szCs w:val="18"/>
          <w:u w:val="single" w:color="auto"/>
          <w:color w:val="auto"/>
        </w:rPr>
        <w:t>Purchaser</w:t>
      </w:r>
      <w:r>
        <w:rPr>
          <w:rFonts w:ascii="Arial" w:cs="Arial" w:eastAsia="Arial" w:hAnsi="Arial"/>
          <w:sz w:val="18"/>
          <w:szCs w:val="18"/>
          <w:color w:val="auto"/>
        </w:rPr>
        <w:t>”).</w:t>
      </w:r>
    </w:p>
    <w:p>
      <w:pPr>
        <w:spacing w:after="0" w:line="170" w:lineRule="exact"/>
        <w:rPr>
          <w:sz w:val="20"/>
          <w:szCs w:val="20"/>
          <w:color w:val="auto"/>
        </w:rPr>
      </w:pPr>
    </w:p>
    <w:p>
      <w:pPr>
        <w:ind w:firstLine="972"/>
        <w:spacing w:after="0" w:line="277" w:lineRule="auto"/>
        <w:rPr>
          <w:sz w:val="20"/>
          <w:szCs w:val="20"/>
          <w:color w:val="auto"/>
        </w:rPr>
      </w:pPr>
      <w:r>
        <w:rPr>
          <w:rFonts w:ascii="Arial" w:cs="Arial" w:eastAsia="Arial" w:hAnsi="Arial"/>
          <w:sz w:val="18"/>
          <w:szCs w:val="18"/>
          <w:color w:val="auto"/>
        </w:rPr>
        <w:t>This Agreement is made pursuant to the Securities Purchase Agreement, dated as of October 10, 2023, between the Company and the Purchaser (the “</w:t>
      </w:r>
      <w:r>
        <w:rPr>
          <w:rFonts w:ascii="Arial" w:cs="Arial" w:eastAsia="Arial" w:hAnsi="Arial"/>
          <w:sz w:val="18"/>
          <w:szCs w:val="18"/>
          <w:u w:val="single" w:color="auto"/>
          <w:color w:val="auto"/>
        </w:rPr>
        <w:t>Purchase Agreement</w:t>
      </w:r>
      <w:r>
        <w:rPr>
          <w:rFonts w:ascii="Arial" w:cs="Arial" w:eastAsia="Arial" w:hAnsi="Arial"/>
          <w:sz w:val="18"/>
          <w:szCs w:val="18"/>
          <w:color w:val="auto"/>
        </w:rPr>
        <w:t>”).</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Company and the Purchaser hereby agrees as follows:</w:t>
      </w:r>
    </w:p>
    <w:p>
      <w:pPr>
        <w:spacing w:after="0" w:line="225" w:lineRule="exact"/>
        <w:rPr>
          <w:sz w:val="20"/>
          <w:szCs w:val="20"/>
          <w:color w:val="auto"/>
        </w:rPr>
      </w:pPr>
    </w:p>
    <w:p>
      <w:pPr>
        <w:ind w:left="1160" w:hanging="180"/>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21" w:lineRule="exact"/>
        <w:rPr>
          <w:sz w:val="20"/>
          <w:szCs w:val="20"/>
          <w:color w:val="auto"/>
        </w:rPr>
      </w:pPr>
    </w:p>
    <w:p>
      <w:pPr>
        <w:ind w:firstLine="972"/>
        <w:spacing w:after="0" w:line="312" w:lineRule="auto"/>
        <w:rPr>
          <w:sz w:val="20"/>
          <w:szCs w:val="20"/>
          <w:color w:val="auto"/>
        </w:rPr>
      </w:pPr>
      <w:r>
        <w:rPr>
          <w:rFonts w:ascii="Arial" w:cs="Arial" w:eastAsia="Arial" w:hAnsi="Arial"/>
          <w:sz w:val="17"/>
          <w:szCs w:val="17"/>
          <w:b w:val="1"/>
          <w:bCs w:val="1"/>
          <w:color w:val="auto"/>
        </w:rPr>
        <w:t xml:space="preserve">Capitalized terms used and not otherwise defined herein that are defined in the Purchase Agreement shall have the meanings given such terms in the Purchase Agreement. </w:t>
      </w:r>
      <w:r>
        <w:rPr>
          <w:rFonts w:ascii="Arial" w:cs="Arial" w:eastAsia="Arial" w:hAnsi="Arial"/>
          <w:sz w:val="17"/>
          <w:szCs w:val="17"/>
          <w:color w:val="auto"/>
        </w:rPr>
        <w:t>As used in this Agreement, the following terms shall have the following meanings:</w:t>
      </w:r>
    </w:p>
    <w:p>
      <w:pPr>
        <w:spacing w:after="0" w:line="14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Advice</w:t>
      </w:r>
      <w:r>
        <w:rPr>
          <w:rFonts w:ascii="Arial" w:cs="Arial" w:eastAsia="Arial" w:hAnsi="Arial"/>
          <w:sz w:val="18"/>
          <w:szCs w:val="18"/>
          <w:color w:val="auto"/>
        </w:rPr>
        <w:t>” shall have the meaning set forth in Section 6(c).</w:t>
      </w:r>
    </w:p>
    <w:p>
      <w:pPr>
        <w:spacing w:after="0" w:line="229" w:lineRule="exact"/>
        <w:rPr>
          <w:sz w:val="20"/>
          <w:szCs w:val="20"/>
          <w:color w:val="auto"/>
        </w:rPr>
      </w:pPr>
    </w:p>
    <w:p>
      <w:pPr>
        <w:jc w:val="both"/>
        <w:ind w:left="660" w:firstLine="648"/>
        <w:spacing w:after="0" w:line="20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Effectiveness Date</w:t>
      </w:r>
      <w:r>
        <w:rPr>
          <w:rFonts w:ascii="Arial" w:cs="Arial" w:eastAsia="Arial" w:hAnsi="Arial"/>
          <w:sz w:val="16"/>
          <w:szCs w:val="16"/>
          <w:color w:val="auto"/>
        </w:rPr>
        <w:t>” means, with respect to the Initial Registration Statement required to be filed hereunder, the 60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calendar day following the date hereof (or, in the event of a “full review” by the Commission, the 90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calendar day following the date hereof) and with respect to any additional Registration Statements which may be required pursuant to Section 2(c) or Section 3(c), the 60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calendar day following the date</w:t>
      </w:r>
    </w:p>
    <w:p>
      <w:pPr>
        <w:jc w:val="both"/>
        <w:ind w:left="660"/>
        <w:spacing w:after="0" w:line="247" w:lineRule="auto"/>
        <w:rPr>
          <w:sz w:val="20"/>
          <w:szCs w:val="20"/>
          <w:color w:val="auto"/>
        </w:rPr>
      </w:pPr>
      <w:r>
        <w:rPr>
          <w:rFonts w:ascii="Arial" w:cs="Arial" w:eastAsia="Arial" w:hAnsi="Arial"/>
          <w:sz w:val="17"/>
          <w:szCs w:val="17"/>
          <w:color w:val="auto"/>
        </w:rPr>
        <w:t>on which an additional Registration Statement is required to be filed hereunder (or, in the event of a “full review” by the Commission, the 90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calendar day following the date such additional Registration Statement is required to be filed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event the Company is notified by the Commission that one or more of the above Registration Statements will not be reviewed or is no longer subject to further review and comments, the Effectiveness Date as to such Registration Statement shall be the fifth Trading Day following the date on which the Company is so notified if such date precedes the dates otherwise required above, provided, further, if such Effectiveness Date falls on a day that is not a Trading Day, then the Effectiveness Date shall be the next succeeding Trading Day.</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Effectiveness Period</w:t>
      </w:r>
      <w:r>
        <w:rPr>
          <w:rFonts w:ascii="Arial" w:cs="Arial" w:eastAsia="Arial" w:hAnsi="Arial"/>
          <w:sz w:val="18"/>
          <w:szCs w:val="18"/>
          <w:color w:val="auto"/>
        </w:rPr>
        <w:t>” shall have the meaning set forth in Section 2(a).</w:t>
      </w:r>
    </w:p>
    <w:p>
      <w:pPr>
        <w:spacing w:after="0" w:line="229" w:lineRule="exact"/>
        <w:rPr>
          <w:sz w:val="20"/>
          <w:szCs w:val="20"/>
          <w:color w:val="auto"/>
        </w:rPr>
      </w:pPr>
    </w:p>
    <w:p>
      <w:pPr>
        <w:jc w:val="both"/>
        <w:ind w:left="660" w:firstLine="648"/>
        <w:spacing w:after="0" w:line="25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Filing Date</w:t>
      </w:r>
      <w:r>
        <w:rPr>
          <w:rFonts w:ascii="Arial" w:cs="Arial" w:eastAsia="Arial" w:hAnsi="Arial"/>
          <w:sz w:val="16"/>
          <w:szCs w:val="16"/>
          <w:color w:val="auto"/>
        </w:rPr>
        <w:t>” means, with respect to the Initial Registration Statement required hereunder, the 30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calendar day following the date hereof and, with respect to any additional Registration Statements which may be required pursuant to Section 2(c) or Section 3(c), the earliest practical date on which the Company is permitted by SEC Guidance to file such additional Registration Statement related to the Registrable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Holder</w:t>
      </w:r>
      <w:r>
        <w:rPr>
          <w:rFonts w:ascii="Arial" w:cs="Arial" w:eastAsia="Arial" w:hAnsi="Arial"/>
          <w:sz w:val="18"/>
          <w:szCs w:val="18"/>
          <w:color w:val="auto"/>
        </w:rPr>
        <w:t>” or “</w:t>
      </w:r>
      <w:r>
        <w:rPr>
          <w:rFonts w:ascii="Arial" w:cs="Arial" w:eastAsia="Arial" w:hAnsi="Arial"/>
          <w:sz w:val="18"/>
          <w:szCs w:val="18"/>
          <w:u w:val="single" w:color="auto"/>
          <w:color w:val="auto"/>
        </w:rPr>
        <w:t>Holders</w:t>
      </w:r>
      <w:r>
        <w:rPr>
          <w:rFonts w:ascii="Arial" w:cs="Arial" w:eastAsia="Arial" w:hAnsi="Arial"/>
          <w:sz w:val="18"/>
          <w:szCs w:val="18"/>
          <w:color w:val="auto"/>
        </w:rPr>
        <w:t>” means the holder or holders, as the case may be, from time to time of Registrable Securities. To the extent there is only one Holder, the term Holders shall mean the Holder.</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Party</w:t>
      </w:r>
      <w:r>
        <w:rPr>
          <w:rFonts w:ascii="Arial" w:cs="Arial" w:eastAsia="Arial" w:hAnsi="Arial"/>
          <w:sz w:val="18"/>
          <w:szCs w:val="18"/>
          <w:color w:val="auto"/>
        </w:rPr>
        <w:t>” shall have the meaning set forth in Section 5(c).</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Indemnifying Party</w:t>
      </w:r>
      <w:r>
        <w:rPr>
          <w:rFonts w:ascii="Arial" w:cs="Arial" w:eastAsia="Arial" w:hAnsi="Arial"/>
          <w:sz w:val="18"/>
          <w:szCs w:val="18"/>
          <w:color w:val="auto"/>
        </w:rPr>
        <w:t>” shall have the meaning set forth in Section 5(c).</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Registration Statement</w:t>
      </w:r>
      <w:r>
        <w:rPr>
          <w:rFonts w:ascii="Arial" w:cs="Arial" w:eastAsia="Arial" w:hAnsi="Arial"/>
          <w:sz w:val="18"/>
          <w:szCs w:val="18"/>
          <w:color w:val="auto"/>
        </w:rPr>
        <w:t>” means the initial Registration Statement filed pursuant to this Agreement.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Losses</w:t>
      </w:r>
      <w:r>
        <w:rPr>
          <w:rFonts w:ascii="Arial" w:cs="Arial" w:eastAsia="Arial" w:hAnsi="Arial"/>
          <w:sz w:val="18"/>
          <w:szCs w:val="18"/>
          <w:color w:val="auto"/>
        </w:rPr>
        <w:t>” shall have the meaning set forth in Section 5(a).</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 of Distribution</w:t>
      </w:r>
      <w:r>
        <w:rPr>
          <w:rFonts w:ascii="Arial" w:cs="Arial" w:eastAsia="Arial" w:hAnsi="Arial"/>
          <w:sz w:val="18"/>
          <w:szCs w:val="18"/>
          <w:color w:val="auto"/>
        </w:rPr>
        <w:t>” shall have the meaning set forth in Section 2(a).</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Prospectus</w:t>
      </w:r>
      <w:r>
        <w:rPr>
          <w:rFonts w:ascii="Arial" w:cs="Arial" w:eastAsia="Arial" w:hAnsi="Arial"/>
          <w:sz w:val="18"/>
          <w:szCs w:val="18"/>
          <w:color w:val="auto"/>
        </w:rPr>
        <w:t>” means the prospectus included in a Registration Statement (including, without limitation, a prospectus that includes any information previously omitted from a prospectus filed as part of an effective registration statement in reliance upon Rule 430A promulgated by the Commission pursuant to the Securities Act), as amended or supplemented by any prospectus supplement, with respect to the terms of the offering of any portion of the Registrable Securities covered by a Registration Statement, and all other amendments and supplements to the Prospectus, including post-effective amendments, and all material incorporated by reference or deemed to be incorporated by reference in such Prospectus.</w:t>
      </w:r>
    </w:p>
    <w:p>
      <w:pPr>
        <w:spacing w:after="0" w:line="19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Registrable Securities</w:t>
      </w:r>
      <w:r>
        <w:rPr>
          <w:rFonts w:ascii="Arial" w:cs="Arial" w:eastAsia="Arial" w:hAnsi="Arial"/>
          <w:sz w:val="17"/>
          <w:szCs w:val="17"/>
          <w:color w:val="auto"/>
        </w:rPr>
        <w:t xml:space="preserve">” means, as of any date of determination, all of the Shares;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any such Registrable Securities shall cease to be Registrable Securities (and the Company shall not be required to maintain the effectiveness of any, or file another, Registration Statement hereunder with respect thereto) for so long as (a) a Registration Statement with respect to the sale of such Registrable Securities is declared effective by the Commission under the Securities Act and such Registrable Securities have been disposed of by the Holder in accordance with such effective Registration Statement, (b) such Registrable Securities have been previously sold in accordance with Rule 144, or (c) such securities become eligible for resale without volume or manner-of-sale restrictions and without current public information pursuant to Rule 144 as set forth in a written opinion letter to such effect, addressed, delivered and acceptable to the Transfer Agent and the affected Holders (assuming that such securities and any securities issuable upon exercise, conversion or exchange of which, or as a dividend upon which, such securities were issued or are issuable, were at no time held by any Affiliate of the Company, as reasonably determined by the Company, upon the advice of counsel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417830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38" w:name="page39"/>
    <w:bookmarkEnd w:id="38"/>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means any registration statement required to be filed hereunder pursuant to Section 2(a) and any additional registration statements contemplated by Section 2(c) or Section 3(c), including (in each case) the Prospectus, amendments and supplements to any such registration statement or Prospectus, including pre- and post-effective amendments, all exhibits thereto, and all material incorporated by reference or deemed to be incorporated by reference in any such registration statement.</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415</w:t>
      </w:r>
      <w:r>
        <w:rPr>
          <w:rFonts w:ascii="Arial" w:cs="Arial" w:eastAsia="Arial" w:hAnsi="Arial"/>
          <w:sz w:val="18"/>
          <w:szCs w:val="18"/>
          <w:color w:val="auto"/>
        </w:rPr>
        <w:t>” means Rule 415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424</w:t>
      </w:r>
      <w:r>
        <w:rPr>
          <w:rFonts w:ascii="Arial" w:cs="Arial" w:eastAsia="Arial" w:hAnsi="Arial"/>
          <w:sz w:val="18"/>
          <w:szCs w:val="18"/>
          <w:color w:val="auto"/>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Selling Stockholder Questionnaire</w:t>
      </w:r>
      <w:r>
        <w:rPr>
          <w:rFonts w:ascii="Arial" w:cs="Arial" w:eastAsia="Arial" w:hAnsi="Arial"/>
          <w:sz w:val="18"/>
          <w:szCs w:val="18"/>
          <w:color w:val="auto"/>
        </w:rPr>
        <w:t>” shall have the meaning set forth in Section 3(a).</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 Guidance</w:t>
      </w:r>
      <w:r>
        <w:rPr>
          <w:rFonts w:ascii="Arial" w:cs="Arial" w:eastAsia="Arial" w:hAnsi="Arial"/>
          <w:sz w:val="18"/>
          <w:szCs w:val="18"/>
          <w:color w:val="auto"/>
        </w:rPr>
        <w:t>” means (i) any publicly-available written or oral guidance of the Commission staff, or any comments, requirements or requests of the Commission staff and (ii) the Securities Act.</w:t>
      </w:r>
    </w:p>
    <w:p>
      <w:pPr>
        <w:spacing w:after="0" w:line="170" w:lineRule="exact"/>
        <w:rPr>
          <w:sz w:val="20"/>
          <w:szCs w:val="20"/>
          <w:color w:val="auto"/>
        </w:rPr>
      </w:pPr>
    </w:p>
    <w:p>
      <w:pPr>
        <w:ind w:left="500" w:hanging="180"/>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Shelf Registration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644"/>
        <w:spacing w:after="0" w:line="285" w:lineRule="auto"/>
        <w:tabs>
          <w:tab w:leader="none" w:pos="892" w:val="left"/>
        </w:tabs>
        <w:numPr>
          <w:ilvl w:val="1"/>
          <w:numId w:val="24"/>
        </w:numPr>
        <w:rPr>
          <w:rFonts w:ascii="Arial" w:cs="Arial" w:eastAsia="Arial" w:hAnsi="Arial"/>
          <w:sz w:val="16"/>
          <w:szCs w:val="16"/>
          <w:color w:val="auto"/>
        </w:rPr>
      </w:pPr>
      <w:r>
        <w:rPr>
          <w:rFonts w:ascii="Arial" w:cs="Arial" w:eastAsia="Arial" w:hAnsi="Arial"/>
          <w:sz w:val="16"/>
          <w:szCs w:val="16"/>
          <w:color w:val="auto"/>
        </w:rPr>
        <w:t>On or prior to each Filing Date, the Company shall prepare and file with the Commission a Registration Statement covering the resale of all of the Registrable Securities that are not then registered on an effective Registration Statement for an offering to be made on a continuous basis pursuant to Rule 415. Each Registration Statement filed hereunder shall be on Form S-3 (except if the Company is not then eligible to register for resale the Registrable Securities on Form S-3, in which case such registration shall be on Form S-1 or another appropriate form in accordance herewith, subject to the provisions of Section 2(d)) and shall contain (unless otherwise directed by at least a majority in interest of the Holders) substantially the “</w:t>
      </w:r>
      <w:r>
        <w:rPr>
          <w:rFonts w:ascii="Arial" w:cs="Arial" w:eastAsia="Arial" w:hAnsi="Arial"/>
          <w:sz w:val="16"/>
          <w:szCs w:val="16"/>
          <w:u w:val="single" w:color="auto"/>
          <w:color w:val="auto"/>
        </w:rPr>
        <w:t>Plan of Distribution</w:t>
      </w:r>
      <w:r>
        <w:rPr>
          <w:rFonts w:ascii="Arial" w:cs="Arial" w:eastAsia="Arial" w:hAnsi="Arial"/>
          <w:sz w:val="16"/>
          <w:szCs w:val="16"/>
          <w:color w:val="auto"/>
        </w:rPr>
        <w:t xml:space="preserve">” attached hereto as </w:t>
      </w:r>
      <w:r>
        <w:rPr>
          <w:rFonts w:ascii="Arial" w:cs="Arial" w:eastAsia="Arial" w:hAnsi="Arial"/>
          <w:sz w:val="16"/>
          <w:szCs w:val="16"/>
          <w:u w:val="single" w:color="auto"/>
          <w:color w:val="auto"/>
        </w:rPr>
        <w:t>Annex A</w:t>
      </w:r>
      <w:r>
        <w:rPr>
          <w:rFonts w:ascii="Arial" w:cs="Arial" w:eastAsia="Arial" w:hAnsi="Arial"/>
          <w:sz w:val="16"/>
          <w:szCs w:val="16"/>
          <w:color w:val="auto"/>
        </w:rPr>
        <w:t xml:space="preserve"> and substantially the “</w:t>
      </w:r>
      <w:r>
        <w:rPr>
          <w:rFonts w:ascii="Arial" w:cs="Arial" w:eastAsia="Arial" w:hAnsi="Arial"/>
          <w:sz w:val="16"/>
          <w:szCs w:val="16"/>
          <w:u w:val="single" w:color="auto"/>
          <w:color w:val="auto"/>
        </w:rPr>
        <w:t>Selling Stockholder</w:t>
      </w:r>
      <w:r>
        <w:rPr>
          <w:rFonts w:ascii="Arial" w:cs="Arial" w:eastAsia="Arial" w:hAnsi="Arial"/>
          <w:sz w:val="16"/>
          <w:szCs w:val="16"/>
          <w:color w:val="auto"/>
        </w:rPr>
        <w:t xml:space="preserve">” section attached hereto as </w:t>
      </w:r>
      <w:r>
        <w:rPr>
          <w:rFonts w:ascii="Arial" w:cs="Arial" w:eastAsia="Arial" w:hAnsi="Arial"/>
          <w:sz w:val="16"/>
          <w:szCs w:val="16"/>
          <w:u w:val="single" w:color="auto"/>
          <w:color w:val="auto"/>
        </w:rPr>
        <w:t>Annex B</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Holder shall be required to be named as an “underwriter” without such Holder’s express prior written consent. Subject to the terms of this Agreement, the Company shall use its commercially reasonable efforts to cause a Registration Statement filed under this Agreement (including, without limitation, under Section 3(c)) to be declared effective under the Securities Act as promptly as possible after the filing thereof, but in any event no later than the applicable Effectiveness Date, and shall use its commercially reasonable efforts to keep such Registration Statement continuously effective under the Securities Act until the date that all Registrable Securities covered by such Registration Statement (i) have been sold, thereunder or pursuant to Rule 144, or (ii) may be sold by a non-Affiliate of the Company without volume or manner-of-sale restrictions pursuant to Rule 144 and without the requirement for the Company to be in compliance with the current public information requirement under Rule 144, as determined by the counsel to the Company pursuant to a written opinion letter to such effect, addressed and acceptable to the Transfer Agent and the affected Holders (the “</w:t>
      </w:r>
      <w:r>
        <w:rPr>
          <w:rFonts w:ascii="Arial" w:cs="Arial" w:eastAsia="Arial" w:hAnsi="Arial"/>
          <w:sz w:val="16"/>
          <w:szCs w:val="16"/>
          <w:u w:val="single" w:color="auto"/>
          <w:color w:val="auto"/>
        </w:rPr>
        <w:t>Effectiveness Period</w:t>
      </w:r>
      <w:r>
        <w:rPr>
          <w:rFonts w:ascii="Arial" w:cs="Arial" w:eastAsia="Arial" w:hAnsi="Arial"/>
          <w:sz w:val="16"/>
          <w:szCs w:val="16"/>
          <w:color w:val="auto"/>
        </w:rPr>
        <w:t>”). The Company shall telephonically request effectiveness of a Registration Statement as of 5:00 p.m. (New York City time) on a Trading Day. The Company shall promptly notify the Holders via e-mail of the effectiveness of a Registration Statement on the same Trading Day that the Company telephonically confirms effectiveness with the Commission, which shall be the date requested for effectiveness of such Registration Statement. The Company shall, by 9:30 a.m. (New York City time) on the Trading Day after the effective date of such Registration Statement, file a final Prospectus with the Commission as required by Rule 424.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544830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39" w:name="page40"/>
    <w:bookmarkEnd w:id="39"/>
    <w:p>
      <w:pPr>
        <w:jc w:val="both"/>
        <w:ind w:firstLine="644"/>
        <w:spacing w:after="0" w:line="290" w:lineRule="auto"/>
        <w:tabs>
          <w:tab w:leader="none" w:pos="941" w:val="left"/>
        </w:tabs>
        <w:numPr>
          <w:ilvl w:val="1"/>
          <w:numId w:val="25"/>
        </w:numPr>
        <w:rPr>
          <w:rFonts w:ascii="Arial" w:cs="Arial" w:eastAsia="Arial" w:hAnsi="Arial"/>
          <w:sz w:val="16"/>
          <w:szCs w:val="16"/>
          <w:color w:val="auto"/>
        </w:rPr>
      </w:pPr>
      <w:r>
        <w:rPr>
          <w:rFonts w:ascii="Arial" w:cs="Arial" w:eastAsia="Arial" w:hAnsi="Arial"/>
          <w:sz w:val="16"/>
          <w:szCs w:val="16"/>
          <w:color w:val="auto"/>
        </w:rPr>
        <w:t xml:space="preserve">Notwithstanding the registration obligations set forth in Section 2(a), if the Commission informs the Company that all of the Registrable Securities cannot, as a result of the application of Rule 415, be registered for resale as a secondary offering on a single registration statement, the Company agrees to promptly inform each of the Holders thereof and use its commercially reasonable efforts to file amendments to the Initial Registration Statement as required by the Commission, covering the maximum number of Registrable Securities permitted to be registered by the Commission, on Form S-3 or such other form available to register for resale the Registrable Securities as a secondary offering, subject to the provisions of Section 2(d) with respect to filing on Form S-3 or other appropriate form;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prior to filing such amendment, the Company shall be obligated to use diligent efforts to advocate with the Commission for the registration of all of the Registrable Securities in accordance with the SEC Guidance, including without limitation, Compliance and Disclosure Interpretation 612.09.</w:t>
      </w:r>
    </w:p>
    <w:p>
      <w:pPr>
        <w:spacing w:after="0" w:line="165" w:lineRule="exact"/>
        <w:rPr>
          <w:rFonts w:ascii="Arial" w:cs="Arial" w:eastAsia="Arial" w:hAnsi="Arial"/>
          <w:sz w:val="16"/>
          <w:szCs w:val="16"/>
          <w:color w:val="auto"/>
        </w:rPr>
      </w:pPr>
    </w:p>
    <w:p>
      <w:pPr>
        <w:jc w:val="both"/>
        <w:ind w:firstLine="644"/>
        <w:spacing w:after="0" w:line="257" w:lineRule="auto"/>
        <w:tabs>
          <w:tab w:leader="none" w:pos="892" w:val="left"/>
        </w:tabs>
        <w:numPr>
          <w:ilvl w:val="1"/>
          <w:numId w:val="25"/>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if the Commission or any SEC Guidance sets forth a limitation on the number of Registrable Securities permitted to be registered on a particular Registration Statement as a secondary offering (and notwithstanding that the Company used diligent efforts to advocate with the Commission for the registration of all or a greater portion of Registrable Securities), unless otherwise directed in writing by a Holder as to its Registrable Securities, the number of Registrable Securities to be registered on such Registration Statement will be reduced as follows:</w:t>
      </w:r>
    </w:p>
    <w:p>
      <w:pPr>
        <w:spacing w:after="0" w:line="187" w:lineRule="exact"/>
        <w:rPr>
          <w:rFonts w:ascii="Arial" w:cs="Arial" w:eastAsia="Arial" w:hAnsi="Arial"/>
          <w:sz w:val="18"/>
          <w:szCs w:val="18"/>
          <w:color w:val="auto"/>
        </w:rPr>
      </w:pPr>
    </w:p>
    <w:p>
      <w:pPr>
        <w:ind w:left="640" w:hanging="320"/>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First, the Company shall reduce or eliminate any securities to be included other than Registrable Securities; and</w:t>
      </w:r>
    </w:p>
    <w:p>
      <w:pPr>
        <w:spacing w:after="0" w:line="225" w:lineRule="exact"/>
        <w:rPr>
          <w:rFonts w:ascii="Arial" w:cs="Arial" w:eastAsia="Arial" w:hAnsi="Arial"/>
          <w:sz w:val="18"/>
          <w:szCs w:val="18"/>
          <w:color w:val="auto"/>
        </w:rPr>
      </w:pPr>
    </w:p>
    <w:p>
      <w:pPr>
        <w:ind w:left="640" w:hanging="320"/>
        <w:spacing w:after="0" w:line="308" w:lineRule="auto"/>
        <w:tabs>
          <w:tab w:leader="none" w:pos="6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Second, the Company shall reduce Registrable Securities represented by Shares (applied, in the case that some Shares may be registered, to the Holders on a pro rata basis based on the total number of unregistered Shares held by such Holders).</w:t>
      </w:r>
    </w:p>
    <w:p>
      <w:pPr>
        <w:spacing w:after="0" w:line="14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the event of a cutback hereunder, the Company shall give the Holder at least three Trading Days’ prior written notice along with the calculations as to such Holder’s allotment. In the event the Company amends the Initial Registration Statement in accordance with the foregoing, the Company will use its best efforts to file with the Commission, as promptly as allowed by Commission or SEC Guidance provided to the Company or to registrants of securities in general, one or more registration statements on Form S-3 or such other form available to register for resale those Registrable Securities that were not registered for resale on the Initial Registration Statement, as amended.</w:t>
      </w:r>
    </w:p>
    <w:p>
      <w:pPr>
        <w:spacing w:after="0" w:line="161" w:lineRule="exact"/>
        <w:rPr>
          <w:sz w:val="20"/>
          <w:szCs w:val="20"/>
          <w:color w:val="auto"/>
        </w:rPr>
      </w:pPr>
    </w:p>
    <w:p>
      <w:pPr>
        <w:jc w:val="both"/>
        <w:ind w:firstLine="644"/>
        <w:spacing w:after="0" w:line="301" w:lineRule="auto"/>
        <w:tabs>
          <w:tab w:leader="none" w:pos="916" w:val="left"/>
        </w:tabs>
        <w:numPr>
          <w:ilvl w:val="0"/>
          <w:numId w:val="27"/>
        </w:numPr>
        <w:rPr>
          <w:rFonts w:ascii="Arial" w:cs="Arial" w:eastAsia="Arial" w:hAnsi="Arial"/>
          <w:sz w:val="16"/>
          <w:szCs w:val="16"/>
          <w:color w:val="auto"/>
        </w:rPr>
      </w:pPr>
      <w:r>
        <w:rPr>
          <w:rFonts w:ascii="Arial" w:cs="Arial" w:eastAsia="Arial" w:hAnsi="Arial"/>
          <w:sz w:val="16"/>
          <w:szCs w:val="16"/>
          <w:color w:val="auto"/>
        </w:rPr>
        <w:t>If Form S-3 is not available for the registration of the resale of Registrable Securities hereunder, the Company shall (i) register the resale of the Registrable Securities on Form S-1 or another appropriate form and (ii) undertake to register the Registrable Securities on Form S-3 as soon as such form is available, provided that the Company shall maintain the effectiveness of the Registration Statement then in effect until such time as a Registration Statement on Form S-3 covering the Registrable Securities has been declared effective by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400050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40" w:name="page41"/>
    <w:bookmarkEnd w:id="40"/>
    <w:p>
      <w:pPr>
        <w:ind w:left="4" w:firstLine="644"/>
        <w:spacing w:after="0" w:line="277" w:lineRule="auto"/>
        <w:tabs>
          <w:tab w:leader="none" w:pos="923" w:val="left"/>
        </w:tabs>
        <w:numPr>
          <w:ilvl w:val="1"/>
          <w:numId w:val="28"/>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herein, in no event shall the Company be permitted to name any Holder or affiliate of a Holder as any “underwriter” without the prior written consent of such Holder.</w:t>
      </w:r>
    </w:p>
    <w:p>
      <w:pPr>
        <w:spacing w:after="0" w:line="170" w:lineRule="exact"/>
        <w:rPr>
          <w:rFonts w:ascii="Arial" w:cs="Arial" w:eastAsia="Arial" w:hAnsi="Arial"/>
          <w:sz w:val="18"/>
          <w:szCs w:val="18"/>
          <w:color w:val="auto"/>
        </w:rPr>
      </w:pPr>
    </w:p>
    <w:p>
      <w:pPr>
        <w:ind w:left="184" w:hanging="184"/>
        <w:spacing w:after="0"/>
        <w:tabs>
          <w:tab w:leader="none" w:pos="184"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Registration Procedures</w:t>
      </w:r>
      <w:r>
        <w:rPr>
          <w:rFonts w:ascii="Arial" w:cs="Arial" w:eastAsia="Arial" w:hAnsi="Arial"/>
          <w:sz w:val="18"/>
          <w:szCs w:val="18"/>
          <w:color w:val="auto"/>
        </w:rPr>
        <w:t>.</w:t>
      </w:r>
    </w:p>
    <w:p>
      <w:pPr>
        <w:spacing w:after="0" w:line="225" w:lineRule="exact"/>
        <w:rPr>
          <w:sz w:val="20"/>
          <w:szCs w:val="20"/>
          <w:color w:val="auto"/>
        </w:rPr>
      </w:pPr>
    </w:p>
    <w:p>
      <w:pPr>
        <w:ind w:left="324"/>
        <w:spacing w:after="0"/>
        <w:rPr>
          <w:sz w:val="20"/>
          <w:szCs w:val="20"/>
          <w:color w:val="auto"/>
        </w:rPr>
      </w:pPr>
      <w:r>
        <w:rPr>
          <w:rFonts w:ascii="Arial" w:cs="Arial" w:eastAsia="Arial" w:hAnsi="Arial"/>
          <w:sz w:val="18"/>
          <w:szCs w:val="18"/>
          <w:color w:val="auto"/>
        </w:rPr>
        <w:t>In connection with the Company’s registration obligations hereunder, the Company shall:</w:t>
      </w:r>
    </w:p>
    <w:p>
      <w:pPr>
        <w:spacing w:after="0" w:line="225" w:lineRule="exact"/>
        <w:rPr>
          <w:sz w:val="20"/>
          <w:szCs w:val="20"/>
          <w:color w:val="auto"/>
        </w:rPr>
      </w:pPr>
    </w:p>
    <w:p>
      <w:pPr>
        <w:jc w:val="both"/>
        <w:ind w:left="4" w:firstLine="644"/>
        <w:spacing w:after="0" w:line="283" w:lineRule="auto"/>
        <w:tabs>
          <w:tab w:leader="none" w:pos="896" w:val="left"/>
        </w:tabs>
        <w:numPr>
          <w:ilvl w:val="0"/>
          <w:numId w:val="30"/>
        </w:numPr>
        <w:rPr>
          <w:rFonts w:ascii="Arial" w:cs="Arial" w:eastAsia="Arial" w:hAnsi="Arial"/>
          <w:sz w:val="16"/>
          <w:szCs w:val="16"/>
          <w:color w:val="auto"/>
        </w:rPr>
      </w:pPr>
      <w:r>
        <w:rPr>
          <w:rFonts w:ascii="Arial" w:cs="Arial" w:eastAsia="Arial" w:hAnsi="Arial"/>
          <w:sz w:val="16"/>
          <w:szCs w:val="16"/>
          <w:color w:val="auto"/>
        </w:rPr>
        <w:t xml:space="preserve">Not less than three Trading Days prior to the filing of each Registration Statement and not less than one Trading Day prior to the filing of any related Prospectus or any amendment or supplement thereto (including any document that would be incorporated or deemed to be incorporated therein by reference), the Company shall (i) furnish to each Holder copies of all such documents proposed to be filed, which documents (other than those incorporated or deemed to be incorporated by reference) will be subject to the review of such Holders, and (ii) cause its officers and directors, counsel and independent registered public accountants to respond to such inquiries as shall be necessary, in the reasonable opinion of respective counsel to each Holder, to conduct a reasonable investigation within the meaning of the Securities Act. The Company shall not file a Registration Statement or any such Prospectus or any amendments or supplements thereto to which the Holders of a majority of the Registrable Securities shall reasonably object in good faith, provided that, the Company is notified of such objection in writing no later than two Trading Days after the Holders have been so furnished copies of a Registration Statement or one Trading Day after the Holders have been so furnished copies of any related Prospectus or amendments or supplements thereto. Each Holder agrees to furnish to the Company a completed questionnaire in the form attached to this Agreement as </w:t>
      </w:r>
      <w:r>
        <w:rPr>
          <w:rFonts w:ascii="Arial" w:cs="Arial" w:eastAsia="Arial" w:hAnsi="Arial"/>
          <w:sz w:val="16"/>
          <w:szCs w:val="16"/>
          <w:u w:val="single" w:color="auto"/>
          <w:color w:val="auto"/>
        </w:rPr>
        <w:t>Annex C</w:t>
      </w:r>
      <w:r>
        <w:rPr>
          <w:rFonts w:ascii="Arial" w:cs="Arial" w:eastAsia="Arial" w:hAnsi="Arial"/>
          <w:sz w:val="16"/>
          <w:szCs w:val="16"/>
          <w:color w:val="auto"/>
        </w:rPr>
        <w:t xml:space="preserve"> (a “</w:t>
      </w:r>
      <w:r>
        <w:rPr>
          <w:rFonts w:ascii="Arial" w:cs="Arial" w:eastAsia="Arial" w:hAnsi="Arial"/>
          <w:sz w:val="16"/>
          <w:szCs w:val="16"/>
          <w:u w:val="single" w:color="auto"/>
          <w:color w:val="auto"/>
        </w:rPr>
        <w:t>Selling Stockholder Questionnaire</w:t>
      </w:r>
      <w:r>
        <w:rPr>
          <w:rFonts w:ascii="Arial" w:cs="Arial" w:eastAsia="Arial" w:hAnsi="Arial"/>
          <w:sz w:val="16"/>
          <w:szCs w:val="16"/>
          <w:color w:val="auto"/>
        </w:rPr>
        <w:t>”) on a date that is not less than</w:t>
      </w:r>
    </w:p>
    <w:p>
      <w:pPr>
        <w:spacing w:after="0" w:line="4" w:lineRule="exact"/>
        <w:rPr>
          <w:sz w:val="20"/>
          <w:szCs w:val="20"/>
          <w:color w:val="auto"/>
        </w:rPr>
      </w:pPr>
    </w:p>
    <w:p>
      <w:pPr>
        <w:ind w:left="4"/>
        <w:spacing w:after="0" w:line="209" w:lineRule="auto"/>
        <w:rPr>
          <w:sz w:val="20"/>
          <w:szCs w:val="20"/>
          <w:color w:val="auto"/>
        </w:rPr>
      </w:pPr>
      <w:r>
        <w:rPr>
          <w:rFonts w:ascii="Arial" w:cs="Arial" w:eastAsia="Arial" w:hAnsi="Arial"/>
          <w:sz w:val="18"/>
          <w:szCs w:val="18"/>
          <w:color w:val="auto"/>
        </w:rPr>
        <w:t>two Trading Days prior to the Filing Date or by the end of the second (2</w:t>
      </w:r>
      <w:r>
        <w:rPr>
          <w:rFonts w:ascii="Arial" w:cs="Arial" w:eastAsia="Arial" w:hAnsi="Arial"/>
          <w:sz w:val="29"/>
          <w:szCs w:val="29"/>
          <w:color w:val="auto"/>
          <w:vertAlign w:val="superscript"/>
        </w:rPr>
        <w:t>nd</w:t>
      </w:r>
      <w:r>
        <w:rPr>
          <w:rFonts w:ascii="Arial" w:cs="Arial" w:eastAsia="Arial" w:hAnsi="Arial"/>
          <w:sz w:val="18"/>
          <w:szCs w:val="18"/>
          <w:color w:val="auto"/>
        </w:rPr>
        <w:t>) Trading Day following the date on which such Holder receives draft materials in accordance with this Section.</w:t>
      </w:r>
    </w:p>
    <w:p>
      <w:pPr>
        <w:spacing w:after="0" w:line="204" w:lineRule="exact"/>
        <w:rPr>
          <w:sz w:val="20"/>
          <w:szCs w:val="20"/>
          <w:color w:val="auto"/>
        </w:rPr>
      </w:pPr>
    </w:p>
    <w:p>
      <w:pPr>
        <w:jc w:val="both"/>
        <w:ind w:left="4" w:firstLine="644"/>
        <w:spacing w:after="0" w:line="285" w:lineRule="auto"/>
        <w:tabs>
          <w:tab w:leader="none" w:pos="907" w:val="left"/>
        </w:tabs>
        <w:numPr>
          <w:ilvl w:val="1"/>
          <w:numId w:val="31"/>
        </w:numPr>
        <w:rPr>
          <w:rFonts w:ascii="Arial" w:cs="Arial" w:eastAsia="Arial" w:hAnsi="Arial"/>
          <w:sz w:val="16"/>
          <w:szCs w:val="16"/>
          <w:color w:val="auto"/>
        </w:rPr>
      </w:pPr>
      <w:r>
        <w:rPr>
          <w:rFonts w:ascii="Arial" w:cs="Arial" w:eastAsia="Arial" w:hAnsi="Arial"/>
          <w:sz w:val="16"/>
          <w:szCs w:val="16"/>
          <w:color w:val="auto"/>
        </w:rPr>
        <w:t>(i) Prepare and file with the Commission such amendments, including post-effective amendments, to a Registration Statement and the Prospectus used in connection therewith as may be necessary to keep a Registration Statement continuously effective as to the applicable Registrable Securities for the Effectiveness Period and prepare and file with the Commission such additional Registration Statements in order to register for resale under the Securities Act all of the Registrable Securities, (ii) cause the related Prospectus to be amended or supplemented by any required Prospectus supplement (subject to the terms of this Agreement), and, as so supplemented or amended, to be filed pursuant to Rule 424,</w:t>
      </w:r>
    </w:p>
    <w:p>
      <w:pPr>
        <w:spacing w:after="0" w:line="1" w:lineRule="exact"/>
        <w:rPr>
          <w:rFonts w:ascii="Arial" w:cs="Arial" w:eastAsia="Arial" w:hAnsi="Arial"/>
          <w:sz w:val="16"/>
          <w:szCs w:val="16"/>
          <w:color w:val="auto"/>
        </w:rPr>
      </w:pPr>
    </w:p>
    <w:p>
      <w:pPr>
        <w:jc w:val="both"/>
        <w:ind w:left="4" w:hanging="4"/>
        <w:spacing w:after="0" w:line="288" w:lineRule="auto"/>
        <w:tabs>
          <w:tab w:leader="none" w:pos="327"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respond as promptly as reasonably possible to any comments received from the Commission with respect to a Registration Statement or any amendment thereto and provide as promptly as reasonably possible to the Holders true and complete copies of all correspondence from and to the Commission relating to a Registration Statement (provided that, the Company shall excise any information contained therein which would constitute material non-public information regarding the Company or any of its Subsidiaries), and (iv) comply in all material respects with the applicable provisions of the Securities Act and the Exchange Act with respect to the disposition of all Registrable Securities covered by a Registration Statement during the applicable period in accordance (subject to the terms of this Agreement) with the intended methods of disposition by the Holders thereof set forth in such Registration Statement as so amended or in such Prospectus as so supplemented.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407670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41" w:name="page42"/>
    <w:bookmarkEnd w:id="41"/>
    <w:p>
      <w:pPr>
        <w:jc w:val="both"/>
        <w:ind w:left="4" w:firstLine="644"/>
        <w:spacing w:after="0" w:line="259" w:lineRule="auto"/>
        <w:tabs>
          <w:tab w:leader="none" w:pos="923" w:val="left"/>
        </w:tabs>
        <w:numPr>
          <w:ilvl w:val="1"/>
          <w:numId w:val="33"/>
        </w:numPr>
        <w:rPr>
          <w:rFonts w:ascii="Arial" w:cs="Arial" w:eastAsia="Arial" w:hAnsi="Arial"/>
          <w:sz w:val="18"/>
          <w:szCs w:val="18"/>
          <w:color w:val="auto"/>
        </w:rPr>
      </w:pPr>
      <w:r>
        <w:rPr>
          <w:rFonts w:ascii="Arial" w:cs="Arial" w:eastAsia="Arial" w:hAnsi="Arial"/>
          <w:sz w:val="18"/>
          <w:szCs w:val="18"/>
          <w:color w:val="auto"/>
        </w:rPr>
        <w:t>If during the Effectiveness Period, the number of Registrable Securities at any time exceeds 100% of the number of shares of Common Stock then registered in a Registration Statement, then the Company shall file as soon as reasonably practicable, but in any case prior to the applicable Filing Date, an additional Registration Statement covering the resale by the Holders of not less than the number of such Registrable Securities.</w:t>
      </w:r>
    </w:p>
    <w:p>
      <w:pPr>
        <w:spacing w:after="0" w:line="186" w:lineRule="exact"/>
        <w:rPr>
          <w:rFonts w:ascii="Arial" w:cs="Arial" w:eastAsia="Arial" w:hAnsi="Arial"/>
          <w:sz w:val="18"/>
          <w:szCs w:val="18"/>
          <w:color w:val="auto"/>
        </w:rPr>
      </w:pPr>
    </w:p>
    <w:p>
      <w:pPr>
        <w:jc w:val="both"/>
        <w:ind w:left="4" w:firstLine="644"/>
        <w:spacing w:after="0" w:line="284" w:lineRule="auto"/>
        <w:tabs>
          <w:tab w:leader="none" w:pos="947" w:val="left"/>
        </w:tabs>
        <w:numPr>
          <w:ilvl w:val="1"/>
          <w:numId w:val="33"/>
        </w:numPr>
        <w:rPr>
          <w:rFonts w:ascii="Arial" w:cs="Arial" w:eastAsia="Arial" w:hAnsi="Arial"/>
          <w:sz w:val="16"/>
          <w:szCs w:val="16"/>
          <w:color w:val="auto"/>
        </w:rPr>
      </w:pPr>
      <w:r>
        <w:rPr>
          <w:rFonts w:ascii="Arial" w:cs="Arial" w:eastAsia="Arial" w:hAnsi="Arial"/>
          <w:sz w:val="16"/>
          <w:szCs w:val="16"/>
          <w:color w:val="auto"/>
        </w:rPr>
        <w:t>Notify the Holders of Registrable Securities to be sold (which notice shall, pursuant to clauses (iii) through (vi) hereof, be accompanied by an instruction to suspend the use of the Prospectus until the requisite changes have been made) as promptly as reasonably possible (and, in the case of (i)(A) below, not less than one Trading Day prior to such filing) and (if requested by any such Person) confirm such notice in writing no later than one Trading Day following the day (i)(A) when a Prospectus or any Prospectus supplement or post-effective amendment to a Registration Statement is proposed to be filed, (B) when the Commission notifies the Company whether there will be a “review” of such Registration Statement and whenever the Commission comments in writing on such Registration Statement, and (C) with respect to a Registration Statement or any post-effective amendment, when the same has become effective, (ii) of any request by the Commission or any other federal or state governmental authority for amendments or supplements to a Registration Statement or Prospectus or for additional information,</w:t>
      </w:r>
    </w:p>
    <w:p>
      <w:pPr>
        <w:jc w:val="both"/>
        <w:ind w:left="4" w:hanging="4"/>
        <w:spacing w:after="0" w:line="267" w:lineRule="auto"/>
        <w:tabs>
          <w:tab w:leader="none" w:pos="332" w:val="left"/>
        </w:tabs>
        <w:numPr>
          <w:ilvl w:val="0"/>
          <w:numId w:val="34"/>
        </w:numPr>
        <w:rPr>
          <w:rFonts w:ascii="Arial" w:cs="Arial" w:eastAsia="Arial" w:hAnsi="Arial"/>
          <w:sz w:val="17"/>
          <w:szCs w:val="17"/>
          <w:color w:val="auto"/>
        </w:rPr>
      </w:pPr>
      <w:r>
        <w:rPr>
          <w:rFonts w:ascii="Arial" w:cs="Arial" w:eastAsia="Arial" w:hAnsi="Arial"/>
          <w:sz w:val="17"/>
          <w:szCs w:val="17"/>
          <w:color w:val="auto"/>
        </w:rPr>
        <w:t xml:space="preserve">of the issuance by the Commission or any other federal or state governmental authority of any stop order suspending the effectiveness of a Registration Statement covering any or all of the Registrable Securities or the initiation of any Proceedings for that purpose, (iv) of the receipt by the Company of any notification with respect to the suspension of the qualification or exemption from qualification of any of the Registrable Securities for sale in any jurisdiction, or the initiation or threatening of any Proceeding for such purpose, (v) of the occurrence of any event or passage of time that makes the financial statements included in a Registration Statement ineligible for inclusion therein or any statement made in a Registration Statement or Prospectus or any document incorporated or deemed to be incorporated therein by reference untrue in any material respect or that requires any revisions to a Registration Statement, Prospectus or other documents so that, in the case of a Registration Statement or the Prospectus, as the case may be, it will not contain any untrue statement of a material fact or omit to state any material fact required to be stated therein or necessary to make the statements therein, in light of the circumstances under which they were made, not misleading, and (vi) of the occurrence or existence of any pending corporate development with respect to the Company that the Company believes may be material and that, in the determination of the Company, makes it not in the best interest of the Company to allow continued availability of a Registration Statement or Prospectus;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no event shall any such notice contain any information which would constitute material, non-public information regarding the Company or any of its Subsidiaries.</w:t>
      </w:r>
    </w:p>
    <w:p>
      <w:pPr>
        <w:spacing w:after="0" w:line="182" w:lineRule="exact"/>
        <w:rPr>
          <w:rFonts w:ascii="Arial" w:cs="Arial" w:eastAsia="Arial" w:hAnsi="Arial"/>
          <w:sz w:val="17"/>
          <w:szCs w:val="17"/>
          <w:color w:val="auto"/>
        </w:rPr>
      </w:pPr>
    </w:p>
    <w:p>
      <w:pPr>
        <w:jc w:val="both"/>
        <w:ind w:left="4" w:firstLine="644"/>
        <w:spacing w:after="0" w:line="263" w:lineRule="auto"/>
        <w:tabs>
          <w:tab w:leader="none" w:pos="910" w:val="left"/>
        </w:tabs>
        <w:numPr>
          <w:ilvl w:val="1"/>
          <w:numId w:val="34"/>
        </w:numPr>
        <w:rPr>
          <w:rFonts w:ascii="Arial" w:cs="Arial" w:eastAsia="Arial" w:hAnsi="Arial"/>
          <w:sz w:val="18"/>
          <w:szCs w:val="18"/>
          <w:color w:val="auto"/>
        </w:rPr>
      </w:pPr>
      <w:r>
        <w:rPr>
          <w:rFonts w:ascii="Arial" w:cs="Arial" w:eastAsia="Arial" w:hAnsi="Arial"/>
          <w:sz w:val="18"/>
          <w:szCs w:val="18"/>
          <w:color w:val="auto"/>
        </w:rPr>
        <w:t>Use its commercially reasonable efforts to avoid the issuance of, or, if issued, obtain the withdrawal of (i) any order stopping or suspending the effectiveness of a Registration Statement, or (ii) any suspension of the qualification (or exemption from qualification) of any of the Registrable Securities for sale in any jurisdiction, at the earliest practicable moment.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417195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42" w:name="page43"/>
    <w:bookmarkEnd w:id="42"/>
    <w:p>
      <w:pPr>
        <w:jc w:val="both"/>
        <w:ind w:left="-460" w:firstLine="644"/>
        <w:spacing w:after="0" w:line="257" w:lineRule="auto"/>
        <w:tabs>
          <w:tab w:leader="none" w:pos="4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Furnish to each Holder, without charge, at least one conformed copy of each such Registration Statement and each amendment thereto, including financial statements and schedules, all documents incorporated or deemed to be incorporated therein by reference to the extent requested by such Person, and all exhibits to the extent requested by such Person (including those previously furnished or incorporated by reference) promptly after the filing of such documents with the Commission, provided that any such item which is available on the EDGAR system (or successor thereto) need not be furnished in physical form.</w:t>
      </w:r>
    </w:p>
    <w:p>
      <w:pPr>
        <w:spacing w:after="0" w:line="187" w:lineRule="exact"/>
        <w:rPr>
          <w:rFonts w:ascii="Arial" w:cs="Arial" w:eastAsia="Arial" w:hAnsi="Arial"/>
          <w:sz w:val="18"/>
          <w:szCs w:val="18"/>
          <w:color w:val="auto"/>
        </w:rPr>
      </w:pPr>
    </w:p>
    <w:p>
      <w:pPr>
        <w:jc w:val="both"/>
        <w:ind w:left="-460" w:firstLine="644"/>
        <w:spacing w:after="0" w:line="286" w:lineRule="auto"/>
        <w:tabs>
          <w:tab w:leader="none" w:pos="470" w:val="left"/>
        </w:tabs>
        <w:numPr>
          <w:ilvl w:val="0"/>
          <w:numId w:val="35"/>
        </w:numPr>
        <w:rPr>
          <w:rFonts w:ascii="Arial" w:cs="Arial" w:eastAsia="Arial" w:hAnsi="Arial"/>
          <w:sz w:val="17"/>
          <w:szCs w:val="17"/>
          <w:color w:val="auto"/>
        </w:rPr>
      </w:pPr>
      <w:r>
        <w:rPr>
          <w:rFonts w:ascii="Arial" w:cs="Arial" w:eastAsia="Arial" w:hAnsi="Arial"/>
          <w:sz w:val="17"/>
          <w:szCs w:val="17"/>
          <w:color w:val="auto"/>
        </w:rPr>
        <w:t>Subject to the terms of this Agreement, the Company hereby consents to the use of such Prospectus and each amendment or supplement thereto by each of the selling Holders in connection with the offering and sale of the Registrable Securities covered by such Prospectus and any amendment or supplement thereto, except after the giving of any notice pursuant to Section 3(d).</w:t>
      </w:r>
    </w:p>
    <w:p>
      <w:pPr>
        <w:spacing w:after="0" w:line="165" w:lineRule="exact"/>
        <w:rPr>
          <w:rFonts w:ascii="Arial" w:cs="Arial" w:eastAsia="Arial" w:hAnsi="Arial"/>
          <w:sz w:val="17"/>
          <w:szCs w:val="17"/>
          <w:color w:val="auto"/>
        </w:rPr>
      </w:pPr>
    </w:p>
    <w:p>
      <w:pPr>
        <w:jc w:val="both"/>
        <w:ind w:left="-460" w:firstLine="644"/>
        <w:spacing w:after="0" w:line="271" w:lineRule="auto"/>
        <w:tabs>
          <w:tab w:leader="none" w:pos="457" w:val="left"/>
        </w:tabs>
        <w:numPr>
          <w:ilvl w:val="0"/>
          <w:numId w:val="35"/>
        </w:numPr>
        <w:rPr>
          <w:rFonts w:ascii="Arial" w:cs="Arial" w:eastAsia="Arial" w:hAnsi="Arial"/>
          <w:sz w:val="17"/>
          <w:szCs w:val="17"/>
          <w:color w:val="auto"/>
        </w:rPr>
      </w:pPr>
      <w:r>
        <w:rPr>
          <w:rFonts w:ascii="Arial" w:cs="Arial" w:eastAsia="Arial" w:hAnsi="Arial"/>
          <w:sz w:val="17"/>
          <w:szCs w:val="17"/>
          <w:color w:val="auto"/>
        </w:rPr>
        <w:t>Prior to any resale of Registrable Securities by a Holder, use its commercially reasonable efforts to register or qualify or cooperate with the selling Holders in connection with the registration or qualification (or exemption from the registration or qualification) of such Registrable Securities for the resale by the Holder under the securities or Blue Sky laws of such jurisdictions within the United States as any Holder reasonably requests in writing, to keep each registration or qualification (or exemption therefrom) effective during the Effectiveness Period and to do any and all other acts or things reasonably necessary to enable the disposition in such jurisdictions of the Registrable Securities covered by each Registration Statement, provided that the Company shall not be required to qualify generally to do business in any jurisdiction where it is not then so qualified, subject the Company to any material tax in any such jurisdiction where it is not then so subject or file a general consent to service of process in any such jurisdiction.</w:t>
      </w:r>
    </w:p>
    <w:p>
      <w:pPr>
        <w:spacing w:after="0" w:line="178" w:lineRule="exact"/>
        <w:rPr>
          <w:rFonts w:ascii="Arial" w:cs="Arial" w:eastAsia="Arial" w:hAnsi="Arial"/>
          <w:sz w:val="17"/>
          <w:szCs w:val="17"/>
          <w:color w:val="auto"/>
        </w:rPr>
      </w:pPr>
    </w:p>
    <w:p>
      <w:pPr>
        <w:jc w:val="both"/>
        <w:ind w:left="-460" w:firstLine="644"/>
        <w:spacing w:after="0" w:line="259" w:lineRule="auto"/>
        <w:tabs>
          <w:tab w:leader="none" w:pos="416" w:val="left"/>
        </w:tabs>
        <w:numPr>
          <w:ilvl w:val="0"/>
          <w:numId w:val="35"/>
        </w:numPr>
        <w:rPr>
          <w:rFonts w:ascii="Arial" w:cs="Arial" w:eastAsia="Arial" w:hAnsi="Arial"/>
          <w:sz w:val="18"/>
          <w:szCs w:val="18"/>
          <w:color w:val="auto"/>
        </w:rPr>
      </w:pPr>
      <w:r>
        <w:rPr>
          <w:rFonts w:ascii="Arial" w:cs="Arial" w:eastAsia="Arial" w:hAnsi="Arial"/>
          <w:sz w:val="18"/>
          <w:szCs w:val="18"/>
          <w:color w:val="auto"/>
        </w:rPr>
        <w:t>If requested by a Holder, cooperate with such Holder to facilitate the timely preparation and delivery of certificates representing Registrable Securities to be delivered to a transferee pursuant to a Registration Statement, which certificates shall be free, to the extent permitted by the Purchase Agreement, of all restrictive legends, and to enable such Registrable Securities to be in such denominations and registered in such names as any such Holder may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419100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43" w:name="page44"/>
    <w:bookmarkEnd w:id="43"/>
    <w:p>
      <w:pPr>
        <w:jc w:val="both"/>
        <w:ind w:left="660" w:firstLine="644"/>
        <w:spacing w:after="0" w:line="283" w:lineRule="auto"/>
        <w:tabs>
          <w:tab w:leader="none" w:pos="1523" w:val="left"/>
        </w:tabs>
        <w:numPr>
          <w:ilvl w:val="1"/>
          <w:numId w:val="36"/>
        </w:numPr>
        <w:rPr>
          <w:rFonts w:ascii="Arial" w:cs="Arial" w:eastAsia="Arial" w:hAnsi="Arial"/>
          <w:sz w:val="16"/>
          <w:szCs w:val="16"/>
          <w:color w:val="auto"/>
        </w:rPr>
      </w:pPr>
      <w:r>
        <w:rPr>
          <w:rFonts w:ascii="Arial" w:cs="Arial" w:eastAsia="Arial" w:hAnsi="Arial"/>
          <w:sz w:val="16"/>
          <w:szCs w:val="16"/>
          <w:color w:val="auto"/>
        </w:rPr>
        <w:t>Upon the occurrence of any event contemplated by Section 3(d), as promptly as reasonably possible under the circumstances taking into account the Company’s good faith assessment of any adverse consequences to the Company and its stockholders of the premature disclosure of such event, prepare a supplement or amendment, including a post-effective amendment, to a Registration Statement or a supplement to the related Prospectus or any document incorporated or deemed to be incorporated therein by reference, and file any other required document so that, as thereafter delivered, neither a Registration Statement nor such Prospectus will contain an untrue statement of a material fact or omit to state a material fact required to be stated therein or necessary to make the statements therein, in light of the circumstances under which they were made, not misleading. If the Company notifies the Holders in accordance with clauses (iii) through (vi) of Section 3(d) above to suspend the use of any Prospectus until the requisite changes to such Prospectus have been made, then the Holders shall suspend use of such Prospectus. The Company will use its best efforts to ensure that the use of the Prospectus may be resumed as promptly as is practicable. The Company shall be entitled to exercise its right under this Section 3(j) to suspend the availability of a Registration Statement and Prospectus for a period not to exceed forty-five</w:t>
      </w:r>
    </w:p>
    <w:p>
      <w:pPr>
        <w:spacing w:after="0" w:line="4" w:lineRule="exact"/>
        <w:rPr>
          <w:rFonts w:ascii="Arial" w:cs="Arial" w:eastAsia="Arial" w:hAnsi="Arial"/>
          <w:sz w:val="16"/>
          <w:szCs w:val="16"/>
          <w:color w:val="auto"/>
        </w:rPr>
      </w:pPr>
    </w:p>
    <w:p>
      <w:pPr>
        <w:ind w:left="1000" w:hanging="344"/>
        <w:spacing w:after="0"/>
        <w:tabs>
          <w:tab w:leader="none" w:pos="10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consecutive calendar days or ninety (90) calendar days in the aggregate (which need not be consecutive days) in any 12-month period.</w:t>
      </w:r>
    </w:p>
    <w:p>
      <w:pPr>
        <w:spacing w:after="0" w:line="222" w:lineRule="exact"/>
        <w:rPr>
          <w:rFonts w:ascii="Arial" w:cs="Arial" w:eastAsia="Arial" w:hAnsi="Arial"/>
          <w:sz w:val="17"/>
          <w:szCs w:val="17"/>
          <w:color w:val="auto"/>
        </w:rPr>
      </w:pPr>
    </w:p>
    <w:p>
      <w:pPr>
        <w:jc w:val="both"/>
        <w:ind w:left="660" w:firstLine="644"/>
        <w:spacing w:after="0" w:line="273" w:lineRule="auto"/>
        <w:tabs>
          <w:tab w:leader="none" w:pos="1576" w:val="left"/>
        </w:tabs>
        <w:numPr>
          <w:ilvl w:val="1"/>
          <w:numId w:val="37"/>
        </w:numPr>
        <w:rPr>
          <w:rFonts w:ascii="Arial" w:cs="Arial" w:eastAsia="Arial" w:hAnsi="Arial"/>
          <w:sz w:val="17"/>
          <w:szCs w:val="17"/>
          <w:color w:val="auto"/>
        </w:rPr>
      </w:pPr>
      <w:r>
        <w:rPr>
          <w:rFonts w:ascii="Arial" w:cs="Arial" w:eastAsia="Arial" w:hAnsi="Arial"/>
          <w:sz w:val="17"/>
          <w:szCs w:val="17"/>
          <w:color w:val="auto"/>
        </w:rPr>
        <w:t>Otherwise use commercially reasonable efforts to comply with all applicable rules and regulations of the Commission under the Securities Act and the Exchange Act, including, without limitation, Rule 172 under the Securities Act, file any final Prospectus, including any supplement or amendment thereof, with the Commission pursuant to Rule 424 under the Securities Act, promptly inform the Holders in writing if, at any time during the Effectiveness Period, the Company does not satisfy the conditions specified in Rule 172 and, as a result thereof, the Holders are required to deliver a Prospectus in connection with any disposition of Registrable Securities and take such other actions as may be reasonably necessary to facilitate the registration of the Registrable Securities hereunder.</w:t>
      </w:r>
    </w:p>
    <w:p>
      <w:pPr>
        <w:spacing w:after="0" w:line="177" w:lineRule="exact"/>
        <w:rPr>
          <w:rFonts w:ascii="Arial" w:cs="Arial" w:eastAsia="Arial" w:hAnsi="Arial"/>
          <w:sz w:val="17"/>
          <w:szCs w:val="17"/>
          <w:color w:val="auto"/>
        </w:rPr>
      </w:pPr>
    </w:p>
    <w:p>
      <w:pPr>
        <w:ind w:left="660" w:firstLine="644"/>
        <w:spacing w:after="0" w:line="277" w:lineRule="auto"/>
        <w:tabs>
          <w:tab w:leader="none" w:pos="1523"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Company shall use its commercially reasonable efforts to maintain eligibility for use of Form S-3 (or any successor form thereto) for the registration of the resale of Registrable Securities.</w:t>
      </w:r>
    </w:p>
    <w:p>
      <w:pPr>
        <w:spacing w:after="0" w:line="17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Company may require each selling Holder to furnish to the Company a certified statement as to the number of shares of Common Stock beneficially owned by such Holder and, if required by the Commission, the natural persons thereof that have voting and dispositive control over the shares.</w:t>
      </w:r>
    </w:p>
    <w:p>
      <w:pPr>
        <w:spacing w:after="0" w:line="124" w:lineRule="exact"/>
        <w:rPr>
          <w:sz w:val="20"/>
          <w:szCs w:val="20"/>
          <w:color w:val="auto"/>
        </w:rPr>
      </w:pPr>
    </w:p>
    <w:p>
      <w:pPr>
        <w:jc w:val="both"/>
        <w:ind w:firstLine="980"/>
        <w:spacing w:after="0" w:line="286" w:lineRule="auto"/>
        <w:tabs>
          <w:tab w:leader="none" w:pos="1152"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Registration Expenses</w:t>
      </w:r>
      <w:r>
        <w:rPr>
          <w:rFonts w:ascii="Arial" w:cs="Arial" w:eastAsia="Arial" w:hAnsi="Arial"/>
          <w:sz w:val="16"/>
          <w:szCs w:val="16"/>
          <w:color w:val="auto"/>
        </w:rPr>
        <w:t>. All fees and expenses incident to the performance of or compliance with, this Agreement by the Company shall be borne by the Company whether or not any Registrable Securities are sold pursuant to a Registration Statement. The fees and expenses referred to in the foregoing sentence shall include, without limitation, (i) all registration and filing fees (including, without limitation, fees and expenses of the Company’s counsel and independent registered public accountants) (A) with respect to filings made with the Commission, (B) with respect to filings required to be made with any Trading Market on which the Common Stock is then listed for trading, and (C) in compliance with applicable state securities or Blue Sky laws reasonably agreed to by the Company in writing (including, without limitation, fees and disbursements of counsel for the Company in connection with Blue Sky qualifications or exemptions of the Registrable Securities), (ii) printing expenses (including, without limitation, expenses of printing certificates for Registrable Securities), (iii) messenger, telephone and delivery expenses, (iv) fees and disbursements of counsel for the Company, (v) Securities Act liability insurance, if the Company so desires such insurance, and (vi) fees and expenses of all other Persons retained by the Company in connection with the consummation of the transactions contemplated by this Agreement. In addition, the Company shall be responsible for all of its internal expenses incurred in connection with the consummation of the transactions contemplated by this Agreement (including, without limitation, all salaries and expenses of its officers and employees performing legal or accounting duties), the expense of any annual audit and the fees and expenses incurred in connection with the listing of the Registrable Securities on any securities exchange as required hereunder. In no event shall the Company be responsible for any broker or similar commissions of any Holder or, except to the extent provided for in the Transaction Documents, any legal fees or other costs of the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4" w:name="page45"/>
    <w:bookmarkEnd w:id="44"/>
    <w:p>
      <w:pPr>
        <w:ind w:left="180" w:hanging="180"/>
        <w:spacing w:after="0"/>
        <w:tabs>
          <w:tab w:leader="none" w:pos="18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320" w:firstLine="644"/>
        <w:spacing w:after="0" w:line="284" w:lineRule="auto"/>
        <w:tabs>
          <w:tab w:leader="none" w:pos="599" w:val="left"/>
        </w:tabs>
        <w:numPr>
          <w:ilvl w:val="1"/>
          <w:numId w:val="39"/>
        </w:numPr>
        <w:rPr>
          <w:rFonts w:ascii="Arial" w:cs="Arial" w:eastAsia="Arial" w:hAnsi="Arial"/>
          <w:sz w:val="16"/>
          <w:szCs w:val="16"/>
          <w:color w:val="auto"/>
        </w:rPr>
      </w:pPr>
      <w:r>
        <w:rPr>
          <w:rFonts w:ascii="Arial" w:cs="Arial" w:eastAsia="Arial" w:hAnsi="Arial"/>
          <w:sz w:val="16"/>
          <w:szCs w:val="16"/>
          <w:u w:val="single" w:color="auto"/>
          <w:color w:val="auto"/>
        </w:rPr>
        <w:t>Indemnification by the Company</w:t>
      </w:r>
      <w:r>
        <w:rPr>
          <w:rFonts w:ascii="Arial" w:cs="Arial" w:eastAsia="Arial" w:hAnsi="Arial"/>
          <w:sz w:val="16"/>
          <w:szCs w:val="16"/>
          <w:color w:val="auto"/>
        </w:rPr>
        <w:t>. The Company shall, notwithstanding any termination of this Agreement, indemnify and hold harmless each Holder, the officers, directors, members, partners, agents, brokers (including brokers who offer and sell Registrable Securities as principal as a result of a pledge or any failure to perform under a margin call of Common Stock), investment advisors and employees (and any other Persons with a functionally equivalent role of a Person holding such titles, notwithstanding a lack of such title or any other title) of each of them, each Person who controls any such Holder (within the meaning of Section 15 of the Securities Act or Section 20 of the Exchange Act) and the officers, directors, members, stockholders, partners, agents and employees (and any other Persons with a functionally equivalent role of a Person holding such titles, notwithstanding a lack of such title or any other title) of each such controlling Person, to the fullest extent permitted by applicable law, from and against any and all losses, claims, damages, liabilities, costs (including, without limitation, reasonable attorneys’ fees) and expenses (collectively, “</w:t>
      </w:r>
      <w:r>
        <w:rPr>
          <w:rFonts w:ascii="Arial" w:cs="Arial" w:eastAsia="Arial" w:hAnsi="Arial"/>
          <w:sz w:val="16"/>
          <w:szCs w:val="16"/>
          <w:u w:val="single" w:color="auto"/>
          <w:color w:val="auto"/>
        </w:rPr>
        <w:t>Losses</w:t>
      </w:r>
      <w:r>
        <w:rPr>
          <w:rFonts w:ascii="Arial" w:cs="Arial" w:eastAsia="Arial" w:hAnsi="Arial"/>
          <w:sz w:val="16"/>
          <w:szCs w:val="16"/>
          <w:color w:val="auto"/>
        </w:rPr>
        <w:t>”), as incurred, arising out of or relating to (1) any untrue or alleged untrue statement of a material fact contained in a Registration Statement, any Prospectus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supplement thereto, in light of the circumstances under which they were made) not misleading or (2) any violation or alleged violation by the Company of the Securities Act, the Exchange Act or any state securities law, or any rule or regulation thereunder, in connection with the performance of its obligations under this Agreement, except to the extent, but only to the extent, that (i) such untrue statements or omissions are based solely upon information regarding such Holder furnished in writing to the Company by such Holder expressly for use therein, or to the extent that such information relates to such Holder or such Holder’s proposed method of distribution of Registrable Securities and was reviewed and expressly approved in writing by such Holder expressly for use in a Registration Statement, such Prospectus or in any amendment or supplement thereto (it being understood that the Holder has approved Annex A hereto for this purpose) or (ii) in the case of an occurrence of an event of the type specified in Section 3(d)(iii)-(vi), the use by such Holder of an outdated, defective or otherwise unavailable Prospectus after the Company has notified such Holder in writing that the Prospectus is outdated, defective or otherwise unavailable for use by such Holder and prior to the receipt by such Holder of the Advice contemplated in Section 6(c). The Company shall notify the Holders promptly of the institution of any Proceeding arising from or in connection with the transactions contemplated by this Agreement of which the Company is aware. Such indemnity shall remain in full force and effect regardless of any investigation made by or on behalf of such indemnified person and shall survive the transfer of any Registrable Securities by any of the Holders in accordance with Section 6(f).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411480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908" w:right="339" w:bottom="1440" w:gutter="0" w:footer="0" w:header="0"/>
        </w:sectPr>
      </w:pPr>
    </w:p>
    <w:bookmarkStart w:id="45" w:name="page46"/>
    <w:bookmarkEnd w:id="45"/>
    <w:p>
      <w:pPr>
        <w:jc w:val="both"/>
        <w:ind w:left="-460" w:firstLine="644"/>
        <w:spacing w:after="0" w:line="268" w:lineRule="auto"/>
        <w:tabs>
          <w:tab w:leader="none" w:pos="456" w:val="left"/>
        </w:tabs>
        <w:numPr>
          <w:ilvl w:val="0"/>
          <w:numId w:val="40"/>
        </w:numPr>
        <w:rPr>
          <w:rFonts w:ascii="Arial" w:cs="Arial" w:eastAsia="Arial" w:hAnsi="Arial"/>
          <w:sz w:val="17"/>
          <w:szCs w:val="17"/>
          <w:color w:val="auto"/>
        </w:rPr>
      </w:pPr>
      <w:r>
        <w:rPr>
          <w:rFonts w:ascii="Arial" w:cs="Arial" w:eastAsia="Arial" w:hAnsi="Arial"/>
          <w:sz w:val="17"/>
          <w:szCs w:val="17"/>
          <w:u w:val="single" w:color="auto"/>
          <w:color w:val="auto"/>
        </w:rPr>
        <w:t>Indemnification by Holders</w:t>
      </w:r>
      <w:r>
        <w:rPr>
          <w:rFonts w:ascii="Arial" w:cs="Arial" w:eastAsia="Arial" w:hAnsi="Arial"/>
          <w:sz w:val="17"/>
          <w:szCs w:val="17"/>
          <w:color w:val="auto"/>
        </w:rPr>
        <w:t>. Each Holder shall, severally and not jointly, indemnify and hold harmless the Company, its directors, officers, agents and employees, each Person who controls the Company (within the meaning of Section 15 of the Securities Act and Section 20 of the Exchange Act), and the directors, officers, agents or employees of such controlling Persons, to the fullest extent permitted by applicable law, from and against all Losses, as incurred, to the extent arising out of or based solely upon: any untrue or alleged untrue statement of a material fact contained in any Registration Statement, any Prospectus, or in any amendment or supplement thereto or in any preliminary prospectus, or arising out of or relating to any omission or alleged omission of a material fact required to be stated therein or necessary to make the statements therein (in the case of any Prospectus or supplement thereto, in light of the circumstances under which they were made) not misleading (i) to the extent, but only to the extent, that such untrue statement or omission is contained in any information so furnished in writing by such Holder to the Company expressly for inclusion in such Registration Statement or such Prospectus or (ii) to the extent, but only to the extent, that such information relates to such Holder’s information provided in the Selling Stockholder Questionnaire or the proposed method of distribution of Registrable Securities and was reviewed and expressly approved in writing by such Holder expressly for use in a Registration Statement (it being understood that the Holder has approved Annex A hereto for this purpose), such Prospectus or in any amendment or supplement thereto. In no event shall the liability of a selling Holder be greater in amount than the dollar amount of the proceeds (net of all expenses paid by such Holder in connection with any claim relating to this Section 5 and the amount of any damages such Holder has otherwise been required to pay by reason of such untrue statement or omission) received by such Holder upon the sale of the Registrable Securities included in the Registration Statement giving rise to such indemnification obligation.</w:t>
      </w:r>
    </w:p>
    <w:p>
      <w:pPr>
        <w:spacing w:after="0" w:line="179" w:lineRule="exact"/>
        <w:rPr>
          <w:rFonts w:ascii="Arial" w:cs="Arial" w:eastAsia="Arial" w:hAnsi="Arial"/>
          <w:sz w:val="17"/>
          <w:szCs w:val="17"/>
          <w:color w:val="auto"/>
        </w:rPr>
      </w:pPr>
    </w:p>
    <w:p>
      <w:pPr>
        <w:jc w:val="both"/>
        <w:ind w:left="-460" w:firstLine="644"/>
        <w:spacing w:after="0" w:line="291" w:lineRule="auto"/>
        <w:tabs>
          <w:tab w:leader="none" w:pos="446" w:val="left"/>
        </w:tabs>
        <w:numPr>
          <w:ilvl w:val="0"/>
          <w:numId w:val="40"/>
        </w:numPr>
        <w:rPr>
          <w:rFonts w:ascii="Arial" w:cs="Arial" w:eastAsia="Arial" w:hAnsi="Arial"/>
          <w:sz w:val="16"/>
          <w:szCs w:val="16"/>
          <w:color w:val="auto"/>
        </w:rPr>
      </w:pPr>
      <w:r>
        <w:rPr>
          <w:rFonts w:ascii="Arial" w:cs="Arial" w:eastAsia="Arial" w:hAnsi="Arial"/>
          <w:sz w:val="16"/>
          <w:szCs w:val="16"/>
          <w:u w:val="single" w:color="auto"/>
          <w:color w:val="auto"/>
        </w:rPr>
        <w:t>Conduct of Indemnification Proceedings</w:t>
      </w:r>
      <w:r>
        <w:rPr>
          <w:rFonts w:ascii="Arial" w:cs="Arial" w:eastAsia="Arial" w:hAnsi="Arial"/>
          <w:sz w:val="16"/>
          <w:szCs w:val="16"/>
          <w:color w:val="auto"/>
        </w:rPr>
        <w:t>. If any Proceeding shall be brought or asserted against any Person entitled to indemnity hereunder (an “</w:t>
      </w:r>
      <w:r>
        <w:rPr>
          <w:rFonts w:ascii="Arial" w:cs="Arial" w:eastAsia="Arial" w:hAnsi="Arial"/>
          <w:sz w:val="16"/>
          <w:szCs w:val="16"/>
          <w:u w:val="single" w:color="auto"/>
          <w:color w:val="auto"/>
        </w:rPr>
        <w:t>Indemnified Party</w:t>
      </w:r>
      <w:r>
        <w:rPr>
          <w:rFonts w:ascii="Arial" w:cs="Arial" w:eastAsia="Arial" w:hAnsi="Arial"/>
          <w:sz w:val="16"/>
          <w:szCs w:val="16"/>
          <w:color w:val="auto"/>
        </w:rPr>
        <w:t>”), such Indemnified Party shall promptly notify the Person from whom indemnity is sought (the “</w:t>
      </w:r>
      <w:r>
        <w:rPr>
          <w:rFonts w:ascii="Arial" w:cs="Arial" w:eastAsia="Arial" w:hAnsi="Arial"/>
          <w:sz w:val="16"/>
          <w:szCs w:val="16"/>
          <w:u w:val="single" w:color="auto"/>
          <w:color w:val="auto"/>
        </w:rPr>
        <w:t>Indemnifying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Party</w:t>
      </w:r>
      <w:r>
        <w:rPr>
          <w:rFonts w:ascii="Arial" w:cs="Arial" w:eastAsia="Arial" w:hAnsi="Arial"/>
          <w:sz w:val="16"/>
          <w:szCs w:val="16"/>
          <w:color w:val="auto"/>
        </w:rPr>
        <w:t>”) in writing, and the Indemnifying Party shall have the right to assume the defense thereof, including the employment of counsel reasonably satisfactory to the Indemnified Party and the payment of all fees and expenses incurred in connection with defense thereof, provided that the failure of any Indemnified Party to give such notice shall not relieve the Indemnifying Party of its obligations or liabilities pursuant to this Agreement, except (and only) to the extent that it shall be finally determined by a court of competent jurisdiction (which determination is not subject to appeal or further review) that such failure shall have materially and adversely prejudiced the Indemnifying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46" w:name="page47"/>
    <w:bookmarkEnd w:id="46"/>
    <w:p>
      <w:pPr>
        <w:jc w:val="both"/>
        <w:ind w:firstLine="972"/>
        <w:spacing w:after="0" w:line="268" w:lineRule="auto"/>
        <w:rPr>
          <w:sz w:val="20"/>
          <w:szCs w:val="20"/>
          <w:color w:val="auto"/>
        </w:rPr>
      </w:pPr>
      <w:r>
        <w:rPr>
          <w:rFonts w:ascii="Arial" w:cs="Arial" w:eastAsia="Arial" w:hAnsi="Arial"/>
          <w:sz w:val="17"/>
          <w:szCs w:val="17"/>
          <w:color w:val="auto"/>
        </w:rPr>
        <w:t>An Indemnified Party shall have the right to employ separate counsel in any such Proceeding and to participate in the defense thereof, but the fees and expenses of such counsel shall be at the expense of such Indemnified Party or Parties unless: (1) the Indemnifying Party has agreed in writing to pay such fees and expenses, (2) the Indemnifying Party shall have failed promptly to assume the defense of such Proceeding and to employ counsel reasonably satisfactory to such Indemnified Party in any such Proceeding, or (3) the named parties to any such Proceeding (including any impleaded parties) include both such Indemnified Party and the Indemnifying Party, and counsel to the Indemnified Party shall reasonably believe that a material conflict of interest is likely to exist if the same counsel were to represent such Indemnified Party and the Indemnifying Party (in which case, if such Indemnified Party notifies the Indemnifying Party in writing that it elects to employ separate counsel at the expense of the Indemnifying Party, the Indemnifying Party shall not have the right to assume the defense thereof and the reasonable fees and expenses of no more than one separate counsel shall be at the expense of the Indemnifying Party). The Indemnifying Party shall not be liable for any settlement of any such Proceeding effected without its written consent. No Indemnifying Party shall, without the prior written consent of the Indemnified Party, effect any settlement of any pending Proceeding in respect of which any Indemnified Party is a party, unless such settlement includes an unconditional release of such Indemnified Party from all liability on claims that are the subject matter of such Proceeding.</w:t>
      </w:r>
    </w:p>
    <w:p>
      <w:pPr>
        <w:spacing w:after="0" w:line="186" w:lineRule="exact"/>
        <w:rPr>
          <w:sz w:val="20"/>
          <w:szCs w:val="20"/>
          <w:color w:val="auto"/>
        </w:rPr>
      </w:pPr>
    </w:p>
    <w:p>
      <w:pPr>
        <w:jc w:val="both"/>
        <w:ind w:firstLine="972"/>
        <w:spacing w:after="0" w:line="255" w:lineRule="auto"/>
        <w:rPr>
          <w:sz w:val="20"/>
          <w:szCs w:val="20"/>
          <w:color w:val="auto"/>
        </w:rPr>
      </w:pPr>
      <w:r>
        <w:rPr>
          <w:rFonts w:ascii="Arial" w:cs="Arial" w:eastAsia="Arial" w:hAnsi="Arial"/>
          <w:sz w:val="18"/>
          <w:szCs w:val="18"/>
          <w:color w:val="auto"/>
        </w:rPr>
        <w:t>Subject to the terms of this Agreement, all reasonable fees and expenses of the Indemnified Party (including reasonable fees and expenses to the extent incurred in connection with investigating or preparing to defend such Proceeding in a manner not inconsistent with this Section) shall be paid to the Indemnified Party, as incurred, within twenty (20) Trading Days of written notice thereof to the Indemnifying Party, provided that the Indemnified Party shall promptly reimburse the Indemnifying Party for that portion of such fees and expenses applicable to such actions for which such Indemnified Party is finally determined by a court of competent jurisdiction (which determination is not subject to appeal or further review) not to be entitled to indemnification hereunder.</w:t>
      </w:r>
    </w:p>
    <w:p>
      <w:pPr>
        <w:spacing w:after="0" w:line="192" w:lineRule="exact"/>
        <w:rPr>
          <w:sz w:val="20"/>
          <w:szCs w:val="20"/>
          <w:color w:val="auto"/>
        </w:rPr>
      </w:pPr>
    </w:p>
    <w:p>
      <w:pPr>
        <w:jc w:val="both"/>
        <w:ind w:firstLine="644"/>
        <w:spacing w:after="0" w:line="269" w:lineRule="auto"/>
        <w:tabs>
          <w:tab w:leader="none" w:pos="930" w:val="left"/>
        </w:tabs>
        <w:numPr>
          <w:ilvl w:val="0"/>
          <w:numId w:val="41"/>
        </w:numPr>
        <w:rPr>
          <w:rFonts w:ascii="Arial" w:cs="Arial" w:eastAsia="Arial" w:hAnsi="Arial"/>
          <w:sz w:val="17"/>
          <w:szCs w:val="17"/>
          <w:color w:val="auto"/>
        </w:rPr>
      </w:pPr>
      <w:r>
        <w:rPr>
          <w:rFonts w:ascii="Arial" w:cs="Arial" w:eastAsia="Arial" w:hAnsi="Arial"/>
          <w:sz w:val="17"/>
          <w:szCs w:val="17"/>
          <w:u w:val="single" w:color="auto"/>
          <w:color w:val="auto"/>
        </w:rPr>
        <w:t>Contribution</w:t>
      </w:r>
      <w:r>
        <w:rPr>
          <w:rFonts w:ascii="Arial" w:cs="Arial" w:eastAsia="Arial" w:hAnsi="Arial"/>
          <w:sz w:val="17"/>
          <w:szCs w:val="17"/>
          <w:color w:val="auto"/>
        </w:rPr>
        <w:t>. If the indemnification under Section 5(a) or 5(b) is unavailable to an Indemnified Party or insufficient to hold an Indemnified Party harmless for any Losses, then each Indemnifying Party shall contribute to the amount paid or payable by such Indemnified Party, in such proportion as is appropriate to reflect the relative fault of the Indemnifying Party and Indemnified Party in connection with the actions, statements or omissions that resulted in such Losses as well as any other relevant equitable considerations. The relative fault of such Indemnifying Party and Indemnified Party shall be determined by reference to, among other things, whether any action in question, including any untrue or alleged untrue statement of a material fact or omission or alleged omission of a material fact, has been taken or made by, or relates to information supplied by, such Indemnifying Party or Indemnified Party, and the parties’ relative intent, knowledge, access to information and opportunity to correct or prevent such action, statement or omission. The amount paid or payable by a party as a result of any Losses shall be deemed to include, subject to the limitations set forth in this Agreement, any reasonable attorneys’ or other fees or expenses incurred by such party in connection with any Proceeding to the extent such party would have been indemnified for such fees or expenses if the indemnification provided for in this Section was available to such party in accordance with its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415925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47" w:name="page48"/>
    <w:bookmarkEnd w:id="47"/>
    <w:p>
      <w:pPr>
        <w:jc w:val="both"/>
        <w:ind w:left="4" w:firstLine="972"/>
        <w:spacing w:after="0" w:line="273" w:lineRule="auto"/>
        <w:rPr>
          <w:sz w:val="20"/>
          <w:szCs w:val="20"/>
          <w:color w:val="auto"/>
        </w:rPr>
      </w:pPr>
      <w:r>
        <w:rPr>
          <w:rFonts w:ascii="Arial" w:cs="Arial" w:eastAsia="Arial" w:hAnsi="Arial"/>
          <w:sz w:val="17"/>
          <w:szCs w:val="17"/>
          <w:color w:val="auto"/>
        </w:rPr>
        <w:t>The parties hereto agree that it would not be just and equitable if contribution pursuant to this Section 5(d) were determined by pro rata allocation or by any other method of allocation that does not take into account the equitable considerations referred to in the immediately preceding paragraph. In no event shall the contribution obligation of a Holder of Registrable Securities be greater in amount than the dollar amount of the proceeds (net of all expenses paid by such Holder in connection with any claim relating to this Section 5 and the amount of any damages such Holder has otherwise been required to pay by reason of such untrue or alleged untrue statement or omission or alleged omission) received by it upon the sale of the Registrable Securities giving rise to such contribution obligation.</w:t>
      </w:r>
    </w:p>
    <w:p>
      <w:pPr>
        <w:spacing w:after="0" w:line="178" w:lineRule="exact"/>
        <w:rPr>
          <w:sz w:val="20"/>
          <w:szCs w:val="20"/>
          <w:color w:val="auto"/>
        </w:rPr>
      </w:pPr>
    </w:p>
    <w:p>
      <w:pPr>
        <w:jc w:val="both"/>
        <w:ind w:left="4" w:firstLine="972"/>
        <w:spacing w:after="0" w:line="277" w:lineRule="auto"/>
        <w:rPr>
          <w:sz w:val="20"/>
          <w:szCs w:val="20"/>
          <w:color w:val="auto"/>
        </w:rPr>
      </w:pPr>
      <w:r>
        <w:rPr>
          <w:rFonts w:ascii="Arial" w:cs="Arial" w:eastAsia="Arial" w:hAnsi="Arial"/>
          <w:sz w:val="18"/>
          <w:szCs w:val="18"/>
          <w:color w:val="auto"/>
        </w:rPr>
        <w:t>The indemnity and contribution agreements contained in this Section are in addition to any liability that the Indemnifying Parties may have to the Indemnified Parties.</w:t>
      </w:r>
    </w:p>
    <w:p>
      <w:pPr>
        <w:spacing w:after="0" w:line="170" w:lineRule="exact"/>
        <w:rPr>
          <w:sz w:val="20"/>
          <w:szCs w:val="20"/>
          <w:color w:val="auto"/>
        </w:rPr>
      </w:pPr>
    </w:p>
    <w:p>
      <w:pPr>
        <w:ind w:left="504" w:hanging="180"/>
        <w:spacing w:after="0"/>
        <w:tabs>
          <w:tab w:leader="none" w:pos="504" w:val="left"/>
        </w:tabs>
        <w:numPr>
          <w:ilvl w:val="1"/>
          <w:numId w:val="42"/>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56" w:firstLine="656"/>
        <w:spacing w:after="0" w:line="255" w:lineRule="auto"/>
        <w:tabs>
          <w:tab w:leader="none" w:pos="236"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Remedies</w:t>
      </w:r>
      <w:r>
        <w:rPr>
          <w:rFonts w:ascii="Arial" w:cs="Arial" w:eastAsia="Arial" w:hAnsi="Arial"/>
          <w:sz w:val="18"/>
          <w:szCs w:val="18"/>
          <w:color w:val="auto"/>
        </w:rPr>
        <w:t>. In the event of a breach by the Company or by a Holder of any of their respective obligations under this Agreement, each Holder or the Company, as the case may be, in addition to being entitled to exercise all rights granted by law and under this Agreement, including recovery of damages, shall be entitled to specific performance of its rights under this Agreement. Each of the Company and each Holder agrees that monetary damages would not provide adequate compensation for any losses incurred by reason of a breach by it of any of the provisions of this Agreement and hereby further agrees that, in the event of any action for specific performance in respect of such breach, it shall not assert or shall waive the defense that a remedy at law would be adequate.</w:t>
      </w:r>
    </w:p>
    <w:p>
      <w:pPr>
        <w:spacing w:after="0" w:line="192" w:lineRule="exact"/>
        <w:rPr>
          <w:rFonts w:ascii="Arial" w:cs="Arial" w:eastAsia="Arial" w:hAnsi="Arial"/>
          <w:sz w:val="18"/>
          <w:szCs w:val="18"/>
          <w:color w:val="auto"/>
        </w:rPr>
      </w:pPr>
    </w:p>
    <w:p>
      <w:pPr>
        <w:jc w:val="both"/>
        <w:ind w:left="-656" w:firstLine="656"/>
        <w:spacing w:after="0" w:line="263" w:lineRule="auto"/>
        <w:tabs>
          <w:tab w:leader="none" w:pos="26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No Piggyback on Registrations; Prohibition on Filing Other Registration Statements</w:t>
      </w:r>
      <w:r>
        <w:rPr>
          <w:rFonts w:ascii="Arial" w:cs="Arial" w:eastAsia="Arial" w:hAnsi="Arial"/>
          <w:sz w:val="18"/>
          <w:szCs w:val="18"/>
          <w:color w:val="auto"/>
        </w:rPr>
        <w:t xml:space="preserve">. Except as set forth on </w:t>
      </w:r>
      <w:r>
        <w:rPr>
          <w:rFonts w:ascii="Arial" w:cs="Arial" w:eastAsia="Arial" w:hAnsi="Arial"/>
          <w:sz w:val="18"/>
          <w:szCs w:val="18"/>
          <w:u w:val="single" w:color="auto"/>
          <w:color w:val="auto"/>
        </w:rPr>
        <w:t>Schedule 6(b)</w:t>
      </w:r>
      <w:r>
        <w:rPr>
          <w:rFonts w:ascii="Arial" w:cs="Arial" w:eastAsia="Arial" w:hAnsi="Arial"/>
          <w:sz w:val="18"/>
          <w:szCs w:val="18"/>
          <w:color w:val="auto"/>
        </w:rPr>
        <w:t xml:space="preserve"> attached hereto, neither the Company nor any of its security holders (other than the Holders in such capacity pursuant hereto) may include securities of the Company in any Registration Statements other than the Registrable Securities.</w:t>
      </w:r>
    </w:p>
    <w:p>
      <w:pPr>
        <w:spacing w:after="0" w:line="183" w:lineRule="exact"/>
        <w:rPr>
          <w:rFonts w:ascii="Arial" w:cs="Arial" w:eastAsia="Arial" w:hAnsi="Arial"/>
          <w:sz w:val="18"/>
          <w:szCs w:val="18"/>
          <w:color w:val="auto"/>
        </w:rPr>
      </w:pPr>
    </w:p>
    <w:p>
      <w:pPr>
        <w:jc w:val="both"/>
        <w:ind w:left="-656" w:firstLine="656"/>
        <w:spacing w:after="0" w:line="273" w:lineRule="auto"/>
        <w:tabs>
          <w:tab w:leader="none" w:pos="236" w:val="left"/>
        </w:tabs>
        <w:numPr>
          <w:ilvl w:val="0"/>
          <w:numId w:val="43"/>
        </w:numPr>
        <w:rPr>
          <w:rFonts w:ascii="Arial" w:cs="Arial" w:eastAsia="Arial" w:hAnsi="Arial"/>
          <w:sz w:val="17"/>
          <w:szCs w:val="17"/>
          <w:color w:val="auto"/>
        </w:rPr>
      </w:pPr>
      <w:r>
        <w:rPr>
          <w:rFonts w:ascii="Arial" w:cs="Arial" w:eastAsia="Arial" w:hAnsi="Arial"/>
          <w:sz w:val="17"/>
          <w:szCs w:val="17"/>
          <w:u w:val="single" w:color="auto"/>
          <w:color w:val="auto"/>
        </w:rPr>
        <w:t>Discontinued Disposition</w:t>
      </w:r>
      <w:r>
        <w:rPr>
          <w:rFonts w:ascii="Arial" w:cs="Arial" w:eastAsia="Arial" w:hAnsi="Arial"/>
          <w:sz w:val="17"/>
          <w:szCs w:val="17"/>
          <w:color w:val="auto"/>
        </w:rPr>
        <w:t>. By its acquisition of Registrable Securities, each Holder agrees that, upon receipt of a notice from the Company of the occurrence of any event of the kind described in Section 3(d)(iii) through (vi), such Holder will forthwith discontinue disposition of such Registrable Securities under a Registration Statement until it is advised in writing (the “</w:t>
      </w:r>
      <w:r>
        <w:rPr>
          <w:rFonts w:ascii="Arial" w:cs="Arial" w:eastAsia="Arial" w:hAnsi="Arial"/>
          <w:sz w:val="17"/>
          <w:szCs w:val="17"/>
          <w:u w:val="single" w:color="auto"/>
          <w:color w:val="auto"/>
        </w:rPr>
        <w:t>Advice</w:t>
      </w:r>
      <w:r>
        <w:rPr>
          <w:rFonts w:ascii="Arial" w:cs="Arial" w:eastAsia="Arial" w:hAnsi="Arial"/>
          <w:sz w:val="17"/>
          <w:szCs w:val="17"/>
          <w:color w:val="auto"/>
        </w:rPr>
        <w:t>”) by the Company that the use of the applicable Prospectus (as it may have been supplemented or amended) may be resumed. The Company will use its best efforts to ensure that the use of the Prospectus may be resumed as promptly as is practicable. The Company agrees and acknowledges that any periods during which the Holder is required to discontinue the disposition of the Registrable Securities hereunder shall be subject to the provisions of Section 2(d).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413385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48" w:name="page49"/>
    <w:bookmarkEnd w:id="48"/>
    <w:p>
      <w:pPr>
        <w:jc w:val="both"/>
        <w:ind w:left="-656" w:firstLine="656"/>
        <w:spacing w:after="0" w:line="287" w:lineRule="auto"/>
        <w:tabs>
          <w:tab w:leader="none" w:pos="260"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Amendments and Waivers</w:t>
      </w:r>
      <w:r>
        <w:rPr>
          <w:rFonts w:ascii="Arial" w:cs="Arial" w:eastAsia="Arial" w:hAnsi="Arial"/>
          <w:sz w:val="16"/>
          <w:szCs w:val="16"/>
          <w:color w:val="auto"/>
        </w:rPr>
        <w:t xml:space="preserve">. The provisions of this Agreement, including the provisions of this sentence, may not be amended, modified or supplemented, and waivers or consents to departures from the provisions hereof may not be given, unless the same shall be in writing and signed by the Company and the Holders of 50.1% or more of the then outstanding Registrable Securities, provided that, if any amendment, modification or waiver disproportionately and adversely impacts a Holder (or group of Holders), the consent of such disproportionately impacted Holder (or group of Holders) shall be required. If a Registration Statement does not register all of the Registrable Securities pursuant to a waiver or amendment done in compliance with the previous sentence, then the number of Registrable Securities to be registered for each Holder shall be reduced pro rata among all Holders and each Holder shall have the right to designate which of its Registrable Securities shall be omitted from such Registration Statement. Notwithstanding the foregoing, a waiver or consent to depart from the provisions hereof with respect to a matter that relates exclusively to the rights of a Holder or some Holders and that does not directly or indirectly affect the rights of other Holders may be given only by such Holder or Holders of all of the Registrable Securities to which such waiver or consent relates;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provisions of this sentence may not be amended, modified, or supplemented except in accordance with the provisions of the first sentence of this Section 6(d). No consideration shall be offered or paid to any Person to amend or consent to a waiver or modification of any provision of this Agreement unless the same consideration also is offered to all of the parties to this Agreement.</w:t>
      </w:r>
    </w:p>
    <w:p>
      <w:pPr>
        <w:spacing w:after="0" w:line="167" w:lineRule="exact"/>
        <w:rPr>
          <w:rFonts w:ascii="Arial" w:cs="Arial" w:eastAsia="Arial" w:hAnsi="Arial"/>
          <w:sz w:val="16"/>
          <w:szCs w:val="16"/>
          <w:color w:val="auto"/>
        </w:rPr>
      </w:pPr>
    </w:p>
    <w:p>
      <w:pPr>
        <w:ind w:left="-656" w:firstLine="656"/>
        <w:spacing w:after="0" w:line="277" w:lineRule="auto"/>
        <w:tabs>
          <w:tab w:leader="none" w:pos="25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and all notices or other communications or deliveries required or permitted to be provided hereunder shall be delivered as set forth in the Purchase Agreement.</w:t>
      </w:r>
    </w:p>
    <w:p>
      <w:pPr>
        <w:spacing w:after="0" w:line="170" w:lineRule="exact"/>
        <w:rPr>
          <w:rFonts w:ascii="Arial" w:cs="Arial" w:eastAsia="Arial" w:hAnsi="Arial"/>
          <w:sz w:val="18"/>
          <w:szCs w:val="18"/>
          <w:color w:val="auto"/>
        </w:rPr>
      </w:pPr>
    </w:p>
    <w:p>
      <w:pPr>
        <w:jc w:val="both"/>
        <w:ind w:left="-656" w:firstLine="656"/>
        <w:spacing w:after="0" w:line="259" w:lineRule="auto"/>
        <w:tabs>
          <w:tab w:leader="none" w:pos="217"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shall inure to the benefit of and be binding upon the successors and permitted assigns of each of the parties and shall inure to the benefit of each Holder. The Company may not assign (except by merger) its rights or obligations hereunder without the prior written consent of all of the Holders of the then outstanding Registrable Securities. Each Holder may assign their respective rights hereunder in the manner and to the Persons as permitted under Section 5.7 of the Purchase Agreement.</w:t>
      </w:r>
    </w:p>
    <w:p>
      <w:pPr>
        <w:spacing w:after="0" w:line="186" w:lineRule="exact"/>
        <w:rPr>
          <w:rFonts w:ascii="Arial" w:cs="Arial" w:eastAsia="Arial" w:hAnsi="Arial"/>
          <w:sz w:val="18"/>
          <w:szCs w:val="18"/>
          <w:color w:val="auto"/>
        </w:rPr>
      </w:pPr>
    </w:p>
    <w:p>
      <w:pPr>
        <w:jc w:val="both"/>
        <w:ind w:left="-656" w:firstLine="656"/>
        <w:spacing w:after="0" w:line="257" w:lineRule="auto"/>
        <w:tabs>
          <w:tab w:leader="none" w:pos="247"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No Inconsistent Agreements</w:t>
      </w:r>
      <w:r>
        <w:rPr>
          <w:rFonts w:ascii="Arial" w:cs="Arial" w:eastAsia="Arial" w:hAnsi="Arial"/>
          <w:sz w:val="18"/>
          <w:szCs w:val="18"/>
          <w:color w:val="auto"/>
        </w:rPr>
        <w:t xml:space="preserve">. Neither the Company nor any of its Subsidiaries has entered, as of the date hereof, nor shall the Company or any of its Subsidiaries, on or after the date of this Agreement, enter into any agreement with respect to its securities, that would have the effect of impairing the rights granted to the Holders in this Agreement or otherwise conflicts with the provisions hereof. Except as set forth on </w:t>
      </w:r>
      <w:r>
        <w:rPr>
          <w:rFonts w:ascii="Arial" w:cs="Arial" w:eastAsia="Arial" w:hAnsi="Arial"/>
          <w:sz w:val="18"/>
          <w:szCs w:val="18"/>
          <w:u w:val="single" w:color="auto"/>
          <w:color w:val="auto"/>
        </w:rPr>
        <w:t>Schedule 6(i)</w:t>
      </w:r>
      <w:r>
        <w:rPr>
          <w:rFonts w:ascii="Arial" w:cs="Arial" w:eastAsia="Arial" w:hAnsi="Arial"/>
          <w:sz w:val="18"/>
          <w:szCs w:val="18"/>
          <w:color w:val="auto"/>
        </w:rPr>
        <w:t>, neither the Company nor any of its Subsidiaries has previously entered into any agreement granting any registration rights with respect to any of its securities to any Person that have not been satisfied in full.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419735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49" w:name="page50"/>
    <w:bookmarkEnd w:id="49"/>
    <w:p>
      <w:pPr>
        <w:jc w:val="both"/>
        <w:ind w:firstLine="656"/>
        <w:spacing w:after="0" w:line="255" w:lineRule="auto"/>
        <w:tabs>
          <w:tab w:leader="none" w:pos="93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Execution and Counterparts</w:t>
      </w:r>
      <w:r>
        <w:rPr>
          <w:rFonts w:ascii="Arial" w:cs="Arial" w:eastAsia="Arial" w:hAnsi="Arial"/>
          <w:sz w:val="18"/>
          <w:szCs w:val="18"/>
          <w:color w:val="auto"/>
        </w:rPr>
        <w:t>. This Agreement may be executed in two or more counterparts, all of which when taken together shall be considered one and the same agreement and shall become effective when counterparts have been signed by each party and delivered to the other party, it being understood that both parties need not sign the same counterpart. In the event that any signature is delivered by e-mail delivery of a “.pdf” format data file or any electronic signature complying with the U.S. federal ESIGN Act of 2000 (e.g., www.docusign.com), such signature shall create a valid and binding obligation of the party executing (or on whose behalf such signature is executed) with the same force and effect as if such “.pdf” signature page were an original thereof.</w:t>
      </w:r>
    </w:p>
    <w:p>
      <w:pPr>
        <w:spacing w:after="0" w:line="192" w:lineRule="exact"/>
        <w:rPr>
          <w:rFonts w:ascii="Arial" w:cs="Arial" w:eastAsia="Arial" w:hAnsi="Arial"/>
          <w:sz w:val="18"/>
          <w:szCs w:val="18"/>
          <w:color w:val="auto"/>
        </w:rPr>
      </w:pPr>
    </w:p>
    <w:p>
      <w:pPr>
        <w:ind w:right="20" w:firstLine="656"/>
        <w:spacing w:after="0" w:line="277" w:lineRule="auto"/>
        <w:tabs>
          <w:tab w:leader="none" w:pos="863"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All questions concerning the construction, validity, enforcement and interpretation of this Agreement shall be determined in accordance with the provisions of the Purchase Agreement.</w:t>
      </w:r>
    </w:p>
    <w:p>
      <w:pPr>
        <w:spacing w:after="0" w:line="170" w:lineRule="exact"/>
        <w:rPr>
          <w:rFonts w:ascii="Arial" w:cs="Arial" w:eastAsia="Arial" w:hAnsi="Arial"/>
          <w:sz w:val="18"/>
          <w:szCs w:val="18"/>
          <w:color w:val="auto"/>
        </w:rPr>
      </w:pPr>
    </w:p>
    <w:p>
      <w:pPr>
        <w:ind w:left="880" w:hanging="224"/>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Cumulative Remedies</w:t>
      </w:r>
      <w:r>
        <w:rPr>
          <w:rFonts w:ascii="Arial" w:cs="Arial" w:eastAsia="Arial" w:hAnsi="Arial"/>
          <w:sz w:val="18"/>
          <w:szCs w:val="18"/>
          <w:color w:val="auto"/>
        </w:rPr>
        <w:t>. The remedies provided herein are cumulative and not exclusive of any other remedies provided by law.</w:t>
      </w:r>
    </w:p>
    <w:p>
      <w:pPr>
        <w:spacing w:after="0" w:line="225" w:lineRule="exact"/>
        <w:rPr>
          <w:rFonts w:ascii="Arial" w:cs="Arial" w:eastAsia="Arial" w:hAnsi="Arial"/>
          <w:sz w:val="18"/>
          <w:szCs w:val="18"/>
          <w:color w:val="auto"/>
        </w:rPr>
      </w:pPr>
    </w:p>
    <w:p>
      <w:pPr>
        <w:jc w:val="both"/>
        <w:ind w:firstLine="656"/>
        <w:spacing w:after="0" w:line="273" w:lineRule="auto"/>
        <w:tabs>
          <w:tab w:leader="none" w:pos="903" w:val="left"/>
        </w:tabs>
        <w:numPr>
          <w:ilvl w:val="0"/>
          <w:numId w:val="45"/>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77" w:lineRule="exact"/>
        <w:rPr>
          <w:rFonts w:ascii="Arial" w:cs="Arial" w:eastAsia="Arial" w:hAnsi="Arial"/>
          <w:sz w:val="17"/>
          <w:szCs w:val="17"/>
          <w:color w:val="auto"/>
        </w:rPr>
      </w:pPr>
    </w:p>
    <w:p>
      <w:pPr>
        <w:ind w:right="20" w:firstLine="656"/>
        <w:spacing w:after="0" w:line="277" w:lineRule="auto"/>
        <w:tabs>
          <w:tab w:leader="none" w:pos="863"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in this Agreement are for convenience only, do not constitute a part of the Agreement and shall not be deemed to limit or affect any of the provisions hereof.</w:t>
      </w:r>
    </w:p>
    <w:p>
      <w:pPr>
        <w:spacing w:after="0" w:line="170" w:lineRule="exact"/>
        <w:rPr>
          <w:rFonts w:ascii="Arial" w:cs="Arial" w:eastAsia="Arial" w:hAnsi="Arial"/>
          <w:sz w:val="18"/>
          <w:szCs w:val="18"/>
          <w:color w:val="auto"/>
        </w:rPr>
      </w:pPr>
    </w:p>
    <w:p>
      <w:pPr>
        <w:jc w:val="both"/>
        <w:ind w:firstLine="656"/>
        <w:spacing w:after="0" w:line="269" w:lineRule="auto"/>
        <w:tabs>
          <w:tab w:leader="none" w:pos="980" w:val="left"/>
        </w:tabs>
        <w:numPr>
          <w:ilvl w:val="0"/>
          <w:numId w:val="45"/>
        </w:numPr>
        <w:rPr>
          <w:rFonts w:ascii="Arial" w:cs="Arial" w:eastAsia="Arial" w:hAnsi="Arial"/>
          <w:sz w:val="17"/>
          <w:szCs w:val="17"/>
          <w:color w:val="auto"/>
        </w:rPr>
      </w:pPr>
      <w:r>
        <w:rPr>
          <w:rFonts w:ascii="Arial" w:cs="Arial" w:eastAsia="Arial" w:hAnsi="Arial"/>
          <w:sz w:val="17"/>
          <w:szCs w:val="17"/>
          <w:u w:val="single" w:color="auto"/>
          <w:color w:val="auto"/>
        </w:rPr>
        <w:t>Independent Nature of Holders’ Obligations and Rights</w:t>
      </w:r>
      <w:r>
        <w:rPr>
          <w:rFonts w:ascii="Arial" w:cs="Arial" w:eastAsia="Arial" w:hAnsi="Arial"/>
          <w:sz w:val="17"/>
          <w:szCs w:val="17"/>
          <w:color w:val="auto"/>
        </w:rPr>
        <w:t>. The obligations of each Holder hereunder are several and not joint with the obligations of any other Holder hereunder, and no Holder shall be responsible in any way for the performance of the obligations of any other Holder hereunder. Nothing contained herein or in any other agreement or document delivered at any closing, and no action taken by any Holder pursuant hereto or thereto, shall be deemed to constitute the Holders as a partnership, an association, a joint venture or any other kind of group or entity, or create a presumption that the Holders are in any way acting in concert or as a group or entity with respect to such obligations or the transactions contemplated by this Agreement or any other matters, and the Company acknowledges that the Holders are not acting in concert or as a group, and the Company shall not assert any such claim, with respect to such obligations or transactions. Each Holder shall be entitled to protect and enforce its rights, including without limitation the rights arising out of this Agreement, and it shall not be necessary for any other Holder to be joined as an additional party in any proceeding for such purpose. The use of a single agreement with respect to the obligations of the Company contained was solely in the control of the Company, not the action or decision of any Holder, and was done solely for the convenience of the Company and not because it was required or requested to do so by any Holder. It is expressly understood and agreed that each provision contained in this Agreement is between the Company and a Holder, solely, and not between the Company and the Holders collectively and not between and among Holders.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0" w:name="page51"/>
    <w:bookmarkEnd w:id="50"/>
    <w:p>
      <w:pPr>
        <w:spacing w:after="0"/>
        <w:rPr>
          <w:sz w:val="20"/>
          <w:szCs w:val="20"/>
          <w:color w:val="auto"/>
        </w:rPr>
      </w:pPr>
      <w:r>
        <w:rPr>
          <w:rFonts w:ascii="Arial" w:cs="Arial" w:eastAsia="Arial" w:hAnsi="Arial"/>
          <w:sz w:val="16"/>
          <w:szCs w:val="16"/>
          <w:color w:val="auto"/>
        </w:rPr>
        <w:t>IN WITNESS WHEREOF, the parties have executed this Registration Rights Agreement as of the date first written above.</w:t>
      </w:r>
    </w:p>
    <w:p>
      <w:pPr>
        <w:spacing w:after="0" w:line="244" w:lineRule="exact"/>
        <w:rPr>
          <w:sz w:val="20"/>
          <w:szCs w:val="20"/>
          <w:color w:val="auto"/>
        </w:rPr>
      </w:pPr>
    </w:p>
    <w:p>
      <w:pPr>
        <w:ind w:left="5780"/>
        <w:spacing w:after="0"/>
        <w:rPr>
          <w:sz w:val="20"/>
          <w:szCs w:val="20"/>
          <w:color w:val="auto"/>
        </w:rPr>
      </w:pPr>
      <w:r>
        <w:rPr>
          <w:rFonts w:ascii="Arial" w:cs="Arial" w:eastAsia="Arial" w:hAnsi="Arial"/>
          <w:sz w:val="18"/>
          <w:szCs w:val="18"/>
          <w:b w:val="1"/>
          <w:bCs w:val="1"/>
          <w:color w:val="auto"/>
        </w:rPr>
        <w:t>PRESTO AUTOMATION INC.</w:t>
      </w:r>
    </w:p>
    <w:p>
      <w:pPr>
        <w:spacing w:after="0" w:line="22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3883025</wp:posOffset>
            </wp:positionH>
            <wp:positionV relativeFrom="paragraph">
              <wp:posOffset>14605</wp:posOffset>
            </wp:positionV>
            <wp:extent cx="263144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[SIGNATURE PAGE OF HOLDERS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443230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159"/>
          </w:cols>
          <w:pgMar w:left="1300" w:top="908" w:right="1440" w:bottom="1440" w:gutter="0" w:footer="0" w:header="0"/>
        </w:sectPr>
      </w:pPr>
    </w:p>
    <w:bookmarkStart w:id="51" w:name="page52"/>
    <w:bookmarkEnd w:id="51"/>
    <w:p>
      <w:pPr>
        <w:jc w:val="right"/>
        <w:ind w:right="2539"/>
        <w:spacing w:after="0"/>
        <w:rPr>
          <w:sz w:val="20"/>
          <w:szCs w:val="20"/>
          <w:color w:val="auto"/>
        </w:rPr>
      </w:pPr>
      <w:r>
        <w:rPr>
          <w:rFonts w:ascii="Arial" w:cs="Arial" w:eastAsia="Arial" w:hAnsi="Arial"/>
          <w:sz w:val="18"/>
          <w:szCs w:val="18"/>
          <w:color w:val="auto"/>
        </w:rPr>
        <w:t>[SIGNATURE PAGE OF HOLDERS TO PRST RRA]</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Name of Holder: 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 of Authorized Signatory of Holder</w:t>
      </w:r>
      <w:r>
        <w:rPr>
          <w:rFonts w:ascii="Arial" w:cs="Arial" w:eastAsia="Arial" w:hAnsi="Arial"/>
          <w:sz w:val="18"/>
          <w:szCs w:val="18"/>
          <w:color w:val="auto"/>
        </w:rPr>
        <w:t>: 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 of Authorized Signatory: 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Title of Authorized Signatory: __________________________</w:t>
      </w:r>
    </w:p>
    <w:p>
      <w:pPr>
        <w:spacing w:after="0" w:line="200" w:lineRule="exact"/>
        <w:rPr>
          <w:sz w:val="20"/>
          <w:szCs w:val="20"/>
          <w:color w:val="auto"/>
        </w:rPr>
      </w:pPr>
    </w:p>
    <w:p>
      <w:pPr>
        <w:spacing w:after="0" w:line="241"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[SIGNATURE PAGES CONTINUE]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u w:val="single" w:color="auto"/>
          <w:color w:val="auto"/>
        </w:rPr>
        <w:t>Annex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Plan of Distribution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Each Selling Stockholder (the “</w:t>
      </w:r>
      <w:r>
        <w:rPr>
          <w:rFonts w:ascii="Arial" w:cs="Arial" w:eastAsia="Arial" w:hAnsi="Arial"/>
          <w:sz w:val="18"/>
          <w:szCs w:val="18"/>
          <w:u w:val="single" w:color="auto"/>
          <w:color w:val="auto"/>
        </w:rPr>
        <w:t>Selling Stockholders</w:t>
      </w:r>
      <w:r>
        <w:rPr>
          <w:rFonts w:ascii="Arial" w:cs="Arial" w:eastAsia="Arial" w:hAnsi="Arial"/>
          <w:sz w:val="18"/>
          <w:szCs w:val="18"/>
          <w:color w:val="auto"/>
        </w:rPr>
        <w:t>”) of the securities and any of their pledgees, assignees and successors-in-interest may, from time to time, sell any or all of their securities covered hereby on the Nasdaq Global Market or any other stock exchange, market or trading facility on which the securities are traded or in private transactions. These sales may be at fixed or negotiated prices. A Selling Stockholder may use any one or more of the following methods when selling securities:</w:t>
      </w:r>
    </w:p>
    <w:p>
      <w:pPr>
        <w:spacing w:after="0" w:line="187" w:lineRule="exact"/>
        <w:rPr>
          <w:sz w:val="20"/>
          <w:szCs w:val="20"/>
          <w:color w:val="auto"/>
        </w:rPr>
      </w:pPr>
    </w:p>
    <w:p>
      <w:pPr>
        <w:ind w:left="1300" w:hanging="320"/>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pacing w:after="0" w:line="225"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block trades in which the broker-dealer will attempt to sell the securities as agent but may position and resell a portion of the block as principal to facilitate the transaction;</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the applicable exchange;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settlement of short sales;</w:t>
      </w:r>
    </w:p>
    <w:p>
      <w:pPr>
        <w:spacing w:after="0" w:line="225"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 transactions through broker-dealers that agree with the Selling Stockholders to sell a specified number of such securities at a stipulated price per security;</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through the writing or settlement of options or other hedging transactions, whether through an options exchange or otherwise;</w:t>
      </w:r>
    </w:p>
    <w:p>
      <w:pPr>
        <w:spacing w:after="0" w:line="236" w:lineRule="exact"/>
        <w:rPr>
          <w:rFonts w:ascii="Arial" w:cs="Arial" w:eastAsia="Arial" w:hAnsi="Arial"/>
          <w:sz w:val="17"/>
          <w:szCs w:val="17"/>
          <w:color w:val="auto"/>
        </w:rPr>
      </w:pPr>
    </w:p>
    <w:p>
      <w:pPr>
        <w:ind w:left="1300" w:hanging="320"/>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combination of any such methods of sale; or</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Selling Stockholders may also sell securities under Rule 144 or any other exemption from registration under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if available, rather than under this prospectus.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Broker-dealers engaged by the Selling Stockholders may arrange for other brokers-dealers to participate in sales. Broker-dealers may receive commissions or discounts from the Selling Stockholders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FINRA Rule 2121; and in the case of a principal transaction a markup or markdown in compliance with FINRA Rule 2121.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3" w:name="page54"/>
    <w:bookmarkEnd w:id="53"/>
    <w:p>
      <w:pPr>
        <w:jc w:val="both"/>
        <w:ind w:firstLine="648"/>
        <w:spacing w:after="0" w:line="254" w:lineRule="auto"/>
        <w:rPr>
          <w:sz w:val="20"/>
          <w:szCs w:val="20"/>
          <w:color w:val="auto"/>
        </w:rPr>
      </w:pPr>
      <w:r>
        <w:rPr>
          <w:rFonts w:ascii="Arial" w:cs="Arial" w:eastAsia="Arial" w:hAnsi="Arial"/>
          <w:sz w:val="18"/>
          <w:szCs w:val="18"/>
          <w:color w:val="auto"/>
        </w:rPr>
        <w:t>In connection with the sale of the securities or interests therein, the Selling Stockholders may enter into hedging transactions with broker-dealers or other financial institutions, which may in turn engage in short sales of the securities in the course of hedging the positions they assume. The Selling Stockholders may also sell securities short and deliver these securities to close out their short positions, or loan or pledge the securities to broker-dealers that in turn may sell these securities. The Selling Stockholders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spacing w:after="0" w:line="19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Selling Stockholders and 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Each Selling Stockholder has informed the Company that it does not have any written or oral agreement or understanding, directly or indirectly, with any person to distribute the securities.</w:t>
      </w:r>
    </w:p>
    <w:p>
      <w:pPr>
        <w:spacing w:after="0" w:line="188"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Company is required to pay certain fees and expenses incurred by the Company incident to the registration of the securities. The Company has agreed to indemnify the Selling Stockholders against certain losses, claims, damages and liabilities, including liabilities under the Securities Act.</w:t>
      </w:r>
    </w:p>
    <w:p>
      <w:pPr>
        <w:spacing w:after="0" w:line="12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agreed to keep this prospectus effective until the earlier of (i) the date on which the securities may be resold by the Selling Stockholders without registration and without regard to any volume or manner-of-sale limitations by reason of Rule 144, without the requirement for the Company to be in compliance with the current public information under Rule 144 under the Securities Act or any other rule of similar effect or (ii) all of the securities have been sold pursuant to this prospectus or Rule 144 under the Securities Act or any other rule of similar effect. The resale securities will be sold only through registered or licensed brokers or dealers if required under applicable state securities laws. In addition, in certain states, the resale securities covered hereby may not be sold unless they have been registered or qualified for sale in the applicable state or an exemption from the registration or qualification requirement is available and is complied with.</w:t>
      </w:r>
    </w:p>
    <w:p>
      <w:pPr>
        <w:spacing w:after="0" w:line="19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Under applicable rules and regulations under the Exchange Act, any person engaged in the distribution of the resale securities may not simultaneously engage in market making activities with respect to the common stock for the applicable restricted period, as defined in Regulation M, prior to the commencement of the distribution. In addition, the Selling Stockholders will be subject to applicable provisions of the Exchange Act and the rules and regulations thereunder, including Regulation M, which may limit the timing of purchases and sales of the common stock by the Selling Stockholders or any other person. We will make copies of this prospectus available to the Selling Stockholders and have informed them of the need to deliver a copy of this prospectus to each purchaser at or prior to the time of the sale (including by compliance with Rule 172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405130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SELLING SHAREHOLDERS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common stock being offered by the selling shareholders are those previously issued to the selling shareholders. For additional information regarding the issuances of those shares of common stock, see “Private Placement of Shares of Common Stock” above. We are registering the shares of common stock in order to permit the selling shareholders to offer the shares for resale from time to time. Except for the ownership of the shares of common stock, the selling shareholders have not had any material relationship with us within the past three years.</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table below lists the selling shareholders and other information regarding the beneficial ownership of the shares of common stock by each of the selling shareholders. The second column lists the number of shares of common stock beneficially owned by each selling shareholder, based on its ownership of the shares of common stock, as of ________, 2023.</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third column lists the shares of common stock being offered by this prospectus by the selling shareholders.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accordance with the terms of a registration rights agreement with the selling shareholders, this prospectus generally covers the resale of the number of shares of common stock issued to the selling shareholders in the “Private Placement of Shares of Common Stock” described above. The fourth column assumes the sale of all of the shares offered by the selling shareholders pursuant to this prospectus.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selling shareholders may sell all, some or none of their shares in this offering. See “Plan of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16"/>
        </w:trPr>
        <w:tc>
          <w:tcPr>
            <w:tcW w:w="3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Maximum Number of shares of</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Number of shares of Common</w:t>
            </w:r>
          </w:p>
        </w:tc>
        <w:tc>
          <w:tcPr>
            <w:tcW w:w="2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Common Stock to be Sold</w:t>
            </w:r>
          </w:p>
        </w:tc>
        <w:tc>
          <w:tcPr>
            <w:tcW w:w="2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Number of shares of Common</w:t>
            </w:r>
          </w:p>
        </w:tc>
      </w:tr>
      <w:tr>
        <w:trPr>
          <w:trHeight w:val="241"/>
        </w:trPr>
        <w:tc>
          <w:tcPr>
            <w:tcW w:w="3280" w:type="dxa"/>
            <w:vAlign w:val="bottom"/>
            <w:gridSpan w:val="2"/>
          </w:tcPr>
          <w:p>
            <w:pPr>
              <w:ind w:left="420"/>
              <w:spacing w:after="0"/>
              <w:rPr>
                <w:sz w:val="20"/>
                <w:szCs w:val="20"/>
                <w:color w:val="auto"/>
              </w:rPr>
            </w:pPr>
            <w:r>
              <w:rPr>
                <w:rFonts w:ascii="Arial" w:cs="Arial" w:eastAsia="Arial" w:hAnsi="Arial"/>
                <w:sz w:val="18"/>
                <w:szCs w:val="18"/>
                <w:b w:val="1"/>
                <w:bCs w:val="1"/>
                <w:color w:val="auto"/>
              </w:rPr>
              <w:t>Name of Selling Shareholder</w:t>
            </w:r>
          </w:p>
        </w:tc>
        <w:tc>
          <w:tcPr>
            <w:tcW w:w="27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Stock Owned Prior to Offering</w:t>
            </w:r>
          </w:p>
        </w:tc>
        <w:tc>
          <w:tcPr>
            <w:tcW w:w="2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Pursuant to this Prospectus</w:t>
            </w:r>
          </w:p>
        </w:tc>
        <w:tc>
          <w:tcPr>
            <w:tcW w:w="2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Stock Owned After Offering</w:t>
            </w:r>
          </w:p>
        </w:tc>
      </w:tr>
      <w:tr>
        <w:trPr>
          <w:trHeight w:val="216"/>
        </w:trPr>
        <w:tc>
          <w:tcPr>
            <w:tcW w:w="30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682"/>
        </w:trPr>
        <w:tc>
          <w:tcPr>
            <w:tcW w:w="3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Annex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PRESTO AUTOMATION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Stockholder Notice and Questionnaire</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undersigned beneficial owner of common stock (the “</w:t>
      </w:r>
      <w:r>
        <w:rPr>
          <w:rFonts w:ascii="Arial" w:cs="Arial" w:eastAsia="Arial" w:hAnsi="Arial"/>
          <w:sz w:val="16"/>
          <w:szCs w:val="16"/>
          <w:u w:val="single" w:color="auto"/>
          <w:color w:val="auto"/>
        </w:rPr>
        <w:t>Registrable Securities</w:t>
      </w:r>
      <w:r>
        <w:rPr>
          <w:rFonts w:ascii="Arial" w:cs="Arial" w:eastAsia="Arial" w:hAnsi="Arial"/>
          <w:sz w:val="16"/>
          <w:szCs w:val="16"/>
          <w:color w:val="auto"/>
        </w:rPr>
        <w:t>”) of Presto Automation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understands that the Company has filed or intends to file with the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a registration statement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for the registration and resale under Rule 415 of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of the Registrable Securities, in accordance with the terms of the Registration Rights Agreement (the “</w:t>
      </w:r>
      <w:r>
        <w:rPr>
          <w:rFonts w:ascii="Arial" w:cs="Arial" w:eastAsia="Arial" w:hAnsi="Arial"/>
          <w:sz w:val="16"/>
          <w:szCs w:val="16"/>
          <w:u w:val="single" w:color="auto"/>
          <w:color w:val="auto"/>
        </w:rPr>
        <w:t>Registration Rights Agreement</w:t>
      </w:r>
      <w:r>
        <w:rPr>
          <w:rFonts w:ascii="Arial" w:cs="Arial" w:eastAsia="Arial" w:hAnsi="Arial"/>
          <w:sz w:val="16"/>
          <w:szCs w:val="16"/>
          <w:color w:val="auto"/>
        </w:rPr>
        <w:t>”) to which this document is annexed. A copy of the Registration Rights Agreement is available from the Company upon request at the address set forth below. All capitalized terms not otherwise defined herein shall have the meanings ascribed thereto in the Registration Rights Agreement.</w:t>
      </w:r>
    </w:p>
    <w:p>
      <w:pPr>
        <w:spacing w:after="0" w:line="16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Certain legal consequences arise from being named as a selling stockholder in the Registration Statement and the related prospectus. Accordingly, holders and beneficial owners of Registrable Securities are advised to consult their own securities law counsel regarding the consequences of being named or not being named as a selling stockholder in the Registration Statement and the related prospectus.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undersigned beneficial owner (the “</w:t>
      </w:r>
      <w:r>
        <w:rPr>
          <w:rFonts w:ascii="Arial" w:cs="Arial" w:eastAsia="Arial" w:hAnsi="Arial"/>
          <w:sz w:val="18"/>
          <w:szCs w:val="18"/>
          <w:u w:val="single" w:color="auto"/>
          <w:color w:val="auto"/>
        </w:rPr>
        <w:t>Selling Stockholder</w:t>
      </w:r>
      <w:r>
        <w:rPr>
          <w:rFonts w:ascii="Arial" w:cs="Arial" w:eastAsia="Arial" w:hAnsi="Arial"/>
          <w:sz w:val="18"/>
          <w:szCs w:val="18"/>
          <w:color w:val="auto"/>
        </w:rPr>
        <w:t>”) of Registrable Securities hereby elects to include the Registrable Securities owned by it in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color w:val="auto"/>
        </w:rPr>
        <w:t>The undersigned hereby provides the following information to the Company and represents and warrants that such information is accurate:</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QUESTIONNAIRE</w:t>
      </w:r>
    </w:p>
    <w:p>
      <w:pPr>
        <w:spacing w:after="0" w:line="225" w:lineRule="exact"/>
        <w:rPr>
          <w:sz w:val="20"/>
          <w:szCs w:val="20"/>
          <w:color w:val="auto"/>
        </w:rPr>
      </w:pPr>
    </w:p>
    <w:p>
      <w:pPr>
        <w:ind w:left="180" w:hanging="172"/>
        <w:spacing w:after="0"/>
        <w:tabs>
          <w:tab w:leader="none" w:pos="18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Name.</w:t>
      </w:r>
    </w:p>
    <w:p>
      <w:pPr>
        <w:spacing w:after="0" w:line="229" w:lineRule="exact"/>
        <w:rPr>
          <w:rFonts w:ascii="Arial" w:cs="Arial" w:eastAsia="Arial" w:hAnsi="Arial"/>
          <w:sz w:val="18"/>
          <w:szCs w:val="18"/>
          <w:b w:val="1"/>
          <w:bCs w:val="1"/>
          <w:color w:val="auto"/>
        </w:rPr>
      </w:pPr>
    </w:p>
    <w:p>
      <w:pPr>
        <w:ind w:left="1300" w:hanging="644"/>
        <w:spacing w:after="0"/>
        <w:tabs>
          <w:tab w:leader="none" w:pos="13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Full Legal Name of Selling Stockholder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40" w:lineRule="exact"/>
        <w:rPr>
          <w:rFonts w:ascii="Arial" w:cs="Arial" w:eastAsia="Arial" w:hAnsi="Arial"/>
          <w:sz w:val="18"/>
          <w:szCs w:val="18"/>
          <w:color w:val="auto"/>
        </w:rPr>
      </w:pPr>
    </w:p>
    <w:p>
      <w:pPr>
        <w:ind w:left="1300" w:hanging="644"/>
        <w:spacing w:after="0"/>
        <w:tabs>
          <w:tab w:leader="none" w:pos="13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Full Legal Name of Registered Holder (if not the same as (a) above) through which Registrable Securities are held: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40"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Full Legal Name of Natural Control Person (which means a natural person who directly or indirectly alone or with others has power to vote or dispose of the securities covered by this Questionnaire):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180" w:hanging="172"/>
        <w:spacing w:after="0"/>
        <w:tabs>
          <w:tab w:leader="none" w:pos="18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Address for Notices to Selling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-2013585</wp:posOffset>
            </wp:positionV>
            <wp:extent cx="672084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6720840"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-1285240</wp:posOffset>
            </wp:positionV>
            <wp:extent cx="672084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6720840"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-419100</wp:posOffset>
            </wp:positionV>
            <wp:extent cx="672084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672084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437515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14605</wp:posOffset>
            </wp:positionV>
            <wp:extent cx="627507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627507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5715</wp:posOffset>
            </wp:positionV>
            <wp:extent cx="627507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627507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Contact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5715</wp:posOffset>
            </wp:positionV>
            <wp:extent cx="627507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6275070" cy="8255"/>
                    </a:xfrm>
                    <a:prstGeom prst="rect">
                      <a:avLst/>
                    </a:prstGeom>
                    <a:noFill/>
                  </pic:spPr>
                </pic:pic>
              </a:graphicData>
            </a:graphic>
          </wp:anchor>
        </w:drawing>
      </w:r>
    </w:p>
    <w:p>
      <w:pPr>
        <w:spacing w:after="0" w:line="200" w:lineRule="exact"/>
        <w:rPr>
          <w:sz w:val="20"/>
          <w:szCs w:val="20"/>
          <w:color w:val="auto"/>
        </w:rPr>
      </w:pPr>
    </w:p>
    <w:p>
      <w:pPr>
        <w:ind w:left="180" w:hanging="172"/>
        <w:spacing w:after="0"/>
        <w:tabs>
          <w:tab w:leader="none" w:pos="18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Broker-Dealer Status:</w:t>
      </w:r>
    </w:p>
    <w:p>
      <w:pPr>
        <w:spacing w:after="0" w:line="229" w:lineRule="exact"/>
        <w:rPr>
          <w:rFonts w:ascii="Arial" w:cs="Arial" w:eastAsia="Arial" w:hAnsi="Arial"/>
          <w:sz w:val="18"/>
          <w:szCs w:val="18"/>
          <w:b w:val="1"/>
          <w:bCs w:val="1"/>
          <w:color w:val="auto"/>
        </w:rPr>
      </w:pPr>
    </w:p>
    <w:p>
      <w:pPr>
        <w:ind w:left="1300" w:hanging="644"/>
        <w:spacing w:after="0"/>
        <w:tabs>
          <w:tab w:leader="none" w:pos="13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Are you a broker-dealer?</w:t>
      </w:r>
    </w:p>
    <w:p>
      <w:pPr>
        <w:spacing w:after="0" w:line="180" w:lineRule="exact"/>
        <w:rPr>
          <w:sz w:val="20"/>
          <w:szCs w:val="20"/>
          <w:color w:val="auto"/>
        </w:rPr>
      </w:pPr>
    </w:p>
    <w:p>
      <w:pPr>
        <w:jc w:val="center"/>
        <w:ind w:right="-19"/>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70" w:lineRule="exact"/>
        <w:rPr>
          <w:sz w:val="20"/>
          <w:szCs w:val="20"/>
          <w:color w:val="auto"/>
        </w:rPr>
      </w:pPr>
    </w:p>
    <w:p>
      <w:pPr>
        <w:ind w:left="5160" w:right="200" w:hanging="4504"/>
        <w:spacing w:after="0" w:line="345" w:lineRule="exact"/>
        <w:tabs>
          <w:tab w:leader="none" w:pos="1310"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If “yes” to Section 3(a), did you receive your Registrable Securities as compensation for investment banking services to the Company?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Note: If “no” to Section 3(b), the Commission’s staff has indicated that you should be identified as an underwriter in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457835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58" w:name="page59"/>
    <w:bookmarkEnd w:id="58"/>
    <w:p>
      <w:pPr>
        <w:ind w:left="1300" w:hanging="644"/>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Are you an affiliate of a broker-dealer?</w:t>
      </w:r>
    </w:p>
    <w:p>
      <w:pPr>
        <w:spacing w:after="0" w:line="180" w:lineRule="exact"/>
        <w:rPr>
          <w:sz w:val="20"/>
          <w:szCs w:val="20"/>
          <w:color w:val="auto"/>
        </w:rPr>
      </w:pPr>
    </w:p>
    <w:p>
      <w:pPr>
        <w:jc w:val="center"/>
        <w:ind w:right="-19"/>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70" w:lineRule="exact"/>
        <w:rPr>
          <w:sz w:val="20"/>
          <w:szCs w:val="20"/>
          <w:color w:val="auto"/>
        </w:rPr>
      </w:pPr>
    </w:p>
    <w:p>
      <w:pPr>
        <w:jc w:val="both"/>
        <w:ind w:left="1300" w:hanging="644"/>
        <w:spacing w:after="0" w:line="263" w:lineRule="auto"/>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If you are an affiliate of a broker-dealer, do you certify that you purchased the Registrable Securities in the ordinary course of business, and at the time of the purchase of the Registrable Securities to be resold, you had no agreements or understandings, directly or indirectly, with any person to distribute the Registrable Securities?</w:t>
      </w:r>
    </w:p>
    <w:p>
      <w:pPr>
        <w:spacing w:after="0" w:line="139" w:lineRule="exact"/>
        <w:rPr>
          <w:sz w:val="20"/>
          <w:szCs w:val="20"/>
          <w:color w:val="auto"/>
        </w:rPr>
      </w:pPr>
    </w:p>
    <w:p>
      <w:pPr>
        <w:jc w:val="center"/>
        <w:ind w:right="-19"/>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Note: If “no” to Section 3(d), the Commission’s staff has indicated that you should be identified as an underwriter in the Registration Statement.</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Beneficial Ownership of Securities of the Company Owned by the Selling Stockholder.</w:t>
      </w:r>
    </w:p>
    <w:p>
      <w:pPr>
        <w:spacing w:after="0" w:line="229"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i w:val="1"/>
          <w:iCs w:val="1"/>
          <w:color w:val="auto"/>
        </w:rPr>
        <w:t>Except as set forth below in this Item 4, the undersigned is not the beneficial or registered owner of any securities of the Company other than the securities issuable pursuant to the Purchase Agreement.</w:t>
      </w:r>
    </w:p>
    <w:p>
      <w:pPr>
        <w:spacing w:after="0" w:line="170" w:lineRule="exact"/>
        <w:rPr>
          <w:sz w:val="20"/>
          <w:szCs w:val="20"/>
          <w:color w:val="auto"/>
        </w:rPr>
      </w:pPr>
    </w:p>
    <w:p>
      <w:pPr>
        <w:ind w:left="1300" w:hanging="644"/>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Type and Amount of other securities beneficially owned by the Selling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460375</wp:posOffset>
            </wp:positionV>
            <wp:extent cx="672084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6720840"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314960</wp:posOffset>
            </wp:positionV>
            <wp:extent cx="672084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672084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915035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5. Relationships with the Company:</w:t>
      </w:r>
    </w:p>
    <w:p>
      <w:pPr>
        <w:spacing w:after="0" w:line="229"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i w:val="1"/>
          <w:iCs w:val="1"/>
          <w:color w:val="auto"/>
        </w:rPr>
        <w:t>Except as set forth below, neither the undersigned nor any of its affiliates, officers, directors or principal equity holders (owners of 5% of more of the equity securities of the undersigned) has held any position or office or has had any other material relationship with the Company (or its predecessors or affiliates) during the past three years.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State any exceptions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443230</wp:posOffset>
            </wp:positionV>
            <wp:extent cx="672084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6720840"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297815</wp:posOffset>
            </wp:positionV>
            <wp:extent cx="672084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67208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undersigned agrees to promptly notify the Company of any material inaccuracies or changes in the information provided herein that may occur subsequent to the date hereof at any time while the Registration Statement remains effective; provided, that the undersigned shall not be required to notify the Company of any changes to the number of securities held or owned by the undersigned or its affiliates.</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By signing below, the undersigned consents to the disclosure of the information contained herein in its answers to Items 1 through 5 and the inclusion of such information in the Registration Statement and the related prospectus and any amendments or supplements thereto. The undersigned understands that such information will be relied upon by the Company in connection with the preparation or amendment of the Registration Statement and the related prospectus and any amendments or supplements thereto.</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WITNESS WHEREOF the undersigned, by authority duly given, has caused this Notice and Questionnaire to be executed and delivered either in person or by its duly authorized agent.</w:t>
      </w:r>
    </w:p>
    <w:p>
      <w:pPr>
        <w:spacing w:after="0" w:line="170" w:lineRule="exact"/>
        <w:rPr>
          <w:sz w:val="20"/>
          <w:szCs w:val="20"/>
          <w:color w:val="auto"/>
        </w:rPr>
      </w:pPr>
    </w:p>
    <w:p>
      <w:pPr>
        <w:spacing w:after="0"/>
        <w:tabs>
          <w:tab w:leader="none" w:pos="6580" w:val="left"/>
        </w:tabs>
        <w:rPr>
          <w:sz w:val="20"/>
          <w:szCs w:val="20"/>
          <w:color w:val="auto"/>
        </w:rPr>
      </w:pPr>
      <w:r>
        <w:rPr>
          <w:rFonts w:ascii="Arial" w:cs="Arial" w:eastAsia="Arial" w:hAnsi="Arial"/>
          <w:sz w:val="18"/>
          <w:szCs w:val="18"/>
          <w:color w:val="auto"/>
        </w:rPr>
        <w:t>Date:_________________</w:t>
      </w:r>
      <w:r>
        <w:rPr>
          <w:sz w:val="20"/>
          <w:szCs w:val="20"/>
          <w:color w:val="auto"/>
        </w:rPr>
        <w:tab/>
      </w:r>
      <w:r>
        <w:rPr>
          <w:rFonts w:ascii="Arial" w:cs="Arial" w:eastAsia="Arial" w:hAnsi="Arial"/>
          <w:sz w:val="16"/>
          <w:szCs w:val="16"/>
          <w:color w:val="auto"/>
        </w:rPr>
        <w:t>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14605</wp:posOffset>
            </wp:positionV>
            <wp:extent cx="2100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2100580" cy="8255"/>
                    </a:xfrm>
                    <a:prstGeom prst="rect">
                      <a:avLst/>
                    </a:prstGeom>
                    <a:noFill/>
                  </pic:spPr>
                </pic:pic>
              </a:graphicData>
            </a:graphic>
          </wp:anchor>
        </w:drawing>
      </w:r>
    </w:p>
    <w:p>
      <w:pPr>
        <w:spacing w:after="0" w:line="24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63144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PLEASE EMAIL A .PDF COPY OF THE COMPLETED AND EXECUTED NOTICE AND QUESTIONNAIRE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10.2</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THIRD AMENDMENT TO CREDIT AGREEMENT</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Third Amendment to Credit Agreement (this “</w:t>
      </w:r>
      <w:r>
        <w:rPr>
          <w:rFonts w:ascii="Arial" w:cs="Arial" w:eastAsia="Arial" w:hAnsi="Arial"/>
          <w:sz w:val="17"/>
          <w:szCs w:val="17"/>
          <w:u w:val="single" w:color="auto"/>
          <w:color w:val="auto"/>
        </w:rPr>
        <w:t>Amendment</w:t>
      </w:r>
      <w:r>
        <w:rPr>
          <w:rFonts w:ascii="Arial" w:cs="Arial" w:eastAsia="Arial" w:hAnsi="Arial"/>
          <w:sz w:val="17"/>
          <w:szCs w:val="17"/>
          <w:color w:val="auto"/>
        </w:rPr>
        <w:t>”) dated as of October 10, 2023, is by and among Presto Automation LLC (f/k/a E La Carte, LLC, f/k/a Ventoux Merger Sub II LLC) a Delaware limited liability company (“</w:t>
      </w:r>
      <w:r>
        <w:rPr>
          <w:rFonts w:ascii="Arial" w:cs="Arial" w:eastAsia="Arial" w:hAnsi="Arial"/>
          <w:sz w:val="17"/>
          <w:szCs w:val="17"/>
          <w:u w:val="single" w:color="auto"/>
          <w:color w:val="auto"/>
        </w:rPr>
        <w:t>Presto</w:t>
      </w:r>
      <w:r>
        <w:rPr>
          <w:rFonts w:ascii="Arial" w:cs="Arial" w:eastAsia="Arial" w:hAnsi="Arial"/>
          <w:sz w:val="17"/>
          <w:szCs w:val="17"/>
          <w:color w:val="auto"/>
        </w:rPr>
        <w:t>”), each other Person party hereto as a “Borrower” from time to time (each such Person, together with Presto, individually and collectively, the “</w:t>
      </w:r>
      <w:r>
        <w:rPr>
          <w:rFonts w:ascii="Arial" w:cs="Arial" w:eastAsia="Arial" w:hAnsi="Arial"/>
          <w:sz w:val="17"/>
          <w:szCs w:val="17"/>
          <w:u w:val="single" w:color="auto"/>
          <w:color w:val="auto"/>
        </w:rPr>
        <w:t>Borrower</w:t>
      </w:r>
      <w:r>
        <w:rPr>
          <w:rFonts w:ascii="Arial" w:cs="Arial" w:eastAsia="Arial" w:hAnsi="Arial"/>
          <w:sz w:val="17"/>
          <w:szCs w:val="17"/>
          <w:color w:val="auto"/>
        </w:rPr>
        <w:t xml:space="preserve">”), </w:t>
      </w:r>
      <w:r>
        <w:rPr>
          <w:rFonts w:ascii="Arial" w:cs="Arial" w:eastAsia="Arial" w:hAnsi="Arial"/>
          <w:sz w:val="17"/>
          <w:szCs w:val="17"/>
          <w:b w:val="1"/>
          <w:bCs w:val="1"/>
          <w:color w:val="auto"/>
        </w:rPr>
        <w:t>PRESTO AUTOMATION INC.</w:t>
      </w:r>
      <w:r>
        <w:rPr>
          <w:rFonts w:ascii="Arial" w:cs="Arial" w:eastAsia="Arial" w:hAnsi="Arial"/>
          <w:sz w:val="17"/>
          <w:szCs w:val="17"/>
          <w:color w:val="auto"/>
        </w:rPr>
        <w:t xml:space="preserve"> (f/k/a Ventoux CCM Acquisition Corp.), a Delaware corporation (the “</w:t>
      </w:r>
      <w:r>
        <w:rPr>
          <w:rFonts w:ascii="Arial" w:cs="Arial" w:eastAsia="Arial" w:hAnsi="Arial"/>
          <w:sz w:val="17"/>
          <w:szCs w:val="17"/>
          <w:u w:val="single" w:color="auto"/>
          <w:color w:val="auto"/>
        </w:rPr>
        <w:t>Parent</w:t>
      </w:r>
      <w:r>
        <w:rPr>
          <w:rFonts w:ascii="Arial" w:cs="Arial" w:eastAsia="Arial" w:hAnsi="Arial"/>
          <w:sz w:val="17"/>
          <w:szCs w:val="17"/>
          <w:color w:val="auto"/>
        </w:rPr>
        <w:t>”) together with each other Guarantor from time to time party hereto, each a “</w:t>
      </w:r>
      <w:r>
        <w:rPr>
          <w:rFonts w:ascii="Arial" w:cs="Arial" w:eastAsia="Arial" w:hAnsi="Arial"/>
          <w:sz w:val="17"/>
          <w:szCs w:val="17"/>
          <w:u w:val="single" w:color="auto"/>
          <w:color w:val="auto"/>
        </w:rPr>
        <w:t>Guarantor</w:t>
      </w:r>
      <w:r>
        <w:rPr>
          <w:rFonts w:ascii="Arial" w:cs="Arial" w:eastAsia="Arial" w:hAnsi="Arial"/>
          <w:sz w:val="17"/>
          <w:szCs w:val="17"/>
          <w:color w:val="auto"/>
        </w:rPr>
        <w:t>” and together with Borrower, each a “</w:t>
      </w:r>
      <w:r>
        <w:rPr>
          <w:rFonts w:ascii="Arial" w:cs="Arial" w:eastAsia="Arial" w:hAnsi="Arial"/>
          <w:sz w:val="17"/>
          <w:szCs w:val="17"/>
          <w:u w:val="single" w:color="auto"/>
          <w:color w:val="auto"/>
        </w:rPr>
        <w:t>Loan Party</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Loan Parties</w:t>
      </w:r>
      <w:r>
        <w:rPr>
          <w:rFonts w:ascii="Arial" w:cs="Arial" w:eastAsia="Arial" w:hAnsi="Arial"/>
          <w:sz w:val="17"/>
          <w:szCs w:val="17"/>
          <w:color w:val="auto"/>
        </w:rPr>
        <w:t>”, each of the financial institutions from time to time party hereto (individually each a “</w:t>
      </w:r>
      <w:r>
        <w:rPr>
          <w:rFonts w:ascii="Arial" w:cs="Arial" w:eastAsia="Arial" w:hAnsi="Arial"/>
          <w:sz w:val="17"/>
          <w:szCs w:val="17"/>
          <w:u w:val="single" w:color="auto"/>
          <w:color w:val="auto"/>
        </w:rPr>
        <w:t>Lender</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Lenders</w:t>
      </w:r>
      <w:r>
        <w:rPr>
          <w:rFonts w:ascii="Arial" w:cs="Arial" w:eastAsia="Arial" w:hAnsi="Arial"/>
          <w:sz w:val="17"/>
          <w:szCs w:val="17"/>
          <w:color w:val="auto"/>
        </w:rPr>
        <w:t xml:space="preserve">”) and </w:t>
      </w:r>
      <w:r>
        <w:rPr>
          <w:rFonts w:ascii="Arial" w:cs="Arial" w:eastAsia="Arial" w:hAnsi="Arial"/>
          <w:sz w:val="17"/>
          <w:szCs w:val="17"/>
          <w:b w:val="1"/>
          <w:bCs w:val="1"/>
          <w:color w:val="auto"/>
        </w:rPr>
        <w:t>METROPOLITAN PARTNERS GROUP ADMINISTRATION, LLC</w:t>
      </w:r>
      <w:r>
        <w:rPr>
          <w:rFonts w:ascii="Arial" w:cs="Arial" w:eastAsia="Arial" w:hAnsi="Arial"/>
          <w:sz w:val="17"/>
          <w:szCs w:val="17"/>
          <w:color w:val="auto"/>
        </w:rPr>
        <w:t>, a Delaware limited liability company, as administrative, payment and collateral agent for the Lenders (in such capacities, “</w:t>
      </w:r>
      <w:r>
        <w:rPr>
          <w:rFonts w:ascii="Arial" w:cs="Arial" w:eastAsia="Arial" w:hAnsi="Arial"/>
          <w:sz w:val="17"/>
          <w:szCs w:val="17"/>
          <w:u w:val="single" w:color="auto"/>
          <w:color w:val="auto"/>
        </w:rPr>
        <w:t>Agent</w:t>
      </w:r>
      <w:r>
        <w:rPr>
          <w:rFonts w:ascii="Arial" w:cs="Arial" w:eastAsia="Arial" w:hAnsi="Arial"/>
          <w:sz w:val="17"/>
          <w:szCs w:val="17"/>
          <w:color w:val="auto"/>
        </w:rPr>
        <w: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Borrower, Parent, Agent, and the Lenders are party to that certain Credit Agreement dated as of September 21, 2022, as amended by</w:t>
      </w:r>
      <w:r>
        <w:rPr>
          <w:rFonts w:ascii="Arial" w:cs="Arial" w:eastAsia="Arial" w:hAnsi="Arial"/>
          <w:sz w:val="17"/>
          <w:szCs w:val="17"/>
          <w:b w:val="1"/>
          <w:bCs w:val="1"/>
          <w:color w:val="auto"/>
        </w:rPr>
        <w:t xml:space="preserve"> </w:t>
      </w:r>
      <w:r>
        <w:rPr>
          <w:rFonts w:ascii="Arial" w:cs="Arial" w:eastAsia="Arial" w:hAnsi="Arial"/>
          <w:sz w:val="17"/>
          <w:szCs w:val="17"/>
          <w:color w:val="auto"/>
        </w:rPr>
        <w:t>that certain Waiver and First Amendment to Credit Agreement dated as of March 31, 2023 and that certain Second Amendment to Credit Agreement, dated as of May 22, 2023 (as amended, restated, supplemented or otherwise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w:t>
      </w:r>
    </w:p>
    <w:p>
      <w:pPr>
        <w:spacing w:after="0" w:line="158" w:lineRule="exact"/>
        <w:rPr>
          <w:sz w:val="20"/>
          <w:szCs w:val="20"/>
          <w:color w:val="auto"/>
        </w:rPr>
      </w:pPr>
    </w:p>
    <w:p>
      <w:pPr>
        <w:ind w:right="10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certain Defaults and Events of Default have occurred and are continuing under the Credit Agreement, as set forth on</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Exhibit A</w:t>
      </w:r>
      <w:r>
        <w:rPr>
          <w:rFonts w:ascii="Arial" w:cs="Arial" w:eastAsia="Arial" w:hAnsi="Arial"/>
          <w:sz w:val="18"/>
          <w:szCs w:val="18"/>
          <w:b w:val="1"/>
          <w:bCs w:val="1"/>
          <w:color w:val="auto"/>
        </w:rPr>
        <w:t xml:space="preserve"> </w:t>
      </w:r>
      <w:r>
        <w:rPr>
          <w:rFonts w:ascii="Arial" w:cs="Arial" w:eastAsia="Arial" w:hAnsi="Arial"/>
          <w:sz w:val="18"/>
          <w:szCs w:val="18"/>
          <w:color w:val="auto"/>
        </w:rPr>
        <w:t>(the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u w:val="single" w:color="auto"/>
          <w:color w:val="auto"/>
        </w:rPr>
        <w:t>Existing Events of Default</w:t>
      </w:r>
      <w:r>
        <w:rPr>
          <w:rFonts w:ascii="Arial" w:cs="Arial" w:eastAsia="Arial" w:hAnsi="Arial"/>
          <w:sz w:val="18"/>
          <w:szCs w:val="18"/>
          <w:color w:val="auto"/>
        </w:rPr>
        <w:t>”);</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Loan Parties have requested that Agent and Lenders (i) waive the Existing Events of Default, (ii) advance an additional</w:t>
      </w:r>
      <w:r>
        <w:rPr>
          <w:rFonts w:ascii="Arial" w:cs="Arial" w:eastAsia="Arial" w:hAnsi="Arial"/>
          <w:sz w:val="18"/>
          <w:szCs w:val="18"/>
          <w:b w:val="1"/>
          <w:bCs w:val="1"/>
          <w:color w:val="auto"/>
        </w:rPr>
        <w:t xml:space="preserve"> </w:t>
      </w:r>
      <w:r>
        <w:rPr>
          <w:rFonts w:ascii="Arial" w:cs="Arial" w:eastAsia="Arial" w:hAnsi="Arial"/>
          <w:sz w:val="18"/>
          <w:szCs w:val="18"/>
          <w:color w:val="auto"/>
        </w:rPr>
        <w:t>$3,000,000 of Term Loans to the Loan Parties, (iii) convert $6,000,000 of accrued and capitalized interest on the Term Loans into equity of Parent, and (iv) amend certain provisions of the Credit Agreement;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Loan Parties have agreed to do so on the terms and conditions set forth herein; and</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hereto desire to enter into this Amendment to, among other things, amend and restate certain provisions of the Credit</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as further described below.</w:t>
      </w:r>
    </w:p>
    <w:p>
      <w:pPr>
        <w:spacing w:after="0" w:line="16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in consideration of the terms, conditions and covenants set forth below, and other good and valuable consideration, the</w:t>
      </w:r>
      <w:r>
        <w:rPr>
          <w:rFonts w:ascii="Arial" w:cs="Arial" w:eastAsia="Arial" w:hAnsi="Arial"/>
          <w:sz w:val="17"/>
          <w:szCs w:val="17"/>
          <w:b w:val="1"/>
          <w:bCs w:val="1"/>
          <w:color w:val="auto"/>
        </w:rPr>
        <w:t xml:space="preserve"> </w:t>
      </w:r>
      <w:r>
        <w:rPr>
          <w:rFonts w:ascii="Arial" w:cs="Arial" w:eastAsia="Arial" w:hAnsi="Arial"/>
          <w:sz w:val="17"/>
          <w:szCs w:val="17"/>
          <w:color w:val="auto"/>
        </w:rPr>
        <w:t>receipt of which is hereby acknowledged, the parties, intending to be legally bound hereby, promise and agree as follows. Capitalized terms used but not otherwise defined herein shall have the meanings given to such terms in the Credit Agreement as amended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jc w:val="both"/>
        <w:ind w:firstLine="656"/>
        <w:spacing w:after="0" w:line="270" w:lineRule="auto"/>
        <w:tabs>
          <w:tab w:leader="none" w:pos="828" w:val="left"/>
        </w:tabs>
        <w:numPr>
          <w:ilvl w:val="0"/>
          <w:numId w:val="53"/>
        </w:numPr>
        <w:rPr>
          <w:rFonts w:ascii="Arial" w:cs="Arial" w:eastAsia="Arial" w:hAnsi="Arial"/>
          <w:sz w:val="17"/>
          <w:szCs w:val="17"/>
          <w:color w:val="auto"/>
        </w:rPr>
      </w:pPr>
      <w:r>
        <w:rPr>
          <w:rFonts w:ascii="Arial" w:cs="Arial" w:eastAsia="Arial" w:hAnsi="Arial"/>
          <w:sz w:val="17"/>
          <w:szCs w:val="17"/>
          <w:u w:val="single" w:color="auto"/>
          <w:color w:val="auto"/>
        </w:rPr>
        <w:t>Limited Waiver; Estoppel</w:t>
      </w:r>
      <w:r>
        <w:rPr>
          <w:rFonts w:ascii="Arial" w:cs="Arial" w:eastAsia="Arial" w:hAnsi="Arial"/>
          <w:sz w:val="17"/>
          <w:szCs w:val="17"/>
          <w:color w:val="auto"/>
        </w:rPr>
        <w:t>. Each Loan Party acknowledges that the Existing Events of Default have occurred and are continuing. Subject to the terms and conditions set forth herein, effective as of the Third Amendment Effective Date, the Agent and the Lenders hereby waive the Existing Events of Default and their right to take any action under the Credit Agreement or any other Loan Document that they may have otherwise had solely as a result of the occurrence of such Existing Events of Default. The foregoing limited waiver shall not be deemed to modify or affect the obligations of the Loan Parties to comply with each and every obligation, covenant, duty or agreement under the Loan Documents, in each case as amended. This waiver is a one-time waiver limited exclusively to the Existing Events of Default and (i) shall not be construed to be a waiver of, or in any way obligate the Agent or any Lender to waive, any other Default or Event of Default that may have occurred or that may occur from and after the Effective Date, (ii) shall not constitute or be deemed to constitute a consent by the Agent or any Lender to any other act, omission, or other breach of the Credit Agreement or any other Loan Document and (iii) shall not constitute a course of dealing among the parties hereto.</w:t>
      </w:r>
    </w:p>
    <w:p>
      <w:pPr>
        <w:spacing w:after="0" w:line="180" w:lineRule="exact"/>
        <w:rPr>
          <w:rFonts w:ascii="Arial" w:cs="Arial" w:eastAsia="Arial" w:hAnsi="Arial"/>
          <w:sz w:val="17"/>
          <w:szCs w:val="17"/>
          <w:color w:val="auto"/>
        </w:rPr>
      </w:pPr>
    </w:p>
    <w:p>
      <w:pPr>
        <w:ind w:firstLine="656"/>
        <w:spacing w:after="0" w:line="308" w:lineRule="auto"/>
        <w:tabs>
          <w:tab w:leader="none" w:pos="841" w:val="left"/>
        </w:tabs>
        <w:numPr>
          <w:ilvl w:val="0"/>
          <w:numId w:val="53"/>
        </w:numPr>
        <w:rPr>
          <w:rFonts w:ascii="Arial" w:cs="Arial" w:eastAsia="Arial" w:hAnsi="Arial"/>
          <w:sz w:val="17"/>
          <w:szCs w:val="17"/>
          <w:color w:val="auto"/>
        </w:rPr>
      </w:pPr>
      <w:r>
        <w:rPr>
          <w:rFonts w:ascii="Arial" w:cs="Arial" w:eastAsia="Arial" w:hAnsi="Arial"/>
          <w:sz w:val="17"/>
          <w:szCs w:val="17"/>
          <w:u w:val="single" w:color="auto"/>
          <w:color w:val="auto"/>
        </w:rPr>
        <w:t>Amendments to Loan Documents</w:t>
      </w:r>
      <w:r>
        <w:rPr>
          <w:rFonts w:ascii="Arial" w:cs="Arial" w:eastAsia="Arial" w:hAnsi="Arial"/>
          <w:sz w:val="17"/>
          <w:szCs w:val="17"/>
          <w:color w:val="auto"/>
        </w:rPr>
        <w:t xml:space="preserve">. Upon satisfaction of the conditions set forth in </w:t>
      </w:r>
      <w:r>
        <w:rPr>
          <w:rFonts w:ascii="Arial" w:cs="Arial" w:eastAsia="Arial" w:hAnsi="Arial"/>
          <w:sz w:val="17"/>
          <w:szCs w:val="17"/>
          <w:u w:val="single" w:color="auto"/>
          <w:color w:val="auto"/>
        </w:rPr>
        <w:t>Section 8</w:t>
      </w:r>
      <w:r>
        <w:rPr>
          <w:rFonts w:ascii="Arial" w:cs="Arial" w:eastAsia="Arial" w:hAnsi="Arial"/>
          <w:sz w:val="17"/>
          <w:szCs w:val="17"/>
          <w:color w:val="auto"/>
        </w:rPr>
        <w:t xml:space="preserve"> hereof, and in reliance upon the Loan Parties’ representations and warranties set forth in the Credit Agreement and this Amendment, the Loan Parties, Agent and the Lenders agree as follows:</w:t>
      </w:r>
    </w:p>
    <w:p>
      <w:pPr>
        <w:spacing w:after="0" w:line="146" w:lineRule="exact"/>
        <w:rPr>
          <w:sz w:val="20"/>
          <w:szCs w:val="20"/>
          <w:color w:val="auto"/>
        </w:rPr>
      </w:pPr>
    </w:p>
    <w:p>
      <w:pPr>
        <w:jc w:val="both"/>
        <w:ind w:firstLine="656"/>
        <w:spacing w:after="0" w:line="263" w:lineRule="auto"/>
        <w:tabs>
          <w:tab w:leader="none" w:pos="901" w:val="left"/>
        </w:tabs>
        <w:numPr>
          <w:ilvl w:val="1"/>
          <w:numId w:val="54"/>
        </w:numPr>
        <w:rPr>
          <w:rFonts w:ascii="Arial" w:cs="Arial" w:eastAsia="Arial" w:hAnsi="Arial"/>
          <w:sz w:val="18"/>
          <w:szCs w:val="18"/>
          <w:color w:val="auto"/>
        </w:rPr>
      </w:pPr>
      <w:r>
        <w:rPr>
          <w:rFonts w:ascii="Arial" w:cs="Arial" w:eastAsia="Arial" w:hAnsi="Arial"/>
          <w:sz w:val="18"/>
          <w:szCs w:val="18"/>
          <w:color w:val="auto"/>
        </w:rPr>
        <w:t xml:space="preserve">The Credit Agreement, other than the Schedules and Exhibits thereto, is hereby amended to delete the stricken text (indicated textually in the same manner as the following example: </w:t>
      </w:r>
      <w:r>
        <w:rPr>
          <w:rFonts w:ascii="Arial" w:cs="Arial" w:eastAsia="Arial" w:hAnsi="Arial"/>
          <w:sz w:val="18"/>
          <w:szCs w:val="18"/>
          <w:color w:val="FF0000"/>
          <w:strike w:val="1"/>
        </w:rPr>
        <w:t>stricken text</w:t>
      </w:r>
      <w:r>
        <w:rPr>
          <w:rFonts w:ascii="Arial" w:cs="Arial" w:eastAsia="Arial" w:hAnsi="Arial"/>
          <w:sz w:val="18"/>
          <w:szCs w:val="18"/>
          <w:color w:val="auto"/>
        </w:rPr>
        <w:t xml:space="preserve">) and to add the bolded and underlined text (indicated textually in the same manner as the following example: </w:t>
      </w:r>
      <w:r>
        <w:rPr>
          <w:rFonts w:ascii="Arial" w:cs="Arial" w:eastAsia="Arial" w:hAnsi="Arial"/>
          <w:sz w:val="18"/>
          <w:szCs w:val="18"/>
          <w:b w:val="1"/>
          <w:bCs w:val="1"/>
          <w:u w:val="single" w:color="auto"/>
          <w:color w:val="0000FF"/>
        </w:rPr>
        <w:t>bolded and underlined text</w:t>
      </w:r>
      <w:r>
        <w:rPr>
          <w:rFonts w:ascii="Arial" w:cs="Arial" w:eastAsia="Arial" w:hAnsi="Arial"/>
          <w:sz w:val="18"/>
          <w:szCs w:val="18"/>
          <w:color w:val="auto"/>
        </w:rPr>
        <w:t xml:space="preserve">) as set forth in the Credit Agreement attached hereto as </w:t>
      </w:r>
      <w:r>
        <w:rPr>
          <w:rFonts w:ascii="Arial" w:cs="Arial" w:eastAsia="Arial" w:hAnsi="Arial"/>
          <w:sz w:val="18"/>
          <w:szCs w:val="18"/>
          <w:u w:val="single" w:color="auto"/>
          <w:color w:val="auto"/>
        </w:rPr>
        <w:t>Annex I</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940" w:hanging="284"/>
        <w:spacing w:after="0"/>
        <w:tabs>
          <w:tab w:leader="none" w:pos="940" w:val="left"/>
        </w:tabs>
        <w:numPr>
          <w:ilvl w:val="1"/>
          <w:numId w:val="54"/>
        </w:numPr>
        <w:rPr>
          <w:rFonts w:ascii="Arial" w:cs="Arial" w:eastAsia="Arial" w:hAnsi="Arial"/>
          <w:sz w:val="17"/>
          <w:szCs w:val="17"/>
          <w:color w:val="auto"/>
        </w:rPr>
      </w:pPr>
      <w:r>
        <w:rPr>
          <w:rFonts w:ascii="Arial" w:cs="Arial" w:eastAsia="Arial" w:hAnsi="Arial"/>
          <w:sz w:val="17"/>
          <w:szCs w:val="17"/>
          <w:color w:val="auto"/>
        </w:rPr>
        <w:t xml:space="preserve">Each of the Schedules and Exhibits to the Credit Agreement in </w:t>
      </w:r>
      <w:r>
        <w:rPr>
          <w:rFonts w:ascii="Arial" w:cs="Arial" w:eastAsia="Arial" w:hAnsi="Arial"/>
          <w:sz w:val="17"/>
          <w:szCs w:val="17"/>
          <w:u w:val="single" w:color="auto"/>
          <w:color w:val="auto"/>
        </w:rPr>
        <w:t>Annex II</w:t>
      </w:r>
      <w:r>
        <w:rPr>
          <w:rFonts w:ascii="Arial" w:cs="Arial" w:eastAsia="Arial" w:hAnsi="Arial"/>
          <w:sz w:val="17"/>
          <w:szCs w:val="17"/>
          <w:color w:val="auto"/>
        </w:rPr>
        <w:t xml:space="preserve"> hereto is hereby amended and restated in its entirety as set forth</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u w:val="single" w:color="auto"/>
          <w:color w:val="auto"/>
        </w:rPr>
        <w:t>Annex II</w:t>
      </w:r>
      <w:r>
        <w:rPr>
          <w:rFonts w:ascii="Arial" w:cs="Arial" w:eastAsia="Arial" w:hAnsi="Arial"/>
          <w:sz w:val="18"/>
          <w:szCs w:val="18"/>
          <w:color w:val="auto"/>
        </w:rPr>
        <w:t>.</w:t>
      </w:r>
    </w:p>
    <w:p>
      <w:pPr>
        <w:spacing w:after="0" w:line="210" w:lineRule="exact"/>
        <w:rPr>
          <w:rFonts w:ascii="Arial" w:cs="Arial" w:eastAsia="Arial" w:hAnsi="Arial"/>
          <w:sz w:val="17"/>
          <w:szCs w:val="17"/>
          <w:color w:val="auto"/>
        </w:rPr>
      </w:pPr>
    </w:p>
    <w:p>
      <w:pPr>
        <w:ind w:left="900" w:hanging="244"/>
        <w:spacing w:after="0"/>
        <w:tabs>
          <w:tab w:leader="none" w:pos="900" w:val="left"/>
        </w:tabs>
        <w:numPr>
          <w:ilvl w:val="1"/>
          <w:numId w:val="54"/>
        </w:numPr>
        <w:rPr>
          <w:rFonts w:ascii="Arial" w:cs="Arial" w:eastAsia="Arial" w:hAnsi="Arial"/>
          <w:sz w:val="16"/>
          <w:szCs w:val="16"/>
          <w:color w:val="auto"/>
        </w:rPr>
      </w:pPr>
      <w:r>
        <w:rPr>
          <w:rFonts w:ascii="Arial" w:cs="Arial" w:eastAsia="Arial" w:hAnsi="Arial"/>
          <w:sz w:val="16"/>
          <w:szCs w:val="16"/>
          <w:color w:val="auto"/>
        </w:rPr>
        <w:t>For purposes of determining the Tax consequences of the transactions contemplated by this Amendment, the aggregate fair market value of the</w:t>
      </w:r>
    </w:p>
    <w:p>
      <w:pPr>
        <w:spacing w:after="0" w:line="46" w:lineRule="exact"/>
        <w:rPr>
          <w:rFonts w:ascii="Arial" w:cs="Arial" w:eastAsia="Arial" w:hAnsi="Arial"/>
          <w:sz w:val="16"/>
          <w:szCs w:val="16"/>
          <w:color w:val="auto"/>
        </w:rPr>
      </w:pPr>
    </w:p>
    <w:p>
      <w:pPr>
        <w:jc w:val="both"/>
        <w:ind w:firstLine="8"/>
        <w:spacing w:after="0" w:line="290" w:lineRule="auto"/>
        <w:tabs>
          <w:tab w:leader="none" w:pos="239"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Third Amendment Warrants (as defined below) is $50,000; and (ii) Conversion Warrants (as defined below) is $6,000,000. The Third Amendment Warrants and Conversion Warrants are “Registrable Securities” as defined in the First Amendment Registration Rights Agreement and within 30 days of the date hereof Parent shall file a “Resale Shelf Registration Statement” to register the Third Amendment Warrants and Conversion Warrants, consistent with other Registrable Securities previously issued to the Loan Parties and otherwise in accordance with the terms of the First Amendment Registration Rights Agreement. Parent acknowledges and agrees that the Loan Parties have not exercised any (and retain all) of their demand rights under the First Amendment Registration Rights Agreement with respect to the Third Amendment Warrants and Conversion Warrants and any prior Registrable Securities.</w:t>
      </w:r>
    </w:p>
    <w:p>
      <w:pPr>
        <w:spacing w:after="0" w:line="164" w:lineRule="exact"/>
        <w:rPr>
          <w:sz w:val="20"/>
          <w:szCs w:val="20"/>
          <w:color w:val="auto"/>
        </w:rPr>
      </w:pPr>
    </w:p>
    <w:p>
      <w:pPr>
        <w:jc w:val="both"/>
        <w:ind w:firstLine="656"/>
        <w:spacing w:after="0" w:line="259" w:lineRule="auto"/>
        <w:tabs>
          <w:tab w:leader="none" w:pos="828"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Conversion Warrants</w:t>
      </w:r>
      <w:r>
        <w:rPr>
          <w:rFonts w:ascii="Arial" w:cs="Arial" w:eastAsia="Arial" w:hAnsi="Arial"/>
          <w:sz w:val="18"/>
          <w:szCs w:val="18"/>
          <w:color w:val="auto"/>
        </w:rPr>
        <w:t>. On the Third Amendment Effective Date (as defined below), the Lenders agree to exchange in the aggregate $6,000,000 of accrued and previously capitalized interest on the Term Loan for warrants to purchase 3,000,000 shares of Parent Common Stock at a purchase price of $0.01 per share, to be issued by Parent to the Lenders on the Third Amendment Effective Date (the “</w:t>
      </w:r>
      <w:r>
        <w:rPr>
          <w:rFonts w:ascii="Arial" w:cs="Arial" w:eastAsia="Arial" w:hAnsi="Arial"/>
          <w:sz w:val="18"/>
          <w:szCs w:val="18"/>
          <w:u w:val="single" w:color="auto"/>
          <w:color w:val="auto"/>
        </w:rPr>
        <w:t>Conversion Warrants</w:t>
      </w:r>
      <w:r>
        <w:rPr>
          <w:rFonts w:ascii="Arial" w:cs="Arial" w:eastAsia="Arial" w:hAnsi="Arial"/>
          <w:sz w:val="18"/>
          <w:szCs w:val="18"/>
          <w:color w:val="auto"/>
        </w:rPr>
        <w:t>”), as the same may be amended, restated, supplemented or otherwise modified from time to time.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2" w:name="page63"/>
    <w:bookmarkEnd w:id="62"/>
    <w:p>
      <w:pPr>
        <w:ind w:firstLine="656"/>
        <w:spacing w:after="0" w:line="277" w:lineRule="auto"/>
        <w:tabs>
          <w:tab w:leader="none" w:pos="828"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Amendment Fees</w:t>
      </w:r>
      <w:r>
        <w:rPr>
          <w:rFonts w:ascii="Arial" w:cs="Arial" w:eastAsia="Arial" w:hAnsi="Arial"/>
          <w:sz w:val="18"/>
          <w:szCs w:val="18"/>
          <w:color w:val="auto"/>
        </w:rPr>
        <w:t>. On the Third Amendment Effective Date (as defined below), the Loan Parties agree to pay to the Agent and the Lenders the fees set forth in Section 6 and 7 of the Third Amended and Restated Fee Letter of even date herewith (the “</w:t>
      </w:r>
      <w:r>
        <w:rPr>
          <w:rFonts w:ascii="Arial" w:cs="Arial" w:eastAsia="Arial" w:hAnsi="Arial"/>
          <w:sz w:val="18"/>
          <w:szCs w:val="18"/>
          <w:u w:val="single" w:color="auto"/>
          <w:color w:val="auto"/>
        </w:rPr>
        <w:t>Fee Letter</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firstLine="656"/>
        <w:spacing w:after="0" w:line="263" w:lineRule="auto"/>
        <w:tabs>
          <w:tab w:leader="none" w:pos="828"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Incorporation</w:t>
      </w:r>
      <w:r>
        <w:rPr>
          <w:rFonts w:ascii="Arial" w:cs="Arial" w:eastAsia="Arial" w:hAnsi="Arial"/>
          <w:sz w:val="18"/>
          <w:szCs w:val="18"/>
          <w:color w:val="auto"/>
        </w:rPr>
        <w:t>. This Amendment shall be a Loan Document (within the meaning of such term under the Credit Agreement), and shall inure to the benefit of and be enforceable by the Agent and its successors and assigns. This Amendment and its attachments are hereby incorporated into the applicable Loan Document and made a part thereof.</w:t>
      </w:r>
    </w:p>
    <w:p>
      <w:pPr>
        <w:spacing w:after="0" w:line="183" w:lineRule="exact"/>
        <w:rPr>
          <w:rFonts w:ascii="Arial" w:cs="Arial" w:eastAsia="Arial" w:hAnsi="Arial"/>
          <w:sz w:val="18"/>
          <w:szCs w:val="18"/>
          <w:color w:val="auto"/>
        </w:rPr>
      </w:pPr>
    </w:p>
    <w:p>
      <w:pPr>
        <w:jc w:val="both"/>
        <w:ind w:firstLine="656"/>
        <w:spacing w:after="0" w:line="273" w:lineRule="auto"/>
        <w:tabs>
          <w:tab w:leader="none" w:pos="828" w:val="left"/>
        </w:tabs>
        <w:numPr>
          <w:ilvl w:val="0"/>
          <w:numId w:val="57"/>
        </w:numPr>
        <w:rPr>
          <w:rFonts w:ascii="Arial" w:cs="Arial" w:eastAsia="Arial" w:hAnsi="Arial"/>
          <w:sz w:val="17"/>
          <w:szCs w:val="17"/>
          <w:color w:val="auto"/>
        </w:rPr>
      </w:pPr>
      <w:r>
        <w:rPr>
          <w:rFonts w:ascii="Arial" w:cs="Arial" w:eastAsia="Arial" w:hAnsi="Arial"/>
          <w:sz w:val="17"/>
          <w:szCs w:val="17"/>
          <w:u w:val="single" w:color="auto"/>
          <w:color w:val="auto"/>
        </w:rPr>
        <w:t>Confirmation and Reaffirmation</w:t>
      </w:r>
      <w:r>
        <w:rPr>
          <w:rFonts w:ascii="Arial" w:cs="Arial" w:eastAsia="Arial" w:hAnsi="Arial"/>
          <w:sz w:val="17"/>
          <w:szCs w:val="17"/>
          <w:color w:val="auto"/>
        </w:rPr>
        <w:t>. The Loan Parties confirm that the Credit Agreement and each Loan Document is, and shall continue to be, in full force and effect. The Loan Parties further confirm and represents that the Collateral (within the meaning of such term under the Credit Agreement as amended hereby) remains free and clear of all Liens other than those in favor of Agent or as otherwise permitted in the Loan Documents. Nothing contained herein is intended to in any way impair or limit the validity, priority or extent of Agent’s security interest in and Liens upon the Collateral of any Loan Party. After giving effect to the amendments set forth herein, as of October 10, 2023, the outstanding principal balance of the Term Loan would be $59,394,638.36 and the accrued and unpaid interest thereon will be $261,227.66.</w:t>
      </w:r>
    </w:p>
    <w:p>
      <w:pPr>
        <w:spacing w:after="0" w:line="177" w:lineRule="exact"/>
        <w:rPr>
          <w:rFonts w:ascii="Arial" w:cs="Arial" w:eastAsia="Arial" w:hAnsi="Arial"/>
          <w:sz w:val="17"/>
          <w:szCs w:val="17"/>
          <w:color w:val="auto"/>
        </w:rPr>
      </w:pPr>
    </w:p>
    <w:p>
      <w:pPr>
        <w:jc w:val="both"/>
        <w:ind w:firstLine="656"/>
        <w:spacing w:after="0" w:line="259" w:lineRule="auto"/>
        <w:tabs>
          <w:tab w:leader="none" w:pos="841"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Ratification</w:t>
      </w:r>
      <w:r>
        <w:rPr>
          <w:rFonts w:ascii="Arial" w:cs="Arial" w:eastAsia="Arial" w:hAnsi="Arial"/>
          <w:sz w:val="18"/>
          <w:szCs w:val="18"/>
          <w:color w:val="auto"/>
        </w:rPr>
        <w:t>. The terms and provisions set forth in this Amendment shall modify and supersede all inconsistent terms and provisions of the Credit Agreement, and shall not be deemed to be a consent to the modification or waiver of any other term or condition of the Credit Agreement or any other Loan Document. Except as expressly modified and superseded by this Amendment, the terms and provisions of the Credit Agreement and the other Loan Documents are ratified and confirmed and shall continue in full force and effect.</w:t>
      </w:r>
    </w:p>
    <w:p>
      <w:pPr>
        <w:spacing w:after="0" w:line="186" w:lineRule="exact"/>
        <w:rPr>
          <w:rFonts w:ascii="Arial" w:cs="Arial" w:eastAsia="Arial" w:hAnsi="Arial"/>
          <w:sz w:val="18"/>
          <w:szCs w:val="18"/>
          <w:color w:val="auto"/>
        </w:rPr>
      </w:pPr>
    </w:p>
    <w:p>
      <w:pPr>
        <w:ind w:firstLine="656"/>
        <w:spacing w:after="0" w:line="277" w:lineRule="auto"/>
        <w:tabs>
          <w:tab w:leader="none" w:pos="855"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Conditions Precedent</w:t>
      </w:r>
      <w:r>
        <w:rPr>
          <w:rFonts w:ascii="Arial" w:cs="Arial" w:eastAsia="Arial" w:hAnsi="Arial"/>
          <w:sz w:val="18"/>
          <w:szCs w:val="18"/>
          <w:color w:val="auto"/>
        </w:rPr>
        <w:t>. This Amendment will become effective on the first date (the “</w:t>
      </w:r>
      <w:r>
        <w:rPr>
          <w:rFonts w:ascii="Arial" w:cs="Arial" w:eastAsia="Arial" w:hAnsi="Arial"/>
          <w:sz w:val="18"/>
          <w:szCs w:val="18"/>
          <w:u w:val="single" w:color="auto"/>
          <w:color w:val="auto"/>
        </w:rPr>
        <w:t>Third Amendment Effective Date</w:t>
      </w:r>
      <w:r>
        <w:rPr>
          <w:rFonts w:ascii="Arial" w:cs="Arial" w:eastAsia="Arial" w:hAnsi="Arial"/>
          <w:sz w:val="18"/>
          <w:szCs w:val="18"/>
          <w:color w:val="auto"/>
        </w:rPr>
        <w:t>”) that each of the following conditions precedent have been either satisfied or waived by the Agent in writing in its sole discretion:</w:t>
      </w:r>
    </w:p>
    <w:p>
      <w:pPr>
        <w:spacing w:after="0" w:line="170" w:lineRule="exact"/>
        <w:rPr>
          <w:rFonts w:ascii="Arial" w:cs="Arial" w:eastAsia="Arial" w:hAnsi="Arial"/>
          <w:sz w:val="18"/>
          <w:szCs w:val="18"/>
          <w:color w:val="auto"/>
        </w:rPr>
      </w:pPr>
    </w:p>
    <w:p>
      <w:pPr>
        <w:ind w:right="20" w:firstLine="980"/>
        <w:spacing w:after="0" w:line="277" w:lineRule="auto"/>
        <w:tabs>
          <w:tab w:leader="none" w:pos="1216" w:val="left"/>
        </w:tabs>
        <w:numPr>
          <w:ilvl w:val="1"/>
          <w:numId w:val="57"/>
        </w:numPr>
        <w:rPr>
          <w:rFonts w:ascii="Arial" w:cs="Arial" w:eastAsia="Arial" w:hAnsi="Arial"/>
          <w:sz w:val="18"/>
          <w:szCs w:val="18"/>
          <w:color w:val="auto"/>
        </w:rPr>
      </w:pPr>
      <w:r>
        <w:rPr>
          <w:rFonts w:ascii="Arial" w:cs="Arial" w:eastAsia="Arial" w:hAnsi="Arial"/>
          <w:sz w:val="18"/>
          <w:szCs w:val="18"/>
          <w:u w:val="single" w:color="auto"/>
          <w:color w:val="auto"/>
        </w:rPr>
        <w:t>Transaction Documents</w:t>
      </w:r>
      <w:r>
        <w:rPr>
          <w:rFonts w:ascii="Arial" w:cs="Arial" w:eastAsia="Arial" w:hAnsi="Arial"/>
          <w:sz w:val="18"/>
          <w:szCs w:val="18"/>
          <w:color w:val="auto"/>
        </w:rPr>
        <w:t>. Agent and the Lenders shall have received each of the following, each of which shall be in form and substance satisfactory to Agent and Lenders:</w:t>
      </w:r>
    </w:p>
    <w:p>
      <w:pPr>
        <w:spacing w:after="0" w:line="170" w:lineRule="exact"/>
        <w:rPr>
          <w:rFonts w:ascii="Arial" w:cs="Arial" w:eastAsia="Arial" w:hAnsi="Arial"/>
          <w:sz w:val="18"/>
          <w:szCs w:val="18"/>
          <w:color w:val="auto"/>
        </w:rPr>
      </w:pPr>
    </w:p>
    <w:p>
      <w:pPr>
        <w:ind w:left="1520" w:hanging="216"/>
        <w:spacing w:after="0"/>
        <w:tabs>
          <w:tab w:leader="none" w:pos="1520" w:val="left"/>
        </w:tabs>
        <w:numPr>
          <w:ilvl w:val="2"/>
          <w:numId w:val="57"/>
        </w:numPr>
        <w:rPr>
          <w:rFonts w:ascii="Arial" w:cs="Arial" w:eastAsia="Arial" w:hAnsi="Arial"/>
          <w:sz w:val="18"/>
          <w:szCs w:val="18"/>
          <w:color w:val="auto"/>
        </w:rPr>
      </w:pPr>
      <w:r>
        <w:rPr>
          <w:rFonts w:ascii="Arial" w:cs="Arial" w:eastAsia="Arial" w:hAnsi="Arial"/>
          <w:sz w:val="18"/>
          <w:szCs w:val="18"/>
          <w:color w:val="auto"/>
        </w:rPr>
        <w:t>this Amendment, executed and delivered by Agent, each Lender and each Loan Party as applicable;</w:t>
      </w:r>
    </w:p>
    <w:p>
      <w:pPr>
        <w:spacing w:after="0" w:line="225" w:lineRule="exact"/>
        <w:rPr>
          <w:rFonts w:ascii="Arial" w:cs="Arial" w:eastAsia="Arial" w:hAnsi="Arial"/>
          <w:sz w:val="18"/>
          <w:szCs w:val="18"/>
          <w:color w:val="auto"/>
        </w:rPr>
      </w:pPr>
    </w:p>
    <w:p>
      <w:pPr>
        <w:jc w:val="both"/>
        <w:ind w:firstLine="1304"/>
        <w:spacing w:after="0" w:line="259" w:lineRule="auto"/>
        <w:tabs>
          <w:tab w:leader="none" w:pos="1577" w:val="left"/>
        </w:tabs>
        <w:numPr>
          <w:ilvl w:val="2"/>
          <w:numId w:val="57"/>
        </w:numPr>
        <w:rPr>
          <w:rFonts w:ascii="Arial" w:cs="Arial" w:eastAsia="Arial" w:hAnsi="Arial"/>
          <w:sz w:val="18"/>
          <w:szCs w:val="18"/>
          <w:color w:val="auto"/>
        </w:rPr>
      </w:pPr>
      <w:r>
        <w:rPr>
          <w:rFonts w:ascii="Arial" w:cs="Arial" w:eastAsia="Arial" w:hAnsi="Arial"/>
          <w:sz w:val="18"/>
          <w:szCs w:val="18"/>
          <w:color w:val="auto"/>
        </w:rPr>
        <w:t>those certain warrants to purchase 25,000 shares of Parent Common Stock at a purchase price of $0.01 per share issued by Parent pursuant to the Fee Letter to the Lenders on the Third Amendment Effective Date, as may be amended, restated, supplemented or otherwise modified from time to time (the “</w:t>
      </w:r>
      <w:r>
        <w:rPr>
          <w:rFonts w:ascii="Arial" w:cs="Arial" w:eastAsia="Arial" w:hAnsi="Arial"/>
          <w:sz w:val="18"/>
          <w:szCs w:val="18"/>
          <w:u w:val="single" w:color="auto"/>
          <w:color w:val="auto"/>
        </w:rPr>
        <w:t>Third Amendment Warrants</w:t>
      </w:r>
      <w:r>
        <w:rPr>
          <w:rFonts w:ascii="Arial" w:cs="Arial" w:eastAsia="Arial" w:hAnsi="Arial"/>
          <w:sz w:val="18"/>
          <w:szCs w:val="18"/>
          <w:color w:val="auto"/>
        </w:rPr>
        <w:t>”) apportioned to the Lenders in accordance with their Term Loan Commitments as of the Third Amendment Effective Date;</w:t>
      </w:r>
    </w:p>
    <w:p>
      <w:pPr>
        <w:spacing w:after="0" w:line="186" w:lineRule="exact"/>
        <w:rPr>
          <w:rFonts w:ascii="Arial" w:cs="Arial" w:eastAsia="Arial" w:hAnsi="Arial"/>
          <w:sz w:val="18"/>
          <w:szCs w:val="18"/>
          <w:color w:val="auto"/>
        </w:rPr>
      </w:pPr>
    </w:p>
    <w:p>
      <w:pPr>
        <w:ind w:left="1620" w:hanging="316"/>
        <w:spacing w:after="0"/>
        <w:tabs>
          <w:tab w:leader="none" w:pos="1620" w:val="left"/>
        </w:tabs>
        <w:numPr>
          <w:ilvl w:val="2"/>
          <w:numId w:val="57"/>
        </w:numPr>
        <w:rPr>
          <w:rFonts w:ascii="Arial" w:cs="Arial" w:eastAsia="Arial" w:hAnsi="Arial"/>
          <w:sz w:val="18"/>
          <w:szCs w:val="18"/>
          <w:color w:val="auto"/>
        </w:rPr>
      </w:pPr>
      <w:r>
        <w:rPr>
          <w:rFonts w:ascii="Arial" w:cs="Arial" w:eastAsia="Arial" w:hAnsi="Arial"/>
          <w:sz w:val="18"/>
          <w:szCs w:val="18"/>
          <w:color w:val="auto"/>
        </w:rPr>
        <w:t>the Conversion Warrants;</w:t>
      </w:r>
    </w:p>
    <w:p>
      <w:pPr>
        <w:spacing w:after="0" w:line="225" w:lineRule="exact"/>
        <w:rPr>
          <w:rFonts w:ascii="Arial" w:cs="Arial" w:eastAsia="Arial" w:hAnsi="Arial"/>
          <w:sz w:val="18"/>
          <w:szCs w:val="18"/>
          <w:color w:val="auto"/>
        </w:rPr>
      </w:pPr>
    </w:p>
    <w:p>
      <w:pPr>
        <w:ind w:left="1600" w:hanging="296"/>
        <w:spacing w:after="0"/>
        <w:tabs>
          <w:tab w:leader="none" w:pos="1600" w:val="left"/>
        </w:tabs>
        <w:numPr>
          <w:ilvl w:val="2"/>
          <w:numId w:val="57"/>
        </w:numPr>
        <w:rPr>
          <w:rFonts w:ascii="Arial" w:cs="Arial" w:eastAsia="Arial" w:hAnsi="Arial"/>
          <w:sz w:val="18"/>
          <w:szCs w:val="18"/>
          <w:color w:val="auto"/>
        </w:rPr>
      </w:pPr>
      <w:r>
        <w:rPr>
          <w:rFonts w:ascii="Arial" w:cs="Arial" w:eastAsia="Arial" w:hAnsi="Arial"/>
          <w:sz w:val="18"/>
          <w:szCs w:val="18"/>
          <w:color w:val="auto"/>
        </w:rPr>
        <w:t>the Fee Letter, executed and delivered by the Loan Parties;</w:t>
      </w:r>
    </w:p>
    <w:p>
      <w:pPr>
        <w:spacing w:after="0" w:line="225" w:lineRule="exact"/>
        <w:rPr>
          <w:rFonts w:ascii="Arial" w:cs="Arial" w:eastAsia="Arial" w:hAnsi="Arial"/>
          <w:sz w:val="18"/>
          <w:szCs w:val="18"/>
          <w:color w:val="auto"/>
        </w:rPr>
      </w:pPr>
    </w:p>
    <w:p>
      <w:pPr>
        <w:jc w:val="both"/>
        <w:ind w:firstLine="1304"/>
        <w:spacing w:after="0" w:line="342" w:lineRule="auto"/>
        <w:tabs>
          <w:tab w:leader="none" w:pos="1566" w:val="left"/>
        </w:tabs>
        <w:numPr>
          <w:ilvl w:val="2"/>
          <w:numId w:val="57"/>
        </w:numPr>
        <w:rPr>
          <w:rFonts w:ascii="Arial" w:cs="Arial" w:eastAsia="Arial" w:hAnsi="Arial"/>
          <w:sz w:val="16"/>
          <w:szCs w:val="16"/>
          <w:color w:val="auto"/>
        </w:rPr>
      </w:pPr>
      <w:r>
        <w:rPr>
          <w:rFonts w:ascii="Arial" w:cs="Arial" w:eastAsia="Arial" w:hAnsi="Arial"/>
          <w:sz w:val="16"/>
          <w:szCs w:val="16"/>
          <w:color w:val="auto"/>
        </w:rPr>
        <w:t>Agent shall have received proof that Parent has obtained a written waiver of Section 2(h) of that certain Amended and Restated Registration Rights Agreement, dated September 21, 2022, signed by holders of a majority of the Registrable Securities (as defined in such agreement); and</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3" w:name="page64"/>
    <w:bookmarkEnd w:id="63"/>
    <w:p>
      <w:pPr>
        <w:ind w:right="20" w:firstLine="1304"/>
        <w:spacing w:after="0" w:line="308" w:lineRule="auto"/>
        <w:tabs>
          <w:tab w:leader="none" w:pos="1643" w:val="left"/>
        </w:tabs>
        <w:numPr>
          <w:ilvl w:val="2"/>
          <w:numId w:val="58"/>
        </w:numPr>
        <w:rPr>
          <w:rFonts w:ascii="Arial" w:cs="Arial" w:eastAsia="Arial" w:hAnsi="Arial"/>
          <w:sz w:val="17"/>
          <w:szCs w:val="17"/>
          <w:color w:val="auto"/>
        </w:rPr>
      </w:pPr>
      <w:r>
        <w:rPr>
          <w:rFonts w:ascii="Arial" w:cs="Arial" w:eastAsia="Arial" w:hAnsi="Arial"/>
          <w:sz w:val="17"/>
          <w:szCs w:val="17"/>
          <w:color w:val="auto"/>
        </w:rPr>
        <w:t>the Agent shall have received evidence satisfactory to it that Parent shall have received gross proceeds of additional equity investments of $3,000,000 Presto CA LLC or its Affiliates, which shall be contributed by Parent to Borrower to be used for working capital purposes.</w:t>
      </w:r>
    </w:p>
    <w:p>
      <w:pPr>
        <w:spacing w:after="0" w:line="146" w:lineRule="exact"/>
        <w:rPr>
          <w:rFonts w:ascii="Arial" w:cs="Arial" w:eastAsia="Arial" w:hAnsi="Arial"/>
          <w:sz w:val="17"/>
          <w:szCs w:val="17"/>
          <w:color w:val="auto"/>
        </w:rPr>
      </w:pPr>
    </w:p>
    <w:p>
      <w:pPr>
        <w:jc w:val="both"/>
        <w:ind w:firstLine="980"/>
        <w:spacing w:after="0" w:line="286" w:lineRule="auto"/>
        <w:tabs>
          <w:tab w:leader="none" w:pos="1227" w:val="left"/>
        </w:tabs>
        <w:numPr>
          <w:ilvl w:val="1"/>
          <w:numId w:val="59"/>
        </w:numPr>
        <w:rPr>
          <w:rFonts w:ascii="Arial" w:cs="Arial" w:eastAsia="Arial" w:hAnsi="Arial"/>
          <w:sz w:val="17"/>
          <w:szCs w:val="17"/>
          <w:color w:val="auto"/>
        </w:rPr>
      </w:pPr>
      <w:r>
        <w:rPr>
          <w:rFonts w:ascii="Arial" w:cs="Arial" w:eastAsia="Arial" w:hAnsi="Arial"/>
          <w:sz w:val="17"/>
          <w:szCs w:val="17"/>
          <w:u w:val="single" w:color="auto"/>
          <w:color w:val="auto"/>
        </w:rPr>
        <w:t>Fees and Expenses</w:t>
      </w:r>
      <w:r>
        <w:rPr>
          <w:rFonts w:ascii="Arial" w:cs="Arial" w:eastAsia="Arial" w:hAnsi="Arial"/>
          <w:sz w:val="17"/>
          <w:szCs w:val="17"/>
          <w:color w:val="auto"/>
        </w:rPr>
        <w:t>. The Loan Parties shall have (i) paid all fees due as set forth in the Fee Letter to Agent and the reasonable expenses of the Agent and the Lenders, including, without limitation, the fees, costs and expenses of K&amp;L Gates LLP, as counsel to the Agent and the Lenders, by wire transfer of immediately available funds; and (ii) the Lenders shall have received the Third Amendment Warrants;</w:t>
      </w:r>
    </w:p>
    <w:p>
      <w:pPr>
        <w:spacing w:after="0" w:line="165" w:lineRule="exact"/>
        <w:rPr>
          <w:rFonts w:ascii="Arial" w:cs="Arial" w:eastAsia="Arial" w:hAnsi="Arial"/>
          <w:sz w:val="17"/>
          <w:szCs w:val="17"/>
          <w:color w:val="auto"/>
        </w:rPr>
      </w:pPr>
    </w:p>
    <w:p>
      <w:pPr>
        <w:jc w:val="both"/>
        <w:ind w:firstLine="980"/>
        <w:spacing w:after="0" w:line="257" w:lineRule="auto"/>
        <w:tabs>
          <w:tab w:leader="none" w:pos="1243" w:val="left"/>
        </w:tabs>
        <w:numPr>
          <w:ilvl w:val="1"/>
          <w:numId w:val="59"/>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Each of the representations and warranties made by each Loan Party in or pursuant to any Loan Document (i) that is qualified by materiality shall be true and correct in all respects, and (ii) that is not qualified by materiality, shall be true and correct in all material respects, in each case, on and as of such date as if made on and as of such date, except to the extent any such representation and warranty expressly relates to an earlier date, in which case such representation and warranty shall have been true and correct, or true and correct in all material respects, as applicable, as of such earlier date;</w:t>
      </w:r>
    </w:p>
    <w:p>
      <w:pPr>
        <w:spacing w:after="0" w:line="187" w:lineRule="exact"/>
        <w:rPr>
          <w:rFonts w:ascii="Arial" w:cs="Arial" w:eastAsia="Arial" w:hAnsi="Arial"/>
          <w:sz w:val="18"/>
          <w:szCs w:val="18"/>
          <w:color w:val="auto"/>
        </w:rPr>
      </w:pPr>
    </w:p>
    <w:p>
      <w:pPr>
        <w:ind w:firstLine="980"/>
        <w:spacing w:after="0" w:line="277" w:lineRule="auto"/>
        <w:tabs>
          <w:tab w:leader="none" w:pos="1227" w:val="left"/>
        </w:tabs>
        <w:numPr>
          <w:ilvl w:val="1"/>
          <w:numId w:val="59"/>
        </w:numPr>
        <w:rPr>
          <w:rFonts w:ascii="Arial" w:cs="Arial" w:eastAsia="Arial" w:hAnsi="Arial"/>
          <w:sz w:val="18"/>
          <w:szCs w:val="18"/>
          <w:color w:val="auto"/>
        </w:rPr>
      </w:pPr>
      <w:r>
        <w:rPr>
          <w:rFonts w:ascii="Arial" w:cs="Arial" w:eastAsia="Arial" w:hAnsi="Arial"/>
          <w:sz w:val="18"/>
          <w:szCs w:val="18"/>
          <w:u w:val="single" w:color="auto"/>
          <w:color w:val="auto"/>
        </w:rPr>
        <w:t>No Default</w:t>
      </w:r>
      <w:r>
        <w:rPr>
          <w:rFonts w:ascii="Arial" w:cs="Arial" w:eastAsia="Arial" w:hAnsi="Arial"/>
          <w:sz w:val="18"/>
          <w:szCs w:val="18"/>
          <w:color w:val="auto"/>
        </w:rPr>
        <w:t>. Immediately after giving effect to this Amendment, no Default or Event of Default shall have occurred and be continuing as of or on such date that has not been waived by the Agent and the Lenders;</w:t>
      </w:r>
    </w:p>
    <w:p>
      <w:pPr>
        <w:spacing w:after="0" w:line="170" w:lineRule="exact"/>
        <w:rPr>
          <w:rFonts w:ascii="Arial" w:cs="Arial" w:eastAsia="Arial" w:hAnsi="Arial"/>
          <w:sz w:val="18"/>
          <w:szCs w:val="18"/>
          <w:color w:val="auto"/>
        </w:rPr>
      </w:pPr>
    </w:p>
    <w:p>
      <w:pPr>
        <w:ind w:firstLine="980"/>
        <w:spacing w:after="0" w:line="277" w:lineRule="auto"/>
        <w:tabs>
          <w:tab w:leader="none" w:pos="1230" w:val="left"/>
        </w:tabs>
        <w:numPr>
          <w:ilvl w:val="1"/>
          <w:numId w:val="59"/>
        </w:numPr>
        <w:rPr>
          <w:rFonts w:ascii="Arial" w:cs="Arial" w:eastAsia="Arial" w:hAnsi="Arial"/>
          <w:sz w:val="18"/>
          <w:szCs w:val="18"/>
          <w:color w:val="auto"/>
        </w:rPr>
      </w:pPr>
      <w:r>
        <w:rPr>
          <w:rFonts w:ascii="Arial" w:cs="Arial" w:eastAsia="Arial" w:hAnsi="Arial"/>
          <w:sz w:val="18"/>
          <w:szCs w:val="18"/>
          <w:u w:val="single" w:color="auto"/>
          <w:color w:val="auto"/>
        </w:rPr>
        <w:t>No Material Adverse Effect</w:t>
      </w:r>
      <w:r>
        <w:rPr>
          <w:rFonts w:ascii="Arial" w:cs="Arial" w:eastAsia="Arial" w:hAnsi="Arial"/>
          <w:sz w:val="18"/>
          <w:szCs w:val="18"/>
          <w:color w:val="auto"/>
        </w:rPr>
        <w:t>. There shall not have occurred since the Closing Date, any event or circumstance that has had or could be reasonably expected to have, individually or in the aggregate, a Material Adverse Effect;</w:t>
      </w:r>
    </w:p>
    <w:p>
      <w:pPr>
        <w:spacing w:after="0" w:line="170" w:lineRule="exact"/>
        <w:rPr>
          <w:rFonts w:ascii="Arial" w:cs="Arial" w:eastAsia="Arial" w:hAnsi="Arial"/>
          <w:sz w:val="18"/>
          <w:szCs w:val="18"/>
          <w:color w:val="auto"/>
        </w:rPr>
      </w:pPr>
    </w:p>
    <w:p>
      <w:pPr>
        <w:ind w:left="1200" w:hanging="220"/>
        <w:spacing w:after="0"/>
        <w:tabs>
          <w:tab w:leader="none" w:pos="1200" w:val="left"/>
        </w:tabs>
        <w:numPr>
          <w:ilvl w:val="1"/>
          <w:numId w:val="59"/>
        </w:numPr>
        <w:rPr>
          <w:rFonts w:ascii="Arial" w:cs="Arial" w:eastAsia="Arial" w:hAnsi="Arial"/>
          <w:sz w:val="18"/>
          <w:szCs w:val="18"/>
          <w:color w:val="auto"/>
        </w:rPr>
      </w:pPr>
      <w:r>
        <w:rPr>
          <w:rFonts w:ascii="Arial" w:cs="Arial" w:eastAsia="Arial" w:hAnsi="Arial"/>
          <w:sz w:val="18"/>
          <w:szCs w:val="18"/>
          <w:u w:val="single" w:color="auto"/>
          <w:color w:val="auto"/>
        </w:rPr>
        <w:t>Officer Employment</w:t>
      </w:r>
      <w:r>
        <w:rPr>
          <w:rFonts w:ascii="Arial" w:cs="Arial" w:eastAsia="Arial" w:hAnsi="Arial"/>
          <w:sz w:val="18"/>
          <w:szCs w:val="18"/>
          <w:color w:val="auto"/>
        </w:rPr>
        <w:t>. The Loan Parties shall have hired a chief financial officer reasonably satisfactory to the Agent;</w:t>
      </w:r>
    </w:p>
    <w:p>
      <w:pPr>
        <w:spacing w:after="0" w:line="225" w:lineRule="exact"/>
        <w:rPr>
          <w:rFonts w:ascii="Arial" w:cs="Arial" w:eastAsia="Arial" w:hAnsi="Arial"/>
          <w:sz w:val="18"/>
          <w:szCs w:val="18"/>
          <w:color w:val="auto"/>
        </w:rPr>
      </w:pPr>
    </w:p>
    <w:p>
      <w:pPr>
        <w:jc w:val="both"/>
        <w:ind w:firstLine="980"/>
        <w:spacing w:after="0" w:line="263" w:lineRule="auto"/>
        <w:tabs>
          <w:tab w:leader="none" w:pos="1227" w:val="left"/>
        </w:tabs>
        <w:numPr>
          <w:ilvl w:val="1"/>
          <w:numId w:val="59"/>
        </w:numPr>
        <w:rPr>
          <w:rFonts w:ascii="Arial" w:cs="Arial" w:eastAsia="Arial" w:hAnsi="Arial"/>
          <w:sz w:val="18"/>
          <w:szCs w:val="18"/>
          <w:color w:val="auto"/>
        </w:rPr>
      </w:pPr>
      <w:r>
        <w:rPr>
          <w:rFonts w:ascii="Arial" w:cs="Arial" w:eastAsia="Arial" w:hAnsi="Arial"/>
          <w:sz w:val="18"/>
          <w:szCs w:val="18"/>
          <w:u w:val="single" w:color="auto"/>
          <w:color w:val="auto"/>
        </w:rPr>
        <w:t>Investment Banker</w:t>
      </w:r>
      <w:r>
        <w:rPr>
          <w:rFonts w:ascii="Arial" w:cs="Arial" w:eastAsia="Arial" w:hAnsi="Arial"/>
          <w:sz w:val="18"/>
          <w:szCs w:val="18"/>
          <w:color w:val="auto"/>
        </w:rPr>
        <w:t>. No later than October 16, 2023, the Lenders shall have received evidence that Parent has engaged the services of an investment bank or banks reasonably acceptable to the Agent, on financial terms reasonably acceptable to Agent, in connection with upcoming capital raises;</w:t>
      </w:r>
    </w:p>
    <w:p>
      <w:pPr>
        <w:spacing w:after="0" w:line="183" w:lineRule="exact"/>
        <w:rPr>
          <w:rFonts w:ascii="Arial" w:cs="Arial" w:eastAsia="Arial" w:hAnsi="Arial"/>
          <w:sz w:val="18"/>
          <w:szCs w:val="18"/>
          <w:color w:val="auto"/>
        </w:rPr>
      </w:pPr>
    </w:p>
    <w:p>
      <w:pPr>
        <w:ind w:firstLine="980"/>
        <w:spacing w:after="0" w:line="277" w:lineRule="auto"/>
        <w:tabs>
          <w:tab w:leader="none" w:pos="1227" w:val="left"/>
        </w:tabs>
        <w:numPr>
          <w:ilvl w:val="1"/>
          <w:numId w:val="59"/>
        </w:numPr>
        <w:rPr>
          <w:rFonts w:ascii="Arial" w:cs="Arial" w:eastAsia="Arial" w:hAnsi="Arial"/>
          <w:sz w:val="18"/>
          <w:szCs w:val="18"/>
          <w:color w:val="auto"/>
        </w:rPr>
      </w:pPr>
      <w:r>
        <w:rPr>
          <w:rFonts w:ascii="Arial" w:cs="Arial" w:eastAsia="Arial" w:hAnsi="Arial"/>
          <w:sz w:val="18"/>
          <w:szCs w:val="18"/>
          <w:u w:val="single" w:color="auto"/>
          <w:color w:val="auto"/>
        </w:rPr>
        <w:t>10-K Filing</w:t>
      </w:r>
      <w:r>
        <w:rPr>
          <w:rFonts w:ascii="Arial" w:cs="Arial" w:eastAsia="Arial" w:hAnsi="Arial"/>
          <w:sz w:val="18"/>
          <w:szCs w:val="18"/>
          <w:color w:val="auto"/>
        </w:rPr>
        <w:t>. The Lenders shall have received evidence that the Loan Parties have timely filed their Form 10-K filing for the fiscal year ended June 30, 2023 with the SEC;</w:t>
      </w:r>
    </w:p>
    <w:p>
      <w:pPr>
        <w:spacing w:after="0" w:line="170" w:lineRule="exact"/>
        <w:rPr>
          <w:rFonts w:ascii="Arial" w:cs="Arial" w:eastAsia="Arial" w:hAnsi="Arial"/>
          <w:sz w:val="18"/>
          <w:szCs w:val="18"/>
          <w:color w:val="auto"/>
        </w:rPr>
      </w:pPr>
    </w:p>
    <w:p>
      <w:pPr>
        <w:jc w:val="both"/>
        <w:ind w:firstLine="980"/>
        <w:spacing w:after="0" w:line="286" w:lineRule="auto"/>
        <w:tabs>
          <w:tab w:leader="none" w:pos="1187" w:val="left"/>
        </w:tabs>
        <w:numPr>
          <w:ilvl w:val="1"/>
          <w:numId w:val="59"/>
        </w:numPr>
        <w:rPr>
          <w:rFonts w:ascii="Arial" w:cs="Arial" w:eastAsia="Arial" w:hAnsi="Arial"/>
          <w:sz w:val="16"/>
          <w:szCs w:val="16"/>
          <w:color w:val="auto"/>
        </w:rPr>
      </w:pPr>
      <w:r>
        <w:rPr>
          <w:rFonts w:ascii="Arial" w:cs="Arial" w:eastAsia="Arial" w:hAnsi="Arial"/>
          <w:sz w:val="16"/>
          <w:szCs w:val="16"/>
          <w:u w:val="single" w:color="auto"/>
          <w:color w:val="auto"/>
        </w:rPr>
        <w:t>Shareholder Lock-Up Periods</w:t>
      </w:r>
      <w:r>
        <w:rPr>
          <w:rFonts w:ascii="Arial" w:cs="Arial" w:eastAsia="Arial" w:hAnsi="Arial"/>
          <w:sz w:val="16"/>
          <w:szCs w:val="16"/>
          <w:color w:val="auto"/>
        </w:rPr>
        <w:t>. The Lenders shall have received documentation, in a form reasonably acceptable to the Agent, evidencing that each of Presto CA LLC, Romulus Capital I, L.P., Romulus Capital II, L.P., Romulus Capital III, L.P., Romulus ELC B3 Special Opportunity, L.P., Krishna Gupta (in his individual capacity) and Keith Kravcik (in his individual capacity), and each of their respective Affiliates that hold shares of the Loan Parties’ Equity Interests, have extended their respective “lock-up” periods with respect to the Loan Parties’ Equity Interests for an additional period of nine</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months beyond the end of their “lock-up” periods in effect immediately prior to the Third Amendment Effective Date; and</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4" w:name="page65"/>
    <w:bookmarkEnd w:id="64"/>
    <w:p>
      <w:pPr>
        <w:ind w:firstLine="980"/>
        <w:spacing w:after="0" w:line="277" w:lineRule="auto"/>
        <w:tabs>
          <w:tab w:leader="none" w:pos="1214" w:val="left"/>
        </w:tabs>
        <w:numPr>
          <w:ilvl w:val="2"/>
          <w:numId w:val="61"/>
        </w:numPr>
        <w:rPr>
          <w:rFonts w:ascii="Arial" w:cs="Arial" w:eastAsia="Arial" w:hAnsi="Arial"/>
          <w:sz w:val="18"/>
          <w:szCs w:val="18"/>
          <w:color w:val="auto"/>
        </w:rPr>
      </w:pPr>
      <w:r>
        <w:rPr>
          <w:rFonts w:ascii="Arial" w:cs="Arial" w:eastAsia="Arial" w:hAnsi="Arial"/>
          <w:sz w:val="18"/>
          <w:szCs w:val="18"/>
          <w:u w:val="single" w:color="auto"/>
          <w:color w:val="auto"/>
        </w:rPr>
        <w:t>Additional Documents</w:t>
      </w:r>
      <w:r>
        <w:rPr>
          <w:rFonts w:ascii="Arial" w:cs="Arial" w:eastAsia="Arial" w:hAnsi="Arial"/>
          <w:sz w:val="18"/>
          <w:szCs w:val="18"/>
          <w:color w:val="auto"/>
        </w:rPr>
        <w:t>. The Lenders shall have received such documentation as any Lender shall reasonably request, all in form and substance satisfactory to the Lenders.</w:t>
      </w:r>
    </w:p>
    <w:p>
      <w:pPr>
        <w:spacing w:after="0" w:line="170" w:lineRule="exact"/>
        <w:rPr>
          <w:rFonts w:ascii="Arial" w:cs="Arial" w:eastAsia="Arial" w:hAnsi="Arial"/>
          <w:sz w:val="18"/>
          <w:szCs w:val="18"/>
          <w:color w:val="auto"/>
        </w:rPr>
      </w:pPr>
    </w:p>
    <w:p>
      <w:pPr>
        <w:ind w:left="840" w:hanging="184"/>
        <w:spacing w:after="0"/>
        <w:tabs>
          <w:tab w:leader="none" w:pos="840" w:val="left"/>
        </w:tabs>
        <w:numPr>
          <w:ilvl w:val="1"/>
          <w:numId w:val="62"/>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1"/>
          <w:numId w:val="62"/>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980"/>
        <w:spacing w:after="0" w:line="287" w:lineRule="auto"/>
        <w:tabs>
          <w:tab w:leader="none" w:pos="1255" w:val="left"/>
        </w:tabs>
        <w:numPr>
          <w:ilvl w:val="2"/>
          <w:numId w:val="62"/>
        </w:numPr>
        <w:rPr>
          <w:rFonts w:ascii="Arial" w:cs="Arial" w:eastAsia="Arial" w:hAnsi="Arial"/>
          <w:sz w:val="16"/>
          <w:szCs w:val="16"/>
          <w:color w:val="auto"/>
        </w:rPr>
      </w:pPr>
      <w:r>
        <w:rPr>
          <w:rFonts w:ascii="Arial" w:cs="Arial" w:eastAsia="Arial" w:hAnsi="Arial"/>
          <w:sz w:val="16"/>
          <w:szCs w:val="16"/>
          <w:color w:val="auto"/>
        </w:rPr>
        <w:t>Each Loan Party hereby represents and warrants in connection herewith that as of the date hereof (after giving effect hereto) the representations and warranties set forth in the Credit Agreement are true and correct in all material respects except to the extent such representation or warranty (i) is qualified by materiality or Material Adverse Effect, in which case such representation or warranty shall be true and correct in any respect, or</w:t>
      </w:r>
    </w:p>
    <w:p>
      <w:pPr>
        <w:spacing w:after="0" w:line="2" w:lineRule="exact"/>
        <w:rPr>
          <w:rFonts w:ascii="Arial" w:cs="Arial" w:eastAsia="Arial" w:hAnsi="Arial"/>
          <w:sz w:val="16"/>
          <w:szCs w:val="16"/>
          <w:color w:val="auto"/>
        </w:rPr>
      </w:pPr>
    </w:p>
    <w:p>
      <w:pPr>
        <w:ind w:firstLine="8"/>
        <w:spacing w:after="0" w:line="260" w:lineRule="auto"/>
        <w:tabs>
          <w:tab w:leader="none" w:pos="266" w:val="left"/>
        </w:tabs>
        <w:numPr>
          <w:ilvl w:val="0"/>
          <w:numId w:val="63"/>
        </w:numPr>
        <w:rPr>
          <w:rFonts w:ascii="Arial" w:cs="Arial" w:eastAsia="Arial" w:hAnsi="Arial"/>
          <w:sz w:val="18"/>
          <w:szCs w:val="18"/>
          <w:color w:val="auto"/>
        </w:rPr>
      </w:pPr>
      <w:r>
        <w:rPr>
          <w:rFonts w:ascii="Arial" w:cs="Arial" w:eastAsia="Arial" w:hAnsi="Arial"/>
          <w:sz w:val="18"/>
          <w:szCs w:val="18"/>
          <w:color w:val="auto"/>
        </w:rPr>
        <w:t>expressly relates to an earlier date in which case such representation or warranty shall be true and correct in all material respects (without duplication of any materiality qualifier contained therein) as of such earlier date;</w:t>
      </w:r>
    </w:p>
    <w:p>
      <w:pPr>
        <w:spacing w:after="0" w:line="185" w:lineRule="exact"/>
        <w:rPr>
          <w:rFonts w:ascii="Arial" w:cs="Arial" w:eastAsia="Arial" w:hAnsi="Arial"/>
          <w:sz w:val="18"/>
          <w:szCs w:val="18"/>
          <w:color w:val="auto"/>
        </w:rPr>
      </w:pPr>
    </w:p>
    <w:p>
      <w:pPr>
        <w:ind w:right="20" w:firstLine="980"/>
        <w:spacing w:after="0" w:line="277" w:lineRule="auto"/>
        <w:tabs>
          <w:tab w:leader="none" w:pos="1227" w:val="left"/>
        </w:tabs>
        <w:numPr>
          <w:ilvl w:val="2"/>
          <w:numId w:val="63"/>
        </w:numPr>
        <w:rPr>
          <w:rFonts w:ascii="Arial" w:cs="Arial" w:eastAsia="Arial" w:hAnsi="Arial"/>
          <w:sz w:val="18"/>
          <w:szCs w:val="18"/>
          <w:color w:val="auto"/>
        </w:rPr>
      </w:pPr>
      <w:r>
        <w:rPr>
          <w:rFonts w:ascii="Arial" w:cs="Arial" w:eastAsia="Arial" w:hAnsi="Arial"/>
          <w:sz w:val="18"/>
          <w:szCs w:val="18"/>
          <w:color w:val="auto"/>
        </w:rPr>
        <w:t>the consummation of the transactions contemplated by this Amendment are within each Loan Party’s organizational powers and have been duly authorized by all necessary organizational actions and, if required, actions by equity holders;</w:t>
      </w:r>
    </w:p>
    <w:p>
      <w:pPr>
        <w:spacing w:after="0" w:line="170" w:lineRule="exact"/>
        <w:rPr>
          <w:rFonts w:ascii="Arial" w:cs="Arial" w:eastAsia="Arial" w:hAnsi="Arial"/>
          <w:sz w:val="18"/>
          <w:szCs w:val="18"/>
          <w:color w:val="auto"/>
        </w:rPr>
      </w:pPr>
    </w:p>
    <w:p>
      <w:pPr>
        <w:jc w:val="both"/>
        <w:ind w:firstLine="980"/>
        <w:spacing w:after="0" w:line="257" w:lineRule="auto"/>
        <w:tabs>
          <w:tab w:leader="none" w:pos="1221" w:val="left"/>
        </w:tabs>
        <w:numPr>
          <w:ilvl w:val="2"/>
          <w:numId w:val="63"/>
        </w:numPr>
        <w:rPr>
          <w:rFonts w:ascii="Arial" w:cs="Arial" w:eastAsia="Arial" w:hAnsi="Arial"/>
          <w:sz w:val="18"/>
          <w:szCs w:val="18"/>
          <w:color w:val="auto"/>
        </w:rPr>
      </w:pPr>
      <w:r>
        <w:rPr>
          <w:rFonts w:ascii="Arial" w:cs="Arial" w:eastAsia="Arial" w:hAnsi="Arial"/>
          <w:sz w:val="18"/>
          <w:szCs w:val="18"/>
          <w:color w:val="auto"/>
        </w:rPr>
        <w:t>the consummation of this Amendment does not and will not (i) require any consent or approval of, registration or filing with, or any other action by any Governmental Authority except such as have been obtained or made and are in full force and effect and except for filings necessary to perfect Liens created pursuant to the Loan Documents, (ii) violate any requirements of law applicable to any Loan Party or any of its Subsidiaries except for such violations that would not reasonably be expected to result in a Material Adverse Effect, or (iii) violate the Operating Documents of any Loan Party or any of their respective Subsidiaries;</w:t>
      </w:r>
    </w:p>
    <w:p>
      <w:pPr>
        <w:spacing w:after="0" w:line="187" w:lineRule="exact"/>
        <w:rPr>
          <w:rFonts w:ascii="Arial" w:cs="Arial" w:eastAsia="Arial" w:hAnsi="Arial"/>
          <w:sz w:val="18"/>
          <w:szCs w:val="18"/>
          <w:color w:val="auto"/>
        </w:rPr>
      </w:pPr>
    </w:p>
    <w:p>
      <w:pPr>
        <w:jc w:val="both"/>
        <w:ind w:firstLine="980"/>
        <w:spacing w:after="0" w:line="311" w:lineRule="auto"/>
        <w:tabs>
          <w:tab w:leader="none" w:pos="1228" w:val="left"/>
        </w:tabs>
        <w:numPr>
          <w:ilvl w:val="2"/>
          <w:numId w:val="63"/>
        </w:numPr>
        <w:rPr>
          <w:rFonts w:ascii="Arial" w:cs="Arial" w:eastAsia="Arial" w:hAnsi="Arial"/>
          <w:sz w:val="16"/>
          <w:szCs w:val="16"/>
          <w:color w:val="auto"/>
        </w:rPr>
      </w:pPr>
      <w:r>
        <w:rPr>
          <w:rFonts w:ascii="Arial" w:cs="Arial" w:eastAsia="Arial" w:hAnsi="Arial"/>
          <w:sz w:val="16"/>
          <w:szCs w:val="16"/>
          <w:color w:val="auto"/>
        </w:rPr>
        <w:t>this Amendment has been duly executed and delivered by each Loan Party and is a legally valid and binding obligation of the Loan Parties party hereto, each enforceable against each of such parties, as applicable, in accordance with their respective terms, except as may be limited by bankruptcy, insolvency, reorganization, moratorium or other laws affecting, creditors’ rights generally and the effects of general principles of equity; and</w:t>
      </w:r>
    </w:p>
    <w:p>
      <w:pPr>
        <w:spacing w:after="0" w:line="148" w:lineRule="exact"/>
        <w:rPr>
          <w:rFonts w:ascii="Arial" w:cs="Arial" w:eastAsia="Arial" w:hAnsi="Arial"/>
          <w:sz w:val="16"/>
          <w:szCs w:val="16"/>
          <w:color w:val="auto"/>
        </w:rPr>
      </w:pPr>
    </w:p>
    <w:p>
      <w:pPr>
        <w:ind w:left="1220" w:hanging="240"/>
        <w:spacing w:after="0"/>
        <w:tabs>
          <w:tab w:leader="none" w:pos="1220" w:val="left"/>
        </w:tabs>
        <w:numPr>
          <w:ilvl w:val="2"/>
          <w:numId w:val="63"/>
        </w:numPr>
        <w:rPr>
          <w:rFonts w:ascii="Arial" w:cs="Arial" w:eastAsia="Arial" w:hAnsi="Arial"/>
          <w:sz w:val="18"/>
          <w:szCs w:val="18"/>
          <w:color w:val="auto"/>
        </w:rPr>
      </w:pPr>
      <w:r>
        <w:rPr>
          <w:rFonts w:ascii="Arial" w:cs="Arial" w:eastAsia="Arial" w:hAnsi="Arial"/>
          <w:sz w:val="18"/>
          <w:szCs w:val="18"/>
          <w:color w:val="auto"/>
        </w:rPr>
        <w:t>no Default or Event of Default has occurred or is continuing.</w:t>
      </w:r>
    </w:p>
    <w:p>
      <w:pPr>
        <w:spacing w:after="0" w:line="225" w:lineRule="exact"/>
        <w:rPr>
          <w:rFonts w:ascii="Arial" w:cs="Arial" w:eastAsia="Arial" w:hAnsi="Arial"/>
          <w:sz w:val="18"/>
          <w:szCs w:val="18"/>
          <w:color w:val="auto"/>
        </w:rPr>
      </w:pPr>
    </w:p>
    <w:p>
      <w:pPr>
        <w:ind w:firstLine="656"/>
        <w:spacing w:after="0" w:line="277" w:lineRule="auto"/>
        <w:tabs>
          <w:tab w:leader="none" w:pos="911" w:val="left"/>
        </w:tabs>
        <w:numPr>
          <w:ilvl w:val="1"/>
          <w:numId w:val="63"/>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The Loan Parties agree to pay all reasonable costs and expenses in connection with the preparation, execution and delivery of this Amendment, including the fees and expenses of Agent’s legal counsel.</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5" w:name="page66"/>
    <w:bookmarkEnd w:id="65"/>
    <w:p>
      <w:pPr>
        <w:jc w:val="both"/>
        <w:ind w:firstLine="656"/>
        <w:spacing w:after="0" w:line="284" w:lineRule="auto"/>
        <w:tabs>
          <w:tab w:leader="none" w:pos="931" w:val="left"/>
        </w:tabs>
        <w:numPr>
          <w:ilvl w:val="0"/>
          <w:numId w:val="64"/>
        </w:numPr>
        <w:rPr>
          <w:rFonts w:ascii="Arial" w:cs="Arial" w:eastAsia="Arial" w:hAnsi="Arial"/>
          <w:sz w:val="16"/>
          <w:szCs w:val="16"/>
          <w:color w:val="auto"/>
        </w:rPr>
      </w:pPr>
      <w:r>
        <w:rPr>
          <w:rFonts w:ascii="Arial" w:cs="Arial" w:eastAsia="Arial" w:hAnsi="Arial"/>
          <w:sz w:val="16"/>
          <w:szCs w:val="16"/>
          <w:u w:val="single" w:color="auto"/>
          <w:color w:val="auto"/>
        </w:rPr>
        <w:t>General Release</w:t>
      </w:r>
      <w:r>
        <w:rPr>
          <w:rFonts w:ascii="Arial" w:cs="Arial" w:eastAsia="Arial" w:hAnsi="Arial"/>
          <w:sz w:val="16"/>
          <w:szCs w:val="16"/>
          <w:color w:val="auto"/>
        </w:rPr>
        <w:t>. In consideration of, among other things, the Agent’s and each Lender’s execution and delivery of this Amendment, the Borrower and each other Loan Party, on behalf of itself and its agents, representatives, officers, directors, advisors, employees, Subsidiaries, Affiliates, successors and assigns (collectively, “</w:t>
      </w:r>
      <w:r>
        <w:rPr>
          <w:rFonts w:ascii="Arial" w:cs="Arial" w:eastAsia="Arial" w:hAnsi="Arial"/>
          <w:sz w:val="16"/>
          <w:szCs w:val="16"/>
          <w:u w:val="single" w:color="auto"/>
          <w:color w:val="auto"/>
        </w:rPr>
        <w:t>Releasors</w:t>
      </w:r>
      <w:r>
        <w:rPr>
          <w:rFonts w:ascii="Arial" w:cs="Arial" w:eastAsia="Arial" w:hAnsi="Arial"/>
          <w:sz w:val="16"/>
          <w:szCs w:val="16"/>
          <w:color w:val="auto"/>
        </w:rPr>
        <w:t>”), hereby forever agrees and covenants not to sue or prosecute against any Releasee (as hereinafter defined) and hereby forever waives, releases and discharges, to the fullest extent permitted by law, each Releasee from any and all claims (including, without limitation, crossclaims, counterclaims, rights of set-off and recoupment), actions, causes of action, suits, debts, accounts, interests, liens, promises, warranties, damages and consequential damages, demands, agreements, bonds, bills, specialties, covenants, controversies, variances, trespasses, judgments, executions, costs, expenses or claims whatsoever, that such Releasor now has or hereafter may have, of whatsoever nature and kind, whether known or unknown, whether arising at law or in equity (collectively, the “</w:t>
      </w:r>
      <w:r>
        <w:rPr>
          <w:rFonts w:ascii="Arial" w:cs="Arial" w:eastAsia="Arial" w:hAnsi="Arial"/>
          <w:sz w:val="16"/>
          <w:szCs w:val="16"/>
          <w:u w:val="single" w:color="auto"/>
          <w:color w:val="auto"/>
        </w:rPr>
        <w:t>Claims</w:t>
      </w:r>
      <w:r>
        <w:rPr>
          <w:rFonts w:ascii="Arial" w:cs="Arial" w:eastAsia="Arial" w:hAnsi="Arial"/>
          <w:sz w:val="16"/>
          <w:szCs w:val="16"/>
          <w:color w:val="auto"/>
        </w:rPr>
        <w:t>”), against the Agent and any Lender in any capacity and their Affiliates, Subsidiaries, shareholders and “controlling persons” (within the meaning of the federal securities laws), and their respective successors and assigns and each and all of the officers, directors, employees, agents, attorneys, advisors and other representatives of each of the foregoing (collectively, the “</w:t>
      </w:r>
      <w:r>
        <w:rPr>
          <w:rFonts w:ascii="Arial" w:cs="Arial" w:eastAsia="Arial" w:hAnsi="Arial"/>
          <w:sz w:val="16"/>
          <w:szCs w:val="16"/>
          <w:u w:val="single" w:color="auto"/>
          <w:color w:val="auto"/>
        </w:rPr>
        <w:t>Releasees</w:t>
      </w:r>
      <w:r>
        <w:rPr>
          <w:rFonts w:ascii="Arial" w:cs="Arial" w:eastAsia="Arial" w:hAnsi="Arial"/>
          <w:sz w:val="16"/>
          <w:szCs w:val="16"/>
          <w:color w:val="auto"/>
        </w:rPr>
        <w:t>”), based in whole or in part on facts, whether or not now known, existing on or before the date hereof, that relate to, arise out of or otherwise are in connection with: (a) any or all of the Loan Documents or transactions contemplated thereby or any actions or omissions in connection therewith, (b) any aspect of the dealings or relationships between or among the Borrower and the other Loan Parties, on the one hand, and the Agent and/or the Lenders, on the other hand, relating to any or all of the documents, transactions, actions or omissions referenced in clause (a) hereof, or (c) any aspect of the dealings or relationships between or among any or all of the Loan Parties, on the one hand, and the Agent and/or the Lenders, on the other hand, but only to the extent such dealings or relationships relate to any or all of the documents, transactions, actions or omissions referenced in clause (a) hereof. The receipt by the Borrower or any other Loan Party of the proceeds of any loans or other financial accommodations made by the Agent and the Lenders after the date hereof shall constitute a ratification, adoption, and confirmation by such party of the foregoing general release of all Claims against the Releasees that are based in whole or in part on facts, whether or not now known or unknown, existing on or prior to the date of receipt of any such proceeds or other financial accommodations. In entering into this Amendment, the Borrower and each other Loan Party consulted with, and has been represented by, legal counsel and expressly disclaim any reliance on any representations, acts or omissions by any of the Releasees and hereby agree and acknowledge that the validity and effectiveness of the releases set forth above do not depend in any way on any such representations, acts and/or omissions or the accuracy, completeness or validity thereof. The provisions of this Section shall survive the termination of this Amendment, the Credit Agreement, the other Loan Documents and payment in full of the Obligations.</w:t>
      </w:r>
    </w:p>
    <w:p>
      <w:pPr>
        <w:spacing w:after="0" w:line="392" w:lineRule="exact"/>
        <w:rPr>
          <w:rFonts w:ascii="Arial" w:cs="Arial" w:eastAsia="Arial" w:hAnsi="Arial"/>
          <w:sz w:val="16"/>
          <w:szCs w:val="16"/>
          <w:color w:val="auto"/>
        </w:rPr>
      </w:pPr>
    </w:p>
    <w:p>
      <w:pPr>
        <w:jc w:val="both"/>
        <w:ind w:firstLine="656"/>
        <w:spacing w:after="0" w:line="273" w:lineRule="auto"/>
        <w:tabs>
          <w:tab w:leader="none" w:pos="945" w:val="left"/>
        </w:tabs>
        <w:numPr>
          <w:ilvl w:val="0"/>
          <w:numId w:val="64"/>
        </w:numPr>
        <w:rPr>
          <w:rFonts w:ascii="Arial" w:cs="Arial" w:eastAsia="Arial" w:hAnsi="Arial"/>
          <w:sz w:val="17"/>
          <w:szCs w:val="17"/>
          <w:color w:val="auto"/>
        </w:rPr>
      </w:pPr>
      <w:r>
        <w:rPr>
          <w:rFonts w:ascii="Arial" w:cs="Arial" w:eastAsia="Arial" w:hAnsi="Arial"/>
          <w:sz w:val="17"/>
          <w:szCs w:val="17"/>
          <w:u w:val="single" w:color="auto"/>
          <w:color w:val="auto"/>
        </w:rPr>
        <w:t>Covenant Not to Sue</w:t>
      </w:r>
      <w:r>
        <w:rPr>
          <w:rFonts w:ascii="Arial" w:cs="Arial" w:eastAsia="Arial" w:hAnsi="Arial"/>
          <w:sz w:val="17"/>
          <w:szCs w:val="17"/>
          <w:color w:val="auto"/>
        </w:rPr>
        <w:t xml:space="preserve">. Each Loan Party, on behalf of itself and its successors, assigns and other legal representatives, hereby absolutely, unconditionally and irrevocably covenants and agrees with and in favor of each Releasee that such Loan Party will not sue (at law, in equity, in any regulatory proceeding or otherwise) any Releasee on the basis of any Claim released, remised and discharged by the Loan Parties pursuant to </w:t>
      </w:r>
      <w:r>
        <w:rPr>
          <w:rFonts w:ascii="Arial" w:cs="Arial" w:eastAsia="Arial" w:hAnsi="Arial"/>
          <w:sz w:val="17"/>
          <w:szCs w:val="17"/>
          <w:u w:val="single" w:color="auto"/>
          <w:color w:val="auto"/>
        </w:rPr>
        <w:t>Section 12</w:t>
      </w:r>
      <w:r>
        <w:rPr>
          <w:rFonts w:ascii="Arial" w:cs="Arial" w:eastAsia="Arial" w:hAnsi="Arial"/>
          <w:sz w:val="17"/>
          <w:szCs w:val="17"/>
          <w:color w:val="auto"/>
        </w:rPr>
        <w:t xml:space="preserve"> hereof. If the Loan Parties or any of their respective successors, assigns or other legal representatives violate the foregoing covenant, each Loan Party, for itself and its successors, assigns and legal representatives, agrees to pay, in addition to such other damages as any Releasee may sustain as a result of such violation, all reasonable attorneys’ fees and costs incurred by any Releasee as a result of such violation.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6" w:name="page67"/>
    <w:bookmarkEnd w:id="66"/>
    <w:p>
      <w:pPr>
        <w:jc w:val="both"/>
        <w:ind w:firstLine="656"/>
        <w:spacing w:after="0" w:line="275" w:lineRule="auto"/>
        <w:tabs>
          <w:tab w:leader="none" w:pos="918" w:val="left"/>
        </w:tabs>
        <w:numPr>
          <w:ilvl w:val="0"/>
          <w:numId w:val="65"/>
        </w:numPr>
        <w:rPr>
          <w:rFonts w:ascii="Arial" w:cs="Arial" w:eastAsia="Arial" w:hAnsi="Arial"/>
          <w:sz w:val="17"/>
          <w:szCs w:val="17"/>
          <w:color w:val="auto"/>
        </w:rPr>
      </w:pPr>
      <w:r>
        <w:rPr>
          <w:rFonts w:ascii="Arial" w:cs="Arial" w:eastAsia="Arial" w:hAnsi="Arial"/>
          <w:sz w:val="17"/>
          <w:szCs w:val="17"/>
          <w:u w:val="single" w:color="auto"/>
          <w:color w:val="auto"/>
        </w:rPr>
        <w:t>No Waiver</w:t>
      </w:r>
      <w:r>
        <w:rPr>
          <w:rFonts w:ascii="Arial" w:cs="Arial" w:eastAsia="Arial" w:hAnsi="Arial"/>
          <w:sz w:val="17"/>
          <w:szCs w:val="17"/>
          <w:color w:val="auto"/>
        </w:rPr>
        <w:t>. Except as expressly provided herein, nothing contained herein shall be construed as a waiver by any Lender or the Agent of any covenant or provision of the Loan Documents. Failure of Agent or any Lender at any time or times hereafter to require strict performance by the Loan Parties of any provision of the Loan Documents shall not waive, affect or diminish any right of Agent or any Lender to thereafter demand strict compliance therewith. Agent and Lenders hereby reserve all rights granted under the Credit Agreement, the other Loan Documents, this Amendment and any other contract or instrument between any Loan Party, on the one hand, and Agent or any Lender, on the other hand.</w:t>
      </w:r>
    </w:p>
    <w:p>
      <w:pPr>
        <w:spacing w:after="0" w:line="176" w:lineRule="exact"/>
        <w:rPr>
          <w:rFonts w:ascii="Arial" w:cs="Arial" w:eastAsia="Arial" w:hAnsi="Arial"/>
          <w:sz w:val="17"/>
          <w:szCs w:val="17"/>
          <w:color w:val="auto"/>
        </w:rPr>
      </w:pPr>
    </w:p>
    <w:p>
      <w:pPr>
        <w:jc w:val="both"/>
        <w:ind w:firstLine="656"/>
        <w:spacing w:after="0" w:line="259" w:lineRule="auto"/>
        <w:tabs>
          <w:tab w:leader="none" w:pos="931"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No Novation, etc.</w:t>
      </w:r>
      <w:r>
        <w:rPr>
          <w:rFonts w:ascii="Arial" w:cs="Arial" w:eastAsia="Arial" w:hAnsi="Arial"/>
          <w:sz w:val="18"/>
          <w:szCs w:val="18"/>
          <w:color w:val="auto"/>
        </w:rPr>
        <w:t xml:space="preserve"> This Amendment is not intended to be, nor shall it be construed to create, a novation or accord and satisfaction, and the Credit Agreement, as amended hereby, shall remain in full force and effect. Notwithstanding any prior mutual temporary disregard of any of the terms of the Credit Agreement, the parties agree that the terms of the Credit Agreement shall be strictly adhered to on and after the date hereof, except as expressly modified by this Amendment.</w:t>
      </w:r>
    </w:p>
    <w:p>
      <w:pPr>
        <w:spacing w:after="0" w:line="186" w:lineRule="exact"/>
        <w:rPr>
          <w:rFonts w:ascii="Arial" w:cs="Arial" w:eastAsia="Arial" w:hAnsi="Arial"/>
          <w:sz w:val="18"/>
          <w:szCs w:val="18"/>
          <w:color w:val="auto"/>
        </w:rPr>
      </w:pPr>
    </w:p>
    <w:p>
      <w:pPr>
        <w:jc w:val="both"/>
        <w:ind w:firstLine="656"/>
        <w:spacing w:after="0" w:line="271" w:lineRule="auto"/>
        <w:tabs>
          <w:tab w:leader="none" w:pos="918" w:val="left"/>
        </w:tabs>
        <w:numPr>
          <w:ilvl w:val="0"/>
          <w:numId w:val="65"/>
        </w:numPr>
        <w:rPr>
          <w:rFonts w:ascii="Arial" w:cs="Arial" w:eastAsia="Arial" w:hAnsi="Arial"/>
          <w:sz w:val="17"/>
          <w:szCs w:val="17"/>
          <w:color w:val="auto"/>
        </w:rPr>
      </w:pPr>
      <w:r>
        <w:rPr>
          <w:rFonts w:ascii="Arial" w:cs="Arial" w:eastAsia="Arial" w:hAnsi="Arial"/>
          <w:sz w:val="17"/>
          <w:szCs w:val="17"/>
          <w:u w:val="single" w:color="auto"/>
          <w:color w:val="auto"/>
        </w:rPr>
        <w:t>Counterparts, Email and .pdf</w:t>
      </w:r>
      <w:r>
        <w:rPr>
          <w:rFonts w:ascii="Arial" w:cs="Arial" w:eastAsia="Arial" w:hAnsi="Arial"/>
          <w:sz w:val="17"/>
          <w:szCs w:val="17"/>
          <w:color w:val="auto"/>
        </w:rPr>
        <w:t>. Each of the Loan Parties agree that at any time and from time to time, upon the written request of the Agent, it will execute and deliver such further documents and do such further acts as the Agent may reasonably request in accordance with the terms and conditions of the Loan Documents in order to effect the purposes of this Amendment. This Amendment (a) may be executed in two or more counterparts, each of which shall constitute an original but all of which when taken together shall constitute one contract and (b) may, upon execution, be delivered by facsimile, electronic mail (including pdf) or as any electronic signature complying with the U.S. federal ESIGN Act of 2000 or the New York Electronic Signature and Records Act or any other similar state laws based on the Uniform Electronic Transactions Act or other transmission method and any counterpart so delivered shall be deemed to have been duly and validly delivered and electronic signatures or the keeping of records in electronic form shall be valid and effective for all purposes to the fullest extent permitted by applicable law.</w:t>
      </w:r>
    </w:p>
    <w:p>
      <w:pPr>
        <w:spacing w:after="0" w:line="178" w:lineRule="exact"/>
        <w:rPr>
          <w:rFonts w:ascii="Arial" w:cs="Arial" w:eastAsia="Arial" w:hAnsi="Arial"/>
          <w:sz w:val="17"/>
          <w:szCs w:val="17"/>
          <w:color w:val="auto"/>
        </w:rPr>
      </w:pPr>
    </w:p>
    <w:p>
      <w:pPr>
        <w:jc w:val="both"/>
        <w:ind w:firstLine="656"/>
        <w:spacing w:after="0" w:line="259" w:lineRule="auto"/>
        <w:tabs>
          <w:tab w:leader="none" w:pos="931"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Relationship of Parties; No Third Party Beneficiaries</w:t>
      </w:r>
      <w:r>
        <w:rPr>
          <w:rFonts w:ascii="Arial" w:cs="Arial" w:eastAsia="Arial" w:hAnsi="Arial"/>
          <w:sz w:val="18"/>
          <w:szCs w:val="18"/>
          <w:color w:val="auto"/>
        </w:rPr>
        <w:t>. Nothing in this Amendment shall be construed to alter the existing debtor-creditor relationship between any Loan Party and any Lender. This Amendment is not intended, nor shall it be construed, to create a partnership or joint venture relationship between or among any of the parties hereto. No Person other than a party hereto is intended to be a beneficiary hereof and no Person other than a party hereto shall be authorized to rely upon or enforce the contents of this Amendment.</w:t>
      </w:r>
    </w:p>
    <w:p>
      <w:pPr>
        <w:spacing w:after="0" w:line="186" w:lineRule="exact"/>
        <w:rPr>
          <w:rFonts w:ascii="Arial" w:cs="Arial" w:eastAsia="Arial" w:hAnsi="Arial"/>
          <w:sz w:val="18"/>
          <w:szCs w:val="18"/>
          <w:color w:val="auto"/>
        </w:rPr>
      </w:pPr>
    </w:p>
    <w:p>
      <w:pPr>
        <w:ind w:left="920" w:hanging="264"/>
        <w:spacing w:after="0"/>
        <w:tabs>
          <w:tab w:leader="none" w:pos="920" w:val="left"/>
        </w:tabs>
        <w:numPr>
          <w:ilvl w:val="0"/>
          <w:numId w:val="65"/>
        </w:numPr>
        <w:rPr>
          <w:rFonts w:ascii="Arial" w:cs="Arial" w:eastAsia="Arial" w:hAnsi="Arial"/>
          <w:sz w:val="16"/>
          <w:szCs w:val="16"/>
          <w:color w:val="auto"/>
        </w:rPr>
      </w:pPr>
      <w:r>
        <w:rPr>
          <w:rFonts w:ascii="Arial" w:cs="Arial" w:eastAsia="Arial" w:hAnsi="Arial"/>
          <w:sz w:val="16"/>
          <w:szCs w:val="16"/>
          <w:u w:val="single" w:color="auto"/>
          <w:color w:val="auto"/>
        </w:rPr>
        <w:t>Successors and Assigns</w:t>
      </w:r>
      <w:r>
        <w:rPr>
          <w:rFonts w:ascii="Arial" w:cs="Arial" w:eastAsia="Arial" w:hAnsi="Arial"/>
          <w:sz w:val="16"/>
          <w:szCs w:val="16"/>
          <w:color w:val="auto"/>
        </w:rPr>
        <w:t>. This Amendment will be binding upon and inure to the benefit of the parties hereto and their respective successors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 assigns.</w:t>
      </w:r>
    </w:p>
    <w:p>
      <w:pPr>
        <w:spacing w:after="0" w:line="210" w:lineRule="exact"/>
        <w:rPr>
          <w:rFonts w:ascii="Arial" w:cs="Arial" w:eastAsia="Arial" w:hAnsi="Arial"/>
          <w:sz w:val="16"/>
          <w:szCs w:val="16"/>
          <w:color w:val="auto"/>
        </w:rPr>
      </w:pPr>
    </w:p>
    <w:p>
      <w:pPr>
        <w:ind w:firstLine="656"/>
        <w:spacing w:after="0" w:line="342" w:lineRule="auto"/>
        <w:tabs>
          <w:tab w:leader="none" w:pos="918" w:val="left"/>
        </w:tabs>
        <w:numPr>
          <w:ilvl w:val="0"/>
          <w:numId w:val="65"/>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xml:space="preserve">. This Amendment shall be governed by and construed and enforced in accordance with the laws of the State of New York. The terms of Section 8.12 of the Credit Agreement are incorporated herein by reference, </w:t>
      </w:r>
      <w:r>
        <w:rPr>
          <w:rFonts w:ascii="Arial" w:cs="Arial" w:eastAsia="Arial" w:hAnsi="Arial"/>
          <w:sz w:val="16"/>
          <w:szCs w:val="16"/>
          <w:i w:val="1"/>
          <w:iCs w:val="1"/>
          <w:color w:val="auto"/>
        </w:rPr>
        <w:t>mutatis mutandis</w:t>
      </w:r>
      <w:r>
        <w:rPr>
          <w:rFonts w:ascii="Arial" w:cs="Arial" w:eastAsia="Arial" w:hAnsi="Arial"/>
          <w:sz w:val="16"/>
          <w:szCs w:val="16"/>
          <w:color w:val="auto"/>
        </w:rPr>
        <w:t>, and the parties hereto agree to such terms.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PAGES FOLLOW]</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7" w:name="page68"/>
    <w:bookmarkEnd w:id="67"/>
    <w:p>
      <w:pPr>
        <w:ind w:firstLine="648"/>
        <w:spacing w:after="0" w:line="277" w:lineRule="auto"/>
        <w:rPr>
          <w:sz w:val="20"/>
          <w:szCs w:val="20"/>
          <w:color w:val="auto"/>
        </w:rPr>
      </w:pPr>
      <w:r>
        <w:rPr>
          <w:rFonts w:ascii="Arial" w:cs="Arial" w:eastAsia="Arial" w:hAnsi="Arial"/>
          <w:sz w:val="18"/>
          <w:szCs w:val="18"/>
          <w:color w:val="auto"/>
        </w:rPr>
        <w:t>IN WITNESS WHEREOF, each party hereto has caused this Amendment to be duly executed and delivered by its proper and duly authorized officer(s) as of the day and year first above written.</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BORROWER:</w:t>
      </w:r>
    </w:p>
    <w:p>
      <w:pPr>
        <w:spacing w:after="0" w:line="2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PRESTO AUTOMATION LLC</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(F/K/A E LA CARTE, LLC, F/K/A VENTOUX MERGER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SUB II LLC)</w:t>
      </w:r>
    </w:p>
    <w:p>
      <w:pPr>
        <w:spacing w:after="0" w:line="211"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Xavier Casanova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Xavier Casanova</w:t>
      </w:r>
    </w:p>
    <w:p>
      <w:pPr>
        <w:spacing w:after="0" w:line="36"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7"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PARENT:</w:t>
      </w:r>
    </w:p>
    <w:p>
      <w:pPr>
        <w:spacing w:after="0" w:line="2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PRESTO AUTOMATION INC.</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(F/K/A VENTOUX CCM ACQUISITION CORP.)</w:t>
      </w:r>
    </w:p>
    <w:p>
      <w:pPr>
        <w:spacing w:after="0" w:line="211"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Xavier Casanova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Xavier Casanova</w:t>
      </w:r>
    </w:p>
    <w:p>
      <w:pPr>
        <w:spacing w:after="0" w:line="36"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Signature Page to Third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68" w:name="page69"/>
    <w:bookmarkEnd w:id="68"/>
    <w:p>
      <w:pPr>
        <w:ind w:left="5640"/>
        <w:spacing w:after="0"/>
        <w:rPr>
          <w:sz w:val="20"/>
          <w:szCs w:val="20"/>
          <w:color w:val="auto"/>
        </w:rPr>
      </w:pPr>
      <w:r>
        <w:rPr>
          <w:rFonts w:ascii="Arial" w:cs="Arial" w:eastAsia="Arial" w:hAnsi="Arial"/>
          <w:sz w:val="18"/>
          <w:szCs w:val="18"/>
          <w:b w:val="1"/>
          <w:bCs w:val="1"/>
          <w:color w:val="auto"/>
        </w:rPr>
        <w:t>AGENT:</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METROPOLITAN PARTNERS GROUP</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ADMINISTRATION, LLC</w:t>
      </w:r>
    </w:p>
    <w:p>
      <w:pPr>
        <w:spacing w:after="0" w:line="211" w:lineRule="exact"/>
        <w:rPr>
          <w:sz w:val="20"/>
          <w:szCs w:val="20"/>
          <w:color w:val="auto"/>
        </w:rPr>
      </w:pPr>
    </w:p>
    <w:tbl>
      <w:tblPr>
        <w:tblLayout w:type="fixed"/>
        <w:tblInd w:w="5640" w:type="dxa"/>
        <w:tblCellMar>
          <w:top w:w="0" w:type="dxa"/>
          <w:left w:w="0" w:type="dxa"/>
          <w:bottom w:w="0" w:type="dxa"/>
          <w:right w:w="0" w:type="dxa"/>
        </w:tblCellMar>
      </w:tblPr>
      <w:tr>
        <w:trPr>
          <w:trHeight w:val="237"/>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Paul K. Lisiak</w:t>
            </w:r>
          </w:p>
        </w:tc>
      </w:tr>
      <w:tr>
        <w:trPr>
          <w:trHeight w:val="202"/>
        </w:trPr>
        <w:tc>
          <w:tcPr>
            <w:tcW w:w="56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Paul K. Lisiak</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Managing Partner</w:t>
            </w:r>
          </w:p>
        </w:tc>
      </w:tr>
    </w:tbl>
    <w:p>
      <w:pPr>
        <w:spacing w:after="0" w:line="202"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Signature Page to Third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443230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69" w:name="page70"/>
    <w:bookmarkEnd w:id="69"/>
    <w:p>
      <w:pPr>
        <w:ind w:left="5640"/>
        <w:spacing w:after="0"/>
        <w:rPr>
          <w:sz w:val="20"/>
          <w:szCs w:val="20"/>
          <w:color w:val="auto"/>
        </w:rPr>
      </w:pPr>
      <w:r>
        <w:rPr>
          <w:rFonts w:ascii="Arial" w:cs="Arial" w:eastAsia="Arial" w:hAnsi="Arial"/>
          <w:sz w:val="18"/>
          <w:szCs w:val="18"/>
          <w:b w:val="1"/>
          <w:bCs w:val="1"/>
          <w:color w:val="auto"/>
        </w:rPr>
        <w:t>LENDERS:</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METROPOLITAN LEVERED PARTNERS FUND VII, LP</w:t>
      </w:r>
    </w:p>
    <w:p>
      <w:pPr>
        <w:spacing w:after="0" w:line="237"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Pr>
          <w:p>
            <w:pPr>
              <w:spacing w:after="0"/>
              <w:rPr>
                <w:sz w:val="20"/>
                <w:szCs w:val="20"/>
                <w:color w:val="auto"/>
              </w:rPr>
            </w:pPr>
            <w:r>
              <w:rPr>
                <w:rFonts w:ascii="Arial" w:cs="Arial" w:eastAsia="Arial" w:hAnsi="Arial"/>
                <w:sz w:val="18"/>
                <w:szCs w:val="18"/>
                <w:color w:val="auto"/>
              </w:rPr>
              <w:t>MPF VII GP, LLC its General Partner</w:t>
            </w:r>
          </w:p>
        </w:tc>
      </w:tr>
      <w:tr>
        <w:trPr>
          <w:trHeight w:val="439"/>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Paul K. Lisiak</w:t>
            </w:r>
          </w:p>
        </w:tc>
      </w:tr>
      <w:tr>
        <w:trPr>
          <w:trHeight w:val="202"/>
        </w:trPr>
        <w:tc>
          <w:tcPr>
            <w:tcW w:w="56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Paul K. Lisiak</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Managing Partner</w:t>
            </w:r>
          </w:p>
        </w:tc>
      </w:tr>
    </w:tbl>
    <w:p>
      <w:pPr>
        <w:spacing w:after="0" w:line="20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METROPOLITAN PARTNERS FUND VII, LP</w:t>
      </w:r>
    </w:p>
    <w:p>
      <w:pPr>
        <w:spacing w:after="0" w:line="225"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Pr>
          <w:p>
            <w:pPr>
              <w:spacing w:after="0"/>
              <w:rPr>
                <w:sz w:val="20"/>
                <w:szCs w:val="20"/>
                <w:color w:val="auto"/>
              </w:rPr>
            </w:pPr>
            <w:r>
              <w:rPr>
                <w:rFonts w:ascii="Arial" w:cs="Arial" w:eastAsia="Arial" w:hAnsi="Arial"/>
                <w:sz w:val="18"/>
                <w:szCs w:val="18"/>
                <w:color w:val="auto"/>
              </w:rPr>
              <w:t>MPF VII GP, LLC its General Partner</w:t>
            </w:r>
          </w:p>
        </w:tc>
      </w:tr>
      <w:tr>
        <w:trPr>
          <w:trHeight w:val="439"/>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Paul K. Lisiak</w:t>
            </w:r>
          </w:p>
        </w:tc>
      </w:tr>
      <w:tr>
        <w:trPr>
          <w:trHeight w:val="202"/>
        </w:trPr>
        <w:tc>
          <w:tcPr>
            <w:tcW w:w="56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Paul K. Lisiak</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Managing Partner</w:t>
            </w:r>
          </w:p>
        </w:tc>
      </w:tr>
    </w:tbl>
    <w:p>
      <w:pPr>
        <w:spacing w:after="0" w:line="202"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METROPOLITAN OFFSHORE PARTNERS FUND VII, LP</w:t>
      </w:r>
    </w:p>
    <w:p>
      <w:pPr>
        <w:spacing w:after="0" w:line="225"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Pr>
          <w:p>
            <w:pPr>
              <w:spacing w:after="0"/>
              <w:rPr>
                <w:sz w:val="20"/>
                <w:szCs w:val="20"/>
                <w:color w:val="auto"/>
              </w:rPr>
            </w:pPr>
            <w:r>
              <w:rPr>
                <w:rFonts w:ascii="Arial" w:cs="Arial" w:eastAsia="Arial" w:hAnsi="Arial"/>
                <w:sz w:val="18"/>
                <w:szCs w:val="18"/>
                <w:color w:val="auto"/>
              </w:rPr>
              <w:t>MPF VII GP, LLC its General Partner</w:t>
            </w:r>
          </w:p>
        </w:tc>
      </w:tr>
      <w:tr>
        <w:trPr>
          <w:trHeight w:val="439"/>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Paul K. Lisiak</w:t>
            </w:r>
          </w:p>
        </w:tc>
      </w:tr>
      <w:tr>
        <w:trPr>
          <w:trHeight w:val="202"/>
        </w:trPr>
        <w:tc>
          <w:tcPr>
            <w:tcW w:w="56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Paul K. Lisiak</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Managing Partner</w:t>
            </w:r>
          </w:p>
        </w:tc>
      </w:tr>
    </w:tbl>
    <w:p>
      <w:pPr>
        <w:spacing w:after="0" w:line="20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CEOF HOLDINGS LP</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CORBIN CAPITAL PARTNERS, L.P., its</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Investment Manager:</w:t>
      </w:r>
    </w:p>
    <w:p>
      <w:pPr>
        <w:spacing w:after="0" w:line="2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Daniel Friedman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Daniel Friedman</w:t>
      </w:r>
    </w:p>
    <w:p>
      <w:pPr>
        <w:spacing w:after="0" w:line="3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General Counsel</w:t>
      </w:r>
    </w:p>
    <w:p>
      <w:pPr>
        <w:spacing w:after="0" w:line="211"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Signature Page to Third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443230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70" w:name="page71"/>
    <w:bookmarkEnd w:id="70"/>
    <w:p>
      <w:pPr>
        <w:jc w:val="center"/>
        <w:ind w:right="312"/>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ind w:right="312"/>
        <w:spacing w:after="0"/>
        <w:rPr>
          <w:sz w:val="20"/>
          <w:szCs w:val="20"/>
          <w:color w:val="auto"/>
        </w:rPr>
      </w:pPr>
      <w:r>
        <w:rPr>
          <w:rFonts w:ascii="Arial" w:cs="Arial" w:eastAsia="Arial" w:hAnsi="Arial"/>
          <w:sz w:val="18"/>
          <w:szCs w:val="18"/>
          <w:b w:val="1"/>
          <w:bCs w:val="1"/>
          <w:color w:val="auto"/>
        </w:rPr>
        <w:t>Existing Events of Default</w:t>
      </w:r>
    </w:p>
    <w:p>
      <w:pPr>
        <w:spacing w:after="0" w:line="229" w:lineRule="exact"/>
        <w:rPr>
          <w:sz w:val="20"/>
          <w:szCs w:val="20"/>
          <w:color w:val="auto"/>
        </w:rPr>
      </w:pPr>
    </w:p>
    <w:p>
      <w:pPr>
        <w:ind w:left="328" w:hanging="328"/>
        <w:spacing w:after="0" w:line="277" w:lineRule="auto"/>
        <w:tabs>
          <w:tab w:leader="none" w:pos="328"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 Event of Default pursuant to Section 7.1(c)(i) of the Credit Agreement as a result of the Loan Parties’ failure to comply with the financial covenant set forth in Section 6.17(b) of the Credit Agreement for the period ended June 30, 2023.</w:t>
      </w:r>
    </w:p>
    <w:p>
      <w:pPr>
        <w:spacing w:after="0" w:line="170" w:lineRule="exact"/>
        <w:rPr>
          <w:rFonts w:ascii="Arial" w:cs="Arial" w:eastAsia="Arial" w:hAnsi="Arial"/>
          <w:sz w:val="18"/>
          <w:szCs w:val="18"/>
          <w:color w:val="auto"/>
        </w:rPr>
      </w:pPr>
    </w:p>
    <w:p>
      <w:pPr>
        <w:ind w:left="328" w:right="20" w:hanging="328"/>
        <w:spacing w:after="0" w:line="277" w:lineRule="auto"/>
        <w:tabs>
          <w:tab w:leader="none" w:pos="328"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 Event of Default under Section 7.1(c)(i) of the Credit Agreement as a result of the Loan Parties’ creation of a new Subsidiary in violation of Section 6.11 of the Credit Agreement.</w:t>
      </w:r>
    </w:p>
    <w:p>
      <w:pPr>
        <w:spacing w:after="0" w:line="170" w:lineRule="exact"/>
        <w:rPr>
          <w:rFonts w:ascii="Arial" w:cs="Arial" w:eastAsia="Arial" w:hAnsi="Arial"/>
          <w:sz w:val="18"/>
          <w:szCs w:val="18"/>
          <w:color w:val="auto"/>
        </w:rPr>
      </w:pPr>
    </w:p>
    <w:p>
      <w:pPr>
        <w:ind w:left="328" w:hanging="328"/>
        <w:spacing w:after="0" w:line="277" w:lineRule="auto"/>
        <w:tabs>
          <w:tab w:leader="none" w:pos="328"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 Event of Default under Section 7.1(a) of the Credit Agreement as a result of the Loan Parties’ failure to timely make all payments that were due to be made under the Credit Agreement on July 1, 2023.</w:t>
      </w:r>
    </w:p>
    <w:p>
      <w:pPr>
        <w:spacing w:after="0" w:line="170" w:lineRule="exact"/>
        <w:rPr>
          <w:rFonts w:ascii="Arial" w:cs="Arial" w:eastAsia="Arial" w:hAnsi="Arial"/>
          <w:sz w:val="18"/>
          <w:szCs w:val="18"/>
          <w:color w:val="auto"/>
        </w:rPr>
      </w:pPr>
    </w:p>
    <w:p>
      <w:pPr>
        <w:ind w:left="328" w:hanging="328"/>
        <w:spacing w:after="0" w:line="277" w:lineRule="auto"/>
        <w:tabs>
          <w:tab w:leader="none" w:pos="328"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 Event of Default under Section 7.1(c)(i) of the Credit Agreement as a result of the Loan Parties’ failure to timely provide notice of the change of name of the Borrower.</w:t>
      </w:r>
    </w:p>
    <w:p>
      <w:pPr>
        <w:spacing w:after="0" w:line="170" w:lineRule="exact"/>
        <w:rPr>
          <w:rFonts w:ascii="Arial" w:cs="Arial" w:eastAsia="Arial" w:hAnsi="Arial"/>
          <w:sz w:val="18"/>
          <w:szCs w:val="18"/>
          <w:color w:val="auto"/>
        </w:rPr>
      </w:pPr>
    </w:p>
    <w:p>
      <w:pPr>
        <w:ind w:left="328" w:right="20" w:hanging="328"/>
        <w:spacing w:after="0" w:line="277" w:lineRule="auto"/>
        <w:tabs>
          <w:tab w:leader="none" w:pos="328"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 Event of Default under Section 7.1(c)(i) of the Credit Agreement as a result of the Loan Parties’ failure to timely provide notice of (i) an event of default under the Nirvana Debt and (ii) an amendment to the documents entered into in respect of the Nirvana Debt.</w:t>
      </w:r>
    </w:p>
    <w:p>
      <w:pPr>
        <w:spacing w:after="0" w:line="170" w:lineRule="exact"/>
        <w:rPr>
          <w:rFonts w:ascii="Arial" w:cs="Arial" w:eastAsia="Arial" w:hAnsi="Arial"/>
          <w:sz w:val="18"/>
          <w:szCs w:val="18"/>
          <w:color w:val="auto"/>
        </w:rPr>
      </w:pPr>
    </w:p>
    <w:p>
      <w:pPr>
        <w:ind w:left="328" w:hanging="328"/>
        <w:spacing w:after="0" w:line="277" w:lineRule="auto"/>
        <w:tabs>
          <w:tab w:leader="none" w:pos="328"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 Event of Default under Section 7.1(c)(i) of the Credit Agreement as a result of the Loan Parties’ failure to comply with the financial reporting requirements set forth in Section 5.1(a) of the Credit Agreement for the period ended June 30, 2023.</w:t>
      </w:r>
    </w:p>
    <w:p>
      <w:pPr>
        <w:spacing w:after="0" w:line="190" w:lineRule="exact"/>
        <w:rPr>
          <w:sz w:val="20"/>
          <w:szCs w:val="20"/>
          <w:color w:val="auto"/>
        </w:rPr>
      </w:pPr>
    </w:p>
    <w:p>
      <w:pPr>
        <w:jc w:val="center"/>
        <w:ind w:right="312"/>
        <w:spacing w:after="0"/>
        <w:rPr>
          <w:sz w:val="20"/>
          <w:szCs w:val="20"/>
          <w:color w:val="auto"/>
        </w:rPr>
      </w:pPr>
      <w:r>
        <w:rPr>
          <w:rFonts w:ascii="Arial" w:cs="Arial" w:eastAsia="Arial" w:hAnsi="Arial"/>
          <w:sz w:val="22"/>
          <w:szCs w:val="22"/>
          <w:color w:val="auto"/>
        </w:rPr>
        <w:t>Exhibit A to Third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452755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71" w:name="page72"/>
    <w:bookmarkEnd w:id="71"/>
    <w:p>
      <w:pPr>
        <w:jc w:val="center"/>
        <w:ind w:right="19"/>
        <w:spacing w:after="0"/>
        <w:rPr>
          <w:sz w:val="20"/>
          <w:szCs w:val="20"/>
          <w:color w:val="auto"/>
        </w:rPr>
      </w:pPr>
      <w:r>
        <w:rPr>
          <w:rFonts w:ascii="Arial" w:cs="Arial" w:eastAsia="Arial" w:hAnsi="Arial"/>
          <w:sz w:val="18"/>
          <w:szCs w:val="18"/>
          <w:b w:val="1"/>
          <w:bCs w:val="1"/>
          <w:u w:val="single" w:color="auto"/>
          <w:color w:val="auto"/>
        </w:rPr>
        <w:t>ANNEX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Conformed Credit Agreement</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attached.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Annex I to Third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457835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Annex I</w:t>
      </w:r>
    </w:p>
    <w:p>
      <w:pPr>
        <w:spacing w:after="0" w:line="248"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CREDIT AGREEMENT</w:t>
      </w:r>
    </w:p>
    <w:p>
      <w:pPr>
        <w:spacing w:after="0" w:line="229"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dated as of September 21, 2022, among</w:t>
      </w:r>
    </w:p>
    <w:p>
      <w:pPr>
        <w:spacing w:after="0" w:line="221"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PRESTO AUTOMATION LLC</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(F/K/A E LA CARTE, LLC, F/K/A VENTOUX MERGER SUB II LLC),</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as the Borrower,</w:t>
      </w:r>
    </w:p>
    <w:p>
      <w:pPr>
        <w:spacing w:after="0" w:line="207"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PRESTO AUTOMATION INC.</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(F/K/A VENTOUX CCM ACQUISITION CORP.),</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as Parent,</w:t>
      </w:r>
    </w:p>
    <w:p>
      <w:pPr>
        <w:spacing w:after="0" w:line="207"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THE LENDERS FROM TIME TO TIME PARTY HERETO,</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as Lenders,</w:t>
      </w:r>
    </w:p>
    <w:p>
      <w:pPr>
        <w:spacing w:after="0" w:line="211"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METROPOLITAN PARTNERS GROUP ADMINISTRATION, LLC,</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as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6660" w:type="dxa"/>
            <w:vAlign w:val="bottom"/>
            <w:gridSpan w:val="2"/>
          </w:tcPr>
          <w:p>
            <w:pPr>
              <w:jc w:val="center"/>
              <w:ind w:right="4490"/>
              <w:spacing w:after="0"/>
              <w:rPr>
                <w:sz w:val="20"/>
                <w:szCs w:val="20"/>
                <w:color w:val="auto"/>
              </w:rPr>
            </w:pPr>
            <w:r>
              <w:rPr>
                <w:rFonts w:ascii="Arial" w:cs="Arial" w:eastAsia="Arial" w:hAnsi="Arial"/>
                <w:sz w:val="18"/>
                <w:szCs w:val="18"/>
                <w:b w:val="1"/>
                <w:bCs w:val="1"/>
                <w:color w:val="auto"/>
                <w:w w:val="98"/>
              </w:rPr>
              <w:t>TABLE OF CONTENTS</w:t>
            </w:r>
          </w:p>
        </w:tc>
      </w:tr>
      <w:tr>
        <w:trPr>
          <w:trHeight w:val="439"/>
        </w:trPr>
        <w:tc>
          <w:tcPr>
            <w:tcW w:w="640" w:type="dxa"/>
            <w:vAlign w:val="bottom"/>
            <w:tcBorders>
              <w:bottom w:val="single" w:sz="8" w:color="CCEEFF"/>
            </w:tcBorders>
          </w:tcPr>
          <w:p>
            <w:pPr>
              <w:spacing w:after="0"/>
              <w:rPr>
                <w:sz w:val="24"/>
                <w:szCs w:val="24"/>
                <w:color w:val="auto"/>
              </w:rPr>
            </w:pPr>
          </w:p>
        </w:tc>
        <w:tc>
          <w:tcPr>
            <w:tcW w:w="3940" w:type="dxa"/>
            <w:vAlign w:val="bottom"/>
            <w:tcBorders>
              <w:bottom w:val="single" w:sz="8" w:color="CCEEFF"/>
            </w:tcBorders>
          </w:tcPr>
          <w:p>
            <w:pPr>
              <w:spacing w:after="0"/>
              <w:rPr>
                <w:sz w:val="24"/>
                <w:szCs w:val="24"/>
                <w:color w:val="auto"/>
              </w:rPr>
            </w:pPr>
          </w:p>
        </w:tc>
        <w:tc>
          <w:tcPr>
            <w:tcW w:w="566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Page</w:t>
            </w: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1 DEFINITIONS</w:t>
            </w:r>
          </w:p>
        </w:tc>
        <w:tc>
          <w:tcPr>
            <w:tcW w:w="566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r>
      <w:tr>
        <w:trPr>
          <w:trHeight w:val="216"/>
        </w:trPr>
        <w:tc>
          <w:tcPr>
            <w:tcW w:w="6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1.1</w:t>
            </w:r>
          </w:p>
        </w:tc>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w:t>
            </w:r>
            <w:r>
              <w:rPr>
                <w:rFonts w:ascii="Arial" w:cs="Arial" w:eastAsia="Arial" w:hAnsi="Arial"/>
                <w:sz w:val="12"/>
                <w:szCs w:val="12"/>
                <w:color w:val="auto"/>
              </w:rPr>
              <w:t>efined</w:t>
            </w:r>
            <w:r>
              <w:rPr>
                <w:rFonts w:ascii="Arial" w:cs="Arial" w:eastAsia="Arial" w:hAnsi="Arial"/>
                <w:sz w:val="18"/>
                <w:szCs w:val="18"/>
                <w:color w:val="auto"/>
              </w:rPr>
              <w:t xml:space="preserve"> T</w:t>
            </w:r>
            <w:r>
              <w:rPr>
                <w:rFonts w:ascii="Arial" w:cs="Arial" w:eastAsia="Arial" w:hAnsi="Arial"/>
                <w:sz w:val="12"/>
                <w:szCs w:val="12"/>
                <w:color w:val="auto"/>
              </w:rPr>
              <w:t>erms</w:t>
            </w:r>
          </w:p>
        </w:tc>
        <w:tc>
          <w:tcPr>
            <w:tcW w:w="6660" w:type="dxa"/>
            <w:vAlign w:val="bottom"/>
            <w:gridSpan w:val="2"/>
            <w:shd w:val="clear" w:color="auto" w:fill="CCEEFF"/>
          </w:tcPr>
          <w:p>
            <w:pPr>
              <w:jc w:val="center"/>
              <w:ind w:left="5570"/>
              <w:spacing w:after="0"/>
              <w:rPr>
                <w:sz w:val="20"/>
                <w:szCs w:val="20"/>
                <w:color w:val="auto"/>
              </w:rPr>
            </w:pPr>
            <w:r>
              <w:rPr>
                <w:rFonts w:ascii="Arial" w:cs="Arial" w:eastAsia="Arial" w:hAnsi="Arial"/>
                <w:sz w:val="18"/>
                <w:szCs w:val="18"/>
                <w:color w:val="auto"/>
                <w:w w:val="79"/>
              </w:rPr>
              <w:t>1</w:t>
            </w: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1.2</w:t>
            </w:r>
          </w:p>
        </w:tc>
        <w:tc>
          <w:tcPr>
            <w:tcW w:w="3940" w:type="dxa"/>
            <w:vAlign w:val="bottom"/>
          </w:tcPr>
          <w:p>
            <w:pPr>
              <w:ind w:left="160"/>
              <w:spacing w:after="0"/>
              <w:rPr>
                <w:sz w:val="20"/>
                <w:szCs w:val="20"/>
                <w:color w:val="auto"/>
              </w:rPr>
            </w:pPr>
            <w:r>
              <w:rPr>
                <w:rFonts w:ascii="Arial" w:cs="Arial" w:eastAsia="Arial" w:hAnsi="Arial"/>
                <w:sz w:val="18"/>
                <w:szCs w:val="18"/>
                <w:color w:val="auto"/>
              </w:rPr>
              <w:t>O</w:t>
            </w:r>
            <w:r>
              <w:rPr>
                <w:rFonts w:ascii="Arial" w:cs="Arial" w:eastAsia="Arial" w:hAnsi="Arial"/>
                <w:sz w:val="12"/>
                <w:szCs w:val="12"/>
                <w:color w:val="auto"/>
              </w:rPr>
              <w:t>ther</w:t>
            </w:r>
            <w:r>
              <w:rPr>
                <w:rFonts w:ascii="Arial" w:cs="Arial" w:eastAsia="Arial" w:hAnsi="Arial"/>
                <w:sz w:val="18"/>
                <w:szCs w:val="18"/>
                <w:color w:val="auto"/>
              </w:rPr>
              <w:t xml:space="preserve"> D</w:t>
            </w:r>
            <w:r>
              <w:rPr>
                <w:rFonts w:ascii="Arial" w:cs="Arial" w:eastAsia="Arial" w:hAnsi="Arial"/>
                <w:sz w:val="12"/>
                <w:szCs w:val="12"/>
                <w:color w:val="auto"/>
              </w:rPr>
              <w:t>efinitional</w:t>
            </w:r>
            <w:r>
              <w:rPr>
                <w:rFonts w:ascii="Arial" w:cs="Arial" w:eastAsia="Arial" w:hAnsi="Arial"/>
                <w:sz w:val="18"/>
                <w:szCs w:val="18"/>
                <w:color w:val="auto"/>
              </w:rPr>
              <w:t xml:space="preserve"> P</w:t>
            </w:r>
            <w:r>
              <w:rPr>
                <w:rFonts w:ascii="Arial" w:cs="Arial" w:eastAsia="Arial" w:hAnsi="Arial"/>
                <w:sz w:val="12"/>
                <w:szCs w:val="12"/>
                <w:color w:val="auto"/>
              </w:rPr>
              <w:t>rovisions</w:t>
            </w:r>
          </w:p>
        </w:tc>
        <w:tc>
          <w:tcPr>
            <w:tcW w:w="6660" w:type="dxa"/>
            <w:vAlign w:val="bottom"/>
            <w:gridSpan w:val="2"/>
          </w:tcPr>
          <w:p>
            <w:pPr>
              <w:jc w:val="center"/>
              <w:ind w:left="5590"/>
              <w:spacing w:after="0"/>
              <w:rPr>
                <w:sz w:val="20"/>
                <w:szCs w:val="20"/>
                <w:color w:val="auto"/>
              </w:rPr>
            </w:pPr>
            <w:r>
              <w:rPr>
                <w:rFonts w:ascii="Arial" w:cs="Arial" w:eastAsia="Arial" w:hAnsi="Arial"/>
                <w:sz w:val="18"/>
                <w:szCs w:val="18"/>
                <w:color w:val="auto"/>
                <w:w w:val="89"/>
              </w:rPr>
              <w:t>26</w:t>
            </w:r>
          </w:p>
        </w:tc>
      </w:tr>
      <w:tr>
        <w:trPr>
          <w:trHeight w:val="216"/>
        </w:trPr>
        <w:tc>
          <w:tcPr>
            <w:tcW w:w="4580" w:type="dxa"/>
            <w:vAlign w:val="bottom"/>
            <w:gridSpan w:val="2"/>
            <w:shd w:val="clear" w:color="auto" w:fill="CCEEFF"/>
          </w:tcPr>
          <w:p>
            <w:pPr>
              <w:spacing w:after="0"/>
              <w:rPr>
                <w:sz w:val="18"/>
                <w:szCs w:val="18"/>
                <w:color w:val="auto"/>
              </w:rPr>
            </w:pPr>
          </w:p>
        </w:tc>
        <w:tc>
          <w:tcPr>
            <w:tcW w:w="56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w w:val="99"/>
              </w:rPr>
              <w:t>SECTION 2 AMOUNT AND TERMS OF COMMITMENTS</w:t>
            </w:r>
          </w:p>
        </w:tc>
        <w:tc>
          <w:tcPr>
            <w:tcW w:w="6660" w:type="dxa"/>
            <w:vAlign w:val="bottom"/>
            <w:gridSpan w:val="2"/>
          </w:tcPr>
          <w:p>
            <w:pPr>
              <w:jc w:val="center"/>
              <w:ind w:left="5590"/>
              <w:spacing w:after="0"/>
              <w:rPr>
                <w:sz w:val="20"/>
                <w:szCs w:val="20"/>
                <w:color w:val="auto"/>
              </w:rPr>
            </w:pPr>
            <w:r>
              <w:rPr>
                <w:rFonts w:ascii="Arial" w:cs="Arial" w:eastAsia="Arial" w:hAnsi="Arial"/>
                <w:sz w:val="18"/>
                <w:szCs w:val="18"/>
                <w:color w:val="auto"/>
                <w:w w:val="89"/>
              </w:rPr>
              <w:t>28</w:t>
            </w:r>
          </w:p>
        </w:tc>
      </w:tr>
      <w:tr>
        <w:trPr>
          <w:trHeight w:val="216"/>
        </w:trPr>
        <w:tc>
          <w:tcPr>
            <w:tcW w:w="64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56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2.1</w:t>
            </w:r>
          </w:p>
        </w:tc>
        <w:tc>
          <w:tcPr>
            <w:tcW w:w="3940" w:type="dxa"/>
            <w:vAlign w:val="bottom"/>
          </w:tcPr>
          <w:p>
            <w:pPr>
              <w:ind w:left="160"/>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ommitments</w:t>
            </w:r>
            <w:r>
              <w:rPr>
                <w:rFonts w:ascii="Arial" w:cs="Arial" w:eastAsia="Arial" w:hAnsi="Arial"/>
                <w:sz w:val="18"/>
                <w:szCs w:val="18"/>
                <w:color w:val="auto"/>
              </w:rPr>
              <w:t>; R</w:t>
            </w:r>
            <w:r>
              <w:rPr>
                <w:rFonts w:ascii="Arial" w:cs="Arial" w:eastAsia="Arial" w:hAnsi="Arial"/>
                <w:sz w:val="12"/>
                <w:szCs w:val="12"/>
                <w:color w:val="auto"/>
              </w:rPr>
              <w:t>epayment</w:t>
            </w:r>
          </w:p>
        </w:tc>
        <w:tc>
          <w:tcPr>
            <w:tcW w:w="6660" w:type="dxa"/>
            <w:vAlign w:val="bottom"/>
            <w:gridSpan w:val="2"/>
          </w:tcPr>
          <w:p>
            <w:pPr>
              <w:jc w:val="center"/>
              <w:ind w:left="5590"/>
              <w:spacing w:after="0"/>
              <w:rPr>
                <w:sz w:val="20"/>
                <w:szCs w:val="20"/>
                <w:color w:val="auto"/>
              </w:rPr>
            </w:pPr>
            <w:r>
              <w:rPr>
                <w:rFonts w:ascii="Arial" w:cs="Arial" w:eastAsia="Arial" w:hAnsi="Arial"/>
                <w:sz w:val="18"/>
                <w:szCs w:val="18"/>
                <w:color w:val="auto"/>
                <w:w w:val="89"/>
              </w:rPr>
              <w:t>28</w:t>
            </w:r>
          </w:p>
        </w:tc>
      </w:tr>
      <w:tr>
        <w:trPr>
          <w:trHeight w:val="216"/>
        </w:trPr>
        <w:tc>
          <w:tcPr>
            <w:tcW w:w="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2.2</w:t>
            </w:r>
          </w:p>
        </w:tc>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dvances</w:t>
            </w:r>
          </w:p>
        </w:tc>
        <w:tc>
          <w:tcPr>
            <w:tcW w:w="6660" w:type="dxa"/>
            <w:vAlign w:val="bottom"/>
            <w:gridSpan w:val="2"/>
            <w:shd w:val="clear" w:color="auto" w:fill="CCEEFF"/>
          </w:tcPr>
          <w:p>
            <w:pPr>
              <w:jc w:val="center"/>
              <w:ind w:left="5590"/>
              <w:spacing w:after="0"/>
              <w:rPr>
                <w:sz w:val="20"/>
                <w:szCs w:val="20"/>
                <w:color w:val="auto"/>
              </w:rPr>
            </w:pPr>
            <w:r>
              <w:rPr>
                <w:rFonts w:ascii="Arial" w:cs="Arial" w:eastAsia="Arial" w:hAnsi="Arial"/>
                <w:sz w:val="18"/>
                <w:szCs w:val="18"/>
                <w:color w:val="auto"/>
                <w:w w:val="89"/>
              </w:rPr>
              <w:t>30</w:t>
            </w: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2.3</w:t>
            </w:r>
          </w:p>
        </w:tc>
        <w:tc>
          <w:tcPr>
            <w:tcW w:w="3940" w:type="dxa"/>
            <w:vAlign w:val="bottom"/>
          </w:tcPr>
          <w:p>
            <w:pPr>
              <w:ind w:left="160"/>
              <w:spacing w:after="0"/>
              <w:rPr>
                <w:sz w:val="20"/>
                <w:szCs w:val="20"/>
                <w:color w:val="auto"/>
              </w:rPr>
            </w:pPr>
            <w:r>
              <w:rPr>
                <w:rFonts w:ascii="Arial" w:cs="Arial" w:eastAsia="Arial" w:hAnsi="Arial"/>
                <w:sz w:val="18"/>
                <w:szCs w:val="18"/>
                <w:color w:val="auto"/>
              </w:rPr>
              <w:t>F</w:t>
            </w:r>
            <w:r>
              <w:rPr>
                <w:rFonts w:ascii="Arial" w:cs="Arial" w:eastAsia="Arial" w:hAnsi="Arial"/>
                <w:sz w:val="12"/>
                <w:szCs w:val="12"/>
                <w:color w:val="auto"/>
              </w:rPr>
              <w:t>ees</w:t>
            </w:r>
          </w:p>
        </w:tc>
        <w:tc>
          <w:tcPr>
            <w:tcW w:w="6660" w:type="dxa"/>
            <w:vAlign w:val="bottom"/>
            <w:gridSpan w:val="2"/>
          </w:tcPr>
          <w:p>
            <w:pPr>
              <w:jc w:val="center"/>
              <w:ind w:left="5590"/>
              <w:spacing w:after="0"/>
              <w:rPr>
                <w:sz w:val="20"/>
                <w:szCs w:val="20"/>
                <w:color w:val="auto"/>
              </w:rPr>
            </w:pPr>
            <w:r>
              <w:rPr>
                <w:rFonts w:ascii="Arial" w:cs="Arial" w:eastAsia="Arial" w:hAnsi="Arial"/>
                <w:sz w:val="18"/>
                <w:szCs w:val="18"/>
                <w:color w:val="auto"/>
                <w:w w:val="89"/>
              </w:rPr>
              <w:t>31</w:t>
            </w:r>
          </w:p>
        </w:tc>
      </w:tr>
      <w:tr>
        <w:trPr>
          <w:trHeight w:val="216"/>
        </w:trPr>
        <w:tc>
          <w:tcPr>
            <w:tcW w:w="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2.4</w:t>
            </w:r>
          </w:p>
        </w:tc>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w:t>
            </w:r>
            <w:r>
              <w:rPr>
                <w:rFonts w:ascii="Arial" w:cs="Arial" w:eastAsia="Arial" w:hAnsi="Arial"/>
                <w:sz w:val="12"/>
                <w:szCs w:val="12"/>
                <w:color w:val="auto"/>
              </w:rPr>
              <w:t>nterest</w:t>
            </w:r>
            <w:r>
              <w:rPr>
                <w:rFonts w:ascii="Arial" w:cs="Arial" w:eastAsia="Arial" w:hAnsi="Arial"/>
                <w:sz w:val="18"/>
                <w:szCs w:val="18"/>
                <w:color w:val="auto"/>
              </w:rPr>
              <w:t xml:space="preserve"> R</w:t>
            </w:r>
            <w:r>
              <w:rPr>
                <w:rFonts w:ascii="Arial" w:cs="Arial" w:eastAsia="Arial" w:hAnsi="Arial"/>
                <w:sz w:val="12"/>
                <w:szCs w:val="12"/>
                <w:color w:val="auto"/>
              </w:rPr>
              <w:t>ates and</w:t>
            </w:r>
            <w:r>
              <w:rPr>
                <w:rFonts w:ascii="Arial" w:cs="Arial" w:eastAsia="Arial" w:hAnsi="Arial"/>
                <w:sz w:val="18"/>
                <w:szCs w:val="18"/>
                <w:color w:val="auto"/>
              </w:rPr>
              <w:t xml:space="preserve"> P</w:t>
            </w:r>
            <w:r>
              <w:rPr>
                <w:rFonts w:ascii="Arial" w:cs="Arial" w:eastAsia="Arial" w:hAnsi="Arial"/>
                <w:sz w:val="12"/>
                <w:szCs w:val="12"/>
                <w:color w:val="auto"/>
              </w:rPr>
              <w:t>ayment</w:t>
            </w:r>
            <w:r>
              <w:rPr>
                <w:rFonts w:ascii="Arial" w:cs="Arial" w:eastAsia="Arial" w:hAnsi="Arial"/>
                <w:sz w:val="18"/>
                <w:szCs w:val="18"/>
                <w:color w:val="auto"/>
              </w:rPr>
              <w:t xml:space="preserve"> D</w:t>
            </w:r>
            <w:r>
              <w:rPr>
                <w:rFonts w:ascii="Arial" w:cs="Arial" w:eastAsia="Arial" w:hAnsi="Arial"/>
                <w:sz w:val="12"/>
                <w:szCs w:val="12"/>
                <w:color w:val="auto"/>
              </w:rPr>
              <w:t>ates</w:t>
            </w:r>
          </w:p>
        </w:tc>
        <w:tc>
          <w:tcPr>
            <w:tcW w:w="6660" w:type="dxa"/>
            <w:vAlign w:val="bottom"/>
            <w:gridSpan w:val="2"/>
            <w:shd w:val="clear" w:color="auto" w:fill="CCEEFF"/>
          </w:tcPr>
          <w:p>
            <w:pPr>
              <w:jc w:val="center"/>
              <w:ind w:left="5590"/>
              <w:spacing w:after="0"/>
              <w:rPr>
                <w:sz w:val="20"/>
                <w:szCs w:val="20"/>
                <w:color w:val="auto"/>
              </w:rPr>
            </w:pPr>
            <w:r>
              <w:rPr>
                <w:rFonts w:ascii="Arial" w:cs="Arial" w:eastAsia="Arial" w:hAnsi="Arial"/>
                <w:sz w:val="18"/>
                <w:szCs w:val="18"/>
                <w:color w:val="auto"/>
                <w:w w:val="89"/>
              </w:rPr>
              <w:t>31</w:t>
            </w: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2.5</w:t>
            </w:r>
          </w:p>
        </w:tc>
        <w:tc>
          <w:tcPr>
            <w:tcW w:w="3940" w:type="dxa"/>
            <w:vAlign w:val="bottom"/>
          </w:tcPr>
          <w:p>
            <w:pPr>
              <w:ind w:left="160"/>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omputation of</w:t>
            </w:r>
            <w:r>
              <w:rPr>
                <w:rFonts w:ascii="Arial" w:cs="Arial" w:eastAsia="Arial" w:hAnsi="Arial"/>
                <w:sz w:val="18"/>
                <w:szCs w:val="18"/>
                <w:color w:val="auto"/>
              </w:rPr>
              <w:t xml:space="preserve"> I</w:t>
            </w:r>
            <w:r>
              <w:rPr>
                <w:rFonts w:ascii="Arial" w:cs="Arial" w:eastAsia="Arial" w:hAnsi="Arial"/>
                <w:sz w:val="12"/>
                <w:szCs w:val="12"/>
                <w:color w:val="auto"/>
              </w:rPr>
              <w:t>nterest and</w:t>
            </w:r>
            <w:r>
              <w:rPr>
                <w:rFonts w:ascii="Arial" w:cs="Arial" w:eastAsia="Arial" w:hAnsi="Arial"/>
                <w:sz w:val="18"/>
                <w:szCs w:val="18"/>
                <w:color w:val="auto"/>
              </w:rPr>
              <w:t xml:space="preserve"> F</w:t>
            </w:r>
            <w:r>
              <w:rPr>
                <w:rFonts w:ascii="Arial" w:cs="Arial" w:eastAsia="Arial" w:hAnsi="Arial"/>
                <w:sz w:val="12"/>
                <w:szCs w:val="12"/>
                <w:color w:val="auto"/>
              </w:rPr>
              <w:t>ees</w:t>
            </w:r>
          </w:p>
        </w:tc>
        <w:tc>
          <w:tcPr>
            <w:tcW w:w="6660" w:type="dxa"/>
            <w:vAlign w:val="bottom"/>
            <w:gridSpan w:val="2"/>
          </w:tcPr>
          <w:p>
            <w:pPr>
              <w:jc w:val="center"/>
              <w:ind w:left="5590"/>
              <w:spacing w:after="0"/>
              <w:rPr>
                <w:sz w:val="20"/>
                <w:szCs w:val="20"/>
                <w:color w:val="auto"/>
              </w:rPr>
            </w:pPr>
            <w:r>
              <w:rPr>
                <w:rFonts w:ascii="Arial" w:cs="Arial" w:eastAsia="Arial" w:hAnsi="Arial"/>
                <w:sz w:val="18"/>
                <w:szCs w:val="18"/>
                <w:color w:val="auto"/>
                <w:w w:val="89"/>
              </w:rPr>
              <w:t>32</w:t>
            </w:r>
          </w:p>
        </w:tc>
      </w:tr>
      <w:tr>
        <w:trPr>
          <w:trHeight w:val="216"/>
        </w:trPr>
        <w:tc>
          <w:tcPr>
            <w:tcW w:w="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2.6</w:t>
            </w:r>
          </w:p>
        </w:tc>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w:t>
            </w:r>
            <w:r>
              <w:rPr>
                <w:rFonts w:ascii="Arial" w:cs="Arial" w:eastAsia="Arial" w:hAnsi="Arial"/>
                <w:sz w:val="12"/>
                <w:szCs w:val="12"/>
                <w:color w:val="auto"/>
              </w:rPr>
              <w:t>ayments</w:t>
            </w:r>
          </w:p>
        </w:tc>
        <w:tc>
          <w:tcPr>
            <w:tcW w:w="6660" w:type="dxa"/>
            <w:vAlign w:val="bottom"/>
            <w:gridSpan w:val="2"/>
            <w:shd w:val="clear" w:color="auto" w:fill="CCEEFF"/>
          </w:tcPr>
          <w:p>
            <w:pPr>
              <w:jc w:val="center"/>
              <w:ind w:left="5590"/>
              <w:spacing w:after="0"/>
              <w:rPr>
                <w:sz w:val="20"/>
                <w:szCs w:val="20"/>
                <w:color w:val="auto"/>
              </w:rPr>
            </w:pPr>
            <w:r>
              <w:rPr>
                <w:rFonts w:ascii="Arial" w:cs="Arial" w:eastAsia="Arial" w:hAnsi="Arial"/>
                <w:sz w:val="18"/>
                <w:szCs w:val="18"/>
                <w:color w:val="auto"/>
                <w:w w:val="89"/>
              </w:rPr>
              <w:t>32</w:t>
            </w: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2.7</w:t>
            </w:r>
          </w:p>
        </w:tc>
        <w:tc>
          <w:tcPr>
            <w:tcW w:w="3940" w:type="dxa"/>
            <w:vAlign w:val="bottom"/>
          </w:tcPr>
          <w:p>
            <w:pPr>
              <w:ind w:left="160"/>
              <w:spacing w:after="0"/>
              <w:rPr>
                <w:sz w:val="20"/>
                <w:szCs w:val="20"/>
                <w:color w:val="auto"/>
              </w:rPr>
            </w:pPr>
            <w:r>
              <w:rPr>
                <w:rFonts w:ascii="Arial" w:cs="Arial" w:eastAsia="Arial" w:hAnsi="Arial"/>
                <w:sz w:val="18"/>
                <w:szCs w:val="18"/>
                <w:color w:val="auto"/>
              </w:rPr>
              <w:t>[R</w:t>
            </w:r>
            <w:r>
              <w:rPr>
                <w:rFonts w:ascii="Arial" w:cs="Arial" w:eastAsia="Arial" w:hAnsi="Arial"/>
                <w:sz w:val="12"/>
                <w:szCs w:val="12"/>
                <w:color w:val="auto"/>
              </w:rPr>
              <w:t>eserved</w:t>
            </w:r>
            <w:r>
              <w:rPr>
                <w:rFonts w:ascii="Arial" w:cs="Arial" w:eastAsia="Arial" w:hAnsi="Arial"/>
                <w:sz w:val="18"/>
                <w:szCs w:val="18"/>
                <w:color w:val="auto"/>
              </w:rPr>
              <w:t>]</w:t>
            </w:r>
          </w:p>
        </w:tc>
        <w:tc>
          <w:tcPr>
            <w:tcW w:w="6660" w:type="dxa"/>
            <w:vAlign w:val="bottom"/>
            <w:gridSpan w:val="2"/>
          </w:tcPr>
          <w:p>
            <w:pPr>
              <w:jc w:val="center"/>
              <w:ind w:left="5590"/>
              <w:spacing w:after="0"/>
              <w:rPr>
                <w:sz w:val="20"/>
                <w:szCs w:val="20"/>
                <w:color w:val="auto"/>
              </w:rPr>
            </w:pPr>
            <w:r>
              <w:rPr>
                <w:rFonts w:ascii="Arial" w:cs="Arial" w:eastAsia="Arial" w:hAnsi="Arial"/>
                <w:sz w:val="18"/>
                <w:szCs w:val="18"/>
                <w:color w:val="auto"/>
                <w:w w:val="89"/>
              </w:rPr>
              <w:t>34</w:t>
            </w:r>
          </w:p>
        </w:tc>
      </w:tr>
      <w:tr>
        <w:trPr>
          <w:trHeight w:val="216"/>
        </w:trPr>
        <w:tc>
          <w:tcPr>
            <w:tcW w:w="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2.8</w:t>
            </w:r>
          </w:p>
        </w:tc>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w:t>
            </w:r>
            <w:r>
              <w:rPr>
                <w:rFonts w:ascii="Arial" w:cs="Arial" w:eastAsia="Arial" w:hAnsi="Arial"/>
                <w:sz w:val="12"/>
                <w:szCs w:val="12"/>
                <w:color w:val="auto"/>
              </w:rPr>
              <w:t>axes</w:t>
            </w:r>
          </w:p>
        </w:tc>
        <w:tc>
          <w:tcPr>
            <w:tcW w:w="6660" w:type="dxa"/>
            <w:vAlign w:val="bottom"/>
            <w:gridSpan w:val="2"/>
            <w:shd w:val="clear" w:color="auto" w:fill="CCEEFF"/>
          </w:tcPr>
          <w:p>
            <w:pPr>
              <w:jc w:val="center"/>
              <w:ind w:left="5590"/>
              <w:spacing w:after="0"/>
              <w:rPr>
                <w:sz w:val="20"/>
                <w:szCs w:val="20"/>
                <w:color w:val="auto"/>
              </w:rPr>
            </w:pPr>
            <w:r>
              <w:rPr>
                <w:rFonts w:ascii="Arial" w:cs="Arial" w:eastAsia="Arial" w:hAnsi="Arial"/>
                <w:sz w:val="18"/>
                <w:szCs w:val="18"/>
                <w:color w:val="auto"/>
                <w:w w:val="89"/>
              </w:rPr>
              <w:t>34</w:t>
            </w: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2.9</w:t>
            </w:r>
          </w:p>
        </w:tc>
        <w:tc>
          <w:tcPr>
            <w:tcW w:w="3940" w:type="dxa"/>
            <w:vAlign w:val="bottom"/>
          </w:tcPr>
          <w:p>
            <w:pPr>
              <w:ind w:left="160"/>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ollections</w:t>
            </w:r>
          </w:p>
        </w:tc>
        <w:tc>
          <w:tcPr>
            <w:tcW w:w="6660" w:type="dxa"/>
            <w:vAlign w:val="bottom"/>
            <w:gridSpan w:val="2"/>
          </w:tcPr>
          <w:p>
            <w:pPr>
              <w:jc w:val="center"/>
              <w:ind w:left="5590"/>
              <w:spacing w:after="0"/>
              <w:rPr>
                <w:sz w:val="20"/>
                <w:szCs w:val="20"/>
                <w:color w:val="auto"/>
              </w:rPr>
            </w:pPr>
            <w:r>
              <w:rPr>
                <w:rFonts w:ascii="Arial" w:cs="Arial" w:eastAsia="Arial" w:hAnsi="Arial"/>
                <w:sz w:val="18"/>
                <w:szCs w:val="18"/>
                <w:color w:val="auto"/>
                <w:w w:val="89"/>
              </w:rPr>
              <w:t>38</w:t>
            </w:r>
          </w:p>
        </w:tc>
      </w:tr>
      <w:tr>
        <w:trPr>
          <w:trHeight w:val="216"/>
        </w:trPr>
        <w:tc>
          <w:tcPr>
            <w:tcW w:w="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2.10</w:t>
            </w:r>
          </w:p>
        </w:tc>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w:t>
            </w:r>
            <w:r>
              <w:rPr>
                <w:rFonts w:ascii="Arial" w:cs="Arial" w:eastAsia="Arial" w:hAnsi="Arial"/>
                <w:sz w:val="12"/>
                <w:szCs w:val="12"/>
                <w:color w:val="auto"/>
              </w:rPr>
              <w:t>ncreased</w:t>
            </w:r>
            <w:r>
              <w:rPr>
                <w:rFonts w:ascii="Arial" w:cs="Arial" w:eastAsia="Arial" w:hAnsi="Arial"/>
                <w:sz w:val="18"/>
                <w:szCs w:val="18"/>
                <w:color w:val="auto"/>
              </w:rPr>
              <w:t xml:space="preserve"> C</w:t>
            </w:r>
            <w:r>
              <w:rPr>
                <w:rFonts w:ascii="Arial" w:cs="Arial" w:eastAsia="Arial" w:hAnsi="Arial"/>
                <w:sz w:val="12"/>
                <w:szCs w:val="12"/>
                <w:color w:val="auto"/>
              </w:rPr>
              <w:t>osts</w:t>
            </w:r>
          </w:p>
        </w:tc>
        <w:tc>
          <w:tcPr>
            <w:tcW w:w="6660" w:type="dxa"/>
            <w:vAlign w:val="bottom"/>
            <w:gridSpan w:val="2"/>
            <w:shd w:val="clear" w:color="auto" w:fill="CCEEFF"/>
          </w:tcPr>
          <w:p>
            <w:pPr>
              <w:jc w:val="center"/>
              <w:ind w:left="5590"/>
              <w:spacing w:after="0"/>
              <w:rPr>
                <w:sz w:val="20"/>
                <w:szCs w:val="20"/>
                <w:color w:val="auto"/>
              </w:rPr>
            </w:pPr>
            <w:r>
              <w:rPr>
                <w:rFonts w:ascii="Arial" w:cs="Arial" w:eastAsia="Arial" w:hAnsi="Arial"/>
                <w:sz w:val="18"/>
                <w:szCs w:val="18"/>
                <w:color w:val="auto"/>
                <w:w w:val="89"/>
              </w:rPr>
              <w:t>38</w:t>
            </w: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2.11</w:t>
            </w:r>
          </w:p>
        </w:tc>
        <w:tc>
          <w:tcPr>
            <w:tcW w:w="3940" w:type="dxa"/>
            <w:vAlign w:val="bottom"/>
          </w:tcPr>
          <w:p>
            <w:pPr>
              <w:ind w:left="160"/>
              <w:spacing w:after="0"/>
              <w:rPr>
                <w:sz w:val="20"/>
                <w:szCs w:val="20"/>
                <w:color w:val="auto"/>
              </w:rPr>
            </w:pPr>
            <w:r>
              <w:rPr>
                <w:rFonts w:ascii="Arial" w:cs="Arial" w:eastAsia="Arial" w:hAnsi="Arial"/>
                <w:sz w:val="18"/>
                <w:szCs w:val="18"/>
                <w:color w:val="auto"/>
              </w:rPr>
              <w:t>M</w:t>
            </w:r>
            <w:r>
              <w:rPr>
                <w:rFonts w:ascii="Arial" w:cs="Arial" w:eastAsia="Arial" w:hAnsi="Arial"/>
                <w:sz w:val="12"/>
                <w:szCs w:val="12"/>
                <w:color w:val="auto"/>
              </w:rPr>
              <w:t>itigation</w:t>
            </w:r>
            <w:r>
              <w:rPr>
                <w:rFonts w:ascii="Arial" w:cs="Arial" w:eastAsia="Arial" w:hAnsi="Arial"/>
                <w:sz w:val="18"/>
                <w:szCs w:val="18"/>
                <w:color w:val="auto"/>
              </w:rPr>
              <w:t xml:space="preserve"> O</w:t>
            </w:r>
            <w:r>
              <w:rPr>
                <w:rFonts w:ascii="Arial" w:cs="Arial" w:eastAsia="Arial" w:hAnsi="Arial"/>
                <w:sz w:val="12"/>
                <w:szCs w:val="12"/>
                <w:color w:val="auto"/>
              </w:rPr>
              <w:t>bligations</w:t>
            </w:r>
          </w:p>
        </w:tc>
        <w:tc>
          <w:tcPr>
            <w:tcW w:w="6660" w:type="dxa"/>
            <w:vAlign w:val="bottom"/>
            <w:gridSpan w:val="2"/>
          </w:tcPr>
          <w:p>
            <w:pPr>
              <w:jc w:val="center"/>
              <w:ind w:left="5590"/>
              <w:spacing w:after="0"/>
              <w:rPr>
                <w:sz w:val="20"/>
                <w:szCs w:val="20"/>
                <w:color w:val="auto"/>
              </w:rPr>
            </w:pPr>
            <w:r>
              <w:rPr>
                <w:rFonts w:ascii="Arial" w:cs="Arial" w:eastAsia="Arial" w:hAnsi="Arial"/>
                <w:sz w:val="18"/>
                <w:szCs w:val="18"/>
                <w:color w:val="auto"/>
                <w:w w:val="89"/>
              </w:rPr>
              <w:t>39</w:t>
            </w:r>
          </w:p>
        </w:tc>
      </w:tr>
      <w:tr>
        <w:trPr>
          <w:trHeight w:val="216"/>
        </w:trPr>
        <w:tc>
          <w:tcPr>
            <w:tcW w:w="4580" w:type="dxa"/>
            <w:vAlign w:val="bottom"/>
            <w:gridSpan w:val="2"/>
            <w:shd w:val="clear" w:color="auto" w:fill="CCEEFF"/>
          </w:tcPr>
          <w:p>
            <w:pPr>
              <w:spacing w:after="0"/>
              <w:rPr>
                <w:sz w:val="18"/>
                <w:szCs w:val="18"/>
                <w:color w:val="auto"/>
              </w:rPr>
            </w:pPr>
          </w:p>
        </w:tc>
        <w:tc>
          <w:tcPr>
            <w:tcW w:w="56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SECTION 3 REPRESENTATIONS AND WARRANTIES</w:t>
            </w:r>
          </w:p>
        </w:tc>
        <w:tc>
          <w:tcPr>
            <w:tcW w:w="6660" w:type="dxa"/>
            <w:vAlign w:val="bottom"/>
            <w:gridSpan w:val="2"/>
          </w:tcPr>
          <w:p>
            <w:pPr>
              <w:jc w:val="center"/>
              <w:ind w:left="5590"/>
              <w:spacing w:after="0"/>
              <w:rPr>
                <w:sz w:val="20"/>
                <w:szCs w:val="20"/>
                <w:color w:val="auto"/>
              </w:rPr>
            </w:pPr>
            <w:r>
              <w:rPr>
                <w:rFonts w:ascii="Arial" w:cs="Arial" w:eastAsia="Arial" w:hAnsi="Arial"/>
                <w:sz w:val="18"/>
                <w:szCs w:val="18"/>
                <w:color w:val="auto"/>
                <w:w w:val="89"/>
              </w:rPr>
              <w:t>40</w:t>
            </w:r>
          </w:p>
        </w:tc>
      </w:tr>
      <w:tr>
        <w:trPr>
          <w:trHeight w:val="216"/>
        </w:trPr>
        <w:tc>
          <w:tcPr>
            <w:tcW w:w="64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56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3.1</w:t>
            </w:r>
          </w:p>
        </w:tc>
        <w:tc>
          <w:tcPr>
            <w:tcW w:w="3940" w:type="dxa"/>
            <w:vAlign w:val="bottom"/>
          </w:tcPr>
          <w:p>
            <w:pPr>
              <w:ind w:left="160"/>
              <w:spacing w:after="0"/>
              <w:rPr>
                <w:sz w:val="20"/>
                <w:szCs w:val="20"/>
                <w:color w:val="auto"/>
              </w:rPr>
            </w:pPr>
            <w:r>
              <w:rPr>
                <w:rFonts w:ascii="Arial" w:cs="Arial" w:eastAsia="Arial" w:hAnsi="Arial"/>
                <w:sz w:val="18"/>
                <w:szCs w:val="18"/>
                <w:color w:val="auto"/>
              </w:rPr>
              <w:t>F</w:t>
            </w:r>
            <w:r>
              <w:rPr>
                <w:rFonts w:ascii="Arial" w:cs="Arial" w:eastAsia="Arial" w:hAnsi="Arial"/>
                <w:sz w:val="12"/>
                <w:szCs w:val="12"/>
                <w:color w:val="auto"/>
              </w:rPr>
              <w:t>inancial</w:t>
            </w:r>
            <w:r>
              <w:rPr>
                <w:rFonts w:ascii="Arial" w:cs="Arial" w:eastAsia="Arial" w:hAnsi="Arial"/>
                <w:sz w:val="18"/>
                <w:szCs w:val="18"/>
                <w:color w:val="auto"/>
              </w:rPr>
              <w:t xml:space="preserve"> C</w:t>
            </w:r>
            <w:r>
              <w:rPr>
                <w:rFonts w:ascii="Arial" w:cs="Arial" w:eastAsia="Arial" w:hAnsi="Arial"/>
                <w:sz w:val="12"/>
                <w:szCs w:val="12"/>
                <w:color w:val="auto"/>
              </w:rPr>
              <w:t>ondition</w:t>
            </w:r>
          </w:p>
        </w:tc>
        <w:tc>
          <w:tcPr>
            <w:tcW w:w="6660" w:type="dxa"/>
            <w:vAlign w:val="bottom"/>
            <w:gridSpan w:val="2"/>
          </w:tcPr>
          <w:p>
            <w:pPr>
              <w:jc w:val="center"/>
              <w:ind w:left="5590"/>
              <w:spacing w:after="0"/>
              <w:rPr>
                <w:sz w:val="20"/>
                <w:szCs w:val="20"/>
                <w:color w:val="auto"/>
              </w:rPr>
            </w:pPr>
            <w:r>
              <w:rPr>
                <w:rFonts w:ascii="Arial" w:cs="Arial" w:eastAsia="Arial" w:hAnsi="Arial"/>
                <w:sz w:val="18"/>
                <w:szCs w:val="18"/>
                <w:color w:val="auto"/>
                <w:w w:val="89"/>
              </w:rPr>
              <w:t>40</w:t>
            </w:r>
          </w:p>
        </w:tc>
      </w:tr>
      <w:tr>
        <w:trPr>
          <w:trHeight w:val="216"/>
        </w:trPr>
        <w:tc>
          <w:tcPr>
            <w:tcW w:w="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3.2</w:t>
            </w:r>
          </w:p>
        </w:tc>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w:t>
            </w:r>
            <w:r>
              <w:rPr>
                <w:rFonts w:ascii="Arial" w:cs="Arial" w:eastAsia="Arial" w:hAnsi="Arial"/>
                <w:sz w:val="12"/>
                <w:szCs w:val="12"/>
                <w:color w:val="auto"/>
              </w:rPr>
              <w:t>o</w:t>
            </w:r>
            <w:r>
              <w:rPr>
                <w:rFonts w:ascii="Arial" w:cs="Arial" w:eastAsia="Arial" w:hAnsi="Arial"/>
                <w:sz w:val="18"/>
                <w:szCs w:val="18"/>
                <w:color w:val="auto"/>
              </w:rPr>
              <w:t xml:space="preserve"> C</w:t>
            </w:r>
            <w:r>
              <w:rPr>
                <w:rFonts w:ascii="Arial" w:cs="Arial" w:eastAsia="Arial" w:hAnsi="Arial"/>
                <w:sz w:val="12"/>
                <w:szCs w:val="12"/>
                <w:color w:val="auto"/>
              </w:rPr>
              <w:t>hange</w:t>
            </w:r>
          </w:p>
        </w:tc>
        <w:tc>
          <w:tcPr>
            <w:tcW w:w="6660" w:type="dxa"/>
            <w:vAlign w:val="bottom"/>
            <w:gridSpan w:val="2"/>
            <w:shd w:val="clear" w:color="auto" w:fill="CCEEFF"/>
          </w:tcPr>
          <w:p>
            <w:pPr>
              <w:jc w:val="center"/>
              <w:ind w:left="5590"/>
              <w:spacing w:after="0"/>
              <w:rPr>
                <w:sz w:val="20"/>
                <w:szCs w:val="20"/>
                <w:color w:val="auto"/>
              </w:rPr>
            </w:pPr>
            <w:r>
              <w:rPr>
                <w:rFonts w:ascii="Arial" w:cs="Arial" w:eastAsia="Arial" w:hAnsi="Arial"/>
                <w:sz w:val="18"/>
                <w:szCs w:val="18"/>
                <w:color w:val="auto"/>
                <w:w w:val="89"/>
              </w:rPr>
              <w:t>40</w:t>
            </w: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3.3</w:t>
            </w:r>
          </w:p>
        </w:tc>
        <w:tc>
          <w:tcPr>
            <w:tcW w:w="3940" w:type="dxa"/>
            <w:vAlign w:val="bottom"/>
          </w:tcPr>
          <w:p>
            <w:pPr>
              <w:ind w:left="160"/>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xistence</w:t>
            </w:r>
            <w:r>
              <w:rPr>
                <w:rFonts w:ascii="Arial" w:cs="Arial" w:eastAsia="Arial" w:hAnsi="Arial"/>
                <w:sz w:val="18"/>
                <w:szCs w:val="18"/>
                <w:color w:val="auto"/>
              </w:rPr>
              <w:t>; C</w:t>
            </w:r>
            <w:r>
              <w:rPr>
                <w:rFonts w:ascii="Arial" w:cs="Arial" w:eastAsia="Arial" w:hAnsi="Arial"/>
                <w:sz w:val="12"/>
                <w:szCs w:val="12"/>
                <w:color w:val="auto"/>
              </w:rPr>
              <w:t>ompliance with</w:t>
            </w:r>
            <w:r>
              <w:rPr>
                <w:rFonts w:ascii="Arial" w:cs="Arial" w:eastAsia="Arial" w:hAnsi="Arial"/>
                <w:sz w:val="18"/>
                <w:szCs w:val="18"/>
                <w:color w:val="auto"/>
              </w:rPr>
              <w:t xml:space="preserve"> L</w:t>
            </w:r>
            <w:r>
              <w:rPr>
                <w:rFonts w:ascii="Arial" w:cs="Arial" w:eastAsia="Arial" w:hAnsi="Arial"/>
                <w:sz w:val="12"/>
                <w:szCs w:val="12"/>
                <w:color w:val="auto"/>
              </w:rPr>
              <w:t>aw</w:t>
            </w:r>
          </w:p>
        </w:tc>
        <w:tc>
          <w:tcPr>
            <w:tcW w:w="6660" w:type="dxa"/>
            <w:vAlign w:val="bottom"/>
            <w:gridSpan w:val="2"/>
          </w:tcPr>
          <w:p>
            <w:pPr>
              <w:jc w:val="center"/>
              <w:ind w:left="5590"/>
              <w:spacing w:after="0"/>
              <w:rPr>
                <w:sz w:val="20"/>
                <w:szCs w:val="20"/>
                <w:color w:val="auto"/>
              </w:rPr>
            </w:pPr>
            <w:r>
              <w:rPr>
                <w:rFonts w:ascii="Arial" w:cs="Arial" w:eastAsia="Arial" w:hAnsi="Arial"/>
                <w:sz w:val="18"/>
                <w:szCs w:val="18"/>
                <w:color w:val="auto"/>
                <w:w w:val="89"/>
              </w:rPr>
              <w:t>40</w:t>
            </w:r>
          </w:p>
        </w:tc>
      </w:tr>
      <w:tr>
        <w:trPr>
          <w:trHeight w:val="216"/>
        </w:trPr>
        <w:tc>
          <w:tcPr>
            <w:tcW w:w="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3.4</w:t>
            </w:r>
          </w:p>
        </w:tc>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w:t>
            </w:r>
            <w:r>
              <w:rPr>
                <w:rFonts w:ascii="Arial" w:cs="Arial" w:eastAsia="Arial" w:hAnsi="Arial"/>
                <w:sz w:val="12"/>
                <w:szCs w:val="12"/>
                <w:color w:val="auto"/>
              </w:rPr>
              <w:t>ower</w:t>
            </w:r>
            <w:r>
              <w:rPr>
                <w:rFonts w:ascii="Arial" w:cs="Arial" w:eastAsia="Arial" w:hAnsi="Arial"/>
                <w:sz w:val="18"/>
                <w:szCs w:val="18"/>
                <w:color w:val="auto"/>
              </w:rPr>
              <w:t>, A</w:t>
            </w:r>
            <w:r>
              <w:rPr>
                <w:rFonts w:ascii="Arial" w:cs="Arial" w:eastAsia="Arial" w:hAnsi="Arial"/>
                <w:sz w:val="12"/>
                <w:szCs w:val="12"/>
                <w:color w:val="auto"/>
              </w:rPr>
              <w:t>uthorization</w:t>
            </w:r>
            <w:r>
              <w:rPr>
                <w:rFonts w:ascii="Arial" w:cs="Arial" w:eastAsia="Arial" w:hAnsi="Arial"/>
                <w:sz w:val="18"/>
                <w:szCs w:val="18"/>
                <w:color w:val="auto"/>
              </w:rPr>
              <w:t>; E</w:t>
            </w:r>
            <w:r>
              <w:rPr>
                <w:rFonts w:ascii="Arial" w:cs="Arial" w:eastAsia="Arial" w:hAnsi="Arial"/>
                <w:sz w:val="12"/>
                <w:szCs w:val="12"/>
                <w:color w:val="auto"/>
              </w:rPr>
              <w:t>nforceable</w:t>
            </w:r>
            <w:r>
              <w:rPr>
                <w:rFonts w:ascii="Arial" w:cs="Arial" w:eastAsia="Arial" w:hAnsi="Arial"/>
                <w:sz w:val="18"/>
                <w:szCs w:val="18"/>
                <w:color w:val="auto"/>
              </w:rPr>
              <w:t xml:space="preserve"> O</w:t>
            </w:r>
            <w:r>
              <w:rPr>
                <w:rFonts w:ascii="Arial" w:cs="Arial" w:eastAsia="Arial" w:hAnsi="Arial"/>
                <w:sz w:val="12"/>
                <w:szCs w:val="12"/>
                <w:color w:val="auto"/>
              </w:rPr>
              <w:t>bligations</w:t>
            </w:r>
          </w:p>
        </w:tc>
        <w:tc>
          <w:tcPr>
            <w:tcW w:w="6660" w:type="dxa"/>
            <w:vAlign w:val="bottom"/>
            <w:gridSpan w:val="2"/>
            <w:shd w:val="clear" w:color="auto" w:fill="CCEEFF"/>
          </w:tcPr>
          <w:p>
            <w:pPr>
              <w:jc w:val="center"/>
              <w:ind w:left="5590"/>
              <w:spacing w:after="0"/>
              <w:rPr>
                <w:sz w:val="20"/>
                <w:szCs w:val="20"/>
                <w:color w:val="auto"/>
              </w:rPr>
            </w:pPr>
            <w:r>
              <w:rPr>
                <w:rFonts w:ascii="Arial" w:cs="Arial" w:eastAsia="Arial" w:hAnsi="Arial"/>
                <w:sz w:val="18"/>
                <w:szCs w:val="18"/>
                <w:color w:val="auto"/>
                <w:w w:val="89"/>
              </w:rPr>
              <w:t>40</w:t>
            </w: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3.5</w:t>
            </w:r>
          </w:p>
        </w:tc>
        <w:tc>
          <w:tcPr>
            <w:tcW w:w="3940" w:type="dxa"/>
            <w:vAlign w:val="bottom"/>
          </w:tcPr>
          <w:p>
            <w:pPr>
              <w:ind w:left="160"/>
              <w:spacing w:after="0"/>
              <w:rPr>
                <w:sz w:val="20"/>
                <w:szCs w:val="20"/>
                <w:color w:val="auto"/>
              </w:rPr>
            </w:pPr>
            <w:r>
              <w:rPr>
                <w:rFonts w:ascii="Arial" w:cs="Arial" w:eastAsia="Arial" w:hAnsi="Arial"/>
                <w:sz w:val="18"/>
                <w:szCs w:val="18"/>
                <w:color w:val="auto"/>
              </w:rPr>
              <w:t>N</w:t>
            </w:r>
            <w:r>
              <w:rPr>
                <w:rFonts w:ascii="Arial" w:cs="Arial" w:eastAsia="Arial" w:hAnsi="Arial"/>
                <w:sz w:val="12"/>
                <w:szCs w:val="12"/>
                <w:color w:val="auto"/>
              </w:rPr>
              <w:t>o</w:t>
            </w:r>
            <w:r>
              <w:rPr>
                <w:rFonts w:ascii="Arial" w:cs="Arial" w:eastAsia="Arial" w:hAnsi="Arial"/>
                <w:sz w:val="18"/>
                <w:szCs w:val="18"/>
                <w:color w:val="auto"/>
              </w:rPr>
              <w:t xml:space="preserve"> L</w:t>
            </w:r>
            <w:r>
              <w:rPr>
                <w:rFonts w:ascii="Arial" w:cs="Arial" w:eastAsia="Arial" w:hAnsi="Arial"/>
                <w:sz w:val="12"/>
                <w:szCs w:val="12"/>
                <w:color w:val="auto"/>
              </w:rPr>
              <w:t>egal</w:t>
            </w:r>
            <w:r>
              <w:rPr>
                <w:rFonts w:ascii="Arial" w:cs="Arial" w:eastAsia="Arial" w:hAnsi="Arial"/>
                <w:sz w:val="18"/>
                <w:szCs w:val="18"/>
                <w:color w:val="auto"/>
              </w:rPr>
              <w:t xml:space="preserve"> B</w:t>
            </w:r>
            <w:r>
              <w:rPr>
                <w:rFonts w:ascii="Arial" w:cs="Arial" w:eastAsia="Arial" w:hAnsi="Arial"/>
                <w:sz w:val="12"/>
                <w:szCs w:val="12"/>
                <w:color w:val="auto"/>
              </w:rPr>
              <w:t>ar</w:t>
            </w:r>
          </w:p>
        </w:tc>
        <w:tc>
          <w:tcPr>
            <w:tcW w:w="6660" w:type="dxa"/>
            <w:vAlign w:val="bottom"/>
            <w:gridSpan w:val="2"/>
          </w:tcPr>
          <w:p>
            <w:pPr>
              <w:jc w:val="center"/>
              <w:ind w:left="5590"/>
              <w:spacing w:after="0"/>
              <w:rPr>
                <w:sz w:val="20"/>
                <w:szCs w:val="20"/>
                <w:color w:val="auto"/>
              </w:rPr>
            </w:pPr>
            <w:r>
              <w:rPr>
                <w:rFonts w:ascii="Arial" w:cs="Arial" w:eastAsia="Arial" w:hAnsi="Arial"/>
                <w:sz w:val="18"/>
                <w:szCs w:val="18"/>
                <w:color w:val="auto"/>
                <w:w w:val="89"/>
              </w:rPr>
              <w:t>40</w:t>
            </w:r>
          </w:p>
        </w:tc>
      </w:tr>
      <w:tr>
        <w:trPr>
          <w:trHeight w:val="216"/>
        </w:trPr>
        <w:tc>
          <w:tcPr>
            <w:tcW w:w="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3.6</w:t>
            </w:r>
          </w:p>
        </w:tc>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w:t>
            </w:r>
            <w:r>
              <w:rPr>
                <w:rFonts w:ascii="Arial" w:cs="Arial" w:eastAsia="Arial" w:hAnsi="Arial"/>
                <w:sz w:val="12"/>
                <w:szCs w:val="12"/>
                <w:color w:val="auto"/>
              </w:rPr>
              <w:t>itigation</w:t>
            </w:r>
          </w:p>
        </w:tc>
        <w:tc>
          <w:tcPr>
            <w:tcW w:w="6660" w:type="dxa"/>
            <w:vAlign w:val="bottom"/>
            <w:gridSpan w:val="2"/>
            <w:shd w:val="clear" w:color="auto" w:fill="CCEEFF"/>
          </w:tcPr>
          <w:p>
            <w:pPr>
              <w:jc w:val="center"/>
              <w:ind w:left="5590"/>
              <w:spacing w:after="0"/>
              <w:rPr>
                <w:sz w:val="20"/>
                <w:szCs w:val="20"/>
                <w:color w:val="auto"/>
              </w:rPr>
            </w:pPr>
            <w:r>
              <w:rPr>
                <w:rFonts w:ascii="Arial" w:cs="Arial" w:eastAsia="Arial" w:hAnsi="Arial"/>
                <w:sz w:val="18"/>
                <w:szCs w:val="18"/>
                <w:color w:val="auto"/>
                <w:w w:val="89"/>
              </w:rPr>
              <w:t>41</w:t>
            </w: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3.7</w:t>
            </w:r>
          </w:p>
        </w:tc>
        <w:tc>
          <w:tcPr>
            <w:tcW w:w="3940" w:type="dxa"/>
            <w:vAlign w:val="bottom"/>
          </w:tcPr>
          <w:p>
            <w:pPr>
              <w:ind w:left="160"/>
              <w:spacing w:after="0"/>
              <w:rPr>
                <w:sz w:val="20"/>
                <w:szCs w:val="20"/>
                <w:color w:val="auto"/>
              </w:rPr>
            </w:pPr>
            <w:r>
              <w:rPr>
                <w:rFonts w:ascii="Arial" w:cs="Arial" w:eastAsia="Arial" w:hAnsi="Arial"/>
                <w:sz w:val="18"/>
                <w:szCs w:val="18"/>
                <w:color w:val="auto"/>
              </w:rPr>
              <w:t>N</w:t>
            </w:r>
            <w:r>
              <w:rPr>
                <w:rFonts w:ascii="Arial" w:cs="Arial" w:eastAsia="Arial" w:hAnsi="Arial"/>
                <w:sz w:val="12"/>
                <w:szCs w:val="12"/>
                <w:color w:val="auto"/>
              </w:rPr>
              <w:t>o</w:t>
            </w:r>
            <w:r>
              <w:rPr>
                <w:rFonts w:ascii="Arial" w:cs="Arial" w:eastAsia="Arial" w:hAnsi="Arial"/>
                <w:sz w:val="18"/>
                <w:szCs w:val="18"/>
                <w:color w:val="auto"/>
              </w:rPr>
              <w:t xml:space="preserve"> D</w:t>
            </w:r>
            <w:r>
              <w:rPr>
                <w:rFonts w:ascii="Arial" w:cs="Arial" w:eastAsia="Arial" w:hAnsi="Arial"/>
                <w:sz w:val="12"/>
                <w:szCs w:val="12"/>
                <w:color w:val="auto"/>
              </w:rPr>
              <w:t>efault</w:t>
            </w:r>
          </w:p>
        </w:tc>
        <w:tc>
          <w:tcPr>
            <w:tcW w:w="6660" w:type="dxa"/>
            <w:vAlign w:val="bottom"/>
            <w:gridSpan w:val="2"/>
          </w:tcPr>
          <w:p>
            <w:pPr>
              <w:jc w:val="center"/>
              <w:ind w:left="5590"/>
              <w:spacing w:after="0"/>
              <w:rPr>
                <w:sz w:val="20"/>
                <w:szCs w:val="20"/>
                <w:color w:val="auto"/>
              </w:rPr>
            </w:pPr>
            <w:r>
              <w:rPr>
                <w:rFonts w:ascii="Arial" w:cs="Arial" w:eastAsia="Arial" w:hAnsi="Arial"/>
                <w:sz w:val="18"/>
                <w:szCs w:val="18"/>
                <w:color w:val="auto"/>
                <w:w w:val="89"/>
              </w:rPr>
              <w:t>41</w:t>
            </w:r>
          </w:p>
        </w:tc>
      </w:tr>
      <w:tr>
        <w:trPr>
          <w:trHeight w:val="216"/>
        </w:trPr>
        <w:tc>
          <w:tcPr>
            <w:tcW w:w="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3.8</w:t>
            </w:r>
          </w:p>
        </w:tc>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w:t>
            </w:r>
            <w:r>
              <w:rPr>
                <w:rFonts w:ascii="Arial" w:cs="Arial" w:eastAsia="Arial" w:hAnsi="Arial"/>
                <w:sz w:val="12"/>
                <w:szCs w:val="12"/>
                <w:color w:val="auto"/>
              </w:rPr>
              <w:t>axes</w:t>
            </w:r>
          </w:p>
        </w:tc>
        <w:tc>
          <w:tcPr>
            <w:tcW w:w="6660" w:type="dxa"/>
            <w:vAlign w:val="bottom"/>
            <w:gridSpan w:val="2"/>
            <w:shd w:val="clear" w:color="auto" w:fill="CCEEFF"/>
          </w:tcPr>
          <w:p>
            <w:pPr>
              <w:jc w:val="center"/>
              <w:ind w:left="5590"/>
              <w:spacing w:after="0"/>
              <w:rPr>
                <w:sz w:val="20"/>
                <w:szCs w:val="20"/>
                <w:color w:val="auto"/>
              </w:rPr>
            </w:pPr>
            <w:r>
              <w:rPr>
                <w:rFonts w:ascii="Arial" w:cs="Arial" w:eastAsia="Arial" w:hAnsi="Arial"/>
                <w:sz w:val="18"/>
                <w:szCs w:val="18"/>
                <w:color w:val="auto"/>
                <w:w w:val="89"/>
              </w:rPr>
              <w:t>41</w:t>
            </w: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3.9</w:t>
            </w:r>
          </w:p>
        </w:tc>
        <w:tc>
          <w:tcPr>
            <w:tcW w:w="3940" w:type="dxa"/>
            <w:vAlign w:val="bottom"/>
          </w:tcPr>
          <w:p>
            <w:pPr>
              <w:ind w:left="160"/>
              <w:spacing w:after="0"/>
              <w:rPr>
                <w:sz w:val="20"/>
                <w:szCs w:val="20"/>
                <w:color w:val="auto"/>
              </w:rPr>
            </w:pPr>
            <w:r>
              <w:rPr>
                <w:rFonts w:ascii="Arial" w:cs="Arial" w:eastAsia="Arial" w:hAnsi="Arial"/>
                <w:sz w:val="18"/>
                <w:szCs w:val="18"/>
                <w:color w:val="auto"/>
              </w:rPr>
              <w:t>M</w:t>
            </w:r>
            <w:r>
              <w:rPr>
                <w:rFonts w:ascii="Arial" w:cs="Arial" w:eastAsia="Arial" w:hAnsi="Arial"/>
                <w:sz w:val="12"/>
                <w:szCs w:val="12"/>
                <w:color w:val="auto"/>
              </w:rPr>
              <w:t>argin</w:t>
            </w:r>
            <w:r>
              <w:rPr>
                <w:rFonts w:ascii="Arial" w:cs="Arial" w:eastAsia="Arial" w:hAnsi="Arial"/>
                <w:sz w:val="18"/>
                <w:szCs w:val="18"/>
                <w:color w:val="auto"/>
              </w:rPr>
              <w:t xml:space="preserve"> S</w:t>
            </w:r>
            <w:r>
              <w:rPr>
                <w:rFonts w:ascii="Arial" w:cs="Arial" w:eastAsia="Arial" w:hAnsi="Arial"/>
                <w:sz w:val="12"/>
                <w:szCs w:val="12"/>
                <w:color w:val="auto"/>
              </w:rPr>
              <w:t>tock</w:t>
            </w:r>
          </w:p>
        </w:tc>
        <w:tc>
          <w:tcPr>
            <w:tcW w:w="6660" w:type="dxa"/>
            <w:vAlign w:val="bottom"/>
            <w:gridSpan w:val="2"/>
          </w:tcPr>
          <w:p>
            <w:pPr>
              <w:jc w:val="center"/>
              <w:ind w:left="5590"/>
              <w:spacing w:after="0"/>
              <w:rPr>
                <w:sz w:val="20"/>
                <w:szCs w:val="20"/>
                <w:color w:val="auto"/>
              </w:rPr>
            </w:pPr>
            <w:r>
              <w:rPr>
                <w:rFonts w:ascii="Arial" w:cs="Arial" w:eastAsia="Arial" w:hAnsi="Arial"/>
                <w:sz w:val="18"/>
                <w:szCs w:val="18"/>
                <w:color w:val="auto"/>
                <w:w w:val="89"/>
              </w:rPr>
              <w:t>41</w:t>
            </w:r>
          </w:p>
        </w:tc>
      </w:tr>
      <w:tr>
        <w:trPr>
          <w:trHeight w:val="216"/>
        </w:trPr>
        <w:tc>
          <w:tcPr>
            <w:tcW w:w="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3.10</w:t>
            </w:r>
          </w:p>
        </w:tc>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ERISA</w:t>
            </w:r>
          </w:p>
        </w:tc>
        <w:tc>
          <w:tcPr>
            <w:tcW w:w="6660" w:type="dxa"/>
            <w:vAlign w:val="bottom"/>
            <w:gridSpan w:val="2"/>
            <w:shd w:val="clear" w:color="auto" w:fill="CCEEFF"/>
          </w:tcPr>
          <w:p>
            <w:pPr>
              <w:jc w:val="center"/>
              <w:ind w:left="5590"/>
              <w:spacing w:after="0"/>
              <w:rPr>
                <w:sz w:val="20"/>
                <w:szCs w:val="20"/>
                <w:color w:val="auto"/>
              </w:rPr>
            </w:pPr>
            <w:r>
              <w:rPr>
                <w:rFonts w:ascii="Arial" w:cs="Arial" w:eastAsia="Arial" w:hAnsi="Arial"/>
                <w:sz w:val="18"/>
                <w:szCs w:val="18"/>
                <w:color w:val="auto"/>
                <w:w w:val="89"/>
              </w:rPr>
              <w:t>41</w:t>
            </w: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3.11</w:t>
            </w:r>
          </w:p>
        </w:tc>
        <w:tc>
          <w:tcPr>
            <w:tcW w:w="3940" w:type="dxa"/>
            <w:vAlign w:val="bottom"/>
          </w:tcPr>
          <w:p>
            <w:pPr>
              <w:ind w:left="160"/>
              <w:spacing w:after="0"/>
              <w:rPr>
                <w:sz w:val="20"/>
                <w:szCs w:val="20"/>
                <w:color w:val="auto"/>
              </w:rPr>
            </w:pPr>
            <w:r>
              <w:rPr>
                <w:rFonts w:ascii="Arial" w:cs="Arial" w:eastAsia="Arial" w:hAnsi="Arial"/>
                <w:sz w:val="18"/>
                <w:szCs w:val="18"/>
                <w:color w:val="auto"/>
              </w:rPr>
              <w:t>I</w:t>
            </w:r>
            <w:r>
              <w:rPr>
                <w:rFonts w:ascii="Arial" w:cs="Arial" w:eastAsia="Arial" w:hAnsi="Arial"/>
                <w:sz w:val="12"/>
                <w:szCs w:val="12"/>
                <w:color w:val="auto"/>
              </w:rPr>
              <w:t>nvestment</w:t>
            </w:r>
            <w:r>
              <w:rPr>
                <w:rFonts w:ascii="Arial" w:cs="Arial" w:eastAsia="Arial" w:hAnsi="Arial"/>
                <w:sz w:val="18"/>
                <w:szCs w:val="18"/>
                <w:color w:val="auto"/>
              </w:rPr>
              <w:t xml:space="preserve"> C</w:t>
            </w:r>
            <w:r>
              <w:rPr>
                <w:rFonts w:ascii="Arial" w:cs="Arial" w:eastAsia="Arial" w:hAnsi="Arial"/>
                <w:sz w:val="12"/>
                <w:szCs w:val="12"/>
                <w:color w:val="auto"/>
              </w:rPr>
              <w:t>ompany</w:t>
            </w:r>
            <w:r>
              <w:rPr>
                <w:rFonts w:ascii="Arial" w:cs="Arial" w:eastAsia="Arial" w:hAnsi="Arial"/>
                <w:sz w:val="18"/>
                <w:szCs w:val="18"/>
                <w:color w:val="auto"/>
              </w:rPr>
              <w:t xml:space="preserve"> A</w:t>
            </w:r>
            <w:r>
              <w:rPr>
                <w:rFonts w:ascii="Arial" w:cs="Arial" w:eastAsia="Arial" w:hAnsi="Arial"/>
                <w:sz w:val="12"/>
                <w:szCs w:val="12"/>
                <w:color w:val="auto"/>
              </w:rPr>
              <w:t>ct</w:t>
            </w:r>
          </w:p>
        </w:tc>
        <w:tc>
          <w:tcPr>
            <w:tcW w:w="6660" w:type="dxa"/>
            <w:vAlign w:val="bottom"/>
            <w:gridSpan w:val="2"/>
          </w:tcPr>
          <w:p>
            <w:pPr>
              <w:jc w:val="center"/>
              <w:ind w:left="5590"/>
              <w:spacing w:after="0"/>
              <w:rPr>
                <w:sz w:val="20"/>
                <w:szCs w:val="20"/>
                <w:color w:val="auto"/>
              </w:rPr>
            </w:pPr>
            <w:r>
              <w:rPr>
                <w:rFonts w:ascii="Arial" w:cs="Arial" w:eastAsia="Arial" w:hAnsi="Arial"/>
                <w:sz w:val="18"/>
                <w:szCs w:val="18"/>
                <w:color w:val="auto"/>
                <w:w w:val="89"/>
              </w:rPr>
              <w:t>42</w:t>
            </w:r>
          </w:p>
        </w:tc>
      </w:tr>
      <w:tr>
        <w:trPr>
          <w:trHeight w:val="216"/>
        </w:trPr>
        <w:tc>
          <w:tcPr>
            <w:tcW w:w="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3.12</w:t>
            </w:r>
          </w:p>
        </w:tc>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w:t>
            </w:r>
            <w:r>
              <w:rPr>
                <w:rFonts w:ascii="Arial" w:cs="Arial" w:eastAsia="Arial" w:hAnsi="Arial"/>
                <w:sz w:val="12"/>
                <w:szCs w:val="12"/>
                <w:color w:val="auto"/>
              </w:rPr>
              <w:t>se of</w:t>
            </w:r>
            <w:r>
              <w:rPr>
                <w:rFonts w:ascii="Arial" w:cs="Arial" w:eastAsia="Arial" w:hAnsi="Arial"/>
                <w:sz w:val="18"/>
                <w:szCs w:val="18"/>
                <w:color w:val="auto"/>
              </w:rPr>
              <w:t xml:space="preserve"> P</w:t>
            </w:r>
            <w:r>
              <w:rPr>
                <w:rFonts w:ascii="Arial" w:cs="Arial" w:eastAsia="Arial" w:hAnsi="Arial"/>
                <w:sz w:val="12"/>
                <w:szCs w:val="12"/>
                <w:color w:val="auto"/>
              </w:rPr>
              <w:t>roceeds</w:t>
            </w:r>
          </w:p>
        </w:tc>
        <w:tc>
          <w:tcPr>
            <w:tcW w:w="6660" w:type="dxa"/>
            <w:vAlign w:val="bottom"/>
            <w:gridSpan w:val="2"/>
            <w:shd w:val="clear" w:color="auto" w:fill="CCEEFF"/>
          </w:tcPr>
          <w:p>
            <w:pPr>
              <w:jc w:val="center"/>
              <w:ind w:left="5590"/>
              <w:spacing w:after="0"/>
              <w:rPr>
                <w:sz w:val="20"/>
                <w:szCs w:val="20"/>
                <w:color w:val="auto"/>
              </w:rPr>
            </w:pPr>
            <w:r>
              <w:rPr>
                <w:rFonts w:ascii="Arial" w:cs="Arial" w:eastAsia="Arial" w:hAnsi="Arial"/>
                <w:sz w:val="18"/>
                <w:szCs w:val="18"/>
                <w:color w:val="auto"/>
                <w:w w:val="89"/>
              </w:rPr>
              <w:t>42</w:t>
            </w: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3.13</w:t>
            </w:r>
          </w:p>
        </w:tc>
        <w:tc>
          <w:tcPr>
            <w:tcW w:w="3940" w:type="dxa"/>
            <w:vAlign w:val="bottom"/>
          </w:tcPr>
          <w:p>
            <w:pPr>
              <w:ind w:left="160"/>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nvironmental</w:t>
            </w:r>
            <w:r>
              <w:rPr>
                <w:rFonts w:ascii="Arial" w:cs="Arial" w:eastAsia="Arial" w:hAnsi="Arial"/>
                <w:sz w:val="18"/>
                <w:szCs w:val="18"/>
                <w:color w:val="auto"/>
              </w:rPr>
              <w:t xml:space="preserve"> M</w:t>
            </w:r>
            <w:r>
              <w:rPr>
                <w:rFonts w:ascii="Arial" w:cs="Arial" w:eastAsia="Arial" w:hAnsi="Arial"/>
                <w:sz w:val="12"/>
                <w:szCs w:val="12"/>
                <w:color w:val="auto"/>
              </w:rPr>
              <w:t>atters</w:t>
            </w:r>
          </w:p>
        </w:tc>
        <w:tc>
          <w:tcPr>
            <w:tcW w:w="6660" w:type="dxa"/>
            <w:vAlign w:val="bottom"/>
            <w:gridSpan w:val="2"/>
          </w:tcPr>
          <w:p>
            <w:pPr>
              <w:jc w:val="center"/>
              <w:ind w:left="5590"/>
              <w:spacing w:after="0"/>
              <w:rPr>
                <w:sz w:val="20"/>
                <w:szCs w:val="20"/>
                <w:color w:val="auto"/>
              </w:rPr>
            </w:pPr>
            <w:r>
              <w:rPr>
                <w:rFonts w:ascii="Arial" w:cs="Arial" w:eastAsia="Arial" w:hAnsi="Arial"/>
                <w:sz w:val="18"/>
                <w:szCs w:val="18"/>
                <w:color w:val="auto"/>
                <w:w w:val="89"/>
              </w:rPr>
              <w:t>42</w:t>
            </w:r>
          </w:p>
        </w:tc>
      </w:tr>
      <w:tr>
        <w:trPr>
          <w:trHeight w:val="216"/>
        </w:trPr>
        <w:tc>
          <w:tcPr>
            <w:tcW w:w="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3.14</w:t>
            </w:r>
          </w:p>
        </w:tc>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ccuracy of</w:t>
            </w:r>
            <w:r>
              <w:rPr>
                <w:rFonts w:ascii="Arial" w:cs="Arial" w:eastAsia="Arial" w:hAnsi="Arial"/>
                <w:sz w:val="18"/>
                <w:szCs w:val="18"/>
                <w:color w:val="auto"/>
              </w:rPr>
              <w:t xml:space="preserve"> I</w:t>
            </w:r>
            <w:r>
              <w:rPr>
                <w:rFonts w:ascii="Arial" w:cs="Arial" w:eastAsia="Arial" w:hAnsi="Arial"/>
                <w:sz w:val="12"/>
                <w:szCs w:val="12"/>
                <w:color w:val="auto"/>
              </w:rPr>
              <w:t>nformation</w:t>
            </w:r>
            <w:r>
              <w:rPr>
                <w:rFonts w:ascii="Arial" w:cs="Arial" w:eastAsia="Arial" w:hAnsi="Arial"/>
                <w:sz w:val="18"/>
                <w:szCs w:val="18"/>
                <w:color w:val="auto"/>
              </w:rPr>
              <w:t xml:space="preserve">, </w:t>
            </w:r>
            <w:r>
              <w:rPr>
                <w:rFonts w:ascii="Arial" w:cs="Arial" w:eastAsia="Arial" w:hAnsi="Arial"/>
                <w:sz w:val="12"/>
                <w:szCs w:val="12"/>
                <w:color w:val="auto"/>
              </w:rPr>
              <w:t>etc</w:t>
            </w:r>
            <w:r>
              <w:rPr>
                <w:rFonts w:ascii="Arial" w:cs="Arial" w:eastAsia="Arial" w:hAnsi="Arial"/>
                <w:sz w:val="18"/>
                <w:szCs w:val="18"/>
                <w:color w:val="auto"/>
              </w:rPr>
              <w:t>.</w:t>
            </w:r>
          </w:p>
        </w:tc>
        <w:tc>
          <w:tcPr>
            <w:tcW w:w="6660" w:type="dxa"/>
            <w:vAlign w:val="bottom"/>
            <w:gridSpan w:val="2"/>
            <w:shd w:val="clear" w:color="auto" w:fill="CCEEFF"/>
          </w:tcPr>
          <w:p>
            <w:pPr>
              <w:jc w:val="center"/>
              <w:ind w:left="5590"/>
              <w:spacing w:after="0"/>
              <w:rPr>
                <w:sz w:val="20"/>
                <w:szCs w:val="20"/>
                <w:color w:val="auto"/>
              </w:rPr>
            </w:pPr>
            <w:r>
              <w:rPr>
                <w:rFonts w:ascii="Arial" w:cs="Arial" w:eastAsia="Arial" w:hAnsi="Arial"/>
                <w:sz w:val="18"/>
                <w:szCs w:val="18"/>
                <w:color w:val="auto"/>
                <w:w w:val="89"/>
              </w:rPr>
              <w:t>42</w:t>
            </w: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3.15</w:t>
            </w:r>
          </w:p>
        </w:tc>
        <w:tc>
          <w:tcPr>
            <w:tcW w:w="3940" w:type="dxa"/>
            <w:vAlign w:val="bottom"/>
          </w:tcPr>
          <w:p>
            <w:pPr>
              <w:ind w:left="16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ecurity</w:t>
            </w:r>
            <w:r>
              <w:rPr>
                <w:rFonts w:ascii="Arial" w:cs="Arial" w:eastAsia="Arial" w:hAnsi="Arial"/>
                <w:sz w:val="18"/>
                <w:szCs w:val="18"/>
                <w:color w:val="auto"/>
              </w:rPr>
              <w:t xml:space="preserve"> D</w:t>
            </w:r>
            <w:r>
              <w:rPr>
                <w:rFonts w:ascii="Arial" w:cs="Arial" w:eastAsia="Arial" w:hAnsi="Arial"/>
                <w:sz w:val="12"/>
                <w:szCs w:val="12"/>
                <w:color w:val="auto"/>
              </w:rPr>
              <w:t>ocuments</w:t>
            </w:r>
          </w:p>
        </w:tc>
        <w:tc>
          <w:tcPr>
            <w:tcW w:w="6660" w:type="dxa"/>
            <w:vAlign w:val="bottom"/>
            <w:gridSpan w:val="2"/>
          </w:tcPr>
          <w:p>
            <w:pPr>
              <w:jc w:val="center"/>
              <w:ind w:left="5590"/>
              <w:spacing w:after="0"/>
              <w:rPr>
                <w:sz w:val="20"/>
                <w:szCs w:val="20"/>
                <w:color w:val="auto"/>
              </w:rPr>
            </w:pPr>
            <w:r>
              <w:rPr>
                <w:rFonts w:ascii="Arial" w:cs="Arial" w:eastAsia="Arial" w:hAnsi="Arial"/>
                <w:sz w:val="18"/>
                <w:szCs w:val="18"/>
                <w:color w:val="auto"/>
                <w:w w:val="89"/>
              </w:rPr>
              <w:t>42</w:t>
            </w:r>
          </w:p>
        </w:tc>
      </w:tr>
      <w:tr>
        <w:trPr>
          <w:trHeight w:val="216"/>
        </w:trPr>
        <w:tc>
          <w:tcPr>
            <w:tcW w:w="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3.16</w:t>
            </w:r>
          </w:p>
        </w:tc>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olvency</w:t>
            </w:r>
          </w:p>
        </w:tc>
        <w:tc>
          <w:tcPr>
            <w:tcW w:w="6660" w:type="dxa"/>
            <w:vAlign w:val="bottom"/>
            <w:gridSpan w:val="2"/>
            <w:shd w:val="clear" w:color="auto" w:fill="CCEEFF"/>
          </w:tcPr>
          <w:p>
            <w:pPr>
              <w:jc w:val="center"/>
              <w:ind w:left="5590"/>
              <w:spacing w:after="0"/>
              <w:rPr>
                <w:sz w:val="20"/>
                <w:szCs w:val="20"/>
                <w:color w:val="auto"/>
              </w:rPr>
            </w:pPr>
            <w:r>
              <w:rPr>
                <w:rFonts w:ascii="Arial" w:cs="Arial" w:eastAsia="Arial" w:hAnsi="Arial"/>
                <w:sz w:val="18"/>
                <w:szCs w:val="18"/>
                <w:color w:val="auto"/>
                <w:w w:val="89"/>
              </w:rPr>
              <w:t>43</w:t>
            </w: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3.17</w:t>
            </w:r>
          </w:p>
        </w:tc>
        <w:tc>
          <w:tcPr>
            <w:tcW w:w="3940" w:type="dxa"/>
            <w:vAlign w:val="bottom"/>
          </w:tcPr>
          <w:p>
            <w:pPr>
              <w:ind w:left="160"/>
              <w:spacing w:after="0"/>
              <w:rPr>
                <w:sz w:val="20"/>
                <w:szCs w:val="20"/>
                <w:color w:val="auto"/>
              </w:rPr>
            </w:pPr>
            <w:r>
              <w:rPr>
                <w:rFonts w:ascii="Arial" w:cs="Arial" w:eastAsia="Arial" w:hAnsi="Arial"/>
                <w:sz w:val="18"/>
                <w:szCs w:val="18"/>
                <w:color w:val="auto"/>
              </w:rPr>
              <w:t>I</w:t>
            </w:r>
            <w:r>
              <w:rPr>
                <w:rFonts w:ascii="Arial" w:cs="Arial" w:eastAsia="Arial" w:hAnsi="Arial"/>
                <w:sz w:val="12"/>
                <w:szCs w:val="12"/>
                <w:color w:val="auto"/>
              </w:rPr>
              <w:t>nsurance</w:t>
            </w:r>
          </w:p>
        </w:tc>
        <w:tc>
          <w:tcPr>
            <w:tcW w:w="6660" w:type="dxa"/>
            <w:vAlign w:val="bottom"/>
            <w:gridSpan w:val="2"/>
          </w:tcPr>
          <w:p>
            <w:pPr>
              <w:jc w:val="center"/>
              <w:ind w:left="5590"/>
              <w:spacing w:after="0"/>
              <w:rPr>
                <w:sz w:val="20"/>
                <w:szCs w:val="20"/>
                <w:color w:val="auto"/>
              </w:rPr>
            </w:pPr>
            <w:r>
              <w:rPr>
                <w:rFonts w:ascii="Arial" w:cs="Arial" w:eastAsia="Arial" w:hAnsi="Arial"/>
                <w:sz w:val="18"/>
                <w:szCs w:val="18"/>
                <w:color w:val="auto"/>
                <w:w w:val="89"/>
              </w:rPr>
              <w:t>43</w:t>
            </w:r>
          </w:p>
        </w:tc>
      </w:tr>
      <w:tr>
        <w:trPr>
          <w:trHeight w:val="216"/>
        </w:trPr>
        <w:tc>
          <w:tcPr>
            <w:tcW w:w="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3.18</w:t>
            </w:r>
          </w:p>
        </w:tc>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w:t>
            </w:r>
            <w:r>
              <w:rPr>
                <w:rFonts w:ascii="Arial" w:cs="Arial" w:eastAsia="Arial" w:hAnsi="Arial"/>
                <w:sz w:val="12"/>
                <w:szCs w:val="12"/>
                <w:color w:val="auto"/>
              </w:rPr>
              <w:t>itle</w:t>
            </w:r>
          </w:p>
        </w:tc>
        <w:tc>
          <w:tcPr>
            <w:tcW w:w="6660" w:type="dxa"/>
            <w:vAlign w:val="bottom"/>
            <w:gridSpan w:val="2"/>
            <w:shd w:val="clear" w:color="auto" w:fill="CCEEFF"/>
          </w:tcPr>
          <w:p>
            <w:pPr>
              <w:jc w:val="center"/>
              <w:ind w:left="5590"/>
              <w:spacing w:after="0"/>
              <w:rPr>
                <w:sz w:val="20"/>
                <w:szCs w:val="20"/>
                <w:color w:val="auto"/>
              </w:rPr>
            </w:pPr>
            <w:r>
              <w:rPr>
                <w:rFonts w:ascii="Arial" w:cs="Arial" w:eastAsia="Arial" w:hAnsi="Arial"/>
                <w:sz w:val="18"/>
                <w:szCs w:val="18"/>
                <w:color w:val="auto"/>
                <w:w w:val="89"/>
              </w:rPr>
              <w:t>43</w:t>
            </w: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3.19</w:t>
            </w:r>
          </w:p>
        </w:tc>
        <w:tc>
          <w:tcPr>
            <w:tcW w:w="3940" w:type="dxa"/>
            <w:vAlign w:val="bottom"/>
          </w:tcPr>
          <w:p>
            <w:pPr>
              <w:ind w:left="16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ubsidiaries</w:t>
            </w:r>
          </w:p>
        </w:tc>
        <w:tc>
          <w:tcPr>
            <w:tcW w:w="6660" w:type="dxa"/>
            <w:vAlign w:val="bottom"/>
            <w:gridSpan w:val="2"/>
          </w:tcPr>
          <w:p>
            <w:pPr>
              <w:jc w:val="center"/>
              <w:ind w:left="5590"/>
              <w:spacing w:after="0"/>
              <w:rPr>
                <w:sz w:val="20"/>
                <w:szCs w:val="20"/>
                <w:color w:val="auto"/>
              </w:rPr>
            </w:pPr>
            <w:r>
              <w:rPr>
                <w:rFonts w:ascii="Arial" w:cs="Arial" w:eastAsia="Arial" w:hAnsi="Arial"/>
                <w:sz w:val="18"/>
                <w:szCs w:val="18"/>
                <w:color w:val="auto"/>
                <w:w w:val="89"/>
              </w:rPr>
              <w:t>43</w:t>
            </w:r>
          </w:p>
        </w:tc>
      </w:tr>
      <w:tr>
        <w:trPr>
          <w:trHeight w:val="216"/>
        </w:trPr>
        <w:tc>
          <w:tcPr>
            <w:tcW w:w="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3.20</w:t>
            </w:r>
          </w:p>
        </w:tc>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mployees</w:t>
            </w:r>
          </w:p>
        </w:tc>
        <w:tc>
          <w:tcPr>
            <w:tcW w:w="6660" w:type="dxa"/>
            <w:vAlign w:val="bottom"/>
            <w:gridSpan w:val="2"/>
            <w:shd w:val="clear" w:color="auto" w:fill="CCEEFF"/>
          </w:tcPr>
          <w:p>
            <w:pPr>
              <w:jc w:val="center"/>
              <w:ind w:left="5590"/>
              <w:spacing w:after="0"/>
              <w:rPr>
                <w:sz w:val="20"/>
                <w:szCs w:val="20"/>
                <w:color w:val="auto"/>
              </w:rPr>
            </w:pPr>
            <w:r>
              <w:rPr>
                <w:rFonts w:ascii="Arial" w:cs="Arial" w:eastAsia="Arial" w:hAnsi="Arial"/>
                <w:sz w:val="18"/>
                <w:szCs w:val="18"/>
                <w:color w:val="auto"/>
                <w:w w:val="89"/>
              </w:rPr>
              <w:t>43</w:t>
            </w: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3.21</w:t>
            </w:r>
          </w:p>
        </w:tc>
        <w:tc>
          <w:tcPr>
            <w:tcW w:w="3940" w:type="dxa"/>
            <w:vAlign w:val="bottom"/>
          </w:tcPr>
          <w:p>
            <w:pPr>
              <w:ind w:left="160"/>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ollateral</w:t>
            </w:r>
          </w:p>
        </w:tc>
        <w:tc>
          <w:tcPr>
            <w:tcW w:w="6660" w:type="dxa"/>
            <w:vAlign w:val="bottom"/>
            <w:gridSpan w:val="2"/>
          </w:tcPr>
          <w:p>
            <w:pPr>
              <w:jc w:val="center"/>
              <w:ind w:left="5590"/>
              <w:spacing w:after="0"/>
              <w:rPr>
                <w:sz w:val="20"/>
                <w:szCs w:val="20"/>
                <w:color w:val="auto"/>
              </w:rPr>
            </w:pPr>
            <w:r>
              <w:rPr>
                <w:rFonts w:ascii="Arial" w:cs="Arial" w:eastAsia="Arial" w:hAnsi="Arial"/>
                <w:sz w:val="18"/>
                <w:szCs w:val="18"/>
                <w:color w:val="auto"/>
                <w:w w:val="89"/>
              </w:rPr>
              <w:t>43</w:t>
            </w:r>
          </w:p>
        </w:tc>
      </w:tr>
      <w:tr>
        <w:trPr>
          <w:trHeight w:val="216"/>
        </w:trPr>
        <w:tc>
          <w:tcPr>
            <w:tcW w:w="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3.22</w:t>
            </w:r>
          </w:p>
        </w:tc>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w:t>
            </w:r>
            <w:r>
              <w:rPr>
                <w:rFonts w:ascii="Arial" w:cs="Arial" w:eastAsia="Arial" w:hAnsi="Arial"/>
                <w:sz w:val="12"/>
                <w:szCs w:val="12"/>
                <w:color w:val="auto"/>
              </w:rPr>
              <w:t>ntellectual</w:t>
            </w:r>
            <w:r>
              <w:rPr>
                <w:rFonts w:ascii="Arial" w:cs="Arial" w:eastAsia="Arial" w:hAnsi="Arial"/>
                <w:sz w:val="18"/>
                <w:szCs w:val="18"/>
                <w:color w:val="auto"/>
              </w:rPr>
              <w:t xml:space="preserve"> P</w:t>
            </w:r>
            <w:r>
              <w:rPr>
                <w:rFonts w:ascii="Arial" w:cs="Arial" w:eastAsia="Arial" w:hAnsi="Arial"/>
                <w:sz w:val="12"/>
                <w:szCs w:val="12"/>
                <w:color w:val="auto"/>
              </w:rPr>
              <w:t>roperty</w:t>
            </w:r>
          </w:p>
        </w:tc>
        <w:tc>
          <w:tcPr>
            <w:tcW w:w="6660" w:type="dxa"/>
            <w:vAlign w:val="bottom"/>
            <w:gridSpan w:val="2"/>
            <w:shd w:val="clear" w:color="auto" w:fill="CCEEFF"/>
          </w:tcPr>
          <w:p>
            <w:pPr>
              <w:jc w:val="center"/>
              <w:ind w:left="5590"/>
              <w:spacing w:after="0"/>
              <w:rPr>
                <w:sz w:val="20"/>
                <w:szCs w:val="20"/>
                <w:color w:val="auto"/>
              </w:rPr>
            </w:pPr>
            <w:r>
              <w:rPr>
                <w:rFonts w:ascii="Arial" w:cs="Arial" w:eastAsia="Arial" w:hAnsi="Arial"/>
                <w:sz w:val="18"/>
                <w:szCs w:val="18"/>
                <w:color w:val="auto"/>
                <w:w w:val="89"/>
              </w:rPr>
              <w:t>44</w:t>
            </w: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3.23</w:t>
            </w:r>
          </w:p>
        </w:tc>
        <w:tc>
          <w:tcPr>
            <w:tcW w:w="3940" w:type="dxa"/>
            <w:vAlign w:val="bottom"/>
          </w:tcPr>
          <w:p>
            <w:pPr>
              <w:ind w:left="160"/>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apitalization</w:t>
            </w:r>
          </w:p>
        </w:tc>
        <w:tc>
          <w:tcPr>
            <w:tcW w:w="6660" w:type="dxa"/>
            <w:vAlign w:val="bottom"/>
            <w:gridSpan w:val="2"/>
          </w:tcPr>
          <w:p>
            <w:pPr>
              <w:jc w:val="center"/>
              <w:ind w:left="5590"/>
              <w:spacing w:after="0"/>
              <w:rPr>
                <w:sz w:val="20"/>
                <w:szCs w:val="20"/>
                <w:color w:val="auto"/>
              </w:rPr>
            </w:pPr>
            <w:r>
              <w:rPr>
                <w:rFonts w:ascii="Arial" w:cs="Arial" w:eastAsia="Arial" w:hAnsi="Arial"/>
                <w:sz w:val="18"/>
                <w:szCs w:val="18"/>
                <w:color w:val="auto"/>
                <w:w w:val="89"/>
              </w:rPr>
              <w:t>44</w:t>
            </w:r>
          </w:p>
        </w:tc>
      </w:tr>
      <w:tr>
        <w:trPr>
          <w:trHeight w:val="216"/>
        </w:trPr>
        <w:tc>
          <w:tcPr>
            <w:tcW w:w="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3.24</w:t>
            </w:r>
          </w:p>
        </w:tc>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w:t>
            </w:r>
            <w:r>
              <w:rPr>
                <w:rFonts w:ascii="Arial" w:cs="Arial" w:eastAsia="Arial" w:hAnsi="Arial"/>
                <w:sz w:val="12"/>
                <w:szCs w:val="12"/>
                <w:color w:val="auto"/>
              </w:rPr>
              <w:t>ransactions with</w:t>
            </w:r>
            <w:r>
              <w:rPr>
                <w:rFonts w:ascii="Arial" w:cs="Arial" w:eastAsia="Arial" w:hAnsi="Arial"/>
                <w:sz w:val="18"/>
                <w:szCs w:val="18"/>
                <w:color w:val="auto"/>
              </w:rPr>
              <w:t xml:space="preserve"> A</w:t>
            </w:r>
            <w:r>
              <w:rPr>
                <w:rFonts w:ascii="Arial" w:cs="Arial" w:eastAsia="Arial" w:hAnsi="Arial"/>
                <w:sz w:val="12"/>
                <w:szCs w:val="12"/>
                <w:color w:val="auto"/>
              </w:rPr>
              <w:t>ffiliates</w:t>
            </w:r>
          </w:p>
        </w:tc>
        <w:tc>
          <w:tcPr>
            <w:tcW w:w="6660" w:type="dxa"/>
            <w:vAlign w:val="bottom"/>
            <w:gridSpan w:val="2"/>
            <w:shd w:val="clear" w:color="auto" w:fill="CCEEFF"/>
          </w:tcPr>
          <w:p>
            <w:pPr>
              <w:jc w:val="center"/>
              <w:ind w:left="5590"/>
              <w:spacing w:after="0"/>
              <w:rPr>
                <w:sz w:val="20"/>
                <w:szCs w:val="20"/>
                <w:color w:val="auto"/>
              </w:rPr>
            </w:pPr>
            <w:r>
              <w:rPr>
                <w:rFonts w:ascii="Arial" w:cs="Arial" w:eastAsia="Arial" w:hAnsi="Arial"/>
                <w:sz w:val="18"/>
                <w:szCs w:val="18"/>
                <w:color w:val="auto"/>
                <w:w w:val="89"/>
              </w:rPr>
              <w:t>44</w:t>
            </w:r>
          </w:p>
        </w:tc>
      </w:tr>
      <w:tr>
        <w:trPr>
          <w:trHeight w:val="230"/>
        </w:trPr>
        <w:tc>
          <w:tcPr>
            <w:tcW w:w="640" w:type="dxa"/>
            <w:vAlign w:val="bottom"/>
          </w:tcPr>
          <w:p>
            <w:pPr>
              <w:ind w:left="180"/>
              <w:spacing w:after="0"/>
              <w:rPr>
                <w:sz w:val="20"/>
                <w:szCs w:val="20"/>
                <w:color w:val="auto"/>
              </w:rPr>
            </w:pPr>
            <w:r>
              <w:rPr>
                <w:rFonts w:ascii="Arial" w:cs="Arial" w:eastAsia="Arial" w:hAnsi="Arial"/>
                <w:sz w:val="18"/>
                <w:szCs w:val="18"/>
                <w:color w:val="auto"/>
              </w:rPr>
              <w:t>3.25</w:t>
            </w:r>
          </w:p>
        </w:tc>
        <w:tc>
          <w:tcPr>
            <w:tcW w:w="3940" w:type="dxa"/>
            <w:vAlign w:val="bottom"/>
          </w:tcPr>
          <w:p>
            <w:pPr>
              <w:ind w:left="160"/>
              <w:spacing w:after="0"/>
              <w:rPr>
                <w:sz w:val="20"/>
                <w:szCs w:val="20"/>
                <w:color w:val="auto"/>
              </w:rPr>
            </w:pPr>
            <w:r>
              <w:rPr>
                <w:rFonts w:ascii="Arial" w:cs="Arial" w:eastAsia="Arial" w:hAnsi="Arial"/>
                <w:sz w:val="18"/>
                <w:szCs w:val="18"/>
                <w:color w:val="auto"/>
              </w:rPr>
              <w:t>N</w:t>
            </w:r>
            <w:r>
              <w:rPr>
                <w:rFonts w:ascii="Arial" w:cs="Arial" w:eastAsia="Arial" w:hAnsi="Arial"/>
                <w:sz w:val="12"/>
                <w:szCs w:val="12"/>
                <w:color w:val="auto"/>
              </w:rPr>
              <w:t>o</w:t>
            </w:r>
            <w:r>
              <w:rPr>
                <w:rFonts w:ascii="Arial" w:cs="Arial" w:eastAsia="Arial" w:hAnsi="Arial"/>
                <w:sz w:val="18"/>
                <w:szCs w:val="18"/>
                <w:color w:val="auto"/>
              </w:rPr>
              <w:t xml:space="preserve"> B</w:t>
            </w:r>
            <w:r>
              <w:rPr>
                <w:rFonts w:ascii="Arial" w:cs="Arial" w:eastAsia="Arial" w:hAnsi="Arial"/>
                <w:sz w:val="12"/>
                <w:szCs w:val="12"/>
                <w:color w:val="auto"/>
              </w:rPr>
              <w:t>urdensome</w:t>
            </w:r>
            <w:r>
              <w:rPr>
                <w:rFonts w:ascii="Arial" w:cs="Arial" w:eastAsia="Arial" w:hAnsi="Arial"/>
                <w:sz w:val="18"/>
                <w:szCs w:val="18"/>
                <w:color w:val="auto"/>
              </w:rPr>
              <w:t xml:space="preserve"> R</w:t>
            </w:r>
            <w:r>
              <w:rPr>
                <w:rFonts w:ascii="Arial" w:cs="Arial" w:eastAsia="Arial" w:hAnsi="Arial"/>
                <w:sz w:val="12"/>
                <w:szCs w:val="12"/>
                <w:color w:val="auto"/>
              </w:rPr>
              <w:t>estrictions</w:t>
            </w:r>
          </w:p>
        </w:tc>
        <w:tc>
          <w:tcPr>
            <w:tcW w:w="6660" w:type="dxa"/>
            <w:vAlign w:val="bottom"/>
            <w:gridSpan w:val="2"/>
          </w:tcPr>
          <w:p>
            <w:pPr>
              <w:jc w:val="center"/>
              <w:ind w:left="5590"/>
              <w:spacing w:after="0"/>
              <w:rPr>
                <w:sz w:val="20"/>
                <w:szCs w:val="20"/>
                <w:color w:val="auto"/>
              </w:rPr>
            </w:pPr>
            <w:r>
              <w:rPr>
                <w:rFonts w:ascii="Arial" w:cs="Arial" w:eastAsia="Arial" w:hAnsi="Arial"/>
                <w:sz w:val="18"/>
                <w:szCs w:val="18"/>
                <w:color w:val="auto"/>
                <w:w w:val="89"/>
              </w:rPr>
              <w:t>44</w:t>
            </w:r>
          </w:p>
        </w:tc>
      </w:tr>
      <w:tr>
        <w:trPr>
          <w:trHeight w:val="641"/>
        </w:trPr>
        <w:tc>
          <w:tcPr>
            <w:tcW w:w="4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Presto Credit Agreement</w:t>
            </w:r>
          </w:p>
        </w:tc>
        <w:tc>
          <w:tcPr>
            <w:tcW w:w="6660" w:type="dxa"/>
            <w:vAlign w:val="bottom"/>
            <w:tcBorders>
              <w:bottom w:val="single" w:sz="8" w:color="auto"/>
            </w:tcBorders>
            <w:gridSpan w:val="2"/>
          </w:tcPr>
          <w:p>
            <w:pPr>
              <w:jc w:val="center"/>
              <w:ind w:right="4430"/>
              <w:spacing w:after="0"/>
              <w:rPr>
                <w:sz w:val="20"/>
                <w:szCs w:val="20"/>
                <w:color w:val="auto"/>
              </w:rPr>
            </w:pPr>
            <w:r>
              <w:rPr>
                <w:rFonts w:ascii="Arial" w:cs="Arial" w:eastAsia="Arial" w:hAnsi="Arial"/>
                <w:sz w:val="18"/>
                <w:szCs w:val="18"/>
                <w:color w:val="auto"/>
              </w:rPr>
              <w:t>i</w:t>
            </w:r>
          </w:p>
        </w:tc>
      </w:tr>
    </w:tbl>
    <w:p>
      <w:pPr>
        <w:sectPr>
          <w:pgSz w:w="11900" w:h="16838" w:orient="portrait"/>
          <w:cols w:equalWidth="0" w:num="1">
            <w:col w:w="11240"/>
          </w:cols>
          <w:pgMar w:left="320" w:top="904" w:right="339" w:bottom="1440" w:gutter="0" w:footer="0" w:header="0"/>
        </w:sectPr>
      </w:pPr>
    </w:p>
    <w:bookmarkStart w:id="74" w:name="page75"/>
    <w:bookmarkEnd w:id="7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3.26</w:t>
            </w:r>
          </w:p>
        </w:tc>
        <w:tc>
          <w:tcPr>
            <w:tcW w:w="4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w:t>
            </w:r>
            <w:r>
              <w:rPr>
                <w:rFonts w:ascii="Arial" w:cs="Arial" w:eastAsia="Arial" w:hAnsi="Arial"/>
                <w:sz w:val="12"/>
                <w:szCs w:val="12"/>
                <w:color w:val="auto"/>
              </w:rPr>
              <w:t>atriot</w:t>
            </w:r>
            <w:r>
              <w:rPr>
                <w:rFonts w:ascii="Arial" w:cs="Arial" w:eastAsia="Arial" w:hAnsi="Arial"/>
                <w:sz w:val="18"/>
                <w:szCs w:val="18"/>
                <w:color w:val="auto"/>
              </w:rPr>
              <w:t xml:space="preserve"> A</w:t>
            </w:r>
            <w:r>
              <w:rPr>
                <w:rFonts w:ascii="Arial" w:cs="Arial" w:eastAsia="Arial" w:hAnsi="Arial"/>
                <w:sz w:val="12"/>
                <w:szCs w:val="12"/>
                <w:color w:val="auto"/>
              </w:rPr>
              <w:t>ct</w:t>
            </w:r>
          </w:p>
        </w:tc>
        <w:tc>
          <w:tcPr>
            <w:tcW w:w="46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44</w:t>
            </w: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3.27</w:t>
            </w:r>
          </w:p>
        </w:tc>
        <w:tc>
          <w:tcPr>
            <w:tcW w:w="4960" w:type="dxa"/>
            <w:vAlign w:val="bottom"/>
          </w:tcPr>
          <w:p>
            <w:pPr>
              <w:ind w:left="160"/>
              <w:spacing w:after="0"/>
              <w:rPr>
                <w:sz w:val="20"/>
                <w:szCs w:val="20"/>
                <w:color w:val="auto"/>
              </w:rPr>
            </w:pPr>
            <w:r>
              <w:rPr>
                <w:rFonts w:ascii="Arial" w:cs="Arial" w:eastAsia="Arial" w:hAnsi="Arial"/>
                <w:sz w:val="18"/>
                <w:szCs w:val="18"/>
                <w:color w:val="auto"/>
              </w:rPr>
              <w:t>F</w:t>
            </w:r>
            <w:r>
              <w:rPr>
                <w:rFonts w:ascii="Arial" w:cs="Arial" w:eastAsia="Arial" w:hAnsi="Arial"/>
                <w:sz w:val="12"/>
                <w:szCs w:val="12"/>
                <w:color w:val="auto"/>
              </w:rPr>
              <w:t>oreign</w:t>
            </w:r>
            <w:r>
              <w:rPr>
                <w:rFonts w:ascii="Arial" w:cs="Arial" w:eastAsia="Arial" w:hAnsi="Arial"/>
                <w:sz w:val="18"/>
                <w:szCs w:val="18"/>
                <w:color w:val="auto"/>
              </w:rPr>
              <w:t xml:space="preserve"> A</w:t>
            </w:r>
            <w:r>
              <w:rPr>
                <w:rFonts w:ascii="Arial" w:cs="Arial" w:eastAsia="Arial" w:hAnsi="Arial"/>
                <w:sz w:val="12"/>
                <w:szCs w:val="12"/>
                <w:color w:val="auto"/>
              </w:rPr>
              <w:t>ssets</w:t>
            </w:r>
            <w:r>
              <w:rPr>
                <w:rFonts w:ascii="Arial" w:cs="Arial" w:eastAsia="Arial" w:hAnsi="Arial"/>
                <w:sz w:val="18"/>
                <w:szCs w:val="18"/>
                <w:color w:val="auto"/>
              </w:rPr>
              <w:t xml:space="preserve"> C</w:t>
            </w:r>
            <w:r>
              <w:rPr>
                <w:rFonts w:ascii="Arial" w:cs="Arial" w:eastAsia="Arial" w:hAnsi="Arial"/>
                <w:sz w:val="12"/>
                <w:szCs w:val="12"/>
                <w:color w:val="auto"/>
              </w:rPr>
              <w:t>ontrol</w:t>
            </w:r>
            <w:r>
              <w:rPr>
                <w:rFonts w:ascii="Arial" w:cs="Arial" w:eastAsia="Arial" w:hAnsi="Arial"/>
                <w:sz w:val="18"/>
                <w:szCs w:val="18"/>
                <w:color w:val="auto"/>
              </w:rPr>
              <w:t xml:space="preserve"> R</w:t>
            </w:r>
            <w:r>
              <w:rPr>
                <w:rFonts w:ascii="Arial" w:cs="Arial" w:eastAsia="Arial" w:hAnsi="Arial"/>
                <w:sz w:val="12"/>
                <w:szCs w:val="12"/>
                <w:color w:val="auto"/>
              </w:rPr>
              <w:t>egulations and</w:t>
            </w:r>
            <w:r>
              <w:rPr>
                <w:rFonts w:ascii="Arial" w:cs="Arial" w:eastAsia="Arial" w:hAnsi="Arial"/>
                <w:sz w:val="18"/>
                <w:szCs w:val="18"/>
                <w:color w:val="auto"/>
              </w:rPr>
              <w:t xml:space="preserve"> A</w:t>
            </w:r>
            <w:r>
              <w:rPr>
                <w:rFonts w:ascii="Arial" w:cs="Arial" w:eastAsia="Arial" w:hAnsi="Arial"/>
                <w:sz w:val="12"/>
                <w:szCs w:val="12"/>
                <w:color w:val="auto"/>
              </w:rPr>
              <w:t>nti</w:t>
            </w:r>
            <w:r>
              <w:rPr>
                <w:rFonts w:ascii="Arial" w:cs="Arial" w:eastAsia="Arial" w:hAnsi="Arial"/>
                <w:sz w:val="18"/>
                <w:szCs w:val="18"/>
                <w:color w:val="auto"/>
              </w:rPr>
              <w:t>-M</w:t>
            </w:r>
            <w:r>
              <w:rPr>
                <w:rFonts w:ascii="Arial" w:cs="Arial" w:eastAsia="Arial" w:hAnsi="Arial"/>
                <w:sz w:val="12"/>
                <w:szCs w:val="12"/>
                <w:color w:val="auto"/>
              </w:rPr>
              <w:t>oney</w:t>
            </w:r>
            <w:r>
              <w:rPr>
                <w:rFonts w:ascii="Arial" w:cs="Arial" w:eastAsia="Arial" w:hAnsi="Arial"/>
                <w:sz w:val="18"/>
                <w:szCs w:val="18"/>
                <w:color w:val="auto"/>
              </w:rPr>
              <w:t xml:space="preserve"> L</w:t>
            </w:r>
            <w:r>
              <w:rPr>
                <w:rFonts w:ascii="Arial" w:cs="Arial" w:eastAsia="Arial" w:hAnsi="Arial"/>
                <w:sz w:val="12"/>
                <w:szCs w:val="12"/>
                <w:color w:val="auto"/>
              </w:rPr>
              <w:t>aundering</w:t>
            </w:r>
          </w:p>
        </w:tc>
        <w:tc>
          <w:tcPr>
            <w:tcW w:w="4600" w:type="dxa"/>
            <w:vAlign w:val="bottom"/>
          </w:tcPr>
          <w:p>
            <w:pPr>
              <w:spacing w:after="0"/>
              <w:rPr>
                <w:sz w:val="18"/>
                <w:szCs w:val="18"/>
                <w:color w:val="auto"/>
              </w:rPr>
            </w:pPr>
          </w:p>
        </w:tc>
        <w:tc>
          <w:tcPr>
            <w:tcW w:w="1040" w:type="dxa"/>
            <w:vAlign w:val="bottom"/>
          </w:tcPr>
          <w:p>
            <w:pPr>
              <w:jc w:val="right"/>
              <w:ind w:right="310"/>
              <w:spacing w:after="0"/>
              <w:rPr>
                <w:sz w:val="20"/>
                <w:szCs w:val="20"/>
                <w:color w:val="auto"/>
              </w:rPr>
            </w:pPr>
            <w:r>
              <w:rPr>
                <w:rFonts w:ascii="Arial" w:cs="Arial" w:eastAsia="Arial" w:hAnsi="Arial"/>
                <w:sz w:val="18"/>
                <w:szCs w:val="18"/>
                <w:color w:val="auto"/>
              </w:rPr>
              <w:t>45</w:t>
            </w:r>
          </w:p>
        </w:tc>
      </w:tr>
      <w:tr>
        <w:trPr>
          <w:trHeight w:val="216"/>
        </w:trPr>
        <w:tc>
          <w:tcPr>
            <w:tcW w:w="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3.28</w:t>
            </w:r>
          </w:p>
        </w:tc>
        <w:tc>
          <w:tcPr>
            <w:tcW w:w="4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w:t>
            </w:r>
            <w:r>
              <w:rPr>
                <w:rFonts w:ascii="Arial" w:cs="Arial" w:eastAsia="Arial" w:hAnsi="Arial"/>
                <w:sz w:val="12"/>
                <w:szCs w:val="12"/>
                <w:color w:val="auto"/>
              </w:rPr>
              <w:t>arent</w:t>
            </w:r>
          </w:p>
        </w:tc>
        <w:tc>
          <w:tcPr>
            <w:tcW w:w="46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45</w:t>
            </w: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3.29</w:t>
            </w:r>
          </w:p>
        </w:tc>
        <w:tc>
          <w:tcPr>
            <w:tcW w:w="4960" w:type="dxa"/>
            <w:vAlign w:val="bottom"/>
          </w:tcPr>
          <w:p>
            <w:pPr>
              <w:ind w:left="160"/>
              <w:spacing w:after="0"/>
              <w:rPr>
                <w:sz w:val="20"/>
                <w:szCs w:val="20"/>
                <w:color w:val="auto"/>
              </w:rPr>
            </w:pPr>
            <w:r>
              <w:rPr>
                <w:rFonts w:ascii="Arial" w:cs="Arial" w:eastAsia="Arial" w:hAnsi="Arial"/>
                <w:sz w:val="18"/>
                <w:szCs w:val="18"/>
                <w:color w:val="auto"/>
              </w:rPr>
              <w:t>PPP L</w:t>
            </w:r>
            <w:r>
              <w:rPr>
                <w:rFonts w:ascii="Arial" w:cs="Arial" w:eastAsia="Arial" w:hAnsi="Arial"/>
                <w:sz w:val="12"/>
                <w:szCs w:val="12"/>
                <w:color w:val="auto"/>
              </w:rPr>
              <w:t>oans</w:t>
            </w:r>
          </w:p>
        </w:tc>
        <w:tc>
          <w:tcPr>
            <w:tcW w:w="4600" w:type="dxa"/>
            <w:vAlign w:val="bottom"/>
          </w:tcPr>
          <w:p>
            <w:pPr>
              <w:spacing w:after="0"/>
              <w:rPr>
                <w:sz w:val="18"/>
                <w:szCs w:val="18"/>
                <w:color w:val="auto"/>
              </w:rPr>
            </w:pPr>
          </w:p>
        </w:tc>
        <w:tc>
          <w:tcPr>
            <w:tcW w:w="1040" w:type="dxa"/>
            <w:vAlign w:val="bottom"/>
          </w:tcPr>
          <w:p>
            <w:pPr>
              <w:jc w:val="right"/>
              <w:ind w:right="310"/>
              <w:spacing w:after="0"/>
              <w:rPr>
                <w:sz w:val="20"/>
                <w:szCs w:val="20"/>
                <w:color w:val="auto"/>
              </w:rPr>
            </w:pPr>
            <w:r>
              <w:rPr>
                <w:rFonts w:ascii="Arial" w:cs="Arial" w:eastAsia="Arial" w:hAnsi="Arial"/>
                <w:sz w:val="18"/>
                <w:szCs w:val="18"/>
                <w:color w:val="auto"/>
              </w:rPr>
              <w:t>45</w:t>
            </w:r>
          </w:p>
        </w:tc>
      </w:tr>
      <w:tr>
        <w:trPr>
          <w:trHeight w:val="216"/>
        </w:trPr>
        <w:tc>
          <w:tcPr>
            <w:tcW w:w="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3.30</w:t>
            </w:r>
          </w:p>
        </w:tc>
        <w:tc>
          <w:tcPr>
            <w:tcW w:w="4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SPAC T</w:t>
            </w:r>
            <w:r>
              <w:rPr>
                <w:rFonts w:ascii="Arial" w:cs="Arial" w:eastAsia="Arial" w:hAnsi="Arial"/>
                <w:sz w:val="12"/>
                <w:szCs w:val="12"/>
                <w:color w:val="auto"/>
              </w:rPr>
              <w:t>ransaction</w:t>
            </w:r>
          </w:p>
        </w:tc>
        <w:tc>
          <w:tcPr>
            <w:tcW w:w="46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45</w:t>
            </w:r>
          </w:p>
        </w:tc>
      </w:tr>
      <w:tr>
        <w:trPr>
          <w:trHeight w:val="216"/>
        </w:trPr>
        <w:tc>
          <w:tcPr>
            <w:tcW w:w="5600" w:type="dxa"/>
            <w:vAlign w:val="bottom"/>
            <w:gridSpan w:val="2"/>
          </w:tcPr>
          <w:p>
            <w:pPr>
              <w:spacing w:after="0"/>
              <w:rPr>
                <w:sz w:val="18"/>
                <w:szCs w:val="18"/>
                <w:color w:val="auto"/>
              </w:rPr>
            </w:pPr>
          </w:p>
        </w:tc>
        <w:tc>
          <w:tcPr>
            <w:tcW w:w="46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4 CONDITIONS PRECEDENT</w:t>
            </w:r>
          </w:p>
        </w:tc>
        <w:tc>
          <w:tcPr>
            <w:tcW w:w="46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46</w:t>
            </w:r>
          </w:p>
        </w:tc>
      </w:tr>
      <w:tr>
        <w:trPr>
          <w:trHeight w:val="216"/>
        </w:trPr>
        <w:tc>
          <w:tcPr>
            <w:tcW w:w="64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4.1</w:t>
            </w:r>
          </w:p>
        </w:tc>
        <w:tc>
          <w:tcPr>
            <w:tcW w:w="4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onditions to</w:t>
            </w:r>
            <w:r>
              <w:rPr>
                <w:rFonts w:ascii="Arial" w:cs="Arial" w:eastAsia="Arial" w:hAnsi="Arial"/>
                <w:sz w:val="18"/>
                <w:szCs w:val="18"/>
                <w:color w:val="auto"/>
              </w:rPr>
              <w:t xml:space="preserve"> C</w:t>
            </w:r>
            <w:r>
              <w:rPr>
                <w:rFonts w:ascii="Arial" w:cs="Arial" w:eastAsia="Arial" w:hAnsi="Arial"/>
                <w:sz w:val="12"/>
                <w:szCs w:val="12"/>
                <w:color w:val="auto"/>
              </w:rPr>
              <w:t>losing</w:t>
            </w:r>
          </w:p>
        </w:tc>
        <w:tc>
          <w:tcPr>
            <w:tcW w:w="46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46</w:t>
            </w:r>
          </w:p>
        </w:tc>
      </w:tr>
      <w:tr>
        <w:trPr>
          <w:trHeight w:val="216"/>
        </w:trPr>
        <w:tc>
          <w:tcPr>
            <w:tcW w:w="5600" w:type="dxa"/>
            <w:vAlign w:val="bottom"/>
            <w:gridSpan w:val="2"/>
          </w:tcPr>
          <w:p>
            <w:pPr>
              <w:spacing w:after="0"/>
              <w:rPr>
                <w:sz w:val="18"/>
                <w:szCs w:val="18"/>
                <w:color w:val="auto"/>
              </w:rPr>
            </w:pPr>
          </w:p>
        </w:tc>
        <w:tc>
          <w:tcPr>
            <w:tcW w:w="46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5 AFFIRMATIVE COVENANTS</w:t>
            </w:r>
          </w:p>
        </w:tc>
        <w:tc>
          <w:tcPr>
            <w:tcW w:w="46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50</w:t>
            </w:r>
          </w:p>
        </w:tc>
      </w:tr>
      <w:tr>
        <w:trPr>
          <w:trHeight w:val="216"/>
        </w:trPr>
        <w:tc>
          <w:tcPr>
            <w:tcW w:w="64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5.1</w:t>
            </w:r>
          </w:p>
        </w:tc>
        <w:tc>
          <w:tcPr>
            <w:tcW w:w="4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w:t>
            </w:r>
            <w:r>
              <w:rPr>
                <w:rFonts w:ascii="Arial" w:cs="Arial" w:eastAsia="Arial" w:hAnsi="Arial"/>
                <w:sz w:val="12"/>
                <w:szCs w:val="12"/>
                <w:color w:val="auto"/>
              </w:rPr>
              <w:t>inancial</w:t>
            </w:r>
            <w:r>
              <w:rPr>
                <w:rFonts w:ascii="Arial" w:cs="Arial" w:eastAsia="Arial" w:hAnsi="Arial"/>
                <w:sz w:val="18"/>
                <w:szCs w:val="18"/>
                <w:color w:val="auto"/>
              </w:rPr>
              <w:t xml:space="preserve"> S</w:t>
            </w:r>
            <w:r>
              <w:rPr>
                <w:rFonts w:ascii="Arial" w:cs="Arial" w:eastAsia="Arial" w:hAnsi="Arial"/>
                <w:sz w:val="12"/>
                <w:szCs w:val="12"/>
                <w:color w:val="auto"/>
              </w:rPr>
              <w:t>tatements</w:t>
            </w:r>
          </w:p>
        </w:tc>
        <w:tc>
          <w:tcPr>
            <w:tcW w:w="46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50</w:t>
            </w: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5.2</w:t>
            </w:r>
          </w:p>
        </w:tc>
        <w:tc>
          <w:tcPr>
            <w:tcW w:w="4960" w:type="dxa"/>
            <w:vAlign w:val="bottom"/>
          </w:tcPr>
          <w:p>
            <w:pPr>
              <w:ind w:left="160"/>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ertificates</w:t>
            </w:r>
            <w:r>
              <w:rPr>
                <w:rFonts w:ascii="Arial" w:cs="Arial" w:eastAsia="Arial" w:hAnsi="Arial"/>
                <w:sz w:val="18"/>
                <w:szCs w:val="18"/>
                <w:color w:val="auto"/>
              </w:rPr>
              <w:t>; R</w:t>
            </w:r>
            <w:r>
              <w:rPr>
                <w:rFonts w:ascii="Arial" w:cs="Arial" w:eastAsia="Arial" w:hAnsi="Arial"/>
                <w:sz w:val="12"/>
                <w:szCs w:val="12"/>
                <w:color w:val="auto"/>
              </w:rPr>
              <w:t>eports</w:t>
            </w:r>
            <w:r>
              <w:rPr>
                <w:rFonts w:ascii="Arial" w:cs="Arial" w:eastAsia="Arial" w:hAnsi="Arial"/>
                <w:sz w:val="18"/>
                <w:szCs w:val="18"/>
                <w:color w:val="auto"/>
              </w:rPr>
              <w:t>; O</w:t>
            </w:r>
            <w:r>
              <w:rPr>
                <w:rFonts w:ascii="Arial" w:cs="Arial" w:eastAsia="Arial" w:hAnsi="Arial"/>
                <w:sz w:val="12"/>
                <w:szCs w:val="12"/>
                <w:color w:val="auto"/>
              </w:rPr>
              <w:t>ther</w:t>
            </w:r>
            <w:r>
              <w:rPr>
                <w:rFonts w:ascii="Arial" w:cs="Arial" w:eastAsia="Arial" w:hAnsi="Arial"/>
                <w:sz w:val="18"/>
                <w:szCs w:val="18"/>
                <w:color w:val="auto"/>
              </w:rPr>
              <w:t xml:space="preserve"> I</w:t>
            </w:r>
            <w:r>
              <w:rPr>
                <w:rFonts w:ascii="Arial" w:cs="Arial" w:eastAsia="Arial" w:hAnsi="Arial"/>
                <w:sz w:val="12"/>
                <w:szCs w:val="12"/>
                <w:color w:val="auto"/>
              </w:rPr>
              <w:t>nformation</w:t>
            </w:r>
          </w:p>
        </w:tc>
        <w:tc>
          <w:tcPr>
            <w:tcW w:w="4600" w:type="dxa"/>
            <w:vAlign w:val="bottom"/>
          </w:tcPr>
          <w:p>
            <w:pPr>
              <w:spacing w:after="0"/>
              <w:rPr>
                <w:sz w:val="18"/>
                <w:szCs w:val="18"/>
                <w:color w:val="auto"/>
              </w:rPr>
            </w:pPr>
          </w:p>
        </w:tc>
        <w:tc>
          <w:tcPr>
            <w:tcW w:w="1040" w:type="dxa"/>
            <w:vAlign w:val="bottom"/>
          </w:tcPr>
          <w:p>
            <w:pPr>
              <w:jc w:val="right"/>
              <w:ind w:right="310"/>
              <w:spacing w:after="0"/>
              <w:rPr>
                <w:sz w:val="20"/>
                <w:szCs w:val="20"/>
                <w:color w:val="auto"/>
              </w:rPr>
            </w:pPr>
            <w:r>
              <w:rPr>
                <w:rFonts w:ascii="Arial" w:cs="Arial" w:eastAsia="Arial" w:hAnsi="Arial"/>
                <w:sz w:val="18"/>
                <w:szCs w:val="18"/>
                <w:color w:val="auto"/>
              </w:rPr>
              <w:t>52</w:t>
            </w:r>
          </w:p>
        </w:tc>
      </w:tr>
      <w:tr>
        <w:trPr>
          <w:trHeight w:val="216"/>
        </w:trPr>
        <w:tc>
          <w:tcPr>
            <w:tcW w:w="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5.3</w:t>
            </w:r>
          </w:p>
        </w:tc>
        <w:tc>
          <w:tcPr>
            <w:tcW w:w="4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w:t>
            </w:r>
            <w:r>
              <w:rPr>
                <w:rFonts w:ascii="Arial" w:cs="Arial" w:eastAsia="Arial" w:hAnsi="Arial"/>
                <w:sz w:val="12"/>
                <w:szCs w:val="12"/>
                <w:color w:val="auto"/>
              </w:rPr>
              <w:t>ayment of</w:t>
            </w:r>
            <w:r>
              <w:rPr>
                <w:rFonts w:ascii="Arial" w:cs="Arial" w:eastAsia="Arial" w:hAnsi="Arial"/>
                <w:sz w:val="18"/>
                <w:szCs w:val="18"/>
                <w:color w:val="auto"/>
              </w:rPr>
              <w:t xml:space="preserve"> O</w:t>
            </w:r>
            <w:r>
              <w:rPr>
                <w:rFonts w:ascii="Arial" w:cs="Arial" w:eastAsia="Arial" w:hAnsi="Arial"/>
                <w:sz w:val="12"/>
                <w:szCs w:val="12"/>
                <w:color w:val="auto"/>
              </w:rPr>
              <w:t>bligations</w:t>
            </w:r>
          </w:p>
        </w:tc>
        <w:tc>
          <w:tcPr>
            <w:tcW w:w="46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53</w:t>
            </w: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5.4</w:t>
            </w:r>
          </w:p>
        </w:tc>
        <w:tc>
          <w:tcPr>
            <w:tcW w:w="4960" w:type="dxa"/>
            <w:vAlign w:val="bottom"/>
          </w:tcPr>
          <w:p>
            <w:pPr>
              <w:ind w:left="160"/>
              <w:spacing w:after="0"/>
              <w:rPr>
                <w:sz w:val="20"/>
                <w:szCs w:val="20"/>
                <w:color w:val="auto"/>
              </w:rPr>
            </w:pPr>
            <w:r>
              <w:rPr>
                <w:rFonts w:ascii="Arial" w:cs="Arial" w:eastAsia="Arial" w:hAnsi="Arial"/>
                <w:sz w:val="18"/>
                <w:szCs w:val="18"/>
                <w:color w:val="auto"/>
              </w:rPr>
              <w:t>M</w:t>
            </w:r>
            <w:r>
              <w:rPr>
                <w:rFonts w:ascii="Arial" w:cs="Arial" w:eastAsia="Arial" w:hAnsi="Arial"/>
                <w:sz w:val="12"/>
                <w:szCs w:val="12"/>
                <w:color w:val="auto"/>
              </w:rPr>
              <w:t>aintenance of</w:t>
            </w:r>
            <w:r>
              <w:rPr>
                <w:rFonts w:ascii="Arial" w:cs="Arial" w:eastAsia="Arial" w:hAnsi="Arial"/>
                <w:sz w:val="18"/>
                <w:szCs w:val="18"/>
                <w:color w:val="auto"/>
              </w:rPr>
              <w:t xml:space="preserve"> E</w:t>
            </w:r>
            <w:r>
              <w:rPr>
                <w:rFonts w:ascii="Arial" w:cs="Arial" w:eastAsia="Arial" w:hAnsi="Arial"/>
                <w:sz w:val="12"/>
                <w:szCs w:val="12"/>
                <w:color w:val="auto"/>
              </w:rPr>
              <w:t>xistence</w:t>
            </w:r>
            <w:r>
              <w:rPr>
                <w:rFonts w:ascii="Arial" w:cs="Arial" w:eastAsia="Arial" w:hAnsi="Arial"/>
                <w:sz w:val="18"/>
                <w:szCs w:val="18"/>
                <w:color w:val="auto"/>
              </w:rPr>
              <w:t>; C</w:t>
            </w:r>
            <w:r>
              <w:rPr>
                <w:rFonts w:ascii="Arial" w:cs="Arial" w:eastAsia="Arial" w:hAnsi="Arial"/>
                <w:sz w:val="12"/>
                <w:szCs w:val="12"/>
                <w:color w:val="auto"/>
              </w:rPr>
              <w:t>ompliance with</w:t>
            </w:r>
            <w:r>
              <w:rPr>
                <w:rFonts w:ascii="Arial" w:cs="Arial" w:eastAsia="Arial" w:hAnsi="Arial"/>
                <w:sz w:val="18"/>
                <w:szCs w:val="18"/>
                <w:color w:val="auto"/>
              </w:rPr>
              <w:t xml:space="preserve"> R</w:t>
            </w:r>
            <w:r>
              <w:rPr>
                <w:rFonts w:ascii="Arial" w:cs="Arial" w:eastAsia="Arial" w:hAnsi="Arial"/>
                <w:sz w:val="12"/>
                <w:szCs w:val="12"/>
                <w:color w:val="auto"/>
              </w:rPr>
              <w:t>equirements of</w:t>
            </w:r>
            <w:r>
              <w:rPr>
                <w:rFonts w:ascii="Arial" w:cs="Arial" w:eastAsia="Arial" w:hAnsi="Arial"/>
                <w:sz w:val="18"/>
                <w:szCs w:val="18"/>
                <w:color w:val="auto"/>
              </w:rPr>
              <w:t xml:space="preserve"> L</w:t>
            </w:r>
            <w:r>
              <w:rPr>
                <w:rFonts w:ascii="Arial" w:cs="Arial" w:eastAsia="Arial" w:hAnsi="Arial"/>
                <w:sz w:val="12"/>
                <w:szCs w:val="12"/>
                <w:color w:val="auto"/>
              </w:rPr>
              <w:t>aw</w:t>
            </w:r>
          </w:p>
        </w:tc>
        <w:tc>
          <w:tcPr>
            <w:tcW w:w="4600" w:type="dxa"/>
            <w:vAlign w:val="bottom"/>
          </w:tcPr>
          <w:p>
            <w:pPr>
              <w:spacing w:after="0"/>
              <w:rPr>
                <w:sz w:val="18"/>
                <w:szCs w:val="18"/>
                <w:color w:val="auto"/>
              </w:rPr>
            </w:pPr>
          </w:p>
        </w:tc>
        <w:tc>
          <w:tcPr>
            <w:tcW w:w="1040" w:type="dxa"/>
            <w:vAlign w:val="bottom"/>
          </w:tcPr>
          <w:p>
            <w:pPr>
              <w:jc w:val="right"/>
              <w:ind w:right="310"/>
              <w:spacing w:after="0"/>
              <w:rPr>
                <w:sz w:val="20"/>
                <w:szCs w:val="20"/>
                <w:color w:val="auto"/>
              </w:rPr>
            </w:pPr>
            <w:r>
              <w:rPr>
                <w:rFonts w:ascii="Arial" w:cs="Arial" w:eastAsia="Arial" w:hAnsi="Arial"/>
                <w:sz w:val="18"/>
                <w:szCs w:val="18"/>
                <w:color w:val="auto"/>
              </w:rPr>
              <w:t>53</w:t>
            </w:r>
          </w:p>
        </w:tc>
      </w:tr>
      <w:tr>
        <w:trPr>
          <w:trHeight w:val="216"/>
        </w:trPr>
        <w:tc>
          <w:tcPr>
            <w:tcW w:w="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5.5</w:t>
            </w:r>
          </w:p>
        </w:tc>
        <w:tc>
          <w:tcPr>
            <w:tcW w:w="4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w:t>
            </w:r>
            <w:r>
              <w:rPr>
                <w:rFonts w:ascii="Arial" w:cs="Arial" w:eastAsia="Arial" w:hAnsi="Arial"/>
                <w:sz w:val="12"/>
                <w:szCs w:val="12"/>
                <w:color w:val="auto"/>
              </w:rPr>
              <w:t>aintenance of</w:t>
            </w:r>
            <w:r>
              <w:rPr>
                <w:rFonts w:ascii="Arial" w:cs="Arial" w:eastAsia="Arial" w:hAnsi="Arial"/>
                <w:sz w:val="18"/>
                <w:szCs w:val="18"/>
                <w:color w:val="auto"/>
              </w:rPr>
              <w:t xml:space="preserve"> P</w:t>
            </w:r>
            <w:r>
              <w:rPr>
                <w:rFonts w:ascii="Arial" w:cs="Arial" w:eastAsia="Arial" w:hAnsi="Arial"/>
                <w:sz w:val="12"/>
                <w:szCs w:val="12"/>
                <w:color w:val="auto"/>
              </w:rPr>
              <w:t>roperty</w:t>
            </w:r>
            <w:r>
              <w:rPr>
                <w:rFonts w:ascii="Arial" w:cs="Arial" w:eastAsia="Arial" w:hAnsi="Arial"/>
                <w:sz w:val="18"/>
                <w:szCs w:val="18"/>
                <w:color w:val="auto"/>
              </w:rPr>
              <w:t>; I</w:t>
            </w:r>
            <w:r>
              <w:rPr>
                <w:rFonts w:ascii="Arial" w:cs="Arial" w:eastAsia="Arial" w:hAnsi="Arial"/>
                <w:sz w:val="12"/>
                <w:szCs w:val="12"/>
                <w:color w:val="auto"/>
              </w:rPr>
              <w:t>nsurance</w:t>
            </w:r>
          </w:p>
        </w:tc>
        <w:tc>
          <w:tcPr>
            <w:tcW w:w="46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54</w:t>
            </w: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5.6</w:t>
            </w:r>
          </w:p>
        </w:tc>
        <w:tc>
          <w:tcPr>
            <w:tcW w:w="4960" w:type="dxa"/>
            <w:vAlign w:val="bottom"/>
          </w:tcPr>
          <w:p>
            <w:pPr>
              <w:ind w:left="160"/>
              <w:spacing w:after="0"/>
              <w:rPr>
                <w:sz w:val="20"/>
                <w:szCs w:val="20"/>
                <w:color w:val="auto"/>
              </w:rPr>
            </w:pPr>
            <w:r>
              <w:rPr>
                <w:rFonts w:ascii="Arial" w:cs="Arial" w:eastAsia="Arial" w:hAnsi="Arial"/>
                <w:sz w:val="18"/>
                <w:szCs w:val="18"/>
                <w:color w:val="auto"/>
              </w:rPr>
              <w:t>I</w:t>
            </w:r>
            <w:r>
              <w:rPr>
                <w:rFonts w:ascii="Arial" w:cs="Arial" w:eastAsia="Arial" w:hAnsi="Arial"/>
                <w:sz w:val="12"/>
                <w:szCs w:val="12"/>
                <w:color w:val="auto"/>
              </w:rPr>
              <w:t>nspection of</w:t>
            </w:r>
            <w:r>
              <w:rPr>
                <w:rFonts w:ascii="Arial" w:cs="Arial" w:eastAsia="Arial" w:hAnsi="Arial"/>
                <w:sz w:val="18"/>
                <w:szCs w:val="18"/>
                <w:color w:val="auto"/>
              </w:rPr>
              <w:t xml:space="preserve"> P</w:t>
            </w:r>
            <w:r>
              <w:rPr>
                <w:rFonts w:ascii="Arial" w:cs="Arial" w:eastAsia="Arial" w:hAnsi="Arial"/>
                <w:sz w:val="12"/>
                <w:szCs w:val="12"/>
                <w:color w:val="auto"/>
              </w:rPr>
              <w:t>roperty</w:t>
            </w:r>
            <w:r>
              <w:rPr>
                <w:rFonts w:ascii="Arial" w:cs="Arial" w:eastAsia="Arial" w:hAnsi="Arial"/>
                <w:sz w:val="18"/>
                <w:szCs w:val="18"/>
                <w:color w:val="auto"/>
              </w:rPr>
              <w:t>; B</w:t>
            </w:r>
            <w:r>
              <w:rPr>
                <w:rFonts w:ascii="Arial" w:cs="Arial" w:eastAsia="Arial" w:hAnsi="Arial"/>
                <w:sz w:val="12"/>
                <w:szCs w:val="12"/>
                <w:color w:val="auto"/>
              </w:rPr>
              <w:t>ooks and</w:t>
            </w:r>
            <w:r>
              <w:rPr>
                <w:rFonts w:ascii="Arial" w:cs="Arial" w:eastAsia="Arial" w:hAnsi="Arial"/>
                <w:sz w:val="18"/>
                <w:szCs w:val="18"/>
                <w:color w:val="auto"/>
              </w:rPr>
              <w:t xml:space="preserve"> R</w:t>
            </w:r>
            <w:r>
              <w:rPr>
                <w:rFonts w:ascii="Arial" w:cs="Arial" w:eastAsia="Arial" w:hAnsi="Arial"/>
                <w:sz w:val="12"/>
                <w:szCs w:val="12"/>
                <w:color w:val="auto"/>
              </w:rPr>
              <w:t>ecords</w:t>
            </w:r>
            <w:r>
              <w:rPr>
                <w:rFonts w:ascii="Arial" w:cs="Arial" w:eastAsia="Arial" w:hAnsi="Arial"/>
                <w:sz w:val="18"/>
                <w:szCs w:val="18"/>
                <w:color w:val="auto"/>
              </w:rPr>
              <w:t>; D</w:t>
            </w:r>
            <w:r>
              <w:rPr>
                <w:rFonts w:ascii="Arial" w:cs="Arial" w:eastAsia="Arial" w:hAnsi="Arial"/>
                <w:sz w:val="12"/>
                <w:szCs w:val="12"/>
                <w:color w:val="auto"/>
              </w:rPr>
              <w:t>iscussions</w:t>
            </w:r>
          </w:p>
        </w:tc>
        <w:tc>
          <w:tcPr>
            <w:tcW w:w="4600" w:type="dxa"/>
            <w:vAlign w:val="bottom"/>
          </w:tcPr>
          <w:p>
            <w:pPr>
              <w:spacing w:after="0"/>
              <w:rPr>
                <w:sz w:val="18"/>
                <w:szCs w:val="18"/>
                <w:color w:val="auto"/>
              </w:rPr>
            </w:pPr>
          </w:p>
        </w:tc>
        <w:tc>
          <w:tcPr>
            <w:tcW w:w="1040" w:type="dxa"/>
            <w:vAlign w:val="bottom"/>
          </w:tcPr>
          <w:p>
            <w:pPr>
              <w:jc w:val="right"/>
              <w:ind w:right="310"/>
              <w:spacing w:after="0"/>
              <w:rPr>
                <w:sz w:val="20"/>
                <w:szCs w:val="20"/>
                <w:color w:val="auto"/>
              </w:rPr>
            </w:pPr>
            <w:r>
              <w:rPr>
                <w:rFonts w:ascii="Arial" w:cs="Arial" w:eastAsia="Arial" w:hAnsi="Arial"/>
                <w:sz w:val="18"/>
                <w:szCs w:val="18"/>
                <w:color w:val="auto"/>
              </w:rPr>
              <w:t>55</w:t>
            </w:r>
          </w:p>
        </w:tc>
      </w:tr>
      <w:tr>
        <w:trPr>
          <w:trHeight w:val="216"/>
        </w:trPr>
        <w:tc>
          <w:tcPr>
            <w:tcW w:w="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5.7</w:t>
            </w:r>
          </w:p>
        </w:tc>
        <w:tc>
          <w:tcPr>
            <w:tcW w:w="4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w:t>
            </w:r>
            <w:r>
              <w:rPr>
                <w:rFonts w:ascii="Arial" w:cs="Arial" w:eastAsia="Arial" w:hAnsi="Arial"/>
                <w:sz w:val="12"/>
                <w:szCs w:val="12"/>
                <w:color w:val="auto"/>
              </w:rPr>
              <w:t>otices</w:t>
            </w:r>
          </w:p>
        </w:tc>
        <w:tc>
          <w:tcPr>
            <w:tcW w:w="46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55</w:t>
            </w: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5.8</w:t>
            </w:r>
          </w:p>
        </w:tc>
        <w:tc>
          <w:tcPr>
            <w:tcW w:w="4960" w:type="dxa"/>
            <w:vAlign w:val="bottom"/>
          </w:tcPr>
          <w:p>
            <w:pPr>
              <w:ind w:left="160"/>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ompliance with</w:t>
            </w:r>
            <w:r>
              <w:rPr>
                <w:rFonts w:ascii="Arial" w:cs="Arial" w:eastAsia="Arial" w:hAnsi="Arial"/>
                <w:sz w:val="18"/>
                <w:szCs w:val="18"/>
                <w:color w:val="auto"/>
              </w:rPr>
              <w:t xml:space="preserve"> L</w:t>
            </w:r>
            <w:r>
              <w:rPr>
                <w:rFonts w:ascii="Arial" w:cs="Arial" w:eastAsia="Arial" w:hAnsi="Arial"/>
                <w:sz w:val="12"/>
                <w:szCs w:val="12"/>
                <w:color w:val="auto"/>
              </w:rPr>
              <w:t>aws</w:t>
            </w:r>
          </w:p>
        </w:tc>
        <w:tc>
          <w:tcPr>
            <w:tcW w:w="4600" w:type="dxa"/>
            <w:vAlign w:val="bottom"/>
          </w:tcPr>
          <w:p>
            <w:pPr>
              <w:spacing w:after="0"/>
              <w:rPr>
                <w:sz w:val="18"/>
                <w:szCs w:val="18"/>
                <w:color w:val="auto"/>
              </w:rPr>
            </w:pPr>
          </w:p>
        </w:tc>
        <w:tc>
          <w:tcPr>
            <w:tcW w:w="1040" w:type="dxa"/>
            <w:vAlign w:val="bottom"/>
          </w:tcPr>
          <w:p>
            <w:pPr>
              <w:jc w:val="right"/>
              <w:ind w:right="310"/>
              <w:spacing w:after="0"/>
              <w:rPr>
                <w:sz w:val="20"/>
                <w:szCs w:val="20"/>
                <w:color w:val="auto"/>
              </w:rPr>
            </w:pPr>
            <w:r>
              <w:rPr>
                <w:rFonts w:ascii="Arial" w:cs="Arial" w:eastAsia="Arial" w:hAnsi="Arial"/>
                <w:sz w:val="18"/>
                <w:szCs w:val="18"/>
                <w:color w:val="auto"/>
              </w:rPr>
              <w:t>56</w:t>
            </w:r>
          </w:p>
        </w:tc>
      </w:tr>
      <w:tr>
        <w:trPr>
          <w:trHeight w:val="216"/>
        </w:trPr>
        <w:tc>
          <w:tcPr>
            <w:tcW w:w="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5.9</w:t>
            </w:r>
          </w:p>
        </w:tc>
        <w:tc>
          <w:tcPr>
            <w:tcW w:w="4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udits</w:t>
            </w:r>
          </w:p>
        </w:tc>
        <w:tc>
          <w:tcPr>
            <w:tcW w:w="46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56</w:t>
            </w: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5.10</w:t>
            </w:r>
          </w:p>
        </w:tc>
        <w:tc>
          <w:tcPr>
            <w:tcW w:w="4960" w:type="dxa"/>
            <w:vAlign w:val="bottom"/>
          </w:tcPr>
          <w:p>
            <w:pPr>
              <w:ind w:left="160"/>
              <w:spacing w:after="0"/>
              <w:rPr>
                <w:sz w:val="20"/>
                <w:szCs w:val="20"/>
                <w:color w:val="auto"/>
              </w:rPr>
            </w:pPr>
            <w:r>
              <w:rPr>
                <w:rFonts w:ascii="Arial" w:cs="Arial" w:eastAsia="Arial" w:hAnsi="Arial"/>
                <w:sz w:val="18"/>
                <w:szCs w:val="18"/>
                <w:color w:val="auto"/>
              </w:rPr>
              <w:t>F</w:t>
            </w:r>
            <w:r>
              <w:rPr>
                <w:rFonts w:ascii="Arial" w:cs="Arial" w:eastAsia="Arial" w:hAnsi="Arial"/>
                <w:sz w:val="12"/>
                <w:szCs w:val="12"/>
                <w:color w:val="auto"/>
              </w:rPr>
              <w:t>urther</w:t>
            </w:r>
            <w:r>
              <w:rPr>
                <w:rFonts w:ascii="Arial" w:cs="Arial" w:eastAsia="Arial" w:hAnsi="Arial"/>
                <w:sz w:val="18"/>
                <w:szCs w:val="18"/>
                <w:color w:val="auto"/>
              </w:rPr>
              <w:t xml:space="preserve"> A</w:t>
            </w:r>
            <w:r>
              <w:rPr>
                <w:rFonts w:ascii="Arial" w:cs="Arial" w:eastAsia="Arial" w:hAnsi="Arial"/>
                <w:sz w:val="12"/>
                <w:szCs w:val="12"/>
                <w:color w:val="auto"/>
              </w:rPr>
              <w:t>ssurances</w:t>
            </w:r>
          </w:p>
        </w:tc>
        <w:tc>
          <w:tcPr>
            <w:tcW w:w="4600" w:type="dxa"/>
            <w:vAlign w:val="bottom"/>
          </w:tcPr>
          <w:p>
            <w:pPr>
              <w:spacing w:after="0"/>
              <w:rPr>
                <w:sz w:val="18"/>
                <w:szCs w:val="18"/>
                <w:color w:val="auto"/>
              </w:rPr>
            </w:pPr>
          </w:p>
        </w:tc>
        <w:tc>
          <w:tcPr>
            <w:tcW w:w="1040" w:type="dxa"/>
            <w:vAlign w:val="bottom"/>
          </w:tcPr>
          <w:p>
            <w:pPr>
              <w:jc w:val="right"/>
              <w:ind w:right="310"/>
              <w:spacing w:after="0"/>
              <w:rPr>
                <w:sz w:val="20"/>
                <w:szCs w:val="20"/>
                <w:color w:val="auto"/>
              </w:rPr>
            </w:pPr>
            <w:r>
              <w:rPr>
                <w:rFonts w:ascii="Arial" w:cs="Arial" w:eastAsia="Arial" w:hAnsi="Arial"/>
                <w:sz w:val="18"/>
                <w:szCs w:val="18"/>
                <w:color w:val="auto"/>
              </w:rPr>
              <w:t>57</w:t>
            </w:r>
          </w:p>
        </w:tc>
      </w:tr>
      <w:tr>
        <w:trPr>
          <w:trHeight w:val="216"/>
        </w:trPr>
        <w:tc>
          <w:tcPr>
            <w:tcW w:w="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5.11</w:t>
            </w:r>
          </w:p>
        </w:tc>
        <w:tc>
          <w:tcPr>
            <w:tcW w:w="4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w:t>
            </w:r>
            <w:r>
              <w:rPr>
                <w:rFonts w:ascii="Arial" w:cs="Arial" w:eastAsia="Arial" w:hAnsi="Arial"/>
                <w:sz w:val="12"/>
                <w:szCs w:val="12"/>
                <w:color w:val="auto"/>
              </w:rPr>
              <w:t>se of</w:t>
            </w:r>
            <w:r>
              <w:rPr>
                <w:rFonts w:ascii="Arial" w:cs="Arial" w:eastAsia="Arial" w:hAnsi="Arial"/>
                <w:sz w:val="18"/>
                <w:szCs w:val="18"/>
                <w:color w:val="auto"/>
              </w:rPr>
              <w:t xml:space="preserve"> P</w:t>
            </w:r>
            <w:r>
              <w:rPr>
                <w:rFonts w:ascii="Arial" w:cs="Arial" w:eastAsia="Arial" w:hAnsi="Arial"/>
                <w:sz w:val="12"/>
                <w:szCs w:val="12"/>
                <w:color w:val="auto"/>
              </w:rPr>
              <w:t>roceeds</w:t>
            </w:r>
          </w:p>
        </w:tc>
        <w:tc>
          <w:tcPr>
            <w:tcW w:w="46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57</w:t>
            </w: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5.12</w:t>
            </w:r>
          </w:p>
        </w:tc>
        <w:tc>
          <w:tcPr>
            <w:tcW w:w="4960" w:type="dxa"/>
            <w:vAlign w:val="bottom"/>
          </w:tcPr>
          <w:p>
            <w:pPr>
              <w:ind w:left="160"/>
              <w:spacing w:after="0"/>
              <w:rPr>
                <w:sz w:val="20"/>
                <w:szCs w:val="20"/>
                <w:color w:val="auto"/>
              </w:rPr>
            </w:pPr>
            <w:r>
              <w:rPr>
                <w:rFonts w:ascii="Arial" w:cs="Arial" w:eastAsia="Arial" w:hAnsi="Arial"/>
                <w:sz w:val="18"/>
                <w:szCs w:val="18"/>
                <w:color w:val="auto"/>
              </w:rPr>
              <w:t>T</w:t>
            </w:r>
            <w:r>
              <w:rPr>
                <w:rFonts w:ascii="Arial" w:cs="Arial" w:eastAsia="Arial" w:hAnsi="Arial"/>
                <w:sz w:val="12"/>
                <w:szCs w:val="12"/>
                <w:color w:val="auto"/>
              </w:rPr>
              <w:t>axes</w:t>
            </w:r>
          </w:p>
        </w:tc>
        <w:tc>
          <w:tcPr>
            <w:tcW w:w="4600" w:type="dxa"/>
            <w:vAlign w:val="bottom"/>
          </w:tcPr>
          <w:p>
            <w:pPr>
              <w:spacing w:after="0"/>
              <w:rPr>
                <w:sz w:val="18"/>
                <w:szCs w:val="18"/>
                <w:color w:val="auto"/>
              </w:rPr>
            </w:pPr>
          </w:p>
        </w:tc>
        <w:tc>
          <w:tcPr>
            <w:tcW w:w="1040" w:type="dxa"/>
            <w:vAlign w:val="bottom"/>
          </w:tcPr>
          <w:p>
            <w:pPr>
              <w:jc w:val="right"/>
              <w:ind w:right="310"/>
              <w:spacing w:after="0"/>
              <w:rPr>
                <w:sz w:val="20"/>
                <w:szCs w:val="20"/>
                <w:color w:val="auto"/>
              </w:rPr>
            </w:pPr>
            <w:r>
              <w:rPr>
                <w:rFonts w:ascii="Arial" w:cs="Arial" w:eastAsia="Arial" w:hAnsi="Arial"/>
                <w:sz w:val="18"/>
                <w:szCs w:val="18"/>
                <w:color w:val="auto"/>
              </w:rPr>
              <w:t>57</w:t>
            </w:r>
          </w:p>
        </w:tc>
      </w:tr>
      <w:tr>
        <w:trPr>
          <w:trHeight w:val="216"/>
        </w:trPr>
        <w:tc>
          <w:tcPr>
            <w:tcW w:w="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5.13</w:t>
            </w:r>
          </w:p>
        </w:tc>
        <w:tc>
          <w:tcPr>
            <w:tcW w:w="4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w:t>
            </w:r>
            <w:r>
              <w:rPr>
                <w:rFonts w:ascii="Arial" w:cs="Arial" w:eastAsia="Arial" w:hAnsi="Arial"/>
                <w:sz w:val="12"/>
                <w:szCs w:val="12"/>
                <w:color w:val="auto"/>
              </w:rPr>
              <w:t>ost</w:t>
            </w:r>
            <w:r>
              <w:rPr>
                <w:rFonts w:ascii="Arial" w:cs="Arial" w:eastAsia="Arial" w:hAnsi="Arial"/>
                <w:sz w:val="18"/>
                <w:szCs w:val="18"/>
                <w:color w:val="auto"/>
              </w:rPr>
              <w:t>-C</w:t>
            </w:r>
            <w:r>
              <w:rPr>
                <w:rFonts w:ascii="Arial" w:cs="Arial" w:eastAsia="Arial" w:hAnsi="Arial"/>
                <w:sz w:val="12"/>
                <w:szCs w:val="12"/>
                <w:color w:val="auto"/>
              </w:rPr>
              <w:t>losing</w:t>
            </w:r>
            <w:r>
              <w:rPr>
                <w:rFonts w:ascii="Arial" w:cs="Arial" w:eastAsia="Arial" w:hAnsi="Arial"/>
                <w:sz w:val="18"/>
                <w:szCs w:val="18"/>
                <w:color w:val="auto"/>
              </w:rPr>
              <w:t xml:space="preserve"> O</w:t>
            </w:r>
            <w:r>
              <w:rPr>
                <w:rFonts w:ascii="Arial" w:cs="Arial" w:eastAsia="Arial" w:hAnsi="Arial"/>
                <w:sz w:val="12"/>
                <w:szCs w:val="12"/>
                <w:color w:val="auto"/>
              </w:rPr>
              <w:t>bligations</w:t>
            </w:r>
          </w:p>
        </w:tc>
        <w:tc>
          <w:tcPr>
            <w:tcW w:w="46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57</w:t>
            </w: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5.14</w:t>
            </w:r>
          </w:p>
        </w:tc>
        <w:tc>
          <w:tcPr>
            <w:tcW w:w="4960" w:type="dxa"/>
            <w:vAlign w:val="bottom"/>
          </w:tcPr>
          <w:p>
            <w:pPr>
              <w:ind w:left="160"/>
              <w:spacing w:after="0"/>
              <w:rPr>
                <w:sz w:val="20"/>
                <w:szCs w:val="20"/>
                <w:color w:val="auto"/>
              </w:rPr>
            </w:pPr>
            <w:r>
              <w:rPr>
                <w:rFonts w:ascii="Arial" w:cs="Arial" w:eastAsia="Arial" w:hAnsi="Arial"/>
                <w:sz w:val="18"/>
                <w:szCs w:val="18"/>
                <w:color w:val="auto"/>
              </w:rPr>
              <w:t>L</w:t>
            </w:r>
            <w:r>
              <w:rPr>
                <w:rFonts w:ascii="Arial" w:cs="Arial" w:eastAsia="Arial" w:hAnsi="Arial"/>
                <w:sz w:val="12"/>
                <w:szCs w:val="12"/>
                <w:color w:val="auto"/>
              </w:rPr>
              <w:t>ocation of</w:t>
            </w:r>
            <w:r>
              <w:rPr>
                <w:rFonts w:ascii="Arial" w:cs="Arial" w:eastAsia="Arial" w:hAnsi="Arial"/>
                <w:sz w:val="18"/>
                <w:szCs w:val="18"/>
                <w:color w:val="auto"/>
              </w:rPr>
              <w:t xml:space="preserve"> A</w:t>
            </w:r>
            <w:r>
              <w:rPr>
                <w:rFonts w:ascii="Arial" w:cs="Arial" w:eastAsia="Arial" w:hAnsi="Arial"/>
                <w:sz w:val="12"/>
                <w:szCs w:val="12"/>
                <w:color w:val="auto"/>
              </w:rPr>
              <w:t>ssets</w:t>
            </w:r>
          </w:p>
        </w:tc>
        <w:tc>
          <w:tcPr>
            <w:tcW w:w="4600" w:type="dxa"/>
            <w:vAlign w:val="bottom"/>
          </w:tcPr>
          <w:p>
            <w:pPr>
              <w:spacing w:after="0"/>
              <w:rPr>
                <w:sz w:val="18"/>
                <w:szCs w:val="18"/>
                <w:color w:val="auto"/>
              </w:rPr>
            </w:pPr>
          </w:p>
        </w:tc>
        <w:tc>
          <w:tcPr>
            <w:tcW w:w="1040" w:type="dxa"/>
            <w:vAlign w:val="bottom"/>
          </w:tcPr>
          <w:p>
            <w:pPr>
              <w:jc w:val="right"/>
              <w:ind w:right="310"/>
              <w:spacing w:after="0"/>
              <w:rPr>
                <w:sz w:val="20"/>
                <w:szCs w:val="20"/>
                <w:color w:val="auto"/>
              </w:rPr>
            </w:pPr>
            <w:r>
              <w:rPr>
                <w:rFonts w:ascii="Arial" w:cs="Arial" w:eastAsia="Arial" w:hAnsi="Arial"/>
                <w:sz w:val="18"/>
                <w:szCs w:val="18"/>
                <w:color w:val="auto"/>
              </w:rPr>
              <w:t>58</w:t>
            </w:r>
          </w:p>
        </w:tc>
      </w:tr>
      <w:tr>
        <w:trPr>
          <w:trHeight w:val="216"/>
        </w:trPr>
        <w:tc>
          <w:tcPr>
            <w:tcW w:w="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5.15</w:t>
            </w:r>
          </w:p>
        </w:tc>
        <w:tc>
          <w:tcPr>
            <w:tcW w:w="4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dditional</w:t>
            </w:r>
            <w:r>
              <w:rPr>
                <w:rFonts w:ascii="Arial" w:cs="Arial" w:eastAsia="Arial" w:hAnsi="Arial"/>
                <w:sz w:val="18"/>
                <w:szCs w:val="18"/>
                <w:color w:val="auto"/>
              </w:rPr>
              <w:t xml:space="preserve"> S</w:t>
            </w:r>
            <w:r>
              <w:rPr>
                <w:rFonts w:ascii="Arial" w:cs="Arial" w:eastAsia="Arial" w:hAnsi="Arial"/>
                <w:sz w:val="12"/>
                <w:szCs w:val="12"/>
                <w:color w:val="auto"/>
              </w:rPr>
              <w:t>ubsidiaries</w:t>
            </w:r>
            <w:r>
              <w:rPr>
                <w:rFonts w:ascii="Arial" w:cs="Arial" w:eastAsia="Arial" w:hAnsi="Arial"/>
                <w:sz w:val="18"/>
                <w:szCs w:val="18"/>
                <w:color w:val="auto"/>
              </w:rPr>
              <w:t>.</w:t>
            </w:r>
          </w:p>
        </w:tc>
        <w:tc>
          <w:tcPr>
            <w:tcW w:w="46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59</w:t>
            </w: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5.16</w:t>
            </w:r>
          </w:p>
        </w:tc>
        <w:tc>
          <w:tcPr>
            <w:tcW w:w="4960" w:type="dxa"/>
            <w:vAlign w:val="bottom"/>
          </w:tcPr>
          <w:p>
            <w:pPr>
              <w:ind w:left="160"/>
              <w:spacing w:after="0"/>
              <w:rPr>
                <w:sz w:val="20"/>
                <w:szCs w:val="20"/>
                <w:color w:val="auto"/>
              </w:rPr>
            </w:pPr>
            <w:r>
              <w:rPr>
                <w:rFonts w:ascii="Arial" w:cs="Arial" w:eastAsia="Arial" w:hAnsi="Arial"/>
                <w:sz w:val="18"/>
                <w:szCs w:val="18"/>
                <w:color w:val="auto"/>
              </w:rPr>
              <w:t>B</w:t>
            </w:r>
            <w:r>
              <w:rPr>
                <w:rFonts w:ascii="Arial" w:cs="Arial" w:eastAsia="Arial" w:hAnsi="Arial"/>
                <w:sz w:val="12"/>
                <w:szCs w:val="12"/>
                <w:color w:val="auto"/>
              </w:rPr>
              <w:t>oard</w:t>
            </w:r>
            <w:r>
              <w:rPr>
                <w:rFonts w:ascii="Arial" w:cs="Arial" w:eastAsia="Arial" w:hAnsi="Arial"/>
                <w:sz w:val="18"/>
                <w:szCs w:val="18"/>
                <w:color w:val="auto"/>
              </w:rPr>
              <w:t xml:space="preserve"> O</w:t>
            </w:r>
            <w:r>
              <w:rPr>
                <w:rFonts w:ascii="Arial" w:cs="Arial" w:eastAsia="Arial" w:hAnsi="Arial"/>
                <w:sz w:val="12"/>
                <w:szCs w:val="12"/>
                <w:color w:val="auto"/>
              </w:rPr>
              <w:t>bservation</w:t>
            </w:r>
            <w:r>
              <w:rPr>
                <w:rFonts w:ascii="Arial" w:cs="Arial" w:eastAsia="Arial" w:hAnsi="Arial"/>
                <w:sz w:val="18"/>
                <w:szCs w:val="18"/>
                <w:color w:val="auto"/>
              </w:rPr>
              <w:t xml:space="preserve"> R</w:t>
            </w:r>
            <w:r>
              <w:rPr>
                <w:rFonts w:ascii="Arial" w:cs="Arial" w:eastAsia="Arial" w:hAnsi="Arial"/>
                <w:sz w:val="12"/>
                <w:szCs w:val="12"/>
                <w:color w:val="auto"/>
              </w:rPr>
              <w:t>ights</w:t>
            </w:r>
          </w:p>
        </w:tc>
        <w:tc>
          <w:tcPr>
            <w:tcW w:w="4600" w:type="dxa"/>
            <w:vAlign w:val="bottom"/>
          </w:tcPr>
          <w:p>
            <w:pPr>
              <w:spacing w:after="0"/>
              <w:rPr>
                <w:sz w:val="18"/>
                <w:szCs w:val="18"/>
                <w:color w:val="auto"/>
              </w:rPr>
            </w:pPr>
          </w:p>
        </w:tc>
        <w:tc>
          <w:tcPr>
            <w:tcW w:w="1040" w:type="dxa"/>
            <w:vAlign w:val="bottom"/>
          </w:tcPr>
          <w:p>
            <w:pPr>
              <w:jc w:val="right"/>
              <w:ind w:right="310"/>
              <w:spacing w:after="0"/>
              <w:rPr>
                <w:sz w:val="20"/>
                <w:szCs w:val="20"/>
                <w:color w:val="auto"/>
              </w:rPr>
            </w:pPr>
            <w:r>
              <w:rPr>
                <w:rFonts w:ascii="Arial" w:cs="Arial" w:eastAsia="Arial" w:hAnsi="Arial"/>
                <w:sz w:val="18"/>
                <w:szCs w:val="18"/>
                <w:color w:val="auto"/>
              </w:rPr>
              <w:t>59</w:t>
            </w:r>
          </w:p>
        </w:tc>
      </w:tr>
      <w:tr>
        <w:trPr>
          <w:trHeight w:val="216"/>
        </w:trPr>
        <w:tc>
          <w:tcPr>
            <w:tcW w:w="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5.17</w:t>
            </w:r>
          </w:p>
        </w:tc>
        <w:tc>
          <w:tcPr>
            <w:tcW w:w="4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MNPI</w:t>
            </w:r>
          </w:p>
        </w:tc>
        <w:tc>
          <w:tcPr>
            <w:tcW w:w="46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60</w:t>
            </w: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5.18</w:t>
            </w:r>
          </w:p>
        </w:tc>
        <w:tc>
          <w:tcPr>
            <w:tcW w:w="4960" w:type="dxa"/>
            <w:vAlign w:val="bottom"/>
          </w:tcPr>
          <w:p>
            <w:pPr>
              <w:ind w:left="160"/>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ash</w:t>
            </w:r>
            <w:r>
              <w:rPr>
                <w:rFonts w:ascii="Arial" w:cs="Arial" w:eastAsia="Arial" w:hAnsi="Arial"/>
                <w:sz w:val="18"/>
                <w:szCs w:val="18"/>
                <w:color w:val="auto"/>
              </w:rPr>
              <w:t xml:space="preserve"> C</w:t>
            </w:r>
            <w:r>
              <w:rPr>
                <w:rFonts w:ascii="Arial" w:cs="Arial" w:eastAsia="Arial" w:hAnsi="Arial"/>
                <w:sz w:val="12"/>
                <w:szCs w:val="12"/>
                <w:color w:val="auto"/>
              </w:rPr>
              <w:t>ollateral</w:t>
            </w:r>
            <w:r>
              <w:rPr>
                <w:rFonts w:ascii="Arial" w:cs="Arial" w:eastAsia="Arial" w:hAnsi="Arial"/>
                <w:sz w:val="18"/>
                <w:szCs w:val="18"/>
                <w:color w:val="auto"/>
              </w:rPr>
              <w:t xml:space="preserve"> A</w:t>
            </w:r>
            <w:r>
              <w:rPr>
                <w:rFonts w:ascii="Arial" w:cs="Arial" w:eastAsia="Arial" w:hAnsi="Arial"/>
                <w:sz w:val="12"/>
                <w:szCs w:val="12"/>
                <w:color w:val="auto"/>
              </w:rPr>
              <w:t>ccount</w:t>
            </w:r>
            <w:r>
              <w:rPr>
                <w:rFonts w:ascii="Arial" w:cs="Arial" w:eastAsia="Arial" w:hAnsi="Arial"/>
                <w:sz w:val="18"/>
                <w:szCs w:val="18"/>
                <w:color w:val="auto"/>
              </w:rPr>
              <w:t>.</w:t>
            </w:r>
          </w:p>
        </w:tc>
        <w:tc>
          <w:tcPr>
            <w:tcW w:w="4600" w:type="dxa"/>
            <w:vAlign w:val="bottom"/>
          </w:tcPr>
          <w:p>
            <w:pPr>
              <w:spacing w:after="0"/>
              <w:rPr>
                <w:sz w:val="18"/>
                <w:szCs w:val="18"/>
                <w:color w:val="auto"/>
              </w:rPr>
            </w:pPr>
          </w:p>
        </w:tc>
        <w:tc>
          <w:tcPr>
            <w:tcW w:w="1040" w:type="dxa"/>
            <w:vAlign w:val="bottom"/>
          </w:tcPr>
          <w:p>
            <w:pPr>
              <w:jc w:val="right"/>
              <w:ind w:right="310"/>
              <w:spacing w:after="0"/>
              <w:rPr>
                <w:sz w:val="20"/>
                <w:szCs w:val="20"/>
                <w:color w:val="auto"/>
              </w:rPr>
            </w:pPr>
            <w:r>
              <w:rPr>
                <w:rFonts w:ascii="Arial" w:cs="Arial" w:eastAsia="Arial" w:hAnsi="Arial"/>
                <w:sz w:val="18"/>
                <w:szCs w:val="18"/>
                <w:color w:val="auto"/>
              </w:rPr>
              <w:t>61</w:t>
            </w:r>
          </w:p>
        </w:tc>
      </w:tr>
      <w:tr>
        <w:trPr>
          <w:trHeight w:val="216"/>
        </w:trPr>
        <w:tc>
          <w:tcPr>
            <w:tcW w:w="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5.19</w:t>
            </w:r>
          </w:p>
        </w:tc>
        <w:tc>
          <w:tcPr>
            <w:tcW w:w="4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apital</w:t>
            </w:r>
            <w:r>
              <w:rPr>
                <w:rFonts w:ascii="Arial" w:cs="Arial" w:eastAsia="Arial" w:hAnsi="Arial"/>
                <w:sz w:val="18"/>
                <w:szCs w:val="18"/>
                <w:color w:val="auto"/>
              </w:rPr>
              <w:t xml:space="preserve"> M</w:t>
            </w:r>
            <w:r>
              <w:rPr>
                <w:rFonts w:ascii="Arial" w:cs="Arial" w:eastAsia="Arial" w:hAnsi="Arial"/>
                <w:sz w:val="12"/>
                <w:szCs w:val="12"/>
                <w:color w:val="auto"/>
              </w:rPr>
              <w:t>arkets</w:t>
            </w:r>
            <w:r>
              <w:rPr>
                <w:rFonts w:ascii="Arial" w:cs="Arial" w:eastAsia="Arial" w:hAnsi="Arial"/>
                <w:sz w:val="18"/>
                <w:szCs w:val="18"/>
                <w:color w:val="auto"/>
              </w:rPr>
              <w:t xml:space="preserve"> A</w:t>
            </w:r>
            <w:r>
              <w:rPr>
                <w:rFonts w:ascii="Arial" w:cs="Arial" w:eastAsia="Arial" w:hAnsi="Arial"/>
                <w:sz w:val="12"/>
                <w:szCs w:val="12"/>
                <w:color w:val="auto"/>
              </w:rPr>
              <w:t>dvisory</w:t>
            </w:r>
            <w:r>
              <w:rPr>
                <w:rFonts w:ascii="Arial" w:cs="Arial" w:eastAsia="Arial" w:hAnsi="Arial"/>
                <w:sz w:val="18"/>
                <w:szCs w:val="18"/>
                <w:color w:val="auto"/>
              </w:rPr>
              <w:t>; F</w:t>
            </w:r>
            <w:r>
              <w:rPr>
                <w:rFonts w:ascii="Arial" w:cs="Arial" w:eastAsia="Arial" w:hAnsi="Arial"/>
                <w:sz w:val="12"/>
                <w:szCs w:val="12"/>
                <w:color w:val="auto"/>
              </w:rPr>
              <w:t>uture</w:t>
            </w:r>
            <w:r>
              <w:rPr>
                <w:rFonts w:ascii="Arial" w:cs="Arial" w:eastAsia="Arial" w:hAnsi="Arial"/>
                <w:sz w:val="18"/>
                <w:szCs w:val="18"/>
                <w:color w:val="auto"/>
              </w:rPr>
              <w:t xml:space="preserve"> C</w:t>
            </w:r>
            <w:r>
              <w:rPr>
                <w:rFonts w:ascii="Arial" w:cs="Arial" w:eastAsia="Arial" w:hAnsi="Arial"/>
                <w:sz w:val="12"/>
                <w:szCs w:val="12"/>
                <w:color w:val="auto"/>
              </w:rPr>
              <w:t>apital</w:t>
            </w:r>
            <w:r>
              <w:rPr>
                <w:rFonts w:ascii="Arial" w:cs="Arial" w:eastAsia="Arial" w:hAnsi="Arial"/>
                <w:sz w:val="18"/>
                <w:szCs w:val="18"/>
                <w:color w:val="auto"/>
              </w:rPr>
              <w:t xml:space="preserve"> R</w:t>
            </w:r>
            <w:r>
              <w:rPr>
                <w:rFonts w:ascii="Arial" w:cs="Arial" w:eastAsia="Arial" w:hAnsi="Arial"/>
                <w:sz w:val="12"/>
                <w:szCs w:val="12"/>
                <w:color w:val="auto"/>
              </w:rPr>
              <w:t>aises</w:t>
            </w:r>
          </w:p>
        </w:tc>
        <w:tc>
          <w:tcPr>
            <w:tcW w:w="46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61</w:t>
            </w: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5.20</w:t>
            </w:r>
          </w:p>
        </w:tc>
        <w:tc>
          <w:tcPr>
            <w:tcW w:w="4960" w:type="dxa"/>
            <w:vAlign w:val="bottom"/>
          </w:tcPr>
          <w:p>
            <w:pPr>
              <w:ind w:left="160"/>
              <w:spacing w:after="0"/>
              <w:rPr>
                <w:sz w:val="20"/>
                <w:szCs w:val="20"/>
                <w:color w:val="auto"/>
              </w:rPr>
            </w:pPr>
            <w:r>
              <w:rPr>
                <w:rFonts w:ascii="Arial" w:cs="Arial" w:eastAsia="Arial" w:hAnsi="Arial"/>
                <w:sz w:val="18"/>
                <w:szCs w:val="18"/>
                <w:color w:val="auto"/>
              </w:rPr>
              <w:t>T</w:t>
            </w:r>
            <w:r>
              <w:rPr>
                <w:rFonts w:ascii="Arial" w:cs="Arial" w:eastAsia="Arial" w:hAnsi="Arial"/>
                <w:sz w:val="12"/>
                <w:szCs w:val="12"/>
                <w:color w:val="auto"/>
              </w:rPr>
              <w:t>ouch</w:t>
            </w:r>
            <w:r>
              <w:rPr>
                <w:rFonts w:ascii="Arial" w:cs="Arial" w:eastAsia="Arial" w:hAnsi="Arial"/>
                <w:sz w:val="18"/>
                <w:szCs w:val="18"/>
                <w:color w:val="auto"/>
              </w:rPr>
              <w:t xml:space="preserve"> B</w:t>
            </w:r>
            <w:r>
              <w:rPr>
                <w:rFonts w:ascii="Arial" w:cs="Arial" w:eastAsia="Arial" w:hAnsi="Arial"/>
                <w:sz w:val="12"/>
                <w:szCs w:val="12"/>
                <w:color w:val="auto"/>
              </w:rPr>
              <w:t>usiness</w:t>
            </w:r>
            <w:r>
              <w:rPr>
                <w:rFonts w:ascii="Arial" w:cs="Arial" w:eastAsia="Arial" w:hAnsi="Arial"/>
                <w:sz w:val="18"/>
                <w:szCs w:val="18"/>
                <w:color w:val="auto"/>
              </w:rPr>
              <w:t xml:space="preserve"> P</w:t>
            </w:r>
            <w:r>
              <w:rPr>
                <w:rFonts w:ascii="Arial" w:cs="Arial" w:eastAsia="Arial" w:hAnsi="Arial"/>
                <w:sz w:val="12"/>
                <w:szCs w:val="12"/>
                <w:color w:val="auto"/>
              </w:rPr>
              <w:t>lan</w:t>
            </w:r>
          </w:p>
        </w:tc>
        <w:tc>
          <w:tcPr>
            <w:tcW w:w="4600" w:type="dxa"/>
            <w:vAlign w:val="bottom"/>
          </w:tcPr>
          <w:p>
            <w:pPr>
              <w:spacing w:after="0"/>
              <w:rPr>
                <w:sz w:val="18"/>
                <w:szCs w:val="18"/>
                <w:color w:val="auto"/>
              </w:rPr>
            </w:pPr>
          </w:p>
        </w:tc>
        <w:tc>
          <w:tcPr>
            <w:tcW w:w="1040" w:type="dxa"/>
            <w:vAlign w:val="bottom"/>
          </w:tcPr>
          <w:p>
            <w:pPr>
              <w:jc w:val="right"/>
              <w:ind w:right="310"/>
              <w:spacing w:after="0"/>
              <w:rPr>
                <w:sz w:val="20"/>
                <w:szCs w:val="20"/>
                <w:color w:val="auto"/>
              </w:rPr>
            </w:pPr>
            <w:r>
              <w:rPr>
                <w:rFonts w:ascii="Arial" w:cs="Arial" w:eastAsia="Arial" w:hAnsi="Arial"/>
                <w:sz w:val="18"/>
                <w:szCs w:val="18"/>
                <w:color w:val="auto"/>
              </w:rPr>
              <w:t>61</w:t>
            </w:r>
          </w:p>
        </w:tc>
      </w:tr>
      <w:tr>
        <w:trPr>
          <w:trHeight w:val="216"/>
        </w:trPr>
        <w:tc>
          <w:tcPr>
            <w:tcW w:w="5600" w:type="dxa"/>
            <w:vAlign w:val="bottom"/>
            <w:gridSpan w:val="2"/>
            <w:shd w:val="clear" w:color="auto" w:fill="CCEEFF"/>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5600" w:type="dxa"/>
            <w:vAlign w:val="bottom"/>
            <w:gridSpan w:val="2"/>
          </w:tcPr>
          <w:p>
            <w:pPr>
              <w:spacing w:after="0"/>
              <w:rPr>
                <w:sz w:val="20"/>
                <w:szCs w:val="20"/>
                <w:color w:val="auto"/>
              </w:rPr>
            </w:pPr>
            <w:r>
              <w:rPr>
                <w:rFonts w:ascii="Arial" w:cs="Arial" w:eastAsia="Arial" w:hAnsi="Arial"/>
                <w:sz w:val="18"/>
                <w:szCs w:val="18"/>
                <w:color w:val="auto"/>
              </w:rPr>
              <w:t>SECTION 6 NEGATIVE COVENANTS</w:t>
            </w:r>
          </w:p>
        </w:tc>
        <w:tc>
          <w:tcPr>
            <w:tcW w:w="4600" w:type="dxa"/>
            <w:vAlign w:val="bottom"/>
          </w:tcPr>
          <w:p>
            <w:pPr>
              <w:spacing w:after="0"/>
              <w:rPr>
                <w:sz w:val="18"/>
                <w:szCs w:val="18"/>
                <w:color w:val="auto"/>
              </w:rPr>
            </w:pPr>
          </w:p>
        </w:tc>
        <w:tc>
          <w:tcPr>
            <w:tcW w:w="1040" w:type="dxa"/>
            <w:vAlign w:val="bottom"/>
          </w:tcPr>
          <w:p>
            <w:pPr>
              <w:jc w:val="right"/>
              <w:ind w:right="310"/>
              <w:spacing w:after="0"/>
              <w:rPr>
                <w:sz w:val="20"/>
                <w:szCs w:val="20"/>
                <w:color w:val="auto"/>
              </w:rPr>
            </w:pPr>
            <w:r>
              <w:rPr>
                <w:rFonts w:ascii="Arial" w:cs="Arial" w:eastAsia="Arial" w:hAnsi="Arial"/>
                <w:sz w:val="18"/>
                <w:szCs w:val="18"/>
                <w:color w:val="auto"/>
              </w:rPr>
              <w:t>62</w:t>
            </w:r>
          </w:p>
        </w:tc>
      </w:tr>
      <w:tr>
        <w:trPr>
          <w:trHeight w:val="216"/>
        </w:trPr>
        <w:tc>
          <w:tcPr>
            <w:tcW w:w="640" w:type="dxa"/>
            <w:vAlign w:val="bottom"/>
            <w:shd w:val="clear" w:color="auto" w:fill="CCEEFF"/>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6.1</w:t>
            </w:r>
          </w:p>
        </w:tc>
        <w:tc>
          <w:tcPr>
            <w:tcW w:w="4960" w:type="dxa"/>
            <w:vAlign w:val="bottom"/>
          </w:tcPr>
          <w:p>
            <w:pPr>
              <w:ind w:left="160"/>
              <w:spacing w:after="0"/>
              <w:rPr>
                <w:sz w:val="20"/>
                <w:szCs w:val="20"/>
                <w:color w:val="auto"/>
              </w:rPr>
            </w:pPr>
            <w:r>
              <w:rPr>
                <w:rFonts w:ascii="Arial" w:cs="Arial" w:eastAsia="Arial" w:hAnsi="Arial"/>
                <w:sz w:val="18"/>
                <w:szCs w:val="18"/>
                <w:color w:val="auto"/>
              </w:rPr>
              <w:t>I</w:t>
            </w:r>
            <w:r>
              <w:rPr>
                <w:rFonts w:ascii="Arial" w:cs="Arial" w:eastAsia="Arial" w:hAnsi="Arial"/>
                <w:sz w:val="12"/>
                <w:szCs w:val="12"/>
                <w:color w:val="auto"/>
              </w:rPr>
              <w:t>ndebtedness</w:t>
            </w:r>
          </w:p>
        </w:tc>
        <w:tc>
          <w:tcPr>
            <w:tcW w:w="4600" w:type="dxa"/>
            <w:vAlign w:val="bottom"/>
          </w:tcPr>
          <w:p>
            <w:pPr>
              <w:spacing w:after="0"/>
              <w:rPr>
                <w:sz w:val="18"/>
                <w:szCs w:val="18"/>
                <w:color w:val="auto"/>
              </w:rPr>
            </w:pPr>
          </w:p>
        </w:tc>
        <w:tc>
          <w:tcPr>
            <w:tcW w:w="1040" w:type="dxa"/>
            <w:vAlign w:val="bottom"/>
          </w:tcPr>
          <w:p>
            <w:pPr>
              <w:jc w:val="right"/>
              <w:ind w:right="310"/>
              <w:spacing w:after="0"/>
              <w:rPr>
                <w:sz w:val="20"/>
                <w:szCs w:val="20"/>
                <w:color w:val="auto"/>
              </w:rPr>
            </w:pPr>
            <w:r>
              <w:rPr>
                <w:rFonts w:ascii="Arial" w:cs="Arial" w:eastAsia="Arial" w:hAnsi="Arial"/>
                <w:sz w:val="18"/>
                <w:szCs w:val="18"/>
                <w:color w:val="auto"/>
              </w:rPr>
              <w:t>62</w:t>
            </w:r>
          </w:p>
        </w:tc>
      </w:tr>
      <w:tr>
        <w:trPr>
          <w:trHeight w:val="216"/>
        </w:trPr>
        <w:tc>
          <w:tcPr>
            <w:tcW w:w="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6.2</w:t>
            </w:r>
          </w:p>
        </w:tc>
        <w:tc>
          <w:tcPr>
            <w:tcW w:w="4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w:t>
            </w:r>
            <w:r>
              <w:rPr>
                <w:rFonts w:ascii="Arial" w:cs="Arial" w:eastAsia="Arial" w:hAnsi="Arial"/>
                <w:sz w:val="12"/>
                <w:szCs w:val="12"/>
                <w:color w:val="auto"/>
              </w:rPr>
              <w:t>iens</w:t>
            </w:r>
          </w:p>
        </w:tc>
        <w:tc>
          <w:tcPr>
            <w:tcW w:w="46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62</w:t>
            </w: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6.3</w:t>
            </w:r>
          </w:p>
        </w:tc>
        <w:tc>
          <w:tcPr>
            <w:tcW w:w="4960" w:type="dxa"/>
            <w:vAlign w:val="bottom"/>
          </w:tcPr>
          <w:p>
            <w:pPr>
              <w:ind w:left="160"/>
              <w:spacing w:after="0"/>
              <w:rPr>
                <w:sz w:val="20"/>
                <w:szCs w:val="20"/>
                <w:color w:val="auto"/>
              </w:rPr>
            </w:pPr>
            <w:r>
              <w:rPr>
                <w:rFonts w:ascii="Arial" w:cs="Arial" w:eastAsia="Arial" w:hAnsi="Arial"/>
                <w:sz w:val="18"/>
                <w:szCs w:val="18"/>
                <w:color w:val="auto"/>
              </w:rPr>
              <w:t>F</w:t>
            </w:r>
            <w:r>
              <w:rPr>
                <w:rFonts w:ascii="Arial" w:cs="Arial" w:eastAsia="Arial" w:hAnsi="Arial"/>
                <w:sz w:val="12"/>
                <w:szCs w:val="12"/>
                <w:color w:val="auto"/>
              </w:rPr>
              <w:t>undamental</w:t>
            </w:r>
            <w:r>
              <w:rPr>
                <w:rFonts w:ascii="Arial" w:cs="Arial" w:eastAsia="Arial" w:hAnsi="Arial"/>
                <w:sz w:val="18"/>
                <w:szCs w:val="18"/>
                <w:color w:val="auto"/>
              </w:rPr>
              <w:t xml:space="preserve"> C</w:t>
            </w:r>
            <w:r>
              <w:rPr>
                <w:rFonts w:ascii="Arial" w:cs="Arial" w:eastAsia="Arial" w:hAnsi="Arial"/>
                <w:sz w:val="12"/>
                <w:szCs w:val="12"/>
                <w:color w:val="auto"/>
              </w:rPr>
              <w:t>hanges</w:t>
            </w:r>
          </w:p>
        </w:tc>
        <w:tc>
          <w:tcPr>
            <w:tcW w:w="4600" w:type="dxa"/>
            <w:vAlign w:val="bottom"/>
          </w:tcPr>
          <w:p>
            <w:pPr>
              <w:spacing w:after="0"/>
              <w:rPr>
                <w:sz w:val="18"/>
                <w:szCs w:val="18"/>
                <w:color w:val="auto"/>
              </w:rPr>
            </w:pPr>
          </w:p>
        </w:tc>
        <w:tc>
          <w:tcPr>
            <w:tcW w:w="1040" w:type="dxa"/>
            <w:vAlign w:val="bottom"/>
          </w:tcPr>
          <w:p>
            <w:pPr>
              <w:jc w:val="right"/>
              <w:ind w:right="310"/>
              <w:spacing w:after="0"/>
              <w:rPr>
                <w:sz w:val="20"/>
                <w:szCs w:val="20"/>
                <w:color w:val="auto"/>
              </w:rPr>
            </w:pPr>
            <w:r>
              <w:rPr>
                <w:rFonts w:ascii="Arial" w:cs="Arial" w:eastAsia="Arial" w:hAnsi="Arial"/>
                <w:sz w:val="18"/>
                <w:szCs w:val="18"/>
                <w:color w:val="auto"/>
              </w:rPr>
              <w:t>62</w:t>
            </w:r>
          </w:p>
        </w:tc>
      </w:tr>
      <w:tr>
        <w:trPr>
          <w:trHeight w:val="216"/>
        </w:trPr>
        <w:tc>
          <w:tcPr>
            <w:tcW w:w="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6.4</w:t>
            </w:r>
          </w:p>
        </w:tc>
        <w:tc>
          <w:tcPr>
            <w:tcW w:w="4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w:t>
            </w:r>
            <w:r>
              <w:rPr>
                <w:rFonts w:ascii="Arial" w:cs="Arial" w:eastAsia="Arial" w:hAnsi="Arial"/>
                <w:sz w:val="12"/>
                <w:szCs w:val="12"/>
                <w:color w:val="auto"/>
              </w:rPr>
              <w:t>isposition of</w:t>
            </w:r>
            <w:r>
              <w:rPr>
                <w:rFonts w:ascii="Arial" w:cs="Arial" w:eastAsia="Arial" w:hAnsi="Arial"/>
                <w:sz w:val="18"/>
                <w:szCs w:val="18"/>
                <w:color w:val="auto"/>
              </w:rPr>
              <w:t xml:space="preserve"> P</w:t>
            </w:r>
            <w:r>
              <w:rPr>
                <w:rFonts w:ascii="Arial" w:cs="Arial" w:eastAsia="Arial" w:hAnsi="Arial"/>
                <w:sz w:val="12"/>
                <w:szCs w:val="12"/>
                <w:color w:val="auto"/>
              </w:rPr>
              <w:t>roperty</w:t>
            </w:r>
          </w:p>
        </w:tc>
        <w:tc>
          <w:tcPr>
            <w:tcW w:w="46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62</w:t>
            </w: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6.5</w:t>
            </w:r>
          </w:p>
        </w:tc>
        <w:tc>
          <w:tcPr>
            <w:tcW w:w="4960" w:type="dxa"/>
            <w:vAlign w:val="bottom"/>
          </w:tcPr>
          <w:p>
            <w:pPr>
              <w:ind w:left="160"/>
              <w:spacing w:after="0"/>
              <w:rPr>
                <w:sz w:val="20"/>
                <w:szCs w:val="20"/>
                <w:color w:val="auto"/>
              </w:rPr>
            </w:pPr>
            <w:r>
              <w:rPr>
                <w:rFonts w:ascii="Arial" w:cs="Arial" w:eastAsia="Arial" w:hAnsi="Arial"/>
                <w:sz w:val="18"/>
                <w:szCs w:val="18"/>
                <w:color w:val="auto"/>
              </w:rPr>
              <w:t>R</w:t>
            </w:r>
            <w:r>
              <w:rPr>
                <w:rFonts w:ascii="Arial" w:cs="Arial" w:eastAsia="Arial" w:hAnsi="Arial"/>
                <w:sz w:val="12"/>
                <w:szCs w:val="12"/>
                <w:color w:val="auto"/>
              </w:rPr>
              <w:t>estricted</w:t>
            </w:r>
            <w:r>
              <w:rPr>
                <w:rFonts w:ascii="Arial" w:cs="Arial" w:eastAsia="Arial" w:hAnsi="Arial"/>
                <w:sz w:val="18"/>
                <w:szCs w:val="18"/>
                <w:color w:val="auto"/>
              </w:rPr>
              <w:t xml:space="preserve"> P</w:t>
            </w:r>
            <w:r>
              <w:rPr>
                <w:rFonts w:ascii="Arial" w:cs="Arial" w:eastAsia="Arial" w:hAnsi="Arial"/>
                <w:sz w:val="12"/>
                <w:szCs w:val="12"/>
                <w:color w:val="auto"/>
              </w:rPr>
              <w:t>ayments</w:t>
            </w:r>
          </w:p>
        </w:tc>
        <w:tc>
          <w:tcPr>
            <w:tcW w:w="4600" w:type="dxa"/>
            <w:vAlign w:val="bottom"/>
          </w:tcPr>
          <w:p>
            <w:pPr>
              <w:spacing w:after="0"/>
              <w:rPr>
                <w:sz w:val="18"/>
                <w:szCs w:val="18"/>
                <w:color w:val="auto"/>
              </w:rPr>
            </w:pPr>
          </w:p>
        </w:tc>
        <w:tc>
          <w:tcPr>
            <w:tcW w:w="1040" w:type="dxa"/>
            <w:vAlign w:val="bottom"/>
          </w:tcPr>
          <w:p>
            <w:pPr>
              <w:jc w:val="right"/>
              <w:ind w:right="310"/>
              <w:spacing w:after="0"/>
              <w:rPr>
                <w:sz w:val="20"/>
                <w:szCs w:val="20"/>
                <w:color w:val="auto"/>
              </w:rPr>
            </w:pPr>
            <w:r>
              <w:rPr>
                <w:rFonts w:ascii="Arial" w:cs="Arial" w:eastAsia="Arial" w:hAnsi="Arial"/>
                <w:sz w:val="18"/>
                <w:szCs w:val="18"/>
                <w:color w:val="auto"/>
              </w:rPr>
              <w:t>63</w:t>
            </w:r>
          </w:p>
        </w:tc>
      </w:tr>
      <w:tr>
        <w:trPr>
          <w:trHeight w:val="216"/>
        </w:trPr>
        <w:tc>
          <w:tcPr>
            <w:tcW w:w="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6.6</w:t>
            </w:r>
          </w:p>
        </w:tc>
        <w:tc>
          <w:tcPr>
            <w:tcW w:w="4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w:t>
            </w:r>
            <w:r>
              <w:rPr>
                <w:rFonts w:ascii="Arial" w:cs="Arial" w:eastAsia="Arial" w:hAnsi="Arial"/>
                <w:sz w:val="12"/>
                <w:szCs w:val="12"/>
                <w:color w:val="auto"/>
              </w:rPr>
              <w:t>nvestments</w:t>
            </w:r>
          </w:p>
        </w:tc>
        <w:tc>
          <w:tcPr>
            <w:tcW w:w="46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63</w:t>
            </w: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6.7</w:t>
            </w:r>
          </w:p>
        </w:tc>
        <w:tc>
          <w:tcPr>
            <w:tcW w:w="4960" w:type="dxa"/>
            <w:vAlign w:val="bottom"/>
          </w:tcPr>
          <w:p>
            <w:pPr>
              <w:ind w:left="160"/>
              <w:spacing w:after="0"/>
              <w:rPr>
                <w:sz w:val="20"/>
                <w:szCs w:val="20"/>
                <w:color w:val="auto"/>
              </w:rPr>
            </w:pPr>
            <w:r>
              <w:rPr>
                <w:rFonts w:ascii="Arial" w:cs="Arial" w:eastAsia="Arial" w:hAnsi="Arial"/>
                <w:sz w:val="18"/>
                <w:szCs w:val="18"/>
                <w:color w:val="auto"/>
              </w:rPr>
              <w:t>ERISA</w:t>
            </w:r>
          </w:p>
        </w:tc>
        <w:tc>
          <w:tcPr>
            <w:tcW w:w="4600" w:type="dxa"/>
            <w:vAlign w:val="bottom"/>
          </w:tcPr>
          <w:p>
            <w:pPr>
              <w:spacing w:after="0"/>
              <w:rPr>
                <w:sz w:val="18"/>
                <w:szCs w:val="18"/>
                <w:color w:val="auto"/>
              </w:rPr>
            </w:pPr>
          </w:p>
        </w:tc>
        <w:tc>
          <w:tcPr>
            <w:tcW w:w="1040" w:type="dxa"/>
            <w:vAlign w:val="bottom"/>
          </w:tcPr>
          <w:p>
            <w:pPr>
              <w:jc w:val="right"/>
              <w:ind w:right="310"/>
              <w:spacing w:after="0"/>
              <w:rPr>
                <w:sz w:val="20"/>
                <w:szCs w:val="20"/>
                <w:color w:val="auto"/>
              </w:rPr>
            </w:pPr>
            <w:r>
              <w:rPr>
                <w:rFonts w:ascii="Arial" w:cs="Arial" w:eastAsia="Arial" w:hAnsi="Arial"/>
                <w:sz w:val="18"/>
                <w:szCs w:val="18"/>
                <w:color w:val="auto"/>
              </w:rPr>
              <w:t>65</w:t>
            </w:r>
          </w:p>
        </w:tc>
      </w:tr>
      <w:tr>
        <w:trPr>
          <w:trHeight w:val="216"/>
        </w:trPr>
        <w:tc>
          <w:tcPr>
            <w:tcW w:w="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6.8</w:t>
            </w:r>
          </w:p>
        </w:tc>
        <w:tc>
          <w:tcPr>
            <w:tcW w:w="4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w:t>
            </w:r>
            <w:r>
              <w:rPr>
                <w:rFonts w:ascii="Arial" w:cs="Arial" w:eastAsia="Arial" w:hAnsi="Arial"/>
                <w:sz w:val="12"/>
                <w:szCs w:val="12"/>
                <w:color w:val="auto"/>
              </w:rPr>
              <w:t>ransactions with</w:t>
            </w:r>
            <w:r>
              <w:rPr>
                <w:rFonts w:ascii="Arial" w:cs="Arial" w:eastAsia="Arial" w:hAnsi="Arial"/>
                <w:sz w:val="18"/>
                <w:szCs w:val="18"/>
                <w:color w:val="auto"/>
              </w:rPr>
              <w:t xml:space="preserve"> A</w:t>
            </w:r>
            <w:r>
              <w:rPr>
                <w:rFonts w:ascii="Arial" w:cs="Arial" w:eastAsia="Arial" w:hAnsi="Arial"/>
                <w:sz w:val="12"/>
                <w:szCs w:val="12"/>
                <w:color w:val="auto"/>
              </w:rPr>
              <w:t>ffiliates</w:t>
            </w:r>
          </w:p>
        </w:tc>
        <w:tc>
          <w:tcPr>
            <w:tcW w:w="46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65</w:t>
            </w: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6.9</w:t>
            </w:r>
          </w:p>
        </w:tc>
        <w:tc>
          <w:tcPr>
            <w:tcW w:w="4960" w:type="dxa"/>
            <w:vAlign w:val="bottom"/>
          </w:tcPr>
          <w:p>
            <w:pPr>
              <w:ind w:left="160"/>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ccounting</w:t>
            </w:r>
            <w:r>
              <w:rPr>
                <w:rFonts w:ascii="Arial" w:cs="Arial" w:eastAsia="Arial" w:hAnsi="Arial"/>
                <w:sz w:val="18"/>
                <w:szCs w:val="18"/>
                <w:color w:val="auto"/>
              </w:rPr>
              <w:t xml:space="preserve"> C</w:t>
            </w:r>
            <w:r>
              <w:rPr>
                <w:rFonts w:ascii="Arial" w:cs="Arial" w:eastAsia="Arial" w:hAnsi="Arial"/>
                <w:sz w:val="12"/>
                <w:szCs w:val="12"/>
                <w:color w:val="auto"/>
              </w:rPr>
              <w:t>hanges</w:t>
            </w:r>
          </w:p>
        </w:tc>
        <w:tc>
          <w:tcPr>
            <w:tcW w:w="4600" w:type="dxa"/>
            <w:vAlign w:val="bottom"/>
          </w:tcPr>
          <w:p>
            <w:pPr>
              <w:spacing w:after="0"/>
              <w:rPr>
                <w:sz w:val="18"/>
                <w:szCs w:val="18"/>
                <w:color w:val="auto"/>
              </w:rPr>
            </w:pPr>
          </w:p>
        </w:tc>
        <w:tc>
          <w:tcPr>
            <w:tcW w:w="1040" w:type="dxa"/>
            <w:vAlign w:val="bottom"/>
          </w:tcPr>
          <w:p>
            <w:pPr>
              <w:jc w:val="right"/>
              <w:ind w:right="310"/>
              <w:spacing w:after="0"/>
              <w:rPr>
                <w:sz w:val="20"/>
                <w:szCs w:val="20"/>
                <w:color w:val="auto"/>
              </w:rPr>
            </w:pPr>
            <w:r>
              <w:rPr>
                <w:rFonts w:ascii="Arial" w:cs="Arial" w:eastAsia="Arial" w:hAnsi="Arial"/>
                <w:sz w:val="18"/>
                <w:szCs w:val="18"/>
                <w:color w:val="auto"/>
              </w:rPr>
              <w:t>65</w:t>
            </w:r>
          </w:p>
        </w:tc>
      </w:tr>
      <w:tr>
        <w:trPr>
          <w:trHeight w:val="216"/>
        </w:trPr>
        <w:tc>
          <w:tcPr>
            <w:tcW w:w="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6.10</w:t>
            </w:r>
          </w:p>
        </w:tc>
        <w:tc>
          <w:tcPr>
            <w:tcW w:w="4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w:t>
            </w:r>
            <w:r>
              <w:rPr>
                <w:rFonts w:ascii="Arial" w:cs="Arial" w:eastAsia="Arial" w:hAnsi="Arial"/>
                <w:sz w:val="12"/>
                <w:szCs w:val="12"/>
                <w:color w:val="auto"/>
              </w:rPr>
              <w:t>egative</w:t>
            </w:r>
            <w:r>
              <w:rPr>
                <w:rFonts w:ascii="Arial" w:cs="Arial" w:eastAsia="Arial" w:hAnsi="Arial"/>
                <w:sz w:val="18"/>
                <w:szCs w:val="18"/>
                <w:color w:val="auto"/>
              </w:rPr>
              <w:t xml:space="preserve"> P</w:t>
            </w:r>
            <w:r>
              <w:rPr>
                <w:rFonts w:ascii="Arial" w:cs="Arial" w:eastAsia="Arial" w:hAnsi="Arial"/>
                <w:sz w:val="12"/>
                <w:szCs w:val="12"/>
                <w:color w:val="auto"/>
              </w:rPr>
              <w:t>ledge</w:t>
            </w:r>
            <w:r>
              <w:rPr>
                <w:rFonts w:ascii="Arial" w:cs="Arial" w:eastAsia="Arial" w:hAnsi="Arial"/>
                <w:sz w:val="18"/>
                <w:szCs w:val="18"/>
                <w:color w:val="auto"/>
              </w:rPr>
              <w:t xml:space="preserve"> C</w:t>
            </w:r>
            <w:r>
              <w:rPr>
                <w:rFonts w:ascii="Arial" w:cs="Arial" w:eastAsia="Arial" w:hAnsi="Arial"/>
                <w:sz w:val="12"/>
                <w:szCs w:val="12"/>
                <w:color w:val="auto"/>
              </w:rPr>
              <w:t>lauses</w:t>
            </w:r>
          </w:p>
        </w:tc>
        <w:tc>
          <w:tcPr>
            <w:tcW w:w="46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65</w:t>
            </w: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6.11</w:t>
            </w:r>
          </w:p>
        </w:tc>
        <w:tc>
          <w:tcPr>
            <w:tcW w:w="4960" w:type="dxa"/>
            <w:vAlign w:val="bottom"/>
          </w:tcPr>
          <w:p>
            <w:pPr>
              <w:ind w:left="160"/>
              <w:spacing w:after="0"/>
              <w:rPr>
                <w:sz w:val="20"/>
                <w:szCs w:val="20"/>
                <w:color w:val="auto"/>
              </w:rPr>
            </w:pPr>
            <w:r>
              <w:rPr>
                <w:rFonts w:ascii="Arial" w:cs="Arial" w:eastAsia="Arial" w:hAnsi="Arial"/>
                <w:sz w:val="18"/>
                <w:szCs w:val="18"/>
                <w:color w:val="auto"/>
              </w:rPr>
              <w:t>L</w:t>
            </w:r>
            <w:r>
              <w:rPr>
                <w:rFonts w:ascii="Arial" w:cs="Arial" w:eastAsia="Arial" w:hAnsi="Arial"/>
                <w:sz w:val="12"/>
                <w:szCs w:val="12"/>
                <w:color w:val="auto"/>
              </w:rPr>
              <w:t>ines of</w:t>
            </w:r>
            <w:r>
              <w:rPr>
                <w:rFonts w:ascii="Arial" w:cs="Arial" w:eastAsia="Arial" w:hAnsi="Arial"/>
                <w:sz w:val="18"/>
                <w:szCs w:val="18"/>
                <w:color w:val="auto"/>
              </w:rPr>
              <w:t xml:space="preserve"> B</w:t>
            </w:r>
            <w:r>
              <w:rPr>
                <w:rFonts w:ascii="Arial" w:cs="Arial" w:eastAsia="Arial" w:hAnsi="Arial"/>
                <w:sz w:val="12"/>
                <w:szCs w:val="12"/>
                <w:color w:val="auto"/>
              </w:rPr>
              <w:t>usiness</w:t>
            </w:r>
            <w:r>
              <w:rPr>
                <w:rFonts w:ascii="Arial" w:cs="Arial" w:eastAsia="Arial" w:hAnsi="Arial"/>
                <w:sz w:val="18"/>
                <w:szCs w:val="18"/>
                <w:color w:val="auto"/>
              </w:rPr>
              <w:t>; S</w:t>
            </w:r>
            <w:r>
              <w:rPr>
                <w:rFonts w:ascii="Arial" w:cs="Arial" w:eastAsia="Arial" w:hAnsi="Arial"/>
                <w:sz w:val="12"/>
                <w:szCs w:val="12"/>
                <w:color w:val="auto"/>
              </w:rPr>
              <w:t>ubsidiaries</w:t>
            </w:r>
          </w:p>
        </w:tc>
        <w:tc>
          <w:tcPr>
            <w:tcW w:w="4600" w:type="dxa"/>
            <w:vAlign w:val="bottom"/>
          </w:tcPr>
          <w:p>
            <w:pPr>
              <w:spacing w:after="0"/>
              <w:rPr>
                <w:sz w:val="18"/>
                <w:szCs w:val="18"/>
                <w:color w:val="auto"/>
              </w:rPr>
            </w:pPr>
          </w:p>
        </w:tc>
        <w:tc>
          <w:tcPr>
            <w:tcW w:w="1040" w:type="dxa"/>
            <w:vAlign w:val="bottom"/>
          </w:tcPr>
          <w:p>
            <w:pPr>
              <w:jc w:val="right"/>
              <w:ind w:right="310"/>
              <w:spacing w:after="0"/>
              <w:rPr>
                <w:sz w:val="20"/>
                <w:szCs w:val="20"/>
                <w:color w:val="auto"/>
              </w:rPr>
            </w:pPr>
            <w:r>
              <w:rPr>
                <w:rFonts w:ascii="Arial" w:cs="Arial" w:eastAsia="Arial" w:hAnsi="Arial"/>
                <w:sz w:val="18"/>
                <w:szCs w:val="18"/>
                <w:color w:val="auto"/>
              </w:rPr>
              <w:t>66</w:t>
            </w:r>
          </w:p>
        </w:tc>
      </w:tr>
      <w:tr>
        <w:trPr>
          <w:trHeight w:val="216"/>
        </w:trPr>
        <w:tc>
          <w:tcPr>
            <w:tcW w:w="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6.12</w:t>
            </w:r>
          </w:p>
        </w:tc>
        <w:tc>
          <w:tcPr>
            <w:tcW w:w="9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w:t>
            </w:r>
            <w:r>
              <w:rPr>
                <w:rFonts w:ascii="Arial" w:cs="Arial" w:eastAsia="Arial" w:hAnsi="Arial"/>
                <w:sz w:val="12"/>
                <w:szCs w:val="12"/>
                <w:color w:val="auto"/>
              </w:rPr>
              <w:t>ayment of</w:t>
            </w:r>
            <w:r>
              <w:rPr>
                <w:rFonts w:ascii="Arial" w:cs="Arial" w:eastAsia="Arial" w:hAnsi="Arial"/>
                <w:sz w:val="18"/>
                <w:szCs w:val="18"/>
                <w:color w:val="auto"/>
              </w:rPr>
              <w:t xml:space="preserve"> N</w:t>
            </w:r>
            <w:r>
              <w:rPr>
                <w:rFonts w:ascii="Arial" w:cs="Arial" w:eastAsia="Arial" w:hAnsi="Arial"/>
                <w:sz w:val="12"/>
                <w:szCs w:val="12"/>
                <w:color w:val="auto"/>
              </w:rPr>
              <w:t>irvana</w:t>
            </w:r>
            <w:r>
              <w:rPr>
                <w:rFonts w:ascii="Arial" w:cs="Arial" w:eastAsia="Arial" w:hAnsi="Arial"/>
                <w:sz w:val="18"/>
                <w:szCs w:val="18"/>
                <w:color w:val="auto"/>
              </w:rPr>
              <w:t xml:space="preserve"> D</w:t>
            </w:r>
            <w:r>
              <w:rPr>
                <w:rFonts w:ascii="Arial" w:cs="Arial" w:eastAsia="Arial" w:hAnsi="Arial"/>
                <w:sz w:val="12"/>
                <w:szCs w:val="12"/>
                <w:color w:val="auto"/>
              </w:rPr>
              <w:t>ebt and</w:t>
            </w:r>
            <w:r>
              <w:rPr>
                <w:rFonts w:ascii="Arial" w:cs="Arial" w:eastAsia="Arial" w:hAnsi="Arial"/>
                <w:sz w:val="18"/>
                <w:szCs w:val="18"/>
                <w:color w:val="auto"/>
              </w:rPr>
              <w:t xml:space="preserve"> S</w:t>
            </w:r>
            <w:r>
              <w:rPr>
                <w:rFonts w:ascii="Arial" w:cs="Arial" w:eastAsia="Arial" w:hAnsi="Arial"/>
                <w:sz w:val="12"/>
                <w:szCs w:val="12"/>
                <w:color w:val="auto"/>
              </w:rPr>
              <w:t>ubordinated</w:t>
            </w:r>
            <w:r>
              <w:rPr>
                <w:rFonts w:ascii="Arial" w:cs="Arial" w:eastAsia="Arial" w:hAnsi="Arial"/>
                <w:sz w:val="18"/>
                <w:szCs w:val="18"/>
                <w:color w:val="auto"/>
              </w:rPr>
              <w:t xml:space="preserve"> I</w:t>
            </w:r>
            <w:r>
              <w:rPr>
                <w:rFonts w:ascii="Arial" w:cs="Arial" w:eastAsia="Arial" w:hAnsi="Arial"/>
                <w:sz w:val="12"/>
                <w:szCs w:val="12"/>
                <w:color w:val="auto"/>
              </w:rPr>
              <w:t>ndebtedness</w:t>
            </w:r>
            <w:r>
              <w:rPr>
                <w:rFonts w:ascii="Arial" w:cs="Arial" w:eastAsia="Arial" w:hAnsi="Arial"/>
                <w:sz w:val="18"/>
                <w:szCs w:val="18"/>
                <w:color w:val="auto"/>
              </w:rPr>
              <w:t>; A</w:t>
            </w:r>
            <w:r>
              <w:rPr>
                <w:rFonts w:ascii="Arial" w:cs="Arial" w:eastAsia="Arial" w:hAnsi="Arial"/>
                <w:sz w:val="12"/>
                <w:szCs w:val="12"/>
                <w:color w:val="auto"/>
              </w:rPr>
              <w:t>mendments to</w:t>
            </w:r>
            <w:r>
              <w:rPr>
                <w:rFonts w:ascii="Arial" w:cs="Arial" w:eastAsia="Arial" w:hAnsi="Arial"/>
                <w:sz w:val="18"/>
                <w:szCs w:val="18"/>
                <w:color w:val="auto"/>
              </w:rPr>
              <w:t xml:space="preserve"> O</w:t>
            </w:r>
            <w:r>
              <w:rPr>
                <w:rFonts w:ascii="Arial" w:cs="Arial" w:eastAsia="Arial" w:hAnsi="Arial"/>
                <w:sz w:val="12"/>
                <w:szCs w:val="12"/>
                <w:color w:val="auto"/>
              </w:rPr>
              <w:t>rganizational</w:t>
            </w:r>
            <w:r>
              <w:rPr>
                <w:rFonts w:ascii="Arial" w:cs="Arial" w:eastAsia="Arial" w:hAnsi="Arial"/>
                <w:sz w:val="18"/>
                <w:szCs w:val="18"/>
                <w:color w:val="auto"/>
              </w:rPr>
              <w:t xml:space="preserve"> A</w:t>
            </w:r>
            <w:r>
              <w:rPr>
                <w:rFonts w:ascii="Arial" w:cs="Arial" w:eastAsia="Arial" w:hAnsi="Arial"/>
                <w:sz w:val="12"/>
                <w:szCs w:val="12"/>
                <w:color w:val="auto"/>
              </w:rPr>
              <w:t>greements</w:t>
            </w:r>
            <w:r>
              <w:rPr>
                <w:rFonts w:ascii="Arial" w:cs="Arial" w:eastAsia="Arial" w:hAnsi="Arial"/>
                <w:sz w:val="18"/>
                <w:szCs w:val="18"/>
                <w:color w:val="auto"/>
              </w:rPr>
              <w:t>; M</w:t>
            </w:r>
            <w:r>
              <w:rPr>
                <w:rFonts w:ascii="Arial" w:cs="Arial" w:eastAsia="Arial" w:hAnsi="Arial"/>
                <w:sz w:val="12"/>
                <w:szCs w:val="12"/>
                <w:color w:val="auto"/>
              </w:rPr>
              <w:t>aterial</w:t>
            </w:r>
            <w:r>
              <w:rPr>
                <w:rFonts w:ascii="Arial" w:cs="Arial" w:eastAsia="Arial" w:hAnsi="Arial"/>
                <w:sz w:val="18"/>
                <w:szCs w:val="18"/>
                <w:color w:val="auto"/>
              </w:rPr>
              <w:t xml:space="preserve"> C</w:t>
            </w:r>
            <w:r>
              <w:rPr>
                <w:rFonts w:ascii="Arial" w:cs="Arial" w:eastAsia="Arial" w:hAnsi="Arial"/>
                <w:sz w:val="12"/>
                <w:szCs w:val="12"/>
                <w:color w:val="auto"/>
              </w:rPr>
              <w:t>ontracts</w:t>
            </w:r>
          </w:p>
        </w:tc>
        <w:tc>
          <w:tcPr>
            <w:tcW w:w="10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66</w:t>
            </w: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6.13</w:t>
            </w:r>
          </w:p>
        </w:tc>
        <w:tc>
          <w:tcPr>
            <w:tcW w:w="4960" w:type="dxa"/>
            <w:vAlign w:val="bottom"/>
          </w:tcPr>
          <w:p>
            <w:pPr>
              <w:ind w:left="160"/>
              <w:spacing w:after="0"/>
              <w:rPr>
                <w:sz w:val="20"/>
                <w:szCs w:val="20"/>
                <w:color w:val="auto"/>
              </w:rPr>
            </w:pPr>
            <w:r>
              <w:rPr>
                <w:rFonts w:ascii="Arial" w:cs="Arial" w:eastAsia="Arial" w:hAnsi="Arial"/>
                <w:sz w:val="18"/>
                <w:szCs w:val="18"/>
                <w:color w:val="auto"/>
              </w:rPr>
              <w:t>U</w:t>
            </w:r>
            <w:r>
              <w:rPr>
                <w:rFonts w:ascii="Arial" w:cs="Arial" w:eastAsia="Arial" w:hAnsi="Arial"/>
                <w:sz w:val="12"/>
                <w:szCs w:val="12"/>
                <w:color w:val="auto"/>
              </w:rPr>
              <w:t>se of</w:t>
            </w:r>
            <w:r>
              <w:rPr>
                <w:rFonts w:ascii="Arial" w:cs="Arial" w:eastAsia="Arial" w:hAnsi="Arial"/>
                <w:sz w:val="18"/>
                <w:szCs w:val="18"/>
                <w:color w:val="auto"/>
              </w:rPr>
              <w:t xml:space="preserve"> P</w:t>
            </w:r>
            <w:r>
              <w:rPr>
                <w:rFonts w:ascii="Arial" w:cs="Arial" w:eastAsia="Arial" w:hAnsi="Arial"/>
                <w:sz w:val="12"/>
                <w:szCs w:val="12"/>
                <w:color w:val="auto"/>
              </w:rPr>
              <w:t>roceeds</w:t>
            </w:r>
          </w:p>
        </w:tc>
        <w:tc>
          <w:tcPr>
            <w:tcW w:w="4600" w:type="dxa"/>
            <w:vAlign w:val="bottom"/>
          </w:tcPr>
          <w:p>
            <w:pPr>
              <w:spacing w:after="0"/>
              <w:rPr>
                <w:sz w:val="18"/>
                <w:szCs w:val="18"/>
                <w:color w:val="auto"/>
              </w:rPr>
            </w:pPr>
          </w:p>
        </w:tc>
        <w:tc>
          <w:tcPr>
            <w:tcW w:w="1040" w:type="dxa"/>
            <w:vAlign w:val="bottom"/>
          </w:tcPr>
          <w:p>
            <w:pPr>
              <w:jc w:val="right"/>
              <w:ind w:right="310"/>
              <w:spacing w:after="0"/>
              <w:rPr>
                <w:sz w:val="20"/>
                <w:szCs w:val="20"/>
                <w:color w:val="auto"/>
              </w:rPr>
            </w:pPr>
            <w:r>
              <w:rPr>
                <w:rFonts w:ascii="Arial" w:cs="Arial" w:eastAsia="Arial" w:hAnsi="Arial"/>
                <w:sz w:val="18"/>
                <w:szCs w:val="18"/>
                <w:color w:val="auto"/>
              </w:rPr>
              <w:t>67</w:t>
            </w:r>
          </w:p>
        </w:tc>
      </w:tr>
      <w:tr>
        <w:trPr>
          <w:trHeight w:val="216"/>
        </w:trPr>
        <w:tc>
          <w:tcPr>
            <w:tcW w:w="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6.14</w:t>
            </w:r>
          </w:p>
        </w:tc>
        <w:tc>
          <w:tcPr>
            <w:tcW w:w="4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ale</w:t>
            </w:r>
            <w:r>
              <w:rPr>
                <w:rFonts w:ascii="Arial" w:cs="Arial" w:eastAsia="Arial" w:hAnsi="Arial"/>
                <w:sz w:val="18"/>
                <w:szCs w:val="18"/>
                <w:color w:val="auto"/>
              </w:rPr>
              <w:t xml:space="preserve"> L</w:t>
            </w:r>
            <w:r>
              <w:rPr>
                <w:rFonts w:ascii="Arial" w:cs="Arial" w:eastAsia="Arial" w:hAnsi="Arial"/>
                <w:sz w:val="12"/>
                <w:szCs w:val="12"/>
                <w:color w:val="auto"/>
              </w:rPr>
              <w:t>easeback</w:t>
            </w:r>
            <w:r>
              <w:rPr>
                <w:rFonts w:ascii="Arial" w:cs="Arial" w:eastAsia="Arial" w:hAnsi="Arial"/>
                <w:sz w:val="18"/>
                <w:szCs w:val="18"/>
                <w:color w:val="auto"/>
              </w:rPr>
              <w:t xml:space="preserve"> T</w:t>
            </w:r>
            <w:r>
              <w:rPr>
                <w:rFonts w:ascii="Arial" w:cs="Arial" w:eastAsia="Arial" w:hAnsi="Arial"/>
                <w:sz w:val="12"/>
                <w:szCs w:val="12"/>
                <w:color w:val="auto"/>
              </w:rPr>
              <w:t>ransactions</w:t>
            </w:r>
          </w:p>
        </w:tc>
        <w:tc>
          <w:tcPr>
            <w:tcW w:w="46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67</w:t>
            </w:r>
          </w:p>
        </w:tc>
      </w:tr>
      <w:tr>
        <w:trPr>
          <w:trHeight w:val="682"/>
        </w:trPr>
        <w:tc>
          <w:tcPr>
            <w:tcW w:w="5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Presto Credit Agreement</w:t>
            </w:r>
          </w:p>
        </w:tc>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ii</w:t>
            </w:r>
          </w:p>
        </w:tc>
        <w:tc>
          <w:tcPr>
            <w:tcW w:w="1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23" w:right="339" w:bottom="1440" w:gutter="0" w:footer="0" w:header="0"/>
        </w:sectPr>
      </w:pPr>
    </w:p>
    <w:bookmarkStart w:id="75" w:name="page76"/>
    <w:bookmarkEnd w:id="7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6.15</w:t>
            </w:r>
          </w:p>
        </w:tc>
        <w:tc>
          <w:tcPr>
            <w:tcW w:w="4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w:t>
            </w:r>
            <w:r>
              <w:rPr>
                <w:rFonts w:ascii="Arial" w:cs="Arial" w:eastAsia="Arial" w:hAnsi="Arial"/>
                <w:sz w:val="12"/>
                <w:szCs w:val="12"/>
                <w:color w:val="auto"/>
              </w:rPr>
              <w:t>uaranty</w:t>
            </w:r>
          </w:p>
        </w:tc>
        <w:tc>
          <w:tcPr>
            <w:tcW w:w="61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67</w:t>
            </w: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6.16</w:t>
            </w:r>
          </w:p>
        </w:tc>
        <w:tc>
          <w:tcPr>
            <w:tcW w:w="4420" w:type="dxa"/>
            <w:vAlign w:val="bottom"/>
          </w:tcPr>
          <w:p>
            <w:pPr>
              <w:ind w:left="160"/>
              <w:spacing w:after="0"/>
              <w:rPr>
                <w:sz w:val="20"/>
                <w:szCs w:val="20"/>
                <w:color w:val="auto"/>
              </w:rPr>
            </w:pPr>
            <w:r>
              <w:rPr>
                <w:rFonts w:ascii="Arial" w:cs="Arial" w:eastAsia="Arial" w:hAnsi="Arial"/>
                <w:sz w:val="18"/>
                <w:szCs w:val="18"/>
                <w:color w:val="auto"/>
              </w:rPr>
              <w:t>N</w:t>
            </w:r>
            <w:r>
              <w:rPr>
                <w:rFonts w:ascii="Arial" w:cs="Arial" w:eastAsia="Arial" w:hAnsi="Arial"/>
                <w:sz w:val="12"/>
                <w:szCs w:val="12"/>
                <w:color w:val="auto"/>
              </w:rPr>
              <w:t>o</w:t>
            </w:r>
            <w:r>
              <w:rPr>
                <w:rFonts w:ascii="Arial" w:cs="Arial" w:eastAsia="Arial" w:hAnsi="Arial"/>
                <w:sz w:val="18"/>
                <w:szCs w:val="18"/>
                <w:color w:val="auto"/>
              </w:rPr>
              <w:t xml:space="preserve"> B</w:t>
            </w:r>
            <w:r>
              <w:rPr>
                <w:rFonts w:ascii="Arial" w:cs="Arial" w:eastAsia="Arial" w:hAnsi="Arial"/>
                <w:sz w:val="12"/>
                <w:szCs w:val="12"/>
                <w:color w:val="auto"/>
              </w:rPr>
              <w:t>urdensome</w:t>
            </w:r>
            <w:r>
              <w:rPr>
                <w:rFonts w:ascii="Arial" w:cs="Arial" w:eastAsia="Arial" w:hAnsi="Arial"/>
                <w:sz w:val="18"/>
                <w:szCs w:val="18"/>
                <w:color w:val="auto"/>
              </w:rPr>
              <w:t xml:space="preserve"> R</w:t>
            </w:r>
            <w:r>
              <w:rPr>
                <w:rFonts w:ascii="Arial" w:cs="Arial" w:eastAsia="Arial" w:hAnsi="Arial"/>
                <w:sz w:val="12"/>
                <w:szCs w:val="12"/>
                <w:color w:val="auto"/>
              </w:rPr>
              <w:t>estrictions</w:t>
            </w:r>
          </w:p>
        </w:tc>
        <w:tc>
          <w:tcPr>
            <w:tcW w:w="6180" w:type="dxa"/>
            <w:vAlign w:val="bottom"/>
          </w:tcPr>
          <w:p>
            <w:pPr>
              <w:jc w:val="right"/>
              <w:ind w:right="310"/>
              <w:spacing w:after="0"/>
              <w:rPr>
                <w:sz w:val="20"/>
                <w:szCs w:val="20"/>
                <w:color w:val="auto"/>
              </w:rPr>
            </w:pPr>
            <w:r>
              <w:rPr>
                <w:rFonts w:ascii="Arial" w:cs="Arial" w:eastAsia="Arial" w:hAnsi="Arial"/>
                <w:sz w:val="18"/>
                <w:szCs w:val="18"/>
                <w:color w:val="auto"/>
              </w:rPr>
              <w:t>67</w:t>
            </w:r>
          </w:p>
        </w:tc>
      </w:tr>
      <w:tr>
        <w:trPr>
          <w:trHeight w:val="216"/>
        </w:trPr>
        <w:tc>
          <w:tcPr>
            <w:tcW w:w="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6.17</w:t>
            </w:r>
          </w:p>
        </w:tc>
        <w:tc>
          <w:tcPr>
            <w:tcW w:w="4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w:t>
            </w:r>
            <w:r>
              <w:rPr>
                <w:rFonts w:ascii="Arial" w:cs="Arial" w:eastAsia="Arial" w:hAnsi="Arial"/>
                <w:sz w:val="12"/>
                <w:szCs w:val="12"/>
                <w:color w:val="auto"/>
              </w:rPr>
              <w:t>inancial</w:t>
            </w:r>
            <w:r>
              <w:rPr>
                <w:rFonts w:ascii="Arial" w:cs="Arial" w:eastAsia="Arial" w:hAnsi="Arial"/>
                <w:sz w:val="18"/>
                <w:szCs w:val="18"/>
                <w:color w:val="auto"/>
              </w:rPr>
              <w:t xml:space="preserve"> C</w:t>
            </w:r>
            <w:r>
              <w:rPr>
                <w:rFonts w:ascii="Arial" w:cs="Arial" w:eastAsia="Arial" w:hAnsi="Arial"/>
                <w:sz w:val="12"/>
                <w:szCs w:val="12"/>
                <w:color w:val="auto"/>
              </w:rPr>
              <w:t>ovenants</w:t>
            </w:r>
          </w:p>
        </w:tc>
        <w:tc>
          <w:tcPr>
            <w:tcW w:w="61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68</w:t>
            </w: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6.18</w:t>
            </w:r>
          </w:p>
        </w:tc>
        <w:tc>
          <w:tcPr>
            <w:tcW w:w="4420" w:type="dxa"/>
            <w:vAlign w:val="bottom"/>
          </w:tcPr>
          <w:p>
            <w:pPr>
              <w:ind w:left="160"/>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hange of</w:t>
            </w:r>
            <w:r>
              <w:rPr>
                <w:rFonts w:ascii="Arial" w:cs="Arial" w:eastAsia="Arial" w:hAnsi="Arial"/>
                <w:sz w:val="18"/>
                <w:szCs w:val="18"/>
                <w:color w:val="auto"/>
              </w:rPr>
              <w:t xml:space="preserve"> C</w:t>
            </w:r>
            <w:r>
              <w:rPr>
                <w:rFonts w:ascii="Arial" w:cs="Arial" w:eastAsia="Arial" w:hAnsi="Arial"/>
                <w:sz w:val="12"/>
                <w:szCs w:val="12"/>
                <w:color w:val="auto"/>
              </w:rPr>
              <w:t>ontrol</w:t>
            </w:r>
          </w:p>
        </w:tc>
        <w:tc>
          <w:tcPr>
            <w:tcW w:w="6180" w:type="dxa"/>
            <w:vAlign w:val="bottom"/>
          </w:tcPr>
          <w:p>
            <w:pPr>
              <w:jc w:val="right"/>
              <w:ind w:right="310"/>
              <w:spacing w:after="0"/>
              <w:rPr>
                <w:sz w:val="20"/>
                <w:szCs w:val="20"/>
                <w:color w:val="auto"/>
              </w:rPr>
            </w:pPr>
            <w:r>
              <w:rPr>
                <w:rFonts w:ascii="Arial" w:cs="Arial" w:eastAsia="Arial" w:hAnsi="Arial"/>
                <w:sz w:val="18"/>
                <w:szCs w:val="18"/>
                <w:color w:val="auto"/>
              </w:rPr>
              <w:t>69</w:t>
            </w:r>
          </w:p>
        </w:tc>
      </w:tr>
      <w:tr>
        <w:trPr>
          <w:trHeight w:val="216"/>
        </w:trPr>
        <w:tc>
          <w:tcPr>
            <w:tcW w:w="5060" w:type="dxa"/>
            <w:vAlign w:val="bottom"/>
            <w:gridSpan w:val="2"/>
            <w:shd w:val="clear" w:color="auto" w:fill="CCEEFF"/>
          </w:tcPr>
          <w:p>
            <w:pPr>
              <w:spacing w:after="0"/>
              <w:rPr>
                <w:sz w:val="18"/>
                <w:szCs w:val="18"/>
                <w:color w:val="auto"/>
              </w:rPr>
            </w:pPr>
          </w:p>
        </w:tc>
        <w:tc>
          <w:tcPr>
            <w:tcW w:w="6180" w:type="dxa"/>
            <w:vAlign w:val="bottom"/>
            <w:shd w:val="clear" w:color="auto" w:fill="CCEEFF"/>
          </w:tcPr>
          <w:p>
            <w:pPr>
              <w:spacing w:after="0"/>
              <w:rPr>
                <w:sz w:val="18"/>
                <w:szCs w:val="18"/>
                <w:color w:val="auto"/>
              </w:rPr>
            </w:pPr>
          </w:p>
        </w:tc>
      </w:tr>
      <w:tr>
        <w:trPr>
          <w:trHeight w:val="216"/>
        </w:trPr>
        <w:tc>
          <w:tcPr>
            <w:tcW w:w="5060" w:type="dxa"/>
            <w:vAlign w:val="bottom"/>
            <w:gridSpan w:val="2"/>
          </w:tcPr>
          <w:p>
            <w:pPr>
              <w:spacing w:after="0"/>
              <w:rPr>
                <w:sz w:val="20"/>
                <w:szCs w:val="20"/>
                <w:color w:val="auto"/>
              </w:rPr>
            </w:pPr>
            <w:r>
              <w:rPr>
                <w:rFonts w:ascii="Arial" w:cs="Arial" w:eastAsia="Arial" w:hAnsi="Arial"/>
                <w:sz w:val="18"/>
                <w:szCs w:val="18"/>
                <w:color w:val="auto"/>
              </w:rPr>
              <w:t>SECTION 7 EVENTS OF DEFAULT</w:t>
            </w:r>
          </w:p>
        </w:tc>
        <w:tc>
          <w:tcPr>
            <w:tcW w:w="6180" w:type="dxa"/>
            <w:vAlign w:val="bottom"/>
          </w:tcPr>
          <w:p>
            <w:pPr>
              <w:jc w:val="right"/>
              <w:ind w:right="310"/>
              <w:spacing w:after="0"/>
              <w:rPr>
                <w:sz w:val="20"/>
                <w:szCs w:val="20"/>
                <w:color w:val="auto"/>
              </w:rPr>
            </w:pPr>
            <w:r>
              <w:rPr>
                <w:rFonts w:ascii="Arial" w:cs="Arial" w:eastAsia="Arial" w:hAnsi="Arial"/>
                <w:sz w:val="18"/>
                <w:szCs w:val="18"/>
                <w:color w:val="auto"/>
              </w:rPr>
              <w:t>69</w:t>
            </w:r>
          </w:p>
        </w:tc>
      </w:tr>
      <w:tr>
        <w:trPr>
          <w:trHeight w:val="216"/>
        </w:trPr>
        <w:tc>
          <w:tcPr>
            <w:tcW w:w="640" w:type="dxa"/>
            <w:vAlign w:val="bottom"/>
            <w:shd w:val="clear" w:color="auto" w:fill="CCEEFF"/>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6180" w:type="dxa"/>
            <w:vAlign w:val="bottom"/>
            <w:shd w:val="clear" w:color="auto" w:fill="CCEEFF"/>
          </w:tcPr>
          <w:p>
            <w:pPr>
              <w:spacing w:after="0"/>
              <w:rPr>
                <w:sz w:val="18"/>
                <w:szCs w:val="18"/>
                <w:color w:val="auto"/>
              </w:rPr>
            </w:pP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7.1</w:t>
            </w:r>
          </w:p>
        </w:tc>
        <w:tc>
          <w:tcPr>
            <w:tcW w:w="4420" w:type="dxa"/>
            <w:vAlign w:val="bottom"/>
          </w:tcPr>
          <w:p>
            <w:pPr>
              <w:ind w:left="160"/>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vents of</w:t>
            </w:r>
            <w:r>
              <w:rPr>
                <w:rFonts w:ascii="Arial" w:cs="Arial" w:eastAsia="Arial" w:hAnsi="Arial"/>
                <w:sz w:val="18"/>
                <w:szCs w:val="18"/>
                <w:color w:val="auto"/>
              </w:rPr>
              <w:t xml:space="preserve"> D</w:t>
            </w:r>
            <w:r>
              <w:rPr>
                <w:rFonts w:ascii="Arial" w:cs="Arial" w:eastAsia="Arial" w:hAnsi="Arial"/>
                <w:sz w:val="12"/>
                <w:szCs w:val="12"/>
                <w:color w:val="auto"/>
              </w:rPr>
              <w:t>efault</w:t>
            </w:r>
          </w:p>
        </w:tc>
        <w:tc>
          <w:tcPr>
            <w:tcW w:w="6180" w:type="dxa"/>
            <w:vAlign w:val="bottom"/>
          </w:tcPr>
          <w:p>
            <w:pPr>
              <w:jc w:val="right"/>
              <w:ind w:right="310"/>
              <w:spacing w:after="0"/>
              <w:rPr>
                <w:sz w:val="20"/>
                <w:szCs w:val="20"/>
                <w:color w:val="auto"/>
              </w:rPr>
            </w:pPr>
            <w:r>
              <w:rPr>
                <w:rFonts w:ascii="Arial" w:cs="Arial" w:eastAsia="Arial" w:hAnsi="Arial"/>
                <w:sz w:val="18"/>
                <w:szCs w:val="18"/>
                <w:color w:val="auto"/>
              </w:rPr>
              <w:t>69</w:t>
            </w:r>
          </w:p>
        </w:tc>
      </w:tr>
      <w:tr>
        <w:trPr>
          <w:trHeight w:val="216"/>
        </w:trPr>
        <w:tc>
          <w:tcPr>
            <w:tcW w:w="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7.2</w:t>
            </w:r>
          </w:p>
        </w:tc>
        <w:tc>
          <w:tcPr>
            <w:tcW w:w="4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w:t>
            </w:r>
            <w:r>
              <w:rPr>
                <w:rFonts w:ascii="Arial" w:cs="Arial" w:eastAsia="Arial" w:hAnsi="Arial"/>
                <w:sz w:val="12"/>
                <w:szCs w:val="12"/>
                <w:color w:val="auto"/>
              </w:rPr>
              <w:t>emedies</w:t>
            </w:r>
            <w:r>
              <w:rPr>
                <w:rFonts w:ascii="Arial" w:cs="Arial" w:eastAsia="Arial" w:hAnsi="Arial"/>
                <w:sz w:val="18"/>
                <w:szCs w:val="18"/>
                <w:color w:val="auto"/>
              </w:rPr>
              <w:t xml:space="preserve"> U</w:t>
            </w:r>
            <w:r>
              <w:rPr>
                <w:rFonts w:ascii="Arial" w:cs="Arial" w:eastAsia="Arial" w:hAnsi="Arial"/>
                <w:sz w:val="12"/>
                <w:szCs w:val="12"/>
                <w:color w:val="auto"/>
              </w:rPr>
              <w:t>pon</w:t>
            </w:r>
            <w:r>
              <w:rPr>
                <w:rFonts w:ascii="Arial" w:cs="Arial" w:eastAsia="Arial" w:hAnsi="Arial"/>
                <w:sz w:val="18"/>
                <w:szCs w:val="18"/>
                <w:color w:val="auto"/>
              </w:rPr>
              <w:t xml:space="preserve"> E</w:t>
            </w:r>
            <w:r>
              <w:rPr>
                <w:rFonts w:ascii="Arial" w:cs="Arial" w:eastAsia="Arial" w:hAnsi="Arial"/>
                <w:sz w:val="12"/>
                <w:szCs w:val="12"/>
                <w:color w:val="auto"/>
              </w:rPr>
              <w:t>vent of</w:t>
            </w:r>
            <w:r>
              <w:rPr>
                <w:rFonts w:ascii="Arial" w:cs="Arial" w:eastAsia="Arial" w:hAnsi="Arial"/>
                <w:sz w:val="18"/>
                <w:szCs w:val="18"/>
                <w:color w:val="auto"/>
              </w:rPr>
              <w:t xml:space="preserve"> D</w:t>
            </w:r>
            <w:r>
              <w:rPr>
                <w:rFonts w:ascii="Arial" w:cs="Arial" w:eastAsia="Arial" w:hAnsi="Arial"/>
                <w:sz w:val="12"/>
                <w:szCs w:val="12"/>
                <w:color w:val="auto"/>
              </w:rPr>
              <w:t>efault</w:t>
            </w:r>
          </w:p>
        </w:tc>
        <w:tc>
          <w:tcPr>
            <w:tcW w:w="61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72</w:t>
            </w: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7.3</w:t>
            </w:r>
          </w:p>
        </w:tc>
        <w:tc>
          <w:tcPr>
            <w:tcW w:w="4420" w:type="dxa"/>
            <w:vAlign w:val="bottom"/>
          </w:tcPr>
          <w:p>
            <w:pPr>
              <w:ind w:left="160"/>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pplication of</w:t>
            </w:r>
            <w:r>
              <w:rPr>
                <w:rFonts w:ascii="Arial" w:cs="Arial" w:eastAsia="Arial" w:hAnsi="Arial"/>
                <w:sz w:val="18"/>
                <w:szCs w:val="18"/>
                <w:color w:val="auto"/>
              </w:rPr>
              <w:t xml:space="preserve"> F</w:t>
            </w:r>
            <w:r>
              <w:rPr>
                <w:rFonts w:ascii="Arial" w:cs="Arial" w:eastAsia="Arial" w:hAnsi="Arial"/>
                <w:sz w:val="12"/>
                <w:szCs w:val="12"/>
                <w:color w:val="auto"/>
              </w:rPr>
              <w:t>unds</w:t>
            </w:r>
          </w:p>
        </w:tc>
        <w:tc>
          <w:tcPr>
            <w:tcW w:w="6180" w:type="dxa"/>
            <w:vAlign w:val="bottom"/>
          </w:tcPr>
          <w:p>
            <w:pPr>
              <w:jc w:val="right"/>
              <w:ind w:right="310"/>
              <w:spacing w:after="0"/>
              <w:rPr>
                <w:sz w:val="20"/>
                <w:szCs w:val="20"/>
                <w:color w:val="auto"/>
              </w:rPr>
            </w:pPr>
            <w:r>
              <w:rPr>
                <w:rFonts w:ascii="Arial" w:cs="Arial" w:eastAsia="Arial" w:hAnsi="Arial"/>
                <w:sz w:val="18"/>
                <w:szCs w:val="18"/>
                <w:color w:val="auto"/>
              </w:rPr>
              <w:t>74</w:t>
            </w:r>
          </w:p>
        </w:tc>
      </w:tr>
      <w:tr>
        <w:trPr>
          <w:trHeight w:val="216"/>
        </w:trPr>
        <w:tc>
          <w:tcPr>
            <w:tcW w:w="5060" w:type="dxa"/>
            <w:vAlign w:val="bottom"/>
            <w:gridSpan w:val="2"/>
            <w:shd w:val="clear" w:color="auto" w:fill="CCEEFF"/>
          </w:tcPr>
          <w:p>
            <w:pPr>
              <w:spacing w:after="0"/>
              <w:rPr>
                <w:sz w:val="18"/>
                <w:szCs w:val="18"/>
                <w:color w:val="auto"/>
              </w:rPr>
            </w:pPr>
          </w:p>
        </w:tc>
        <w:tc>
          <w:tcPr>
            <w:tcW w:w="6180" w:type="dxa"/>
            <w:vAlign w:val="bottom"/>
            <w:shd w:val="clear" w:color="auto" w:fill="CCEEFF"/>
          </w:tcPr>
          <w:p>
            <w:pPr>
              <w:spacing w:after="0"/>
              <w:rPr>
                <w:sz w:val="18"/>
                <w:szCs w:val="18"/>
                <w:color w:val="auto"/>
              </w:rPr>
            </w:pPr>
          </w:p>
        </w:tc>
      </w:tr>
      <w:tr>
        <w:trPr>
          <w:trHeight w:val="216"/>
        </w:trPr>
        <w:tc>
          <w:tcPr>
            <w:tcW w:w="5060" w:type="dxa"/>
            <w:vAlign w:val="bottom"/>
            <w:gridSpan w:val="2"/>
          </w:tcPr>
          <w:p>
            <w:pPr>
              <w:spacing w:after="0"/>
              <w:rPr>
                <w:sz w:val="20"/>
                <w:szCs w:val="20"/>
                <w:color w:val="auto"/>
              </w:rPr>
            </w:pPr>
            <w:r>
              <w:rPr>
                <w:rFonts w:ascii="Arial" w:cs="Arial" w:eastAsia="Arial" w:hAnsi="Arial"/>
                <w:sz w:val="18"/>
                <w:szCs w:val="18"/>
                <w:color w:val="auto"/>
              </w:rPr>
              <w:t>SECTION 8 MISCELLANEOUS</w:t>
            </w:r>
          </w:p>
        </w:tc>
        <w:tc>
          <w:tcPr>
            <w:tcW w:w="6180" w:type="dxa"/>
            <w:vAlign w:val="bottom"/>
          </w:tcPr>
          <w:p>
            <w:pPr>
              <w:jc w:val="right"/>
              <w:ind w:right="310"/>
              <w:spacing w:after="0"/>
              <w:rPr>
                <w:sz w:val="20"/>
                <w:szCs w:val="20"/>
                <w:color w:val="auto"/>
              </w:rPr>
            </w:pPr>
            <w:r>
              <w:rPr>
                <w:rFonts w:ascii="Arial" w:cs="Arial" w:eastAsia="Arial" w:hAnsi="Arial"/>
                <w:sz w:val="18"/>
                <w:szCs w:val="18"/>
                <w:color w:val="auto"/>
              </w:rPr>
              <w:t>75</w:t>
            </w:r>
          </w:p>
        </w:tc>
      </w:tr>
      <w:tr>
        <w:trPr>
          <w:trHeight w:val="216"/>
        </w:trPr>
        <w:tc>
          <w:tcPr>
            <w:tcW w:w="640" w:type="dxa"/>
            <w:vAlign w:val="bottom"/>
            <w:shd w:val="clear" w:color="auto" w:fill="CCEEFF"/>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6180" w:type="dxa"/>
            <w:vAlign w:val="bottom"/>
            <w:shd w:val="clear" w:color="auto" w:fill="CCEEFF"/>
          </w:tcPr>
          <w:p>
            <w:pPr>
              <w:spacing w:after="0"/>
              <w:rPr>
                <w:sz w:val="18"/>
                <w:szCs w:val="18"/>
                <w:color w:val="auto"/>
              </w:rPr>
            </w:pP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8.1</w:t>
            </w:r>
          </w:p>
        </w:tc>
        <w:tc>
          <w:tcPr>
            <w:tcW w:w="4420" w:type="dxa"/>
            <w:vAlign w:val="bottom"/>
          </w:tcPr>
          <w:p>
            <w:pPr>
              <w:ind w:left="160"/>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mendments and</w:t>
            </w:r>
            <w:r>
              <w:rPr>
                <w:rFonts w:ascii="Arial" w:cs="Arial" w:eastAsia="Arial" w:hAnsi="Arial"/>
                <w:sz w:val="18"/>
                <w:szCs w:val="18"/>
                <w:color w:val="auto"/>
              </w:rPr>
              <w:t xml:space="preserve"> W</w:t>
            </w:r>
            <w:r>
              <w:rPr>
                <w:rFonts w:ascii="Arial" w:cs="Arial" w:eastAsia="Arial" w:hAnsi="Arial"/>
                <w:sz w:val="12"/>
                <w:szCs w:val="12"/>
                <w:color w:val="auto"/>
              </w:rPr>
              <w:t>aivers</w:t>
            </w:r>
          </w:p>
        </w:tc>
        <w:tc>
          <w:tcPr>
            <w:tcW w:w="6180" w:type="dxa"/>
            <w:vAlign w:val="bottom"/>
          </w:tcPr>
          <w:p>
            <w:pPr>
              <w:jc w:val="right"/>
              <w:ind w:right="310"/>
              <w:spacing w:after="0"/>
              <w:rPr>
                <w:sz w:val="20"/>
                <w:szCs w:val="20"/>
                <w:color w:val="auto"/>
              </w:rPr>
            </w:pPr>
            <w:r>
              <w:rPr>
                <w:rFonts w:ascii="Arial" w:cs="Arial" w:eastAsia="Arial" w:hAnsi="Arial"/>
                <w:sz w:val="18"/>
                <w:szCs w:val="18"/>
                <w:color w:val="auto"/>
              </w:rPr>
              <w:t>75</w:t>
            </w:r>
          </w:p>
        </w:tc>
      </w:tr>
      <w:tr>
        <w:trPr>
          <w:trHeight w:val="216"/>
        </w:trPr>
        <w:tc>
          <w:tcPr>
            <w:tcW w:w="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8.2</w:t>
            </w:r>
          </w:p>
        </w:tc>
        <w:tc>
          <w:tcPr>
            <w:tcW w:w="4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w:t>
            </w:r>
            <w:r>
              <w:rPr>
                <w:rFonts w:ascii="Arial" w:cs="Arial" w:eastAsia="Arial" w:hAnsi="Arial"/>
                <w:sz w:val="12"/>
                <w:szCs w:val="12"/>
                <w:color w:val="auto"/>
              </w:rPr>
              <w:t>otices</w:t>
            </w:r>
          </w:p>
        </w:tc>
        <w:tc>
          <w:tcPr>
            <w:tcW w:w="61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76</w:t>
            </w: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8.3</w:t>
            </w:r>
          </w:p>
        </w:tc>
        <w:tc>
          <w:tcPr>
            <w:tcW w:w="4420" w:type="dxa"/>
            <w:vAlign w:val="bottom"/>
          </w:tcPr>
          <w:p>
            <w:pPr>
              <w:ind w:left="160"/>
              <w:spacing w:after="0"/>
              <w:rPr>
                <w:sz w:val="20"/>
                <w:szCs w:val="20"/>
                <w:color w:val="auto"/>
              </w:rPr>
            </w:pPr>
            <w:r>
              <w:rPr>
                <w:rFonts w:ascii="Arial" w:cs="Arial" w:eastAsia="Arial" w:hAnsi="Arial"/>
                <w:sz w:val="18"/>
                <w:szCs w:val="18"/>
                <w:color w:val="auto"/>
              </w:rPr>
              <w:t>N</w:t>
            </w:r>
            <w:r>
              <w:rPr>
                <w:rFonts w:ascii="Arial" w:cs="Arial" w:eastAsia="Arial" w:hAnsi="Arial"/>
                <w:sz w:val="12"/>
                <w:szCs w:val="12"/>
                <w:color w:val="auto"/>
              </w:rPr>
              <w:t>o</w:t>
            </w:r>
            <w:r>
              <w:rPr>
                <w:rFonts w:ascii="Arial" w:cs="Arial" w:eastAsia="Arial" w:hAnsi="Arial"/>
                <w:sz w:val="18"/>
                <w:szCs w:val="18"/>
                <w:color w:val="auto"/>
              </w:rPr>
              <w:t xml:space="preserve"> W</w:t>
            </w:r>
            <w:r>
              <w:rPr>
                <w:rFonts w:ascii="Arial" w:cs="Arial" w:eastAsia="Arial" w:hAnsi="Arial"/>
                <w:sz w:val="12"/>
                <w:szCs w:val="12"/>
                <w:color w:val="auto"/>
              </w:rPr>
              <w:t>aiver</w:t>
            </w:r>
            <w:r>
              <w:rPr>
                <w:rFonts w:ascii="Arial" w:cs="Arial" w:eastAsia="Arial" w:hAnsi="Arial"/>
                <w:sz w:val="18"/>
                <w:szCs w:val="18"/>
                <w:color w:val="auto"/>
              </w:rPr>
              <w:t>; C</w:t>
            </w:r>
            <w:r>
              <w:rPr>
                <w:rFonts w:ascii="Arial" w:cs="Arial" w:eastAsia="Arial" w:hAnsi="Arial"/>
                <w:sz w:val="12"/>
                <w:szCs w:val="12"/>
                <w:color w:val="auto"/>
              </w:rPr>
              <w:t>umulative</w:t>
            </w:r>
            <w:r>
              <w:rPr>
                <w:rFonts w:ascii="Arial" w:cs="Arial" w:eastAsia="Arial" w:hAnsi="Arial"/>
                <w:sz w:val="18"/>
                <w:szCs w:val="18"/>
                <w:color w:val="auto"/>
              </w:rPr>
              <w:t xml:space="preserve"> R</w:t>
            </w:r>
            <w:r>
              <w:rPr>
                <w:rFonts w:ascii="Arial" w:cs="Arial" w:eastAsia="Arial" w:hAnsi="Arial"/>
                <w:sz w:val="12"/>
                <w:szCs w:val="12"/>
                <w:color w:val="auto"/>
              </w:rPr>
              <w:t>emedies</w:t>
            </w:r>
          </w:p>
        </w:tc>
        <w:tc>
          <w:tcPr>
            <w:tcW w:w="6180" w:type="dxa"/>
            <w:vAlign w:val="bottom"/>
          </w:tcPr>
          <w:p>
            <w:pPr>
              <w:jc w:val="right"/>
              <w:ind w:right="310"/>
              <w:spacing w:after="0"/>
              <w:rPr>
                <w:sz w:val="20"/>
                <w:szCs w:val="20"/>
                <w:color w:val="auto"/>
              </w:rPr>
            </w:pPr>
            <w:r>
              <w:rPr>
                <w:rFonts w:ascii="Arial" w:cs="Arial" w:eastAsia="Arial" w:hAnsi="Arial"/>
                <w:sz w:val="18"/>
                <w:szCs w:val="18"/>
                <w:color w:val="auto"/>
              </w:rPr>
              <w:t>77</w:t>
            </w:r>
          </w:p>
        </w:tc>
      </w:tr>
      <w:tr>
        <w:trPr>
          <w:trHeight w:val="216"/>
        </w:trPr>
        <w:tc>
          <w:tcPr>
            <w:tcW w:w="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8.4</w:t>
            </w:r>
          </w:p>
        </w:tc>
        <w:tc>
          <w:tcPr>
            <w:tcW w:w="4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urvival of</w:t>
            </w:r>
            <w:r>
              <w:rPr>
                <w:rFonts w:ascii="Arial" w:cs="Arial" w:eastAsia="Arial" w:hAnsi="Arial"/>
                <w:sz w:val="18"/>
                <w:szCs w:val="18"/>
                <w:color w:val="auto"/>
              </w:rPr>
              <w:t xml:space="preserve"> R</w:t>
            </w:r>
            <w:r>
              <w:rPr>
                <w:rFonts w:ascii="Arial" w:cs="Arial" w:eastAsia="Arial" w:hAnsi="Arial"/>
                <w:sz w:val="12"/>
                <w:szCs w:val="12"/>
                <w:color w:val="auto"/>
              </w:rPr>
              <w:t>epresentations and</w:t>
            </w:r>
            <w:r>
              <w:rPr>
                <w:rFonts w:ascii="Arial" w:cs="Arial" w:eastAsia="Arial" w:hAnsi="Arial"/>
                <w:sz w:val="18"/>
                <w:szCs w:val="18"/>
                <w:color w:val="auto"/>
              </w:rPr>
              <w:t xml:space="preserve"> W</w:t>
            </w:r>
            <w:r>
              <w:rPr>
                <w:rFonts w:ascii="Arial" w:cs="Arial" w:eastAsia="Arial" w:hAnsi="Arial"/>
                <w:sz w:val="12"/>
                <w:szCs w:val="12"/>
                <w:color w:val="auto"/>
              </w:rPr>
              <w:t>arranties</w:t>
            </w:r>
          </w:p>
        </w:tc>
        <w:tc>
          <w:tcPr>
            <w:tcW w:w="61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78</w:t>
            </w: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8.5</w:t>
            </w:r>
          </w:p>
        </w:tc>
        <w:tc>
          <w:tcPr>
            <w:tcW w:w="4420" w:type="dxa"/>
            <w:vAlign w:val="bottom"/>
          </w:tcPr>
          <w:p>
            <w:pPr>
              <w:ind w:left="160"/>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xpenses</w:t>
            </w:r>
            <w:r>
              <w:rPr>
                <w:rFonts w:ascii="Arial" w:cs="Arial" w:eastAsia="Arial" w:hAnsi="Arial"/>
                <w:sz w:val="18"/>
                <w:szCs w:val="18"/>
                <w:color w:val="auto"/>
              </w:rPr>
              <w:t>; I</w:t>
            </w:r>
            <w:r>
              <w:rPr>
                <w:rFonts w:ascii="Arial" w:cs="Arial" w:eastAsia="Arial" w:hAnsi="Arial"/>
                <w:sz w:val="12"/>
                <w:szCs w:val="12"/>
                <w:color w:val="auto"/>
              </w:rPr>
              <w:t>ndemnity</w:t>
            </w:r>
            <w:r>
              <w:rPr>
                <w:rFonts w:ascii="Arial" w:cs="Arial" w:eastAsia="Arial" w:hAnsi="Arial"/>
                <w:sz w:val="18"/>
                <w:szCs w:val="18"/>
                <w:color w:val="auto"/>
              </w:rPr>
              <w:t>; D</w:t>
            </w:r>
            <w:r>
              <w:rPr>
                <w:rFonts w:ascii="Arial" w:cs="Arial" w:eastAsia="Arial" w:hAnsi="Arial"/>
                <w:sz w:val="12"/>
                <w:szCs w:val="12"/>
                <w:color w:val="auto"/>
              </w:rPr>
              <w:t>amage</w:t>
            </w:r>
            <w:r>
              <w:rPr>
                <w:rFonts w:ascii="Arial" w:cs="Arial" w:eastAsia="Arial" w:hAnsi="Arial"/>
                <w:sz w:val="18"/>
                <w:szCs w:val="18"/>
                <w:color w:val="auto"/>
              </w:rPr>
              <w:t xml:space="preserve"> W</w:t>
            </w:r>
            <w:r>
              <w:rPr>
                <w:rFonts w:ascii="Arial" w:cs="Arial" w:eastAsia="Arial" w:hAnsi="Arial"/>
                <w:sz w:val="12"/>
                <w:szCs w:val="12"/>
                <w:color w:val="auto"/>
              </w:rPr>
              <w:t>aiver</w:t>
            </w:r>
          </w:p>
        </w:tc>
        <w:tc>
          <w:tcPr>
            <w:tcW w:w="6180" w:type="dxa"/>
            <w:vAlign w:val="bottom"/>
          </w:tcPr>
          <w:p>
            <w:pPr>
              <w:jc w:val="right"/>
              <w:ind w:right="310"/>
              <w:spacing w:after="0"/>
              <w:rPr>
                <w:sz w:val="20"/>
                <w:szCs w:val="20"/>
                <w:color w:val="auto"/>
              </w:rPr>
            </w:pPr>
            <w:r>
              <w:rPr>
                <w:rFonts w:ascii="Arial" w:cs="Arial" w:eastAsia="Arial" w:hAnsi="Arial"/>
                <w:sz w:val="18"/>
                <w:szCs w:val="18"/>
                <w:color w:val="auto"/>
              </w:rPr>
              <w:t>78</w:t>
            </w:r>
          </w:p>
        </w:tc>
      </w:tr>
      <w:tr>
        <w:trPr>
          <w:trHeight w:val="216"/>
        </w:trPr>
        <w:tc>
          <w:tcPr>
            <w:tcW w:w="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8.6</w:t>
            </w:r>
          </w:p>
        </w:tc>
        <w:tc>
          <w:tcPr>
            <w:tcW w:w="4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uccessors and</w:t>
            </w:r>
            <w:r>
              <w:rPr>
                <w:rFonts w:ascii="Arial" w:cs="Arial" w:eastAsia="Arial" w:hAnsi="Arial"/>
                <w:sz w:val="18"/>
                <w:szCs w:val="18"/>
                <w:color w:val="auto"/>
              </w:rPr>
              <w:t xml:space="preserve"> A</w:t>
            </w:r>
            <w:r>
              <w:rPr>
                <w:rFonts w:ascii="Arial" w:cs="Arial" w:eastAsia="Arial" w:hAnsi="Arial"/>
                <w:sz w:val="12"/>
                <w:szCs w:val="12"/>
                <w:color w:val="auto"/>
              </w:rPr>
              <w:t>ssigns</w:t>
            </w:r>
          </w:p>
        </w:tc>
        <w:tc>
          <w:tcPr>
            <w:tcW w:w="61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80</w:t>
            </w: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8.7</w:t>
            </w:r>
          </w:p>
        </w:tc>
        <w:tc>
          <w:tcPr>
            <w:tcW w:w="4420" w:type="dxa"/>
            <w:vAlign w:val="bottom"/>
          </w:tcPr>
          <w:p>
            <w:pPr>
              <w:ind w:left="160"/>
              <w:spacing w:after="0"/>
              <w:rPr>
                <w:sz w:val="20"/>
                <w:szCs w:val="20"/>
                <w:color w:val="auto"/>
              </w:rPr>
            </w:pPr>
            <w:r>
              <w:rPr>
                <w:rFonts w:ascii="Arial" w:cs="Arial" w:eastAsia="Arial" w:hAnsi="Arial"/>
                <w:sz w:val="18"/>
                <w:szCs w:val="18"/>
                <w:color w:val="auto"/>
              </w:rPr>
              <w:t>[R</w:t>
            </w:r>
            <w:r>
              <w:rPr>
                <w:rFonts w:ascii="Arial" w:cs="Arial" w:eastAsia="Arial" w:hAnsi="Arial"/>
                <w:sz w:val="12"/>
                <w:szCs w:val="12"/>
                <w:color w:val="auto"/>
              </w:rPr>
              <w:t>eserved</w:t>
            </w:r>
            <w:r>
              <w:rPr>
                <w:rFonts w:ascii="Arial" w:cs="Arial" w:eastAsia="Arial" w:hAnsi="Arial"/>
                <w:sz w:val="18"/>
                <w:szCs w:val="18"/>
                <w:color w:val="auto"/>
              </w:rPr>
              <w:t>]</w:t>
            </w:r>
          </w:p>
        </w:tc>
        <w:tc>
          <w:tcPr>
            <w:tcW w:w="6180" w:type="dxa"/>
            <w:vAlign w:val="bottom"/>
          </w:tcPr>
          <w:p>
            <w:pPr>
              <w:jc w:val="right"/>
              <w:ind w:right="310"/>
              <w:spacing w:after="0"/>
              <w:rPr>
                <w:sz w:val="20"/>
                <w:szCs w:val="20"/>
                <w:color w:val="auto"/>
              </w:rPr>
            </w:pPr>
            <w:r>
              <w:rPr>
                <w:rFonts w:ascii="Arial" w:cs="Arial" w:eastAsia="Arial" w:hAnsi="Arial"/>
                <w:sz w:val="18"/>
                <w:szCs w:val="18"/>
                <w:color w:val="auto"/>
              </w:rPr>
              <w:t>81</w:t>
            </w:r>
          </w:p>
        </w:tc>
      </w:tr>
      <w:tr>
        <w:trPr>
          <w:trHeight w:val="216"/>
        </w:trPr>
        <w:tc>
          <w:tcPr>
            <w:tcW w:w="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8.8</w:t>
            </w:r>
          </w:p>
        </w:tc>
        <w:tc>
          <w:tcPr>
            <w:tcW w:w="4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w:t>
            </w:r>
            <w:r>
              <w:rPr>
                <w:rFonts w:ascii="Arial" w:cs="Arial" w:eastAsia="Arial" w:hAnsi="Arial"/>
                <w:sz w:val="12"/>
                <w:szCs w:val="12"/>
                <w:color w:val="auto"/>
              </w:rPr>
              <w:t>nterest</w:t>
            </w:r>
            <w:r>
              <w:rPr>
                <w:rFonts w:ascii="Arial" w:cs="Arial" w:eastAsia="Arial" w:hAnsi="Arial"/>
                <w:sz w:val="18"/>
                <w:szCs w:val="18"/>
                <w:color w:val="auto"/>
              </w:rPr>
              <w:t xml:space="preserve"> R</w:t>
            </w:r>
            <w:r>
              <w:rPr>
                <w:rFonts w:ascii="Arial" w:cs="Arial" w:eastAsia="Arial" w:hAnsi="Arial"/>
                <w:sz w:val="12"/>
                <w:szCs w:val="12"/>
                <w:color w:val="auto"/>
              </w:rPr>
              <w:t>ate</w:t>
            </w:r>
            <w:r>
              <w:rPr>
                <w:rFonts w:ascii="Arial" w:cs="Arial" w:eastAsia="Arial" w:hAnsi="Arial"/>
                <w:sz w:val="18"/>
                <w:szCs w:val="18"/>
                <w:color w:val="auto"/>
              </w:rPr>
              <w:t xml:space="preserve"> L</w:t>
            </w:r>
            <w:r>
              <w:rPr>
                <w:rFonts w:ascii="Arial" w:cs="Arial" w:eastAsia="Arial" w:hAnsi="Arial"/>
                <w:sz w:val="12"/>
                <w:szCs w:val="12"/>
                <w:color w:val="auto"/>
              </w:rPr>
              <w:t>imitation</w:t>
            </w:r>
          </w:p>
        </w:tc>
        <w:tc>
          <w:tcPr>
            <w:tcW w:w="61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81</w:t>
            </w: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8.9</w:t>
            </w:r>
          </w:p>
        </w:tc>
        <w:tc>
          <w:tcPr>
            <w:tcW w:w="4420" w:type="dxa"/>
            <w:vAlign w:val="bottom"/>
          </w:tcPr>
          <w:p>
            <w:pPr>
              <w:ind w:left="160"/>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ounterparts</w:t>
            </w:r>
          </w:p>
        </w:tc>
        <w:tc>
          <w:tcPr>
            <w:tcW w:w="6180" w:type="dxa"/>
            <w:vAlign w:val="bottom"/>
          </w:tcPr>
          <w:p>
            <w:pPr>
              <w:jc w:val="right"/>
              <w:ind w:right="310"/>
              <w:spacing w:after="0"/>
              <w:rPr>
                <w:sz w:val="20"/>
                <w:szCs w:val="20"/>
                <w:color w:val="auto"/>
              </w:rPr>
            </w:pPr>
            <w:r>
              <w:rPr>
                <w:rFonts w:ascii="Arial" w:cs="Arial" w:eastAsia="Arial" w:hAnsi="Arial"/>
                <w:sz w:val="18"/>
                <w:szCs w:val="18"/>
                <w:color w:val="auto"/>
              </w:rPr>
              <w:t>82</w:t>
            </w:r>
          </w:p>
        </w:tc>
      </w:tr>
      <w:tr>
        <w:trPr>
          <w:trHeight w:val="216"/>
        </w:trPr>
        <w:tc>
          <w:tcPr>
            <w:tcW w:w="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8.10</w:t>
            </w:r>
          </w:p>
        </w:tc>
        <w:tc>
          <w:tcPr>
            <w:tcW w:w="4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everability</w:t>
            </w:r>
          </w:p>
        </w:tc>
        <w:tc>
          <w:tcPr>
            <w:tcW w:w="61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82</w:t>
            </w: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8.11</w:t>
            </w:r>
          </w:p>
        </w:tc>
        <w:tc>
          <w:tcPr>
            <w:tcW w:w="4420" w:type="dxa"/>
            <w:vAlign w:val="bottom"/>
          </w:tcPr>
          <w:p>
            <w:pPr>
              <w:ind w:left="160"/>
              <w:spacing w:after="0"/>
              <w:rPr>
                <w:sz w:val="20"/>
                <w:szCs w:val="20"/>
                <w:color w:val="auto"/>
              </w:rPr>
            </w:pPr>
            <w:r>
              <w:rPr>
                <w:rFonts w:ascii="Arial" w:cs="Arial" w:eastAsia="Arial" w:hAnsi="Arial"/>
                <w:sz w:val="18"/>
                <w:szCs w:val="18"/>
                <w:color w:val="auto"/>
              </w:rPr>
              <w:t>I</w:t>
            </w:r>
            <w:r>
              <w:rPr>
                <w:rFonts w:ascii="Arial" w:cs="Arial" w:eastAsia="Arial" w:hAnsi="Arial"/>
                <w:sz w:val="12"/>
                <w:szCs w:val="12"/>
                <w:color w:val="auto"/>
              </w:rPr>
              <w:t>ntegration</w:t>
            </w:r>
          </w:p>
        </w:tc>
        <w:tc>
          <w:tcPr>
            <w:tcW w:w="6180" w:type="dxa"/>
            <w:vAlign w:val="bottom"/>
          </w:tcPr>
          <w:p>
            <w:pPr>
              <w:jc w:val="right"/>
              <w:ind w:right="310"/>
              <w:spacing w:after="0"/>
              <w:rPr>
                <w:sz w:val="20"/>
                <w:szCs w:val="20"/>
                <w:color w:val="auto"/>
              </w:rPr>
            </w:pPr>
            <w:r>
              <w:rPr>
                <w:rFonts w:ascii="Arial" w:cs="Arial" w:eastAsia="Arial" w:hAnsi="Arial"/>
                <w:sz w:val="18"/>
                <w:szCs w:val="18"/>
                <w:color w:val="auto"/>
              </w:rPr>
              <w:t>82</w:t>
            </w:r>
          </w:p>
        </w:tc>
      </w:tr>
      <w:tr>
        <w:trPr>
          <w:trHeight w:val="216"/>
        </w:trPr>
        <w:tc>
          <w:tcPr>
            <w:tcW w:w="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8.12</w:t>
            </w:r>
          </w:p>
        </w:tc>
        <w:tc>
          <w:tcPr>
            <w:tcW w:w="4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GOVERNING LAW</w:t>
            </w:r>
          </w:p>
        </w:tc>
        <w:tc>
          <w:tcPr>
            <w:tcW w:w="61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82</w:t>
            </w: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8.13</w:t>
            </w:r>
          </w:p>
        </w:tc>
        <w:tc>
          <w:tcPr>
            <w:tcW w:w="4420" w:type="dxa"/>
            <w:vAlign w:val="bottom"/>
          </w:tcPr>
          <w:p>
            <w:pPr>
              <w:ind w:left="16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ubmission to</w:t>
            </w:r>
            <w:r>
              <w:rPr>
                <w:rFonts w:ascii="Arial" w:cs="Arial" w:eastAsia="Arial" w:hAnsi="Arial"/>
                <w:sz w:val="18"/>
                <w:szCs w:val="18"/>
                <w:color w:val="auto"/>
              </w:rPr>
              <w:t xml:space="preserve"> J</w:t>
            </w:r>
            <w:r>
              <w:rPr>
                <w:rFonts w:ascii="Arial" w:cs="Arial" w:eastAsia="Arial" w:hAnsi="Arial"/>
                <w:sz w:val="12"/>
                <w:szCs w:val="12"/>
                <w:color w:val="auto"/>
              </w:rPr>
              <w:t>urisdiction</w:t>
            </w:r>
            <w:r>
              <w:rPr>
                <w:rFonts w:ascii="Arial" w:cs="Arial" w:eastAsia="Arial" w:hAnsi="Arial"/>
                <w:sz w:val="18"/>
                <w:szCs w:val="18"/>
                <w:color w:val="auto"/>
              </w:rPr>
              <w:t>; W</w:t>
            </w:r>
            <w:r>
              <w:rPr>
                <w:rFonts w:ascii="Arial" w:cs="Arial" w:eastAsia="Arial" w:hAnsi="Arial"/>
                <w:sz w:val="12"/>
                <w:szCs w:val="12"/>
                <w:color w:val="auto"/>
              </w:rPr>
              <w:t>aivers</w:t>
            </w:r>
          </w:p>
        </w:tc>
        <w:tc>
          <w:tcPr>
            <w:tcW w:w="6180" w:type="dxa"/>
            <w:vAlign w:val="bottom"/>
          </w:tcPr>
          <w:p>
            <w:pPr>
              <w:jc w:val="right"/>
              <w:ind w:right="310"/>
              <w:spacing w:after="0"/>
              <w:rPr>
                <w:sz w:val="20"/>
                <w:szCs w:val="20"/>
                <w:color w:val="auto"/>
              </w:rPr>
            </w:pPr>
            <w:r>
              <w:rPr>
                <w:rFonts w:ascii="Arial" w:cs="Arial" w:eastAsia="Arial" w:hAnsi="Arial"/>
                <w:sz w:val="18"/>
                <w:szCs w:val="18"/>
                <w:color w:val="auto"/>
              </w:rPr>
              <w:t>82</w:t>
            </w:r>
          </w:p>
        </w:tc>
      </w:tr>
      <w:tr>
        <w:trPr>
          <w:trHeight w:val="216"/>
        </w:trPr>
        <w:tc>
          <w:tcPr>
            <w:tcW w:w="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8.14</w:t>
            </w:r>
          </w:p>
        </w:tc>
        <w:tc>
          <w:tcPr>
            <w:tcW w:w="4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cknowledgements</w:t>
            </w:r>
          </w:p>
        </w:tc>
        <w:tc>
          <w:tcPr>
            <w:tcW w:w="61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83</w:t>
            </w: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8.15</w:t>
            </w:r>
          </w:p>
        </w:tc>
        <w:tc>
          <w:tcPr>
            <w:tcW w:w="4420" w:type="dxa"/>
            <w:vAlign w:val="bottom"/>
          </w:tcPr>
          <w:p>
            <w:pPr>
              <w:ind w:left="160"/>
              <w:spacing w:after="0"/>
              <w:rPr>
                <w:sz w:val="20"/>
                <w:szCs w:val="20"/>
                <w:color w:val="auto"/>
              </w:rPr>
            </w:pPr>
            <w:r>
              <w:rPr>
                <w:rFonts w:ascii="Arial" w:cs="Arial" w:eastAsia="Arial" w:hAnsi="Arial"/>
                <w:sz w:val="18"/>
                <w:szCs w:val="18"/>
                <w:color w:val="auto"/>
              </w:rPr>
              <w:t>T</w:t>
            </w:r>
            <w:r>
              <w:rPr>
                <w:rFonts w:ascii="Arial" w:cs="Arial" w:eastAsia="Arial" w:hAnsi="Arial"/>
                <w:sz w:val="12"/>
                <w:szCs w:val="12"/>
                <w:color w:val="auto"/>
              </w:rPr>
              <w:t>reatment of</w:t>
            </w:r>
            <w:r>
              <w:rPr>
                <w:rFonts w:ascii="Arial" w:cs="Arial" w:eastAsia="Arial" w:hAnsi="Arial"/>
                <w:sz w:val="18"/>
                <w:szCs w:val="18"/>
                <w:color w:val="auto"/>
              </w:rPr>
              <w:t xml:space="preserve"> C</w:t>
            </w:r>
            <w:r>
              <w:rPr>
                <w:rFonts w:ascii="Arial" w:cs="Arial" w:eastAsia="Arial" w:hAnsi="Arial"/>
                <w:sz w:val="12"/>
                <w:szCs w:val="12"/>
                <w:color w:val="auto"/>
              </w:rPr>
              <w:t>ertain</w:t>
            </w:r>
            <w:r>
              <w:rPr>
                <w:rFonts w:ascii="Arial" w:cs="Arial" w:eastAsia="Arial" w:hAnsi="Arial"/>
                <w:sz w:val="18"/>
                <w:szCs w:val="18"/>
                <w:color w:val="auto"/>
              </w:rPr>
              <w:t xml:space="preserve"> I</w:t>
            </w:r>
            <w:r>
              <w:rPr>
                <w:rFonts w:ascii="Arial" w:cs="Arial" w:eastAsia="Arial" w:hAnsi="Arial"/>
                <w:sz w:val="12"/>
                <w:szCs w:val="12"/>
                <w:color w:val="auto"/>
              </w:rPr>
              <w:t>nformation</w:t>
            </w:r>
            <w:r>
              <w:rPr>
                <w:rFonts w:ascii="Arial" w:cs="Arial" w:eastAsia="Arial" w:hAnsi="Arial"/>
                <w:sz w:val="18"/>
                <w:szCs w:val="18"/>
                <w:color w:val="auto"/>
              </w:rPr>
              <w:t>; C</w:t>
            </w:r>
            <w:r>
              <w:rPr>
                <w:rFonts w:ascii="Arial" w:cs="Arial" w:eastAsia="Arial" w:hAnsi="Arial"/>
                <w:sz w:val="12"/>
                <w:szCs w:val="12"/>
                <w:color w:val="auto"/>
              </w:rPr>
              <w:t>onfidentiality</w:t>
            </w:r>
          </w:p>
        </w:tc>
        <w:tc>
          <w:tcPr>
            <w:tcW w:w="6180" w:type="dxa"/>
            <w:vAlign w:val="bottom"/>
          </w:tcPr>
          <w:p>
            <w:pPr>
              <w:jc w:val="right"/>
              <w:ind w:right="310"/>
              <w:spacing w:after="0"/>
              <w:rPr>
                <w:sz w:val="20"/>
                <w:szCs w:val="20"/>
                <w:color w:val="auto"/>
              </w:rPr>
            </w:pPr>
            <w:r>
              <w:rPr>
                <w:rFonts w:ascii="Arial" w:cs="Arial" w:eastAsia="Arial" w:hAnsi="Arial"/>
                <w:sz w:val="18"/>
                <w:szCs w:val="18"/>
                <w:color w:val="auto"/>
              </w:rPr>
              <w:t>83</w:t>
            </w:r>
          </w:p>
        </w:tc>
      </w:tr>
      <w:tr>
        <w:trPr>
          <w:trHeight w:val="216"/>
        </w:trPr>
        <w:tc>
          <w:tcPr>
            <w:tcW w:w="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8.16</w:t>
            </w:r>
          </w:p>
        </w:tc>
        <w:tc>
          <w:tcPr>
            <w:tcW w:w="4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w:t>
            </w:r>
            <w:r>
              <w:rPr>
                <w:rFonts w:ascii="Arial" w:cs="Arial" w:eastAsia="Arial" w:hAnsi="Arial"/>
                <w:sz w:val="12"/>
                <w:szCs w:val="12"/>
                <w:color w:val="auto"/>
              </w:rPr>
              <w:t>eneficial</w:t>
            </w:r>
            <w:r>
              <w:rPr>
                <w:rFonts w:ascii="Arial" w:cs="Arial" w:eastAsia="Arial" w:hAnsi="Arial"/>
                <w:sz w:val="18"/>
                <w:szCs w:val="18"/>
                <w:color w:val="auto"/>
              </w:rPr>
              <w:t xml:space="preserve"> O</w:t>
            </w:r>
            <w:r>
              <w:rPr>
                <w:rFonts w:ascii="Arial" w:cs="Arial" w:eastAsia="Arial" w:hAnsi="Arial"/>
                <w:sz w:val="12"/>
                <w:szCs w:val="12"/>
                <w:color w:val="auto"/>
              </w:rPr>
              <w:t>wnership</w:t>
            </w:r>
            <w:r>
              <w:rPr>
                <w:rFonts w:ascii="Arial" w:cs="Arial" w:eastAsia="Arial" w:hAnsi="Arial"/>
                <w:sz w:val="18"/>
                <w:szCs w:val="18"/>
                <w:color w:val="auto"/>
              </w:rPr>
              <w:t xml:space="preserve"> R</w:t>
            </w:r>
            <w:r>
              <w:rPr>
                <w:rFonts w:ascii="Arial" w:cs="Arial" w:eastAsia="Arial" w:hAnsi="Arial"/>
                <w:sz w:val="12"/>
                <w:szCs w:val="12"/>
                <w:color w:val="auto"/>
              </w:rPr>
              <w:t>egulation</w:t>
            </w:r>
            <w:r>
              <w:rPr>
                <w:rFonts w:ascii="Arial" w:cs="Arial" w:eastAsia="Arial" w:hAnsi="Arial"/>
                <w:sz w:val="18"/>
                <w:szCs w:val="18"/>
                <w:color w:val="auto"/>
              </w:rPr>
              <w:t>; P</w:t>
            </w:r>
            <w:r>
              <w:rPr>
                <w:rFonts w:ascii="Arial" w:cs="Arial" w:eastAsia="Arial" w:hAnsi="Arial"/>
                <w:sz w:val="12"/>
                <w:szCs w:val="12"/>
                <w:color w:val="auto"/>
              </w:rPr>
              <w:t>atriot</w:t>
            </w:r>
            <w:r>
              <w:rPr>
                <w:rFonts w:ascii="Arial" w:cs="Arial" w:eastAsia="Arial" w:hAnsi="Arial"/>
                <w:sz w:val="18"/>
                <w:szCs w:val="18"/>
                <w:color w:val="auto"/>
              </w:rPr>
              <w:t xml:space="preserve"> A</w:t>
            </w:r>
            <w:r>
              <w:rPr>
                <w:rFonts w:ascii="Arial" w:cs="Arial" w:eastAsia="Arial" w:hAnsi="Arial"/>
                <w:sz w:val="12"/>
                <w:szCs w:val="12"/>
                <w:color w:val="auto"/>
              </w:rPr>
              <w:t>ct</w:t>
            </w:r>
          </w:p>
        </w:tc>
        <w:tc>
          <w:tcPr>
            <w:tcW w:w="61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84</w:t>
            </w: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8.17</w:t>
            </w:r>
          </w:p>
        </w:tc>
        <w:tc>
          <w:tcPr>
            <w:tcW w:w="4420" w:type="dxa"/>
            <w:vAlign w:val="bottom"/>
          </w:tcPr>
          <w:p>
            <w:pPr>
              <w:ind w:left="160"/>
              <w:spacing w:after="0"/>
              <w:rPr>
                <w:sz w:val="20"/>
                <w:szCs w:val="20"/>
                <w:color w:val="auto"/>
              </w:rPr>
            </w:pPr>
            <w:r>
              <w:rPr>
                <w:rFonts w:ascii="Arial" w:cs="Arial" w:eastAsia="Arial" w:hAnsi="Arial"/>
                <w:sz w:val="18"/>
                <w:szCs w:val="18"/>
                <w:color w:val="auto"/>
              </w:rPr>
              <w:t>M</w:t>
            </w:r>
            <w:r>
              <w:rPr>
                <w:rFonts w:ascii="Arial" w:cs="Arial" w:eastAsia="Arial" w:hAnsi="Arial"/>
                <w:sz w:val="12"/>
                <w:szCs w:val="12"/>
                <w:color w:val="auto"/>
              </w:rPr>
              <w:t>arshalling</w:t>
            </w:r>
            <w:r>
              <w:rPr>
                <w:rFonts w:ascii="Arial" w:cs="Arial" w:eastAsia="Arial" w:hAnsi="Arial"/>
                <w:sz w:val="18"/>
                <w:szCs w:val="18"/>
                <w:color w:val="auto"/>
              </w:rPr>
              <w:t>; S</w:t>
            </w:r>
            <w:r>
              <w:rPr>
                <w:rFonts w:ascii="Arial" w:cs="Arial" w:eastAsia="Arial" w:hAnsi="Arial"/>
                <w:sz w:val="12"/>
                <w:szCs w:val="12"/>
                <w:color w:val="auto"/>
              </w:rPr>
              <w:t>etoff</w:t>
            </w:r>
          </w:p>
        </w:tc>
        <w:tc>
          <w:tcPr>
            <w:tcW w:w="6180" w:type="dxa"/>
            <w:vAlign w:val="bottom"/>
          </w:tcPr>
          <w:p>
            <w:pPr>
              <w:jc w:val="right"/>
              <w:ind w:right="310"/>
              <w:spacing w:after="0"/>
              <w:rPr>
                <w:sz w:val="20"/>
                <w:szCs w:val="20"/>
                <w:color w:val="auto"/>
              </w:rPr>
            </w:pPr>
            <w:r>
              <w:rPr>
                <w:rFonts w:ascii="Arial" w:cs="Arial" w:eastAsia="Arial" w:hAnsi="Arial"/>
                <w:sz w:val="18"/>
                <w:szCs w:val="18"/>
                <w:color w:val="auto"/>
              </w:rPr>
              <w:t>84</w:t>
            </w:r>
          </w:p>
        </w:tc>
      </w:tr>
      <w:tr>
        <w:trPr>
          <w:trHeight w:val="216"/>
        </w:trPr>
        <w:tc>
          <w:tcPr>
            <w:tcW w:w="5060" w:type="dxa"/>
            <w:vAlign w:val="bottom"/>
            <w:gridSpan w:val="2"/>
            <w:shd w:val="clear" w:color="auto" w:fill="CCEEFF"/>
          </w:tcPr>
          <w:p>
            <w:pPr>
              <w:spacing w:after="0"/>
              <w:rPr>
                <w:sz w:val="18"/>
                <w:szCs w:val="18"/>
                <w:color w:val="auto"/>
              </w:rPr>
            </w:pPr>
          </w:p>
        </w:tc>
        <w:tc>
          <w:tcPr>
            <w:tcW w:w="6180" w:type="dxa"/>
            <w:vAlign w:val="bottom"/>
            <w:shd w:val="clear" w:color="auto" w:fill="CCEEFF"/>
          </w:tcPr>
          <w:p>
            <w:pPr>
              <w:spacing w:after="0"/>
              <w:rPr>
                <w:sz w:val="18"/>
                <w:szCs w:val="18"/>
                <w:color w:val="auto"/>
              </w:rPr>
            </w:pPr>
          </w:p>
        </w:tc>
      </w:tr>
      <w:tr>
        <w:trPr>
          <w:trHeight w:val="216"/>
        </w:trPr>
        <w:tc>
          <w:tcPr>
            <w:tcW w:w="5060" w:type="dxa"/>
            <w:vAlign w:val="bottom"/>
            <w:gridSpan w:val="2"/>
          </w:tcPr>
          <w:p>
            <w:pPr>
              <w:spacing w:after="0"/>
              <w:rPr>
                <w:sz w:val="20"/>
                <w:szCs w:val="20"/>
                <w:color w:val="auto"/>
              </w:rPr>
            </w:pPr>
            <w:r>
              <w:rPr>
                <w:rFonts w:ascii="Arial" w:cs="Arial" w:eastAsia="Arial" w:hAnsi="Arial"/>
                <w:sz w:val="18"/>
                <w:szCs w:val="18"/>
                <w:color w:val="auto"/>
              </w:rPr>
              <w:t>SECTION 9 AGENCY PROVISIONS</w:t>
            </w:r>
          </w:p>
        </w:tc>
        <w:tc>
          <w:tcPr>
            <w:tcW w:w="6180" w:type="dxa"/>
            <w:vAlign w:val="bottom"/>
          </w:tcPr>
          <w:p>
            <w:pPr>
              <w:jc w:val="right"/>
              <w:ind w:right="310"/>
              <w:spacing w:after="0"/>
              <w:rPr>
                <w:sz w:val="20"/>
                <w:szCs w:val="20"/>
                <w:color w:val="auto"/>
              </w:rPr>
            </w:pPr>
            <w:r>
              <w:rPr>
                <w:rFonts w:ascii="Arial" w:cs="Arial" w:eastAsia="Arial" w:hAnsi="Arial"/>
                <w:sz w:val="18"/>
                <w:szCs w:val="18"/>
                <w:color w:val="auto"/>
              </w:rPr>
              <w:t>85</w:t>
            </w:r>
          </w:p>
        </w:tc>
      </w:tr>
      <w:tr>
        <w:trPr>
          <w:trHeight w:val="216"/>
        </w:trPr>
        <w:tc>
          <w:tcPr>
            <w:tcW w:w="640" w:type="dxa"/>
            <w:vAlign w:val="bottom"/>
            <w:shd w:val="clear" w:color="auto" w:fill="CCEEFF"/>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6180" w:type="dxa"/>
            <w:vAlign w:val="bottom"/>
            <w:shd w:val="clear" w:color="auto" w:fill="CCEEFF"/>
          </w:tcPr>
          <w:p>
            <w:pPr>
              <w:spacing w:after="0"/>
              <w:rPr>
                <w:sz w:val="18"/>
                <w:szCs w:val="18"/>
                <w:color w:val="auto"/>
              </w:rPr>
            </w:pP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9.1</w:t>
            </w:r>
          </w:p>
        </w:tc>
        <w:tc>
          <w:tcPr>
            <w:tcW w:w="4420" w:type="dxa"/>
            <w:vAlign w:val="bottom"/>
          </w:tcPr>
          <w:p>
            <w:pPr>
              <w:ind w:left="160"/>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ppointment of</w:t>
            </w:r>
            <w:r>
              <w:rPr>
                <w:rFonts w:ascii="Arial" w:cs="Arial" w:eastAsia="Arial" w:hAnsi="Arial"/>
                <w:sz w:val="18"/>
                <w:szCs w:val="18"/>
                <w:color w:val="auto"/>
              </w:rPr>
              <w:t xml:space="preserve"> A</w:t>
            </w:r>
            <w:r>
              <w:rPr>
                <w:rFonts w:ascii="Arial" w:cs="Arial" w:eastAsia="Arial" w:hAnsi="Arial"/>
                <w:sz w:val="12"/>
                <w:szCs w:val="12"/>
                <w:color w:val="auto"/>
              </w:rPr>
              <w:t>gent</w:t>
            </w:r>
          </w:p>
        </w:tc>
        <w:tc>
          <w:tcPr>
            <w:tcW w:w="6180" w:type="dxa"/>
            <w:vAlign w:val="bottom"/>
          </w:tcPr>
          <w:p>
            <w:pPr>
              <w:jc w:val="right"/>
              <w:ind w:right="310"/>
              <w:spacing w:after="0"/>
              <w:rPr>
                <w:sz w:val="20"/>
                <w:szCs w:val="20"/>
                <w:color w:val="auto"/>
              </w:rPr>
            </w:pPr>
            <w:r>
              <w:rPr>
                <w:rFonts w:ascii="Arial" w:cs="Arial" w:eastAsia="Arial" w:hAnsi="Arial"/>
                <w:sz w:val="18"/>
                <w:szCs w:val="18"/>
                <w:color w:val="auto"/>
              </w:rPr>
              <w:t>85</w:t>
            </w:r>
          </w:p>
        </w:tc>
      </w:tr>
      <w:tr>
        <w:trPr>
          <w:trHeight w:val="216"/>
        </w:trPr>
        <w:tc>
          <w:tcPr>
            <w:tcW w:w="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9.2</w:t>
            </w:r>
          </w:p>
        </w:tc>
        <w:tc>
          <w:tcPr>
            <w:tcW w:w="4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w:t>
            </w:r>
            <w:r>
              <w:rPr>
                <w:rFonts w:ascii="Arial" w:cs="Arial" w:eastAsia="Arial" w:hAnsi="Arial"/>
                <w:sz w:val="12"/>
                <w:szCs w:val="12"/>
                <w:color w:val="auto"/>
              </w:rPr>
              <w:t>uties as</w:t>
            </w:r>
            <w:r>
              <w:rPr>
                <w:rFonts w:ascii="Arial" w:cs="Arial" w:eastAsia="Arial" w:hAnsi="Arial"/>
                <w:sz w:val="18"/>
                <w:szCs w:val="18"/>
                <w:color w:val="auto"/>
              </w:rPr>
              <w:t xml:space="preserve"> A</w:t>
            </w:r>
            <w:r>
              <w:rPr>
                <w:rFonts w:ascii="Arial" w:cs="Arial" w:eastAsia="Arial" w:hAnsi="Arial"/>
                <w:sz w:val="12"/>
                <w:szCs w:val="12"/>
                <w:color w:val="auto"/>
              </w:rPr>
              <w:t>gent</w:t>
            </w:r>
          </w:p>
        </w:tc>
        <w:tc>
          <w:tcPr>
            <w:tcW w:w="61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85</w:t>
            </w: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9.3</w:t>
            </w:r>
          </w:p>
        </w:tc>
        <w:tc>
          <w:tcPr>
            <w:tcW w:w="4420" w:type="dxa"/>
            <w:vAlign w:val="bottom"/>
          </w:tcPr>
          <w:p>
            <w:pPr>
              <w:ind w:left="160"/>
              <w:spacing w:after="0"/>
              <w:rPr>
                <w:sz w:val="20"/>
                <w:szCs w:val="20"/>
                <w:color w:val="auto"/>
              </w:rPr>
            </w:pPr>
            <w:r>
              <w:rPr>
                <w:rFonts w:ascii="Arial" w:cs="Arial" w:eastAsia="Arial" w:hAnsi="Arial"/>
                <w:sz w:val="18"/>
                <w:szCs w:val="18"/>
                <w:color w:val="auto"/>
              </w:rPr>
              <w:t>L</w:t>
            </w:r>
            <w:r>
              <w:rPr>
                <w:rFonts w:ascii="Arial" w:cs="Arial" w:eastAsia="Arial" w:hAnsi="Arial"/>
                <w:sz w:val="12"/>
                <w:szCs w:val="12"/>
                <w:color w:val="auto"/>
              </w:rPr>
              <w:t>imited</w:t>
            </w:r>
            <w:r>
              <w:rPr>
                <w:rFonts w:ascii="Arial" w:cs="Arial" w:eastAsia="Arial" w:hAnsi="Arial"/>
                <w:sz w:val="18"/>
                <w:szCs w:val="18"/>
                <w:color w:val="auto"/>
              </w:rPr>
              <w:t xml:space="preserve"> D</w:t>
            </w:r>
            <w:r>
              <w:rPr>
                <w:rFonts w:ascii="Arial" w:cs="Arial" w:eastAsia="Arial" w:hAnsi="Arial"/>
                <w:sz w:val="12"/>
                <w:szCs w:val="12"/>
                <w:color w:val="auto"/>
              </w:rPr>
              <w:t>uties</w:t>
            </w:r>
          </w:p>
        </w:tc>
        <w:tc>
          <w:tcPr>
            <w:tcW w:w="6180" w:type="dxa"/>
            <w:vAlign w:val="bottom"/>
          </w:tcPr>
          <w:p>
            <w:pPr>
              <w:jc w:val="right"/>
              <w:ind w:right="310"/>
              <w:spacing w:after="0"/>
              <w:rPr>
                <w:sz w:val="20"/>
                <w:szCs w:val="20"/>
                <w:color w:val="auto"/>
              </w:rPr>
            </w:pPr>
            <w:r>
              <w:rPr>
                <w:rFonts w:ascii="Arial" w:cs="Arial" w:eastAsia="Arial" w:hAnsi="Arial"/>
                <w:sz w:val="18"/>
                <w:szCs w:val="18"/>
                <w:color w:val="auto"/>
              </w:rPr>
              <w:t>86</w:t>
            </w:r>
          </w:p>
        </w:tc>
      </w:tr>
      <w:tr>
        <w:trPr>
          <w:trHeight w:val="216"/>
        </w:trPr>
        <w:tc>
          <w:tcPr>
            <w:tcW w:w="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9.4</w:t>
            </w:r>
          </w:p>
        </w:tc>
        <w:tc>
          <w:tcPr>
            <w:tcW w:w="4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w:t>
            </w:r>
            <w:r>
              <w:rPr>
                <w:rFonts w:ascii="Arial" w:cs="Arial" w:eastAsia="Arial" w:hAnsi="Arial"/>
                <w:sz w:val="12"/>
                <w:szCs w:val="12"/>
                <w:color w:val="auto"/>
              </w:rPr>
              <w:t>o</w:t>
            </w:r>
            <w:r>
              <w:rPr>
                <w:rFonts w:ascii="Arial" w:cs="Arial" w:eastAsia="Arial" w:hAnsi="Arial"/>
                <w:sz w:val="18"/>
                <w:szCs w:val="18"/>
                <w:color w:val="auto"/>
              </w:rPr>
              <w:t xml:space="preserve"> A</w:t>
            </w:r>
            <w:r>
              <w:rPr>
                <w:rFonts w:ascii="Arial" w:cs="Arial" w:eastAsia="Arial" w:hAnsi="Arial"/>
                <w:sz w:val="12"/>
                <w:szCs w:val="12"/>
                <w:color w:val="auto"/>
              </w:rPr>
              <w:t>ctions</w:t>
            </w:r>
            <w:r>
              <w:rPr>
                <w:rFonts w:ascii="Arial" w:cs="Arial" w:eastAsia="Arial" w:hAnsi="Arial"/>
                <w:sz w:val="18"/>
                <w:szCs w:val="18"/>
                <w:color w:val="auto"/>
              </w:rPr>
              <w:t xml:space="preserve"> W</w:t>
            </w:r>
            <w:r>
              <w:rPr>
                <w:rFonts w:ascii="Arial" w:cs="Arial" w:eastAsia="Arial" w:hAnsi="Arial"/>
                <w:sz w:val="12"/>
                <w:szCs w:val="12"/>
                <w:color w:val="auto"/>
              </w:rPr>
              <w:t>ithout</w:t>
            </w:r>
            <w:r>
              <w:rPr>
                <w:rFonts w:ascii="Arial" w:cs="Arial" w:eastAsia="Arial" w:hAnsi="Arial"/>
                <w:sz w:val="18"/>
                <w:szCs w:val="18"/>
                <w:color w:val="auto"/>
              </w:rPr>
              <w:t xml:space="preserve"> I</w:t>
            </w:r>
            <w:r>
              <w:rPr>
                <w:rFonts w:ascii="Arial" w:cs="Arial" w:eastAsia="Arial" w:hAnsi="Arial"/>
                <w:sz w:val="12"/>
                <w:szCs w:val="12"/>
                <w:color w:val="auto"/>
              </w:rPr>
              <w:t>nstructions</w:t>
            </w:r>
          </w:p>
        </w:tc>
        <w:tc>
          <w:tcPr>
            <w:tcW w:w="61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86</w:t>
            </w: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9.5</w:t>
            </w:r>
          </w:p>
        </w:tc>
        <w:tc>
          <w:tcPr>
            <w:tcW w:w="4420" w:type="dxa"/>
            <w:vAlign w:val="bottom"/>
          </w:tcPr>
          <w:p>
            <w:pPr>
              <w:ind w:left="160"/>
              <w:spacing w:after="0"/>
              <w:rPr>
                <w:sz w:val="20"/>
                <w:szCs w:val="20"/>
                <w:color w:val="auto"/>
              </w:rPr>
            </w:pPr>
            <w:r>
              <w:rPr>
                <w:rFonts w:ascii="Arial" w:cs="Arial" w:eastAsia="Arial" w:hAnsi="Arial"/>
                <w:sz w:val="18"/>
                <w:szCs w:val="18"/>
                <w:color w:val="auto"/>
              </w:rPr>
              <w:t>D</w:t>
            </w:r>
            <w:r>
              <w:rPr>
                <w:rFonts w:ascii="Arial" w:cs="Arial" w:eastAsia="Arial" w:hAnsi="Arial"/>
                <w:sz w:val="12"/>
                <w:szCs w:val="12"/>
                <w:color w:val="auto"/>
              </w:rPr>
              <w:t>elegation of</w:t>
            </w:r>
            <w:r>
              <w:rPr>
                <w:rFonts w:ascii="Arial" w:cs="Arial" w:eastAsia="Arial" w:hAnsi="Arial"/>
                <w:sz w:val="18"/>
                <w:szCs w:val="18"/>
                <w:color w:val="auto"/>
              </w:rPr>
              <w:t xml:space="preserve"> R</w:t>
            </w:r>
            <w:r>
              <w:rPr>
                <w:rFonts w:ascii="Arial" w:cs="Arial" w:eastAsia="Arial" w:hAnsi="Arial"/>
                <w:sz w:val="12"/>
                <w:szCs w:val="12"/>
                <w:color w:val="auto"/>
              </w:rPr>
              <w:t>ights and</w:t>
            </w:r>
            <w:r>
              <w:rPr>
                <w:rFonts w:ascii="Arial" w:cs="Arial" w:eastAsia="Arial" w:hAnsi="Arial"/>
                <w:sz w:val="18"/>
                <w:szCs w:val="18"/>
                <w:color w:val="auto"/>
              </w:rPr>
              <w:t xml:space="preserve"> D</w:t>
            </w:r>
            <w:r>
              <w:rPr>
                <w:rFonts w:ascii="Arial" w:cs="Arial" w:eastAsia="Arial" w:hAnsi="Arial"/>
                <w:sz w:val="12"/>
                <w:szCs w:val="12"/>
                <w:color w:val="auto"/>
              </w:rPr>
              <w:t>uties</w:t>
            </w:r>
          </w:p>
        </w:tc>
        <w:tc>
          <w:tcPr>
            <w:tcW w:w="6180" w:type="dxa"/>
            <w:vAlign w:val="bottom"/>
          </w:tcPr>
          <w:p>
            <w:pPr>
              <w:jc w:val="right"/>
              <w:ind w:right="310"/>
              <w:spacing w:after="0"/>
              <w:rPr>
                <w:sz w:val="20"/>
                <w:szCs w:val="20"/>
                <w:color w:val="auto"/>
              </w:rPr>
            </w:pPr>
            <w:r>
              <w:rPr>
                <w:rFonts w:ascii="Arial" w:cs="Arial" w:eastAsia="Arial" w:hAnsi="Arial"/>
                <w:sz w:val="18"/>
                <w:szCs w:val="18"/>
                <w:color w:val="auto"/>
              </w:rPr>
              <w:t>86</w:t>
            </w:r>
          </w:p>
        </w:tc>
      </w:tr>
      <w:tr>
        <w:trPr>
          <w:trHeight w:val="216"/>
        </w:trPr>
        <w:tc>
          <w:tcPr>
            <w:tcW w:w="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9.6</w:t>
            </w:r>
          </w:p>
        </w:tc>
        <w:tc>
          <w:tcPr>
            <w:tcW w:w="4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w:t>
            </w:r>
            <w:r>
              <w:rPr>
                <w:rFonts w:ascii="Arial" w:cs="Arial" w:eastAsia="Arial" w:hAnsi="Arial"/>
                <w:sz w:val="12"/>
                <w:szCs w:val="12"/>
                <w:color w:val="auto"/>
              </w:rPr>
              <w:t>eliance and</w:t>
            </w:r>
            <w:r>
              <w:rPr>
                <w:rFonts w:ascii="Arial" w:cs="Arial" w:eastAsia="Arial" w:hAnsi="Arial"/>
                <w:sz w:val="18"/>
                <w:szCs w:val="18"/>
                <w:color w:val="auto"/>
              </w:rPr>
              <w:t xml:space="preserve"> L</w:t>
            </w:r>
            <w:r>
              <w:rPr>
                <w:rFonts w:ascii="Arial" w:cs="Arial" w:eastAsia="Arial" w:hAnsi="Arial"/>
                <w:sz w:val="12"/>
                <w:szCs w:val="12"/>
                <w:color w:val="auto"/>
              </w:rPr>
              <w:t>iability</w:t>
            </w:r>
          </w:p>
        </w:tc>
        <w:tc>
          <w:tcPr>
            <w:tcW w:w="61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86</w:t>
            </w: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9.7</w:t>
            </w:r>
          </w:p>
        </w:tc>
        <w:tc>
          <w:tcPr>
            <w:tcW w:w="4420" w:type="dxa"/>
            <w:vAlign w:val="bottom"/>
          </w:tcPr>
          <w:p>
            <w:pPr>
              <w:ind w:left="160"/>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gent</w:t>
            </w:r>
            <w:r>
              <w:rPr>
                <w:rFonts w:ascii="Arial" w:cs="Arial" w:eastAsia="Arial" w:hAnsi="Arial"/>
                <w:sz w:val="18"/>
                <w:szCs w:val="18"/>
                <w:color w:val="auto"/>
              </w:rPr>
              <w:t xml:space="preserve"> I</w:t>
            </w:r>
            <w:r>
              <w:rPr>
                <w:rFonts w:ascii="Arial" w:cs="Arial" w:eastAsia="Arial" w:hAnsi="Arial"/>
                <w:sz w:val="12"/>
                <w:szCs w:val="12"/>
                <w:color w:val="auto"/>
              </w:rPr>
              <w:t>ndividually</w:t>
            </w:r>
          </w:p>
        </w:tc>
        <w:tc>
          <w:tcPr>
            <w:tcW w:w="6180" w:type="dxa"/>
            <w:vAlign w:val="bottom"/>
          </w:tcPr>
          <w:p>
            <w:pPr>
              <w:jc w:val="right"/>
              <w:ind w:right="310"/>
              <w:spacing w:after="0"/>
              <w:rPr>
                <w:sz w:val="20"/>
                <w:szCs w:val="20"/>
                <w:color w:val="auto"/>
              </w:rPr>
            </w:pPr>
            <w:r>
              <w:rPr>
                <w:rFonts w:ascii="Arial" w:cs="Arial" w:eastAsia="Arial" w:hAnsi="Arial"/>
                <w:sz w:val="18"/>
                <w:szCs w:val="18"/>
                <w:color w:val="auto"/>
              </w:rPr>
              <w:t>87</w:t>
            </w:r>
          </w:p>
        </w:tc>
      </w:tr>
      <w:tr>
        <w:trPr>
          <w:trHeight w:val="216"/>
        </w:trPr>
        <w:tc>
          <w:tcPr>
            <w:tcW w:w="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9.8</w:t>
            </w:r>
          </w:p>
        </w:tc>
        <w:tc>
          <w:tcPr>
            <w:tcW w:w="4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gent</w:t>
            </w:r>
            <w:r>
              <w:rPr>
                <w:rFonts w:ascii="Arial" w:cs="Arial" w:eastAsia="Arial" w:hAnsi="Arial"/>
                <w:sz w:val="18"/>
                <w:szCs w:val="18"/>
                <w:color w:val="auto"/>
              </w:rPr>
              <w:t xml:space="preserve"> C</w:t>
            </w:r>
            <w:r>
              <w:rPr>
                <w:rFonts w:ascii="Arial" w:cs="Arial" w:eastAsia="Arial" w:hAnsi="Arial"/>
                <w:sz w:val="12"/>
                <w:szCs w:val="12"/>
                <w:color w:val="auto"/>
              </w:rPr>
              <w:t>osts and</w:t>
            </w:r>
            <w:r>
              <w:rPr>
                <w:rFonts w:ascii="Arial" w:cs="Arial" w:eastAsia="Arial" w:hAnsi="Arial"/>
                <w:sz w:val="18"/>
                <w:szCs w:val="18"/>
                <w:color w:val="auto"/>
              </w:rPr>
              <w:t xml:space="preserve"> E</w:t>
            </w:r>
            <w:r>
              <w:rPr>
                <w:rFonts w:ascii="Arial" w:cs="Arial" w:eastAsia="Arial" w:hAnsi="Arial"/>
                <w:sz w:val="12"/>
                <w:szCs w:val="12"/>
                <w:color w:val="auto"/>
              </w:rPr>
              <w:t>xpenses</w:t>
            </w:r>
          </w:p>
        </w:tc>
        <w:tc>
          <w:tcPr>
            <w:tcW w:w="61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87</w:t>
            </w: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9.9</w:t>
            </w:r>
          </w:p>
        </w:tc>
        <w:tc>
          <w:tcPr>
            <w:tcW w:w="4420" w:type="dxa"/>
            <w:vAlign w:val="bottom"/>
          </w:tcPr>
          <w:p>
            <w:pPr>
              <w:ind w:left="160"/>
              <w:spacing w:after="0"/>
              <w:rPr>
                <w:sz w:val="20"/>
                <w:szCs w:val="20"/>
                <w:color w:val="auto"/>
              </w:rPr>
            </w:pPr>
            <w:r>
              <w:rPr>
                <w:rFonts w:ascii="Arial" w:cs="Arial" w:eastAsia="Arial" w:hAnsi="Arial"/>
                <w:sz w:val="18"/>
                <w:szCs w:val="18"/>
                <w:color w:val="auto"/>
              </w:rPr>
              <w:t>I</w:t>
            </w:r>
            <w:r>
              <w:rPr>
                <w:rFonts w:ascii="Arial" w:cs="Arial" w:eastAsia="Arial" w:hAnsi="Arial"/>
                <w:sz w:val="12"/>
                <w:szCs w:val="12"/>
                <w:color w:val="auto"/>
              </w:rPr>
              <w:t>ndemnification of</w:t>
            </w:r>
            <w:r>
              <w:rPr>
                <w:rFonts w:ascii="Arial" w:cs="Arial" w:eastAsia="Arial" w:hAnsi="Arial"/>
                <w:sz w:val="18"/>
                <w:szCs w:val="18"/>
                <w:color w:val="auto"/>
              </w:rPr>
              <w:t xml:space="preserve"> A</w:t>
            </w:r>
            <w:r>
              <w:rPr>
                <w:rFonts w:ascii="Arial" w:cs="Arial" w:eastAsia="Arial" w:hAnsi="Arial"/>
                <w:sz w:val="12"/>
                <w:szCs w:val="12"/>
                <w:color w:val="auto"/>
              </w:rPr>
              <w:t>gent</w:t>
            </w:r>
          </w:p>
        </w:tc>
        <w:tc>
          <w:tcPr>
            <w:tcW w:w="6180" w:type="dxa"/>
            <w:vAlign w:val="bottom"/>
          </w:tcPr>
          <w:p>
            <w:pPr>
              <w:jc w:val="right"/>
              <w:ind w:right="310"/>
              <w:spacing w:after="0"/>
              <w:rPr>
                <w:sz w:val="20"/>
                <w:szCs w:val="20"/>
                <w:color w:val="auto"/>
              </w:rPr>
            </w:pPr>
            <w:r>
              <w:rPr>
                <w:rFonts w:ascii="Arial" w:cs="Arial" w:eastAsia="Arial" w:hAnsi="Arial"/>
                <w:sz w:val="18"/>
                <w:szCs w:val="18"/>
                <w:color w:val="auto"/>
              </w:rPr>
              <w:t>87</w:t>
            </w:r>
          </w:p>
        </w:tc>
      </w:tr>
      <w:tr>
        <w:trPr>
          <w:trHeight w:val="216"/>
        </w:trPr>
        <w:tc>
          <w:tcPr>
            <w:tcW w:w="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9.10</w:t>
            </w:r>
          </w:p>
        </w:tc>
        <w:tc>
          <w:tcPr>
            <w:tcW w:w="4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w:t>
            </w:r>
            <w:r>
              <w:rPr>
                <w:rFonts w:ascii="Arial" w:cs="Arial" w:eastAsia="Arial" w:hAnsi="Arial"/>
                <w:sz w:val="12"/>
                <w:szCs w:val="12"/>
                <w:color w:val="auto"/>
              </w:rPr>
              <w:t>esignation of</w:t>
            </w:r>
            <w:r>
              <w:rPr>
                <w:rFonts w:ascii="Arial" w:cs="Arial" w:eastAsia="Arial" w:hAnsi="Arial"/>
                <w:sz w:val="18"/>
                <w:szCs w:val="18"/>
                <w:color w:val="auto"/>
              </w:rPr>
              <w:t xml:space="preserve"> A</w:t>
            </w:r>
            <w:r>
              <w:rPr>
                <w:rFonts w:ascii="Arial" w:cs="Arial" w:eastAsia="Arial" w:hAnsi="Arial"/>
                <w:sz w:val="12"/>
                <w:szCs w:val="12"/>
                <w:color w:val="auto"/>
              </w:rPr>
              <w:t>gent</w:t>
            </w:r>
          </w:p>
        </w:tc>
        <w:tc>
          <w:tcPr>
            <w:tcW w:w="61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87</w:t>
            </w: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9.11</w:t>
            </w:r>
          </w:p>
        </w:tc>
        <w:tc>
          <w:tcPr>
            <w:tcW w:w="4420" w:type="dxa"/>
            <w:vAlign w:val="bottom"/>
          </w:tcPr>
          <w:p>
            <w:pPr>
              <w:ind w:left="160"/>
              <w:spacing w:after="0"/>
              <w:rPr>
                <w:sz w:val="20"/>
                <w:szCs w:val="20"/>
                <w:color w:val="auto"/>
              </w:rPr>
            </w:pPr>
            <w:r>
              <w:rPr>
                <w:rFonts w:ascii="Arial" w:cs="Arial" w:eastAsia="Arial" w:hAnsi="Arial"/>
                <w:sz w:val="18"/>
                <w:szCs w:val="18"/>
                <w:color w:val="auto"/>
              </w:rPr>
              <w:t>R</w:t>
            </w:r>
            <w:r>
              <w:rPr>
                <w:rFonts w:ascii="Arial" w:cs="Arial" w:eastAsia="Arial" w:hAnsi="Arial"/>
                <w:sz w:val="12"/>
                <w:szCs w:val="12"/>
                <w:color w:val="auto"/>
              </w:rPr>
              <w:t>elease of</w:t>
            </w:r>
            <w:r>
              <w:rPr>
                <w:rFonts w:ascii="Arial" w:cs="Arial" w:eastAsia="Arial" w:hAnsi="Arial"/>
                <w:sz w:val="18"/>
                <w:szCs w:val="18"/>
                <w:color w:val="auto"/>
              </w:rPr>
              <w:t xml:space="preserve"> C</w:t>
            </w:r>
            <w:r>
              <w:rPr>
                <w:rFonts w:ascii="Arial" w:cs="Arial" w:eastAsia="Arial" w:hAnsi="Arial"/>
                <w:sz w:val="12"/>
                <w:szCs w:val="12"/>
                <w:color w:val="auto"/>
              </w:rPr>
              <w:t>ollateral</w:t>
            </w:r>
          </w:p>
        </w:tc>
        <w:tc>
          <w:tcPr>
            <w:tcW w:w="6180" w:type="dxa"/>
            <w:vAlign w:val="bottom"/>
          </w:tcPr>
          <w:p>
            <w:pPr>
              <w:jc w:val="right"/>
              <w:ind w:right="310"/>
              <w:spacing w:after="0"/>
              <w:rPr>
                <w:sz w:val="20"/>
                <w:szCs w:val="20"/>
                <w:color w:val="auto"/>
              </w:rPr>
            </w:pPr>
            <w:r>
              <w:rPr>
                <w:rFonts w:ascii="Arial" w:cs="Arial" w:eastAsia="Arial" w:hAnsi="Arial"/>
                <w:sz w:val="18"/>
                <w:szCs w:val="18"/>
                <w:color w:val="auto"/>
              </w:rPr>
              <w:t>88</w:t>
            </w:r>
          </w:p>
        </w:tc>
      </w:tr>
      <w:tr>
        <w:trPr>
          <w:trHeight w:val="216"/>
        </w:trPr>
        <w:tc>
          <w:tcPr>
            <w:tcW w:w="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9.12</w:t>
            </w:r>
          </w:p>
        </w:tc>
        <w:tc>
          <w:tcPr>
            <w:tcW w:w="4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rroneous</w:t>
            </w:r>
            <w:r>
              <w:rPr>
                <w:rFonts w:ascii="Arial" w:cs="Arial" w:eastAsia="Arial" w:hAnsi="Arial"/>
                <w:sz w:val="18"/>
                <w:szCs w:val="18"/>
                <w:color w:val="auto"/>
              </w:rPr>
              <w:t xml:space="preserve"> P</w:t>
            </w:r>
            <w:r>
              <w:rPr>
                <w:rFonts w:ascii="Arial" w:cs="Arial" w:eastAsia="Arial" w:hAnsi="Arial"/>
                <w:sz w:val="12"/>
                <w:szCs w:val="12"/>
                <w:color w:val="auto"/>
              </w:rPr>
              <w:t>ayments</w:t>
            </w:r>
          </w:p>
        </w:tc>
        <w:tc>
          <w:tcPr>
            <w:tcW w:w="61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88</w:t>
            </w:r>
          </w:p>
        </w:tc>
      </w:tr>
      <w:tr>
        <w:trPr>
          <w:trHeight w:val="655"/>
        </w:trPr>
        <w:tc>
          <w:tcPr>
            <w:tcW w:w="5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Presto Credit Agreement</w:t>
            </w:r>
          </w:p>
        </w:tc>
        <w:tc>
          <w:tcPr>
            <w:tcW w:w="6180" w:type="dxa"/>
            <w:vAlign w:val="bottom"/>
            <w:tcBorders>
              <w:bottom w:val="single" w:sz="8" w:color="auto"/>
            </w:tcBorders>
          </w:tcPr>
          <w:p>
            <w:pPr>
              <w:jc w:val="right"/>
              <w:ind w:right="5370"/>
              <w:spacing w:after="0"/>
              <w:rPr>
                <w:sz w:val="20"/>
                <w:szCs w:val="20"/>
                <w:color w:val="auto"/>
              </w:rPr>
            </w:pPr>
            <w:r>
              <w:rPr>
                <w:rFonts w:ascii="Arial" w:cs="Arial" w:eastAsia="Arial" w:hAnsi="Arial"/>
                <w:sz w:val="18"/>
                <w:szCs w:val="18"/>
                <w:color w:val="auto"/>
              </w:rPr>
              <w:t>iii</w:t>
            </w:r>
          </w:p>
        </w:tc>
      </w:tr>
    </w:tbl>
    <w:p>
      <w:pPr>
        <w:sectPr>
          <w:pgSz w:w="11900" w:h="16838" w:orient="portrait"/>
          <w:cols w:equalWidth="0" w:num="1">
            <w:col w:w="11240"/>
          </w:cols>
          <w:pgMar w:left="320" w:top="950" w:right="339" w:bottom="1440" w:gutter="0" w:footer="0" w:header="0"/>
        </w:sectPr>
      </w:pPr>
    </w:p>
    <w:bookmarkStart w:id="76" w:name="page77"/>
    <w:bookmarkEnd w:id="7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60" w:type="dxa"/>
            <w:vAlign w:val="bottom"/>
          </w:tcPr>
          <w:p>
            <w:pPr>
              <w:spacing w:after="0"/>
              <w:rPr>
                <w:sz w:val="20"/>
                <w:szCs w:val="20"/>
                <w:color w:val="auto"/>
              </w:rPr>
            </w:pPr>
          </w:p>
        </w:tc>
        <w:tc>
          <w:tcPr>
            <w:tcW w:w="9380" w:type="dxa"/>
            <w:vAlign w:val="bottom"/>
          </w:tcPr>
          <w:p>
            <w:pPr>
              <w:ind w:left="3220"/>
              <w:spacing w:after="0"/>
              <w:rPr>
                <w:sz w:val="20"/>
                <w:szCs w:val="20"/>
                <w:color w:val="auto"/>
              </w:rPr>
            </w:pPr>
            <w:r>
              <w:rPr>
                <w:rFonts w:ascii="Arial" w:cs="Arial" w:eastAsia="Arial" w:hAnsi="Arial"/>
                <w:sz w:val="18"/>
                <w:szCs w:val="18"/>
                <w:b w:val="1"/>
                <w:bCs w:val="1"/>
                <w:color w:val="auto"/>
              </w:rPr>
              <w:t>SCHEDULES</w:t>
            </w:r>
          </w:p>
        </w:tc>
      </w:tr>
      <w:tr>
        <w:trPr>
          <w:trHeight w:val="418"/>
        </w:trPr>
        <w:tc>
          <w:tcPr>
            <w:tcW w:w="1860" w:type="dxa"/>
            <w:vAlign w:val="bottom"/>
          </w:tcPr>
          <w:p>
            <w:pPr>
              <w:spacing w:after="0"/>
              <w:rPr>
                <w:sz w:val="20"/>
                <w:szCs w:val="20"/>
                <w:color w:val="auto"/>
              </w:rPr>
            </w:pPr>
            <w:r>
              <w:rPr>
                <w:rFonts w:ascii="Arial" w:cs="Arial" w:eastAsia="Arial" w:hAnsi="Arial"/>
                <w:sz w:val="18"/>
                <w:szCs w:val="18"/>
                <w:color w:val="auto"/>
              </w:rPr>
              <w:t>Schedule 1.1(a)</w:t>
            </w:r>
          </w:p>
        </w:tc>
        <w:tc>
          <w:tcPr>
            <w:tcW w:w="9380" w:type="dxa"/>
            <w:vAlign w:val="bottom"/>
          </w:tcPr>
          <w:p>
            <w:pPr>
              <w:ind w:left="60"/>
              <w:spacing w:after="0"/>
              <w:rPr>
                <w:sz w:val="20"/>
                <w:szCs w:val="20"/>
                <w:color w:val="auto"/>
              </w:rPr>
            </w:pPr>
            <w:r>
              <w:rPr>
                <w:rFonts w:ascii="Arial" w:cs="Arial" w:eastAsia="Arial" w:hAnsi="Arial"/>
                <w:sz w:val="18"/>
                <w:szCs w:val="18"/>
                <w:color w:val="auto"/>
              </w:rPr>
              <w:t>Term Loan Commitments</w:t>
            </w:r>
          </w:p>
        </w:tc>
      </w:tr>
      <w:tr>
        <w:trPr>
          <w:trHeight w:val="216"/>
        </w:trPr>
        <w:tc>
          <w:tcPr>
            <w:tcW w:w="1860" w:type="dxa"/>
            <w:vAlign w:val="bottom"/>
          </w:tcPr>
          <w:p>
            <w:pPr>
              <w:spacing w:after="0"/>
              <w:rPr>
                <w:sz w:val="20"/>
                <w:szCs w:val="20"/>
                <w:color w:val="auto"/>
              </w:rPr>
            </w:pPr>
            <w:r>
              <w:rPr>
                <w:rFonts w:ascii="Arial" w:cs="Arial" w:eastAsia="Arial" w:hAnsi="Arial"/>
                <w:sz w:val="18"/>
                <w:szCs w:val="18"/>
                <w:color w:val="auto"/>
              </w:rPr>
              <w:t>Schedule 1.1(b)</w:t>
            </w:r>
          </w:p>
        </w:tc>
        <w:tc>
          <w:tcPr>
            <w:tcW w:w="9380" w:type="dxa"/>
            <w:vAlign w:val="bottom"/>
          </w:tcPr>
          <w:p>
            <w:pPr>
              <w:ind w:left="60"/>
              <w:spacing w:after="0"/>
              <w:rPr>
                <w:sz w:val="20"/>
                <w:szCs w:val="20"/>
                <w:color w:val="auto"/>
              </w:rPr>
            </w:pPr>
            <w:r>
              <w:rPr>
                <w:rFonts w:ascii="Arial" w:cs="Arial" w:eastAsia="Arial" w:hAnsi="Arial"/>
                <w:sz w:val="18"/>
                <w:szCs w:val="18"/>
                <w:color w:val="auto"/>
              </w:rPr>
              <w:t>Deposit Accounts</w:t>
            </w:r>
          </w:p>
        </w:tc>
      </w:tr>
      <w:tr>
        <w:trPr>
          <w:trHeight w:val="216"/>
        </w:trPr>
        <w:tc>
          <w:tcPr>
            <w:tcW w:w="1860" w:type="dxa"/>
            <w:vAlign w:val="bottom"/>
          </w:tcPr>
          <w:p>
            <w:pPr>
              <w:spacing w:after="0"/>
              <w:rPr>
                <w:sz w:val="20"/>
                <w:szCs w:val="20"/>
                <w:color w:val="auto"/>
              </w:rPr>
            </w:pPr>
            <w:r>
              <w:rPr>
                <w:rFonts w:ascii="Arial" w:cs="Arial" w:eastAsia="Arial" w:hAnsi="Arial"/>
                <w:sz w:val="18"/>
                <w:szCs w:val="18"/>
                <w:color w:val="auto"/>
              </w:rPr>
              <w:t>Schedule 1.1(c)</w:t>
            </w:r>
          </w:p>
        </w:tc>
        <w:tc>
          <w:tcPr>
            <w:tcW w:w="9380" w:type="dxa"/>
            <w:vAlign w:val="bottom"/>
          </w:tcPr>
          <w:p>
            <w:pPr>
              <w:ind w:left="60"/>
              <w:spacing w:after="0"/>
              <w:rPr>
                <w:sz w:val="20"/>
                <w:szCs w:val="20"/>
                <w:color w:val="auto"/>
              </w:rPr>
            </w:pPr>
            <w:r>
              <w:rPr>
                <w:rFonts w:ascii="Arial" w:cs="Arial" w:eastAsia="Arial" w:hAnsi="Arial"/>
                <w:sz w:val="18"/>
                <w:szCs w:val="18"/>
                <w:color w:val="auto"/>
              </w:rPr>
              <w:t>Permitted Indebtedness</w:t>
            </w:r>
          </w:p>
        </w:tc>
      </w:tr>
      <w:tr>
        <w:trPr>
          <w:trHeight w:val="216"/>
        </w:trPr>
        <w:tc>
          <w:tcPr>
            <w:tcW w:w="1860" w:type="dxa"/>
            <w:vAlign w:val="bottom"/>
          </w:tcPr>
          <w:p>
            <w:pPr>
              <w:spacing w:after="0"/>
              <w:rPr>
                <w:sz w:val="20"/>
                <w:szCs w:val="20"/>
                <w:color w:val="auto"/>
              </w:rPr>
            </w:pPr>
            <w:r>
              <w:rPr>
                <w:rFonts w:ascii="Arial" w:cs="Arial" w:eastAsia="Arial" w:hAnsi="Arial"/>
                <w:sz w:val="18"/>
                <w:szCs w:val="18"/>
                <w:color w:val="auto"/>
              </w:rPr>
              <w:t>Schedule 1.1(d)</w:t>
            </w:r>
          </w:p>
        </w:tc>
        <w:tc>
          <w:tcPr>
            <w:tcW w:w="9380" w:type="dxa"/>
            <w:vAlign w:val="bottom"/>
          </w:tcPr>
          <w:p>
            <w:pPr>
              <w:ind w:left="60"/>
              <w:spacing w:after="0"/>
              <w:rPr>
                <w:sz w:val="20"/>
                <w:szCs w:val="20"/>
                <w:color w:val="auto"/>
              </w:rPr>
            </w:pPr>
            <w:r>
              <w:rPr>
                <w:rFonts w:ascii="Arial" w:cs="Arial" w:eastAsia="Arial" w:hAnsi="Arial"/>
                <w:sz w:val="18"/>
                <w:szCs w:val="18"/>
                <w:color w:val="auto"/>
              </w:rPr>
              <w:t>SPAC Subscription Agreements</w:t>
            </w:r>
          </w:p>
        </w:tc>
      </w:tr>
      <w:tr>
        <w:trPr>
          <w:trHeight w:val="216"/>
        </w:trPr>
        <w:tc>
          <w:tcPr>
            <w:tcW w:w="1860" w:type="dxa"/>
            <w:vAlign w:val="bottom"/>
          </w:tcPr>
          <w:p>
            <w:pPr>
              <w:spacing w:after="0"/>
              <w:rPr>
                <w:sz w:val="20"/>
                <w:szCs w:val="20"/>
                <w:color w:val="auto"/>
              </w:rPr>
            </w:pPr>
            <w:r>
              <w:rPr>
                <w:rFonts w:ascii="Arial" w:cs="Arial" w:eastAsia="Arial" w:hAnsi="Arial"/>
                <w:sz w:val="18"/>
                <w:szCs w:val="18"/>
                <w:color w:val="auto"/>
              </w:rPr>
              <w:t>Schedule 3.6</w:t>
            </w:r>
          </w:p>
        </w:tc>
        <w:tc>
          <w:tcPr>
            <w:tcW w:w="9380" w:type="dxa"/>
            <w:vAlign w:val="bottom"/>
          </w:tcPr>
          <w:p>
            <w:pPr>
              <w:ind w:left="60"/>
              <w:spacing w:after="0"/>
              <w:rPr>
                <w:sz w:val="20"/>
                <w:szCs w:val="20"/>
                <w:color w:val="auto"/>
              </w:rPr>
            </w:pPr>
            <w:r>
              <w:rPr>
                <w:rFonts w:ascii="Arial" w:cs="Arial" w:eastAsia="Arial" w:hAnsi="Arial"/>
                <w:sz w:val="18"/>
                <w:szCs w:val="18"/>
                <w:color w:val="auto"/>
              </w:rPr>
              <w:t>Current Litigation</w:t>
            </w:r>
          </w:p>
        </w:tc>
      </w:tr>
      <w:tr>
        <w:trPr>
          <w:trHeight w:val="216"/>
        </w:trPr>
        <w:tc>
          <w:tcPr>
            <w:tcW w:w="1860" w:type="dxa"/>
            <w:vAlign w:val="bottom"/>
          </w:tcPr>
          <w:p>
            <w:pPr>
              <w:spacing w:after="0"/>
              <w:rPr>
                <w:sz w:val="20"/>
                <w:szCs w:val="20"/>
                <w:color w:val="auto"/>
              </w:rPr>
            </w:pPr>
            <w:r>
              <w:rPr>
                <w:rFonts w:ascii="Arial" w:cs="Arial" w:eastAsia="Arial" w:hAnsi="Arial"/>
                <w:sz w:val="18"/>
                <w:szCs w:val="18"/>
                <w:color w:val="auto"/>
              </w:rPr>
              <w:t>Schedule 3.7</w:t>
            </w:r>
          </w:p>
        </w:tc>
        <w:tc>
          <w:tcPr>
            <w:tcW w:w="9380" w:type="dxa"/>
            <w:vAlign w:val="bottom"/>
          </w:tcPr>
          <w:p>
            <w:pPr>
              <w:ind w:left="60"/>
              <w:spacing w:after="0"/>
              <w:rPr>
                <w:sz w:val="20"/>
                <w:szCs w:val="20"/>
                <w:color w:val="auto"/>
              </w:rPr>
            </w:pPr>
            <w:r>
              <w:rPr>
                <w:rFonts w:ascii="Arial" w:cs="Arial" w:eastAsia="Arial" w:hAnsi="Arial"/>
                <w:sz w:val="18"/>
                <w:szCs w:val="18"/>
                <w:color w:val="auto"/>
              </w:rPr>
              <w:t>Material Contracts</w:t>
            </w:r>
          </w:p>
        </w:tc>
      </w:tr>
      <w:tr>
        <w:trPr>
          <w:trHeight w:val="216"/>
        </w:trPr>
        <w:tc>
          <w:tcPr>
            <w:tcW w:w="1860" w:type="dxa"/>
            <w:vAlign w:val="bottom"/>
          </w:tcPr>
          <w:p>
            <w:pPr>
              <w:spacing w:after="0"/>
              <w:rPr>
                <w:sz w:val="20"/>
                <w:szCs w:val="20"/>
                <w:color w:val="auto"/>
              </w:rPr>
            </w:pPr>
            <w:r>
              <w:rPr>
                <w:rFonts w:ascii="Arial" w:cs="Arial" w:eastAsia="Arial" w:hAnsi="Arial"/>
                <w:sz w:val="18"/>
                <w:szCs w:val="18"/>
                <w:color w:val="auto"/>
              </w:rPr>
              <w:t>Schedule 3.19</w:t>
            </w:r>
          </w:p>
        </w:tc>
        <w:tc>
          <w:tcPr>
            <w:tcW w:w="9380" w:type="dxa"/>
            <w:vAlign w:val="bottom"/>
          </w:tcPr>
          <w:p>
            <w:pPr>
              <w:ind w:left="60"/>
              <w:spacing w:after="0"/>
              <w:rPr>
                <w:sz w:val="20"/>
                <w:szCs w:val="20"/>
                <w:color w:val="auto"/>
              </w:rPr>
            </w:pPr>
            <w:r>
              <w:rPr>
                <w:rFonts w:ascii="Arial" w:cs="Arial" w:eastAsia="Arial" w:hAnsi="Arial"/>
                <w:sz w:val="18"/>
                <w:szCs w:val="18"/>
                <w:color w:val="auto"/>
              </w:rPr>
              <w:t>Subsidiaries</w:t>
            </w:r>
          </w:p>
        </w:tc>
      </w:tr>
      <w:tr>
        <w:trPr>
          <w:trHeight w:val="216"/>
        </w:trPr>
        <w:tc>
          <w:tcPr>
            <w:tcW w:w="1860" w:type="dxa"/>
            <w:vAlign w:val="bottom"/>
          </w:tcPr>
          <w:p>
            <w:pPr>
              <w:spacing w:after="0"/>
              <w:rPr>
                <w:sz w:val="20"/>
                <w:szCs w:val="20"/>
                <w:color w:val="auto"/>
              </w:rPr>
            </w:pPr>
            <w:r>
              <w:rPr>
                <w:rFonts w:ascii="Arial" w:cs="Arial" w:eastAsia="Arial" w:hAnsi="Arial"/>
                <w:sz w:val="18"/>
                <w:szCs w:val="18"/>
                <w:color w:val="auto"/>
              </w:rPr>
              <w:t>Schedule 3.23</w:t>
            </w:r>
          </w:p>
        </w:tc>
        <w:tc>
          <w:tcPr>
            <w:tcW w:w="9380" w:type="dxa"/>
            <w:vAlign w:val="bottom"/>
          </w:tcPr>
          <w:p>
            <w:pPr>
              <w:ind w:left="60"/>
              <w:spacing w:after="0"/>
              <w:rPr>
                <w:sz w:val="20"/>
                <w:szCs w:val="20"/>
                <w:color w:val="auto"/>
              </w:rPr>
            </w:pPr>
            <w:r>
              <w:rPr>
                <w:rFonts w:ascii="Arial" w:cs="Arial" w:eastAsia="Arial" w:hAnsi="Arial"/>
                <w:sz w:val="18"/>
                <w:szCs w:val="18"/>
                <w:color w:val="auto"/>
              </w:rPr>
              <w:t>Capitalization of Loan Parties; Subsidiaries</w:t>
            </w:r>
          </w:p>
        </w:tc>
      </w:tr>
      <w:tr>
        <w:trPr>
          <w:trHeight w:val="216"/>
        </w:trPr>
        <w:tc>
          <w:tcPr>
            <w:tcW w:w="1860" w:type="dxa"/>
            <w:vAlign w:val="bottom"/>
          </w:tcPr>
          <w:p>
            <w:pPr>
              <w:spacing w:after="0"/>
              <w:rPr>
                <w:sz w:val="20"/>
                <w:szCs w:val="20"/>
                <w:color w:val="auto"/>
              </w:rPr>
            </w:pPr>
            <w:r>
              <w:rPr>
                <w:rFonts w:ascii="Arial" w:cs="Arial" w:eastAsia="Arial" w:hAnsi="Arial"/>
                <w:sz w:val="18"/>
                <w:szCs w:val="18"/>
                <w:color w:val="auto"/>
              </w:rPr>
              <w:t>Schedule 3.24</w:t>
            </w:r>
          </w:p>
        </w:tc>
        <w:tc>
          <w:tcPr>
            <w:tcW w:w="9380" w:type="dxa"/>
            <w:vAlign w:val="bottom"/>
          </w:tcPr>
          <w:p>
            <w:pPr>
              <w:ind w:left="60"/>
              <w:spacing w:after="0"/>
              <w:rPr>
                <w:sz w:val="20"/>
                <w:szCs w:val="20"/>
                <w:color w:val="auto"/>
              </w:rPr>
            </w:pPr>
            <w:r>
              <w:rPr>
                <w:rFonts w:ascii="Arial" w:cs="Arial" w:eastAsia="Arial" w:hAnsi="Arial"/>
                <w:sz w:val="18"/>
                <w:szCs w:val="18"/>
                <w:color w:val="auto"/>
              </w:rPr>
              <w:t>Affiliate Transactions</w:t>
            </w:r>
          </w:p>
        </w:tc>
      </w:tr>
      <w:tr>
        <w:trPr>
          <w:trHeight w:val="230"/>
        </w:trPr>
        <w:tc>
          <w:tcPr>
            <w:tcW w:w="1860" w:type="dxa"/>
            <w:vAlign w:val="bottom"/>
          </w:tcPr>
          <w:p>
            <w:pPr>
              <w:spacing w:after="0"/>
              <w:rPr>
                <w:sz w:val="20"/>
                <w:szCs w:val="20"/>
                <w:color w:val="auto"/>
              </w:rPr>
            </w:pPr>
            <w:r>
              <w:rPr>
                <w:rFonts w:ascii="Arial" w:cs="Arial" w:eastAsia="Arial" w:hAnsi="Arial"/>
                <w:sz w:val="18"/>
                <w:szCs w:val="18"/>
                <w:color w:val="auto"/>
              </w:rPr>
              <w:t>Schedule 6.6</w:t>
            </w:r>
          </w:p>
        </w:tc>
        <w:tc>
          <w:tcPr>
            <w:tcW w:w="9380" w:type="dxa"/>
            <w:vAlign w:val="bottom"/>
          </w:tcPr>
          <w:p>
            <w:pPr>
              <w:ind w:left="60"/>
              <w:spacing w:after="0"/>
              <w:rPr>
                <w:sz w:val="20"/>
                <w:szCs w:val="20"/>
                <w:color w:val="auto"/>
              </w:rPr>
            </w:pPr>
            <w:r>
              <w:rPr>
                <w:rFonts w:ascii="Arial" w:cs="Arial" w:eastAsia="Arial" w:hAnsi="Arial"/>
                <w:sz w:val="18"/>
                <w:szCs w:val="18"/>
                <w:color w:val="auto"/>
              </w:rPr>
              <w:t>Permitted Investments</w:t>
            </w:r>
          </w:p>
        </w:tc>
      </w:tr>
      <w:tr>
        <w:trPr>
          <w:trHeight w:val="432"/>
        </w:trPr>
        <w:tc>
          <w:tcPr>
            <w:tcW w:w="1860" w:type="dxa"/>
            <w:vAlign w:val="bottom"/>
          </w:tcPr>
          <w:p>
            <w:pPr>
              <w:spacing w:after="0"/>
              <w:rPr>
                <w:sz w:val="24"/>
                <w:szCs w:val="24"/>
                <w:color w:val="auto"/>
              </w:rPr>
            </w:pPr>
          </w:p>
        </w:tc>
        <w:tc>
          <w:tcPr>
            <w:tcW w:w="9380" w:type="dxa"/>
            <w:vAlign w:val="bottom"/>
          </w:tcPr>
          <w:p>
            <w:pPr>
              <w:ind w:left="3320"/>
              <w:spacing w:after="0"/>
              <w:rPr>
                <w:sz w:val="20"/>
                <w:szCs w:val="20"/>
                <w:color w:val="auto"/>
              </w:rPr>
            </w:pPr>
            <w:r>
              <w:rPr>
                <w:rFonts w:ascii="Arial" w:cs="Arial" w:eastAsia="Arial" w:hAnsi="Arial"/>
                <w:sz w:val="18"/>
                <w:szCs w:val="18"/>
                <w:b w:val="1"/>
                <w:bCs w:val="1"/>
                <w:color w:val="auto"/>
              </w:rPr>
              <w:t>EXHIBITS</w:t>
            </w:r>
          </w:p>
        </w:tc>
      </w:tr>
      <w:tr>
        <w:trPr>
          <w:trHeight w:val="418"/>
        </w:trPr>
        <w:tc>
          <w:tcPr>
            <w:tcW w:w="1860" w:type="dxa"/>
            <w:vAlign w:val="bottom"/>
          </w:tcPr>
          <w:p>
            <w:pPr>
              <w:spacing w:after="0"/>
              <w:rPr>
                <w:sz w:val="20"/>
                <w:szCs w:val="20"/>
                <w:color w:val="auto"/>
              </w:rPr>
            </w:pPr>
            <w:r>
              <w:rPr>
                <w:rFonts w:ascii="Arial" w:cs="Arial" w:eastAsia="Arial" w:hAnsi="Arial"/>
                <w:sz w:val="18"/>
                <w:szCs w:val="18"/>
                <w:color w:val="auto"/>
              </w:rPr>
              <w:t>Exhibit A</w:t>
            </w:r>
          </w:p>
        </w:tc>
        <w:tc>
          <w:tcPr>
            <w:tcW w:w="9380" w:type="dxa"/>
            <w:vAlign w:val="bottom"/>
          </w:tcPr>
          <w:p>
            <w:pPr>
              <w:ind w:left="60"/>
              <w:spacing w:after="0"/>
              <w:rPr>
                <w:sz w:val="20"/>
                <w:szCs w:val="20"/>
                <w:color w:val="auto"/>
              </w:rPr>
            </w:pPr>
            <w:r>
              <w:rPr>
                <w:rFonts w:ascii="Arial" w:cs="Arial" w:eastAsia="Arial" w:hAnsi="Arial"/>
                <w:sz w:val="18"/>
                <w:szCs w:val="18"/>
                <w:color w:val="auto"/>
              </w:rPr>
              <w:t>Form of Compliance Certificate</w:t>
            </w:r>
          </w:p>
        </w:tc>
      </w:tr>
      <w:tr>
        <w:trPr>
          <w:trHeight w:val="216"/>
        </w:trPr>
        <w:tc>
          <w:tcPr>
            <w:tcW w:w="1860" w:type="dxa"/>
            <w:vAlign w:val="bottom"/>
          </w:tcPr>
          <w:p>
            <w:pPr>
              <w:spacing w:after="0"/>
              <w:rPr>
                <w:sz w:val="20"/>
                <w:szCs w:val="20"/>
                <w:color w:val="auto"/>
              </w:rPr>
            </w:pPr>
            <w:r>
              <w:rPr>
                <w:rFonts w:ascii="Arial" w:cs="Arial" w:eastAsia="Arial" w:hAnsi="Arial"/>
                <w:sz w:val="18"/>
                <w:szCs w:val="18"/>
                <w:color w:val="auto"/>
              </w:rPr>
              <w:t>Exhibit B</w:t>
            </w:r>
          </w:p>
        </w:tc>
        <w:tc>
          <w:tcPr>
            <w:tcW w:w="9380" w:type="dxa"/>
            <w:vAlign w:val="bottom"/>
          </w:tcPr>
          <w:p>
            <w:pPr>
              <w:ind w:left="60"/>
              <w:spacing w:after="0"/>
              <w:rPr>
                <w:sz w:val="20"/>
                <w:szCs w:val="20"/>
                <w:color w:val="auto"/>
              </w:rPr>
            </w:pPr>
            <w:r>
              <w:rPr>
                <w:rFonts w:ascii="Arial" w:cs="Arial" w:eastAsia="Arial" w:hAnsi="Arial"/>
                <w:sz w:val="18"/>
                <w:szCs w:val="18"/>
                <w:color w:val="auto"/>
              </w:rPr>
              <w:t>Form of Notice of Borrowing</w:t>
            </w:r>
          </w:p>
        </w:tc>
      </w:tr>
      <w:tr>
        <w:trPr>
          <w:trHeight w:val="216"/>
        </w:trPr>
        <w:tc>
          <w:tcPr>
            <w:tcW w:w="1860" w:type="dxa"/>
            <w:vAlign w:val="bottom"/>
          </w:tcPr>
          <w:p>
            <w:pPr>
              <w:spacing w:after="0"/>
              <w:rPr>
                <w:sz w:val="20"/>
                <w:szCs w:val="20"/>
                <w:color w:val="auto"/>
              </w:rPr>
            </w:pPr>
            <w:r>
              <w:rPr>
                <w:rFonts w:ascii="Arial" w:cs="Arial" w:eastAsia="Arial" w:hAnsi="Arial"/>
                <w:sz w:val="18"/>
                <w:szCs w:val="18"/>
                <w:color w:val="auto"/>
              </w:rPr>
              <w:t>Exhibit C</w:t>
            </w:r>
          </w:p>
        </w:tc>
        <w:tc>
          <w:tcPr>
            <w:tcW w:w="9380" w:type="dxa"/>
            <w:vAlign w:val="bottom"/>
          </w:tcPr>
          <w:p>
            <w:pPr>
              <w:ind w:left="60"/>
              <w:spacing w:after="0"/>
              <w:rPr>
                <w:sz w:val="20"/>
                <w:szCs w:val="20"/>
                <w:color w:val="auto"/>
              </w:rPr>
            </w:pPr>
            <w:r>
              <w:rPr>
                <w:rFonts w:ascii="Arial" w:cs="Arial" w:eastAsia="Arial" w:hAnsi="Arial"/>
                <w:sz w:val="18"/>
                <w:szCs w:val="18"/>
                <w:color w:val="auto"/>
              </w:rPr>
              <w:t>Form of Payment Notice</w:t>
            </w:r>
          </w:p>
        </w:tc>
      </w:tr>
      <w:tr>
        <w:trPr>
          <w:trHeight w:val="216"/>
        </w:trPr>
        <w:tc>
          <w:tcPr>
            <w:tcW w:w="1860" w:type="dxa"/>
            <w:vAlign w:val="bottom"/>
          </w:tcPr>
          <w:p>
            <w:pPr>
              <w:spacing w:after="0"/>
              <w:rPr>
                <w:sz w:val="20"/>
                <w:szCs w:val="20"/>
                <w:color w:val="auto"/>
              </w:rPr>
            </w:pPr>
            <w:r>
              <w:rPr>
                <w:rFonts w:ascii="Arial" w:cs="Arial" w:eastAsia="Arial" w:hAnsi="Arial"/>
                <w:sz w:val="18"/>
                <w:szCs w:val="18"/>
                <w:color w:val="auto"/>
              </w:rPr>
              <w:t>Exhibit D</w:t>
            </w:r>
          </w:p>
        </w:tc>
        <w:tc>
          <w:tcPr>
            <w:tcW w:w="9380" w:type="dxa"/>
            <w:vAlign w:val="bottom"/>
          </w:tcPr>
          <w:p>
            <w:pPr>
              <w:ind w:left="60"/>
              <w:spacing w:after="0"/>
              <w:rPr>
                <w:sz w:val="20"/>
                <w:szCs w:val="20"/>
                <w:color w:val="auto"/>
              </w:rPr>
            </w:pPr>
            <w:r>
              <w:rPr>
                <w:rFonts w:ascii="Arial" w:cs="Arial" w:eastAsia="Arial" w:hAnsi="Arial"/>
                <w:sz w:val="18"/>
                <w:szCs w:val="18"/>
                <w:color w:val="auto"/>
              </w:rPr>
              <w:t>Form of Promissory Note</w:t>
            </w:r>
          </w:p>
        </w:tc>
      </w:tr>
      <w:tr>
        <w:trPr>
          <w:trHeight w:val="230"/>
        </w:trPr>
        <w:tc>
          <w:tcPr>
            <w:tcW w:w="1860" w:type="dxa"/>
            <w:vAlign w:val="bottom"/>
          </w:tcPr>
          <w:p>
            <w:pPr>
              <w:spacing w:after="0"/>
              <w:rPr>
                <w:sz w:val="20"/>
                <w:szCs w:val="20"/>
                <w:color w:val="auto"/>
              </w:rPr>
            </w:pPr>
            <w:r>
              <w:rPr>
                <w:rFonts w:ascii="Arial" w:cs="Arial" w:eastAsia="Arial" w:hAnsi="Arial"/>
                <w:sz w:val="18"/>
                <w:szCs w:val="18"/>
                <w:color w:val="auto"/>
              </w:rPr>
              <w:t>Exhibit E</w:t>
            </w:r>
          </w:p>
        </w:tc>
        <w:tc>
          <w:tcPr>
            <w:tcW w:w="9380" w:type="dxa"/>
            <w:vAlign w:val="bottom"/>
          </w:tcPr>
          <w:p>
            <w:pPr>
              <w:ind w:left="60"/>
              <w:spacing w:after="0"/>
              <w:rPr>
                <w:sz w:val="20"/>
                <w:szCs w:val="20"/>
                <w:color w:val="auto"/>
              </w:rPr>
            </w:pPr>
            <w:r>
              <w:rPr>
                <w:rFonts w:ascii="Arial" w:cs="Arial" w:eastAsia="Arial" w:hAnsi="Arial"/>
                <w:sz w:val="18"/>
                <w:szCs w:val="18"/>
                <w:color w:val="auto"/>
              </w:rPr>
              <w:t>Form of Financial Covenant Calculations</w:t>
            </w:r>
          </w:p>
        </w:tc>
      </w:tr>
      <w:tr>
        <w:trPr>
          <w:trHeight w:val="655"/>
        </w:trPr>
        <w:tc>
          <w:tcPr>
            <w:tcW w:w="1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Presto Credit Agreement</w:t>
            </w:r>
          </w:p>
        </w:tc>
        <w:tc>
          <w:tcPr>
            <w:tcW w:w="9380" w:type="dxa"/>
            <w:vAlign w:val="bottom"/>
            <w:tcBorders>
              <w:bottom w:val="single" w:sz="8" w:color="auto"/>
            </w:tcBorders>
          </w:tcPr>
          <w:p>
            <w:pPr>
              <w:ind w:left="3760"/>
              <w:spacing w:after="0"/>
              <w:rPr>
                <w:sz w:val="20"/>
                <w:szCs w:val="20"/>
                <w:color w:val="auto"/>
              </w:rPr>
            </w:pPr>
            <w:r>
              <w:rPr>
                <w:rFonts w:ascii="Arial" w:cs="Arial" w:eastAsia="Arial" w:hAnsi="Arial"/>
                <w:sz w:val="18"/>
                <w:szCs w:val="18"/>
                <w:color w:val="auto"/>
              </w:rPr>
              <w:t>iv</w:t>
            </w:r>
          </w:p>
        </w:tc>
      </w:tr>
    </w:tbl>
    <w:p>
      <w:pPr>
        <w:sectPr>
          <w:pgSz w:w="11900" w:h="16838" w:orient="portrait"/>
          <w:cols w:equalWidth="0" w:num="1">
            <w:col w:w="11240"/>
          </w:cols>
          <w:pgMar w:left="320" w:top="904" w:right="3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CREDIT AGREEMENT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 xml:space="preserve">THIS CREDIT AGREEMENT </w:t>
      </w:r>
      <w:r>
        <w:rPr>
          <w:rFonts w:ascii="Arial" w:cs="Arial" w:eastAsia="Arial" w:hAnsi="Arial"/>
          <w:sz w:val="18"/>
          <w:szCs w:val="18"/>
          <w:color w:val="auto"/>
        </w:rPr>
        <w:t>(this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dated as of September 21, 2022, is entered into by and among</w:t>
      </w:r>
      <w:r>
        <w:rPr>
          <w:rFonts w:ascii="Arial" w:cs="Arial" w:eastAsia="Arial" w:hAnsi="Arial"/>
          <w:sz w:val="18"/>
          <w:szCs w:val="18"/>
          <w:b w:val="1"/>
          <w:bCs w:val="1"/>
          <w:color w:val="auto"/>
        </w:rPr>
        <w:t xml:space="preserve"> PRESTO AUTOMATION LLC </w:t>
      </w:r>
      <w:r>
        <w:rPr>
          <w:rFonts w:ascii="Arial" w:cs="Arial" w:eastAsia="Arial" w:hAnsi="Arial"/>
          <w:sz w:val="18"/>
          <w:szCs w:val="18"/>
          <w:color w:val="auto"/>
        </w:rPr>
        <w:t>(f/k/a E La Carte, LLC, f/k/a Ventoux Merger Sub II LLC) a Delaware limited liability company (“</w:t>
      </w:r>
      <w:r>
        <w:rPr>
          <w:rFonts w:ascii="Arial" w:cs="Arial" w:eastAsia="Arial" w:hAnsi="Arial"/>
          <w:sz w:val="18"/>
          <w:szCs w:val="18"/>
          <w:b w:val="1"/>
          <w:bCs w:val="1"/>
          <w:i w:val="1"/>
          <w:iCs w:val="1"/>
          <w:color w:val="auto"/>
        </w:rPr>
        <w:t>Presto</w:t>
      </w:r>
      <w:r>
        <w:rPr>
          <w:rFonts w:ascii="Arial" w:cs="Arial" w:eastAsia="Arial" w:hAnsi="Arial"/>
          <w:sz w:val="18"/>
          <w:szCs w:val="18"/>
          <w:color w:val="auto"/>
        </w:rPr>
        <w:t>”), each other Person party hereto as a</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from time to time (each such Person, together with Presto, individually and collectively, the “</w:t>
      </w:r>
      <w:r>
        <w:rPr>
          <w:rFonts w:ascii="Arial" w:cs="Arial" w:eastAsia="Arial" w:hAnsi="Arial"/>
          <w:sz w:val="18"/>
          <w:szCs w:val="18"/>
          <w:b w:val="1"/>
          <w:bCs w:val="1"/>
          <w:i w:val="1"/>
          <w:iCs w:val="1"/>
          <w:color w:val="auto"/>
        </w:rPr>
        <w:t>Borrower</w:t>
      </w:r>
      <w:r>
        <w:rPr>
          <w:rFonts w:ascii="Arial" w:cs="Arial" w:eastAsia="Arial" w:hAnsi="Arial"/>
          <w:sz w:val="18"/>
          <w:szCs w:val="18"/>
          <w:color w:val="auto"/>
        </w:rPr>
        <w:t xml:space="preserve">”), </w:t>
      </w:r>
      <w:r>
        <w:rPr>
          <w:rFonts w:ascii="Arial" w:cs="Arial" w:eastAsia="Arial" w:hAnsi="Arial"/>
          <w:sz w:val="18"/>
          <w:szCs w:val="18"/>
          <w:b w:val="1"/>
          <w:bCs w:val="1"/>
          <w:color w:val="auto"/>
        </w:rPr>
        <w:t>PRESTO AUTOMATION INC.</w:t>
      </w:r>
      <w:r>
        <w:rPr>
          <w:rFonts w:ascii="Arial" w:cs="Arial" w:eastAsia="Arial" w:hAnsi="Arial"/>
          <w:sz w:val="18"/>
          <w:szCs w:val="18"/>
          <w:color w:val="auto"/>
        </w:rPr>
        <w:t xml:space="preserve"> (f/k/a Ventoux CCM Acquisition Corp.), a Delaware corporation (the “</w:t>
      </w:r>
      <w:r>
        <w:rPr>
          <w:rFonts w:ascii="Arial" w:cs="Arial" w:eastAsia="Arial" w:hAnsi="Arial"/>
          <w:sz w:val="18"/>
          <w:szCs w:val="18"/>
          <w:b w:val="1"/>
          <w:bCs w:val="1"/>
          <w:i w:val="1"/>
          <w:iCs w:val="1"/>
          <w:color w:val="auto"/>
        </w:rPr>
        <w:t>Parent</w:t>
      </w:r>
      <w:r>
        <w:rPr>
          <w:rFonts w:ascii="Arial" w:cs="Arial" w:eastAsia="Arial" w:hAnsi="Arial"/>
          <w:sz w:val="18"/>
          <w:szCs w:val="18"/>
          <w:color w:val="auto"/>
        </w:rPr>
        <w:t>”), each of the financial institutions from time to time party hereto (individually each a “</w:t>
      </w:r>
      <w:r>
        <w:rPr>
          <w:rFonts w:ascii="Arial" w:cs="Arial" w:eastAsia="Arial" w:hAnsi="Arial"/>
          <w:sz w:val="18"/>
          <w:szCs w:val="18"/>
          <w:b w:val="1"/>
          <w:bCs w:val="1"/>
          <w:i w:val="1"/>
          <w:iCs w:val="1"/>
          <w:color w:val="auto"/>
        </w:rPr>
        <w:t>Lender</w:t>
      </w:r>
      <w:r>
        <w:rPr>
          <w:rFonts w:ascii="Arial" w:cs="Arial" w:eastAsia="Arial" w:hAnsi="Arial"/>
          <w:sz w:val="18"/>
          <w:szCs w:val="18"/>
          <w:color w:val="auto"/>
        </w:rPr>
        <w:t>” and collectively the “</w:t>
      </w:r>
      <w:r>
        <w:rPr>
          <w:rFonts w:ascii="Arial" w:cs="Arial" w:eastAsia="Arial" w:hAnsi="Arial"/>
          <w:sz w:val="18"/>
          <w:szCs w:val="18"/>
          <w:b w:val="1"/>
          <w:bCs w:val="1"/>
          <w:i w:val="1"/>
          <w:iCs w:val="1"/>
          <w:color w:val="auto"/>
        </w:rPr>
        <w:t>Lenders</w:t>
      </w:r>
      <w:r>
        <w:rPr>
          <w:rFonts w:ascii="Arial" w:cs="Arial" w:eastAsia="Arial" w:hAnsi="Arial"/>
          <w:sz w:val="18"/>
          <w:szCs w:val="18"/>
          <w:color w:val="auto"/>
        </w:rPr>
        <w:t xml:space="preserve">”) and </w:t>
      </w:r>
      <w:r>
        <w:rPr>
          <w:rFonts w:ascii="Arial" w:cs="Arial" w:eastAsia="Arial" w:hAnsi="Arial"/>
          <w:sz w:val="18"/>
          <w:szCs w:val="18"/>
          <w:b w:val="1"/>
          <w:bCs w:val="1"/>
          <w:color w:val="auto"/>
        </w:rPr>
        <w:t>METROPOLITAN PARTNERS GROUP ADMINISTRATION, LLC</w:t>
      </w:r>
      <w:r>
        <w:rPr>
          <w:rFonts w:ascii="Arial" w:cs="Arial" w:eastAsia="Arial" w:hAnsi="Arial"/>
          <w:sz w:val="18"/>
          <w:szCs w:val="18"/>
          <w:color w:val="auto"/>
        </w:rPr>
        <w:t>, a Delaware limited liability company (“</w:t>
      </w:r>
      <w:r>
        <w:rPr>
          <w:rFonts w:ascii="Arial" w:cs="Arial" w:eastAsia="Arial" w:hAnsi="Arial"/>
          <w:sz w:val="18"/>
          <w:szCs w:val="18"/>
          <w:b w:val="1"/>
          <w:bCs w:val="1"/>
          <w:i w:val="1"/>
          <w:iCs w:val="1"/>
          <w:color w:val="auto"/>
        </w:rPr>
        <w:t>Metropolitan</w:t>
      </w:r>
      <w:r>
        <w:rPr>
          <w:rFonts w:ascii="Arial" w:cs="Arial" w:eastAsia="Arial" w:hAnsi="Arial"/>
          <w:sz w:val="18"/>
          <w:szCs w:val="18"/>
          <w:color w:val="auto"/>
        </w:rPr>
        <w:t>”), as administrative, payment and collateral agent for itself, as a Lender and for the other Lenders (in such capacities, “</w:t>
      </w:r>
      <w:r>
        <w:rPr>
          <w:rFonts w:ascii="Arial" w:cs="Arial" w:eastAsia="Arial" w:hAnsi="Arial"/>
          <w:sz w:val="18"/>
          <w:szCs w:val="18"/>
          <w:b w:val="1"/>
          <w:bCs w:val="1"/>
          <w:i w:val="1"/>
          <w:iCs w:val="1"/>
          <w:color w:val="auto"/>
        </w:rPr>
        <w:t>Agent</w:t>
      </w:r>
      <w:r>
        <w:rPr>
          <w:rFonts w:ascii="Arial" w:cs="Arial" w:eastAsia="Arial" w:hAnsi="Arial"/>
          <w:sz w:val="18"/>
          <w:szCs w:val="18"/>
          <w:color w:val="auto"/>
        </w:rPr>
        <w: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Borrower has requested that Lenders make available to Borrower a senior secured single draw term loan facility in the maximum</w:t>
      </w:r>
      <w:r>
        <w:rPr>
          <w:rFonts w:ascii="Arial" w:cs="Arial" w:eastAsia="Arial" w:hAnsi="Arial"/>
          <w:sz w:val="17"/>
          <w:szCs w:val="17"/>
          <w:b w:val="1"/>
          <w:bCs w:val="1"/>
          <w:color w:val="auto"/>
        </w:rPr>
        <w:t xml:space="preserve"> </w:t>
      </w:r>
      <w:r>
        <w:rPr>
          <w:rFonts w:ascii="Arial" w:cs="Arial" w:eastAsia="Arial" w:hAnsi="Arial"/>
          <w:sz w:val="17"/>
          <w:szCs w:val="17"/>
          <w:color w:val="auto"/>
        </w:rPr>
        <w:t>committed principal amount of Fifty Five Million and No/100 Dollars ($55,000,000.00), the proceeds of which shall be used by Borrower to (i) refinance the Prior Debt on the Closing Date, (ii) to pay fees, costs and expenses incurred by Agent, Lenders and the Loan Parties in connection with the transactions contemplated hereby or in connection herewith, and (iii) otherwise for working capital and general corporate purposes;</w:t>
      </w:r>
    </w:p>
    <w:p>
      <w:pPr>
        <w:spacing w:after="0" w:line="165" w:lineRule="exact"/>
        <w:rPr>
          <w:sz w:val="20"/>
          <w:szCs w:val="20"/>
          <w:color w:val="auto"/>
        </w:rPr>
      </w:pPr>
    </w:p>
    <w:p>
      <w:pPr>
        <w:jc w:val="both"/>
        <w:ind w:right="20" w:firstLine="648"/>
        <w:spacing w:after="0" w:line="347"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Parent is willing to guaranty the obligations of the Loan Parties and each Loan Party is willing to grant Agent, for the benefit of</w:t>
      </w:r>
      <w:r>
        <w:rPr>
          <w:rFonts w:ascii="Arial" w:cs="Arial" w:eastAsia="Arial" w:hAnsi="Arial"/>
          <w:sz w:val="16"/>
          <w:szCs w:val="16"/>
          <w:b w:val="1"/>
          <w:bCs w:val="1"/>
          <w:color w:val="auto"/>
        </w:rPr>
        <w:t xml:space="preserve"> </w:t>
      </w:r>
      <w:r>
        <w:rPr>
          <w:rFonts w:ascii="Arial" w:cs="Arial" w:eastAsia="Arial" w:hAnsi="Arial"/>
          <w:sz w:val="16"/>
          <w:szCs w:val="16"/>
          <w:color w:val="auto"/>
        </w:rPr>
        <w:t>itself and the Lenders, a lien on and security interest in all of its Collateral to secure the Term Loan and other Obligations under the Loan Documents; and</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Lenders are willing to make the Term Loan available to Borrower upon the terms and subject to the conditions set forth herein.</w:t>
      </w:r>
    </w:p>
    <w:p>
      <w:pPr>
        <w:spacing w:after="0" w:line="23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foregoing and for other good and valuable consideration, the receipt and adequacy of which hereby</w:t>
      </w:r>
      <w:r>
        <w:rPr>
          <w:rFonts w:ascii="Arial" w:cs="Arial" w:eastAsia="Arial" w:hAnsi="Arial"/>
          <w:sz w:val="18"/>
          <w:szCs w:val="18"/>
          <w:b w:val="1"/>
          <w:bCs w:val="1"/>
          <w:color w:val="auto"/>
        </w:rPr>
        <w:t xml:space="preserve"> </w:t>
      </w:r>
      <w:r>
        <w:rPr>
          <w:rFonts w:ascii="Arial" w:cs="Arial" w:eastAsia="Arial" w:hAnsi="Arial"/>
          <w:sz w:val="18"/>
          <w:szCs w:val="18"/>
          <w:color w:val="auto"/>
        </w:rPr>
        <w:t>are acknowledged, Borrower, Parent, Agent and Lenders hereby agree as follows: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0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1.1 Defined Terms</w:t>
      </w:r>
      <w:r>
        <w:rPr>
          <w:rFonts w:ascii="Arial" w:cs="Arial" w:eastAsia="Arial" w:hAnsi="Arial"/>
          <w:sz w:val="18"/>
          <w:szCs w:val="18"/>
          <w:color w:val="auto"/>
        </w:rPr>
        <w:t>. As used in this Agreement (including the recitals hereof), the terms listed in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1.1</w:t>
      </w:r>
      <w:r>
        <w:rPr>
          <w:rFonts w:ascii="Arial" w:cs="Arial" w:eastAsia="Arial" w:hAnsi="Arial"/>
          <w:sz w:val="18"/>
          <w:szCs w:val="18"/>
          <w:b w:val="1"/>
          <w:bCs w:val="1"/>
          <w:color w:val="auto"/>
        </w:rPr>
        <w:t xml:space="preserve"> </w:t>
      </w:r>
      <w:r>
        <w:rPr>
          <w:rFonts w:ascii="Arial" w:cs="Arial" w:eastAsia="Arial" w:hAnsi="Arial"/>
          <w:sz w:val="18"/>
          <w:szCs w:val="18"/>
          <w:color w:val="auto"/>
        </w:rPr>
        <w:t>shall have the respective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meanings set forth in this </w:t>
      </w:r>
      <w:r>
        <w:rPr>
          <w:rFonts w:ascii="Arial" w:cs="Arial" w:eastAsia="Arial" w:hAnsi="Arial"/>
          <w:sz w:val="18"/>
          <w:szCs w:val="18"/>
          <w:u w:val="single" w:color="auto"/>
          <w:color w:val="auto"/>
        </w:rPr>
        <w:t>Section 1.1</w:t>
      </w:r>
      <w:r>
        <w:rPr>
          <w:rFonts w:ascii="Arial" w:cs="Arial" w:eastAsia="Arial" w:hAnsi="Arial"/>
          <w:sz w:val="18"/>
          <w:szCs w:val="18"/>
          <w:color w:val="auto"/>
        </w:rPr>
        <w:t>.</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2020 PPP Loan</w:t>
      </w:r>
      <w:r>
        <w:rPr>
          <w:rFonts w:ascii="Arial" w:cs="Arial" w:eastAsia="Arial" w:hAnsi="Arial"/>
          <w:sz w:val="18"/>
          <w:szCs w:val="18"/>
          <w:color w:val="auto"/>
        </w:rPr>
        <w:t>”: Indebtedness of the Borrower to First Home Bank, SBA Loan Number 3856317103 dated April 12, 2020, in the principal amount of $2,599,300.00 issued under the CARES Act.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2021 PPP Loan</w:t>
      </w:r>
      <w:r>
        <w:rPr>
          <w:rFonts w:ascii="Arial" w:cs="Arial" w:eastAsia="Arial" w:hAnsi="Arial"/>
          <w:sz w:val="18"/>
          <w:szCs w:val="18"/>
          <w:color w:val="auto"/>
        </w:rPr>
        <w:t>”: Indebtedness of the Borrower to First Home Bank, SBA Loan Number 9408428406 dated March 4, 2021, in the principal amount of $2,000,000.00 issued under the CARES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8" w:name="page79"/>
    <w:bookmarkEnd w:id="78"/>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Acquisition</w:t>
      </w:r>
      <w:r>
        <w:rPr>
          <w:rFonts w:ascii="Arial" w:cs="Arial" w:eastAsia="Arial" w:hAnsi="Arial"/>
          <w:sz w:val="18"/>
          <w:szCs w:val="18"/>
          <w:color w:val="auto"/>
        </w:rPr>
        <w:t>”: any transaction or series of related transactions for the purpose of or resulting, directly or indirectly, in (a) the acquisition of all or a substantial portion of the assets of a Person, or of all or a substantial portion of any business or division of a Person, (b) the acquisition of in excess of fifty percent (50%) of the Equity Interests of any Person, or otherwise causing any Person to become a Subsidiary, or (c) a merger or consolidation or any other combination with another Person (other than a Person that is already a Subsidiary).</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Advance</w:t>
      </w:r>
      <w:r>
        <w:rPr>
          <w:rFonts w:ascii="Arial" w:cs="Arial" w:eastAsia="Arial" w:hAnsi="Arial"/>
          <w:sz w:val="18"/>
          <w:szCs w:val="18"/>
          <w:color w:val="auto"/>
        </w:rPr>
        <w:t>”: any borrowing under and advance of the Term Loan and any Protective Advance. Any amounts paid by Agent on behalf of Borrower under any Loan Document shall be an Advance for purposes of this Agreement.</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with respect to a specified Person, another Person that (i) directly, or indirectly through one or more intermediaries, Controls or is Controlled by or is under common Control with the Person specified, (ii) which beneficially owns or holds 10% or more of any class of the voting or other Equity Interests of such Person or (iii) 10% or more of any class of voting interests or other Equity Interests of which is beneficially owned or held, directly or indirectly, by such Person; provided that neither Agent nor any Lender nor any of their Affiliates or their Approved Funds shall be an Affiliate of any Loan Party for any purpose hereunder.</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Agent</w:t>
      </w:r>
      <w:r>
        <w:rPr>
          <w:rFonts w:ascii="Arial" w:cs="Arial" w:eastAsia="Arial" w:hAnsi="Arial"/>
          <w:sz w:val="18"/>
          <w:szCs w:val="18"/>
          <w:color w:val="auto"/>
        </w:rPr>
        <w:t>”: as defined in the preamble hereto, and shall include its successors and assigns.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as defined in the preamble hereto, as may be amended, restated, supplemented or otherwise modified from time to time.</w:t>
      </w:r>
    </w:p>
    <w:p>
      <w:pPr>
        <w:spacing w:after="0" w:line="23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Annual Platform Revenue</w:t>
      </w:r>
      <w:r>
        <w:rPr>
          <w:rFonts w:ascii="Arial" w:cs="Arial" w:eastAsia="Arial" w:hAnsi="Arial"/>
          <w:sz w:val="17"/>
          <w:szCs w:val="17"/>
          <w:color w:val="auto"/>
        </w:rPr>
        <w:t>”: as of any determination, the sum of (i) Touch Annual Platform Revenue, plus (ii) Computer Vision Annual Platform Revenue, plus (iii) Voice Annual Platform Revenue, in each case determined based on the three-month period most recently ended.</w:t>
      </w:r>
    </w:p>
    <w:p>
      <w:pPr>
        <w:spacing w:after="0" w:line="14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Applicable Percentage</w:t>
      </w:r>
      <w:r>
        <w:rPr>
          <w:rFonts w:ascii="Arial" w:cs="Arial" w:eastAsia="Arial" w:hAnsi="Arial"/>
          <w:sz w:val="18"/>
          <w:szCs w:val="18"/>
          <w:color w:val="auto"/>
        </w:rPr>
        <w:t xml:space="preserve">”: as to each Lender, the percentage of the aggregate amount of Term Loan Commitment held by such Lender at such time. The Applicable Percentage of each Lender as of the Closing Date is set forth opposite the name of such Lender on </w:t>
      </w:r>
      <w:r>
        <w:rPr>
          <w:rFonts w:ascii="Arial" w:cs="Arial" w:eastAsia="Arial" w:hAnsi="Arial"/>
          <w:sz w:val="18"/>
          <w:szCs w:val="18"/>
          <w:u w:val="single" w:color="auto"/>
          <w:color w:val="auto"/>
        </w:rPr>
        <w:t>Schedule 1.1(a)</w:t>
      </w:r>
      <w:r>
        <w:rPr>
          <w:rFonts w:ascii="Arial" w:cs="Arial" w:eastAsia="Arial" w:hAnsi="Arial"/>
          <w:sz w:val="18"/>
          <w:szCs w:val="18"/>
          <w:color w:val="auto"/>
        </w:rPr>
        <w:t xml:space="preserve"> or in the assignment agreement pursuant to which such Lender becomes a party hereto, as applicable, in each case, subject to subsequent assignments and adjustments in accordance with the terms hereof.</w:t>
      </w:r>
    </w:p>
    <w:p>
      <w:pPr>
        <w:spacing w:after="0" w:line="18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Approved Fund</w:t>
      </w:r>
      <w:r>
        <w:rPr>
          <w:rFonts w:ascii="Arial" w:cs="Arial" w:eastAsia="Arial" w:hAnsi="Arial"/>
          <w:sz w:val="16"/>
          <w:szCs w:val="16"/>
          <w:color w:val="auto"/>
        </w:rPr>
        <w:t>”: any Person (other than a natural Person) which (a)(i) is (or will be) engaged in making, purchasing, holding, or otherwise investing in commercial loans, mezzanine notes, and similar extensions of credit in its ordinary course of activities or (ii) temporarily warehouses loans for any Lender and (b) is administered, advised or managed by a Lender, an entity that administers, advises or manages a Lender, or an Affiliate of either.</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Bankruptcy Code</w:t>
      </w:r>
      <w:r>
        <w:rPr>
          <w:rFonts w:ascii="Arial" w:cs="Arial" w:eastAsia="Arial" w:hAnsi="Arial"/>
          <w:sz w:val="18"/>
          <w:szCs w:val="18"/>
          <w:color w:val="auto"/>
        </w:rPr>
        <w:t>”: Title 11 of the United States Code, 11 U.S.C. §§ 101 et. seq., as amended from time to time.</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Beneficial Ownership Certification</w:t>
      </w:r>
      <w:r>
        <w:rPr>
          <w:rFonts w:ascii="Arial" w:cs="Arial" w:eastAsia="Arial" w:hAnsi="Arial"/>
          <w:sz w:val="18"/>
          <w:szCs w:val="18"/>
          <w:color w:val="auto"/>
        </w:rPr>
        <w:t>”: a certification regarding beneficial ownership required by the Beneficial Ownership Regulation, which certification shall be in form and substance reasonably acceptable to Agent.</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20" w:type="dxa"/>
            <w:vAlign w:val="bottom"/>
            <w:tcBorders>
              <w:bottom w:val="single" w:sz="8" w:color="auto"/>
            </w:tcBorders>
          </w:tcPr>
          <w:p>
            <w:pPr>
              <w:jc w:val="right"/>
              <w:ind w:right="5430"/>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240"/>
          </w:cols>
          <w:pgMar w:left="320" w:top="908" w:right="339" w:bottom="1440" w:gutter="0" w:footer="0" w:header="0"/>
        </w:sectPr>
      </w:pPr>
    </w:p>
    <w:bookmarkStart w:id="79" w:name="page80"/>
    <w:bookmarkEnd w:id="79"/>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Beneficial Ownership Regulation</w:t>
      </w:r>
      <w:r>
        <w:rPr>
          <w:rFonts w:ascii="Arial" w:cs="Arial" w:eastAsia="Arial" w:hAnsi="Arial"/>
          <w:sz w:val="18"/>
          <w:szCs w:val="18"/>
          <w:color w:val="auto"/>
        </w:rPr>
        <w:t>”: 31 C.F.R. § 1010.230.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Blocked Person</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3.23</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the Board of Governors of the Federal Reserve System of the United States (or any successor).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Borrower</w:t>
      </w:r>
      <w:r>
        <w:rPr>
          <w:rFonts w:ascii="Arial" w:cs="Arial" w:eastAsia="Arial" w:hAnsi="Arial"/>
          <w:sz w:val="18"/>
          <w:szCs w:val="18"/>
          <w:color w:val="auto"/>
        </w:rPr>
        <w:t>”: as defined in the preamble hereto.</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Borrowing Date</w:t>
      </w:r>
      <w:r>
        <w:rPr>
          <w:rFonts w:ascii="Arial" w:cs="Arial" w:eastAsia="Arial" w:hAnsi="Arial"/>
          <w:sz w:val="18"/>
          <w:szCs w:val="18"/>
          <w:color w:val="auto"/>
        </w:rPr>
        <w:t>”: any Business Day specified by Borrower in a Notice of Borrowing as the date on which the Borrower requests Lenders to make the Term Loan hereunder.</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Day</w:t>
      </w:r>
      <w:r>
        <w:rPr>
          <w:rFonts w:ascii="Arial" w:cs="Arial" w:eastAsia="Arial" w:hAnsi="Arial"/>
          <w:sz w:val="18"/>
          <w:szCs w:val="18"/>
          <w:color w:val="auto"/>
        </w:rPr>
        <w:t>”: a day other than a Saturday, Sunday or other day on which commercial banks in the State of New York are authorized or required by Law to close.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Capital Lease</w:t>
      </w:r>
      <w:r>
        <w:rPr>
          <w:rFonts w:ascii="Arial" w:cs="Arial" w:eastAsia="Arial" w:hAnsi="Arial"/>
          <w:sz w:val="18"/>
          <w:szCs w:val="18"/>
          <w:color w:val="auto"/>
        </w:rPr>
        <w:t>”: at any time, a lease with respect to which the lessee is required to recognize the acquisition of an asset and the incurrence of a liability in accordance with GAAP.</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CARES Act</w:t>
      </w:r>
      <w:r>
        <w:rPr>
          <w:rFonts w:ascii="Arial" w:cs="Arial" w:eastAsia="Arial" w:hAnsi="Arial"/>
          <w:sz w:val="18"/>
          <w:szCs w:val="18"/>
          <w:color w:val="auto"/>
        </w:rPr>
        <w:t>”: the Corona Virus Response and Relief Supplement Appropriations Act and the rules and regulations promulgated in connection therewith (as amended from time to time).</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Cash Collateral Account</w:t>
      </w:r>
      <w:r>
        <w:rPr>
          <w:rFonts w:ascii="Arial" w:cs="Arial" w:eastAsia="Arial" w:hAnsi="Arial"/>
          <w:sz w:val="18"/>
          <w:szCs w:val="18"/>
          <w:color w:val="auto"/>
        </w:rPr>
        <w:t>”: a Deposit Account at a financial institution reasonably acceptable to Agent that is subject to a Control Agreement granting Agent immediate control of such Deposit Account.</w:t>
      </w:r>
    </w:p>
    <w:p>
      <w:pPr>
        <w:spacing w:after="0" w:line="17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Cash Equivalents</w:t>
      </w:r>
      <w:r>
        <w:rPr>
          <w:rFonts w:ascii="Arial" w:cs="Arial" w:eastAsia="Arial" w:hAnsi="Arial"/>
          <w:sz w:val="16"/>
          <w:szCs w:val="16"/>
          <w:color w:val="auto"/>
        </w:rPr>
        <w:t>”: (a) marketable obligations issued or unconditionally guaranteed by, and backed by the full faith and credit of, the United States government, maturing within 12 months of the date of acquisition; (b) certificates of deposit, time deposits, demand deposits, and bankers’ acceptances maturing within 12 months of the date of acquisition and overnight bank deposits, in each case which (i) are issued by a commercial bank organized under the Laws of the United States or any state or district thereof, rated A-1 (or better) by S&amp;P or P-1 (or better) by Moody’s at the time of acquisition and (ii) are not subject to offset rights; (c) repurchase obligations with a term of not more than 30 days for underlying investments of the types described in clauses (a) and (b) entered into with any bank meeting the qualifications specified in clause (b); (d) commercial paper rated A-1 (or better) by S&amp;P or P-1 (or better) by Moody’s and maturing within nine months of the date of acquisition; (e) shares of any money market fund which has substantially all of its assets invested continuously in the types of investments referred to above, has net assets of at least $500,000,000, and has the highest rating obtainable from either Moody’s or S&amp;P; and (f) such other investments permitted by the Borrower’s or Parent’s board approved investment policy, as in effect from time to time and as approved in writing by Agent (such approval not to be unreasonably withheld, conditioned or delayed).</w:t>
      </w:r>
    </w:p>
    <w:p>
      <w:pPr>
        <w:spacing w:after="0" w:line="16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Change in Law</w:t>
      </w:r>
      <w:r>
        <w:rPr>
          <w:rFonts w:ascii="Arial" w:cs="Arial" w:eastAsia="Arial" w:hAnsi="Arial"/>
          <w:sz w:val="16"/>
          <w:szCs w:val="16"/>
          <w:color w:val="auto"/>
        </w:rPr>
        <w:t>”: the occurrence, after the date of this Agreement, of any of the following: (i) the adoption or taking effect of any Requirement of Law, (ii) any change in any Requirement of Law or in the administration, interpretation, implementation or application thereof by any Official Body or</w:t>
      </w:r>
    </w:p>
    <w:p>
      <w:pPr>
        <w:jc w:val="both"/>
        <w:ind w:firstLine="8"/>
        <w:spacing w:after="0" w:line="252" w:lineRule="auto"/>
        <w:tabs>
          <w:tab w:leader="none" w:pos="339" w:val="left"/>
        </w:tabs>
        <w:numPr>
          <w:ilvl w:val="0"/>
          <w:numId w:val="67"/>
        </w:numPr>
        <w:rPr>
          <w:rFonts w:ascii="Arial" w:cs="Arial" w:eastAsia="Arial" w:hAnsi="Arial"/>
          <w:sz w:val="18"/>
          <w:szCs w:val="18"/>
          <w:color w:val="auto"/>
        </w:rPr>
      </w:pPr>
      <w:r>
        <w:rPr>
          <w:rFonts w:ascii="Arial" w:cs="Arial" w:eastAsia="Arial" w:hAnsi="Arial"/>
          <w:sz w:val="18"/>
          <w:szCs w:val="18"/>
          <w:color w:val="auto"/>
        </w:rPr>
        <w:t xml:space="preserve">the making or issuance of any request, rule, guideline or directive (whether or not having the force of law) by any Official Body; </w:t>
      </w:r>
      <w:r>
        <w:rPr>
          <w:rFonts w:ascii="Arial" w:cs="Arial" w:eastAsia="Arial" w:hAnsi="Arial"/>
          <w:sz w:val="18"/>
          <w:szCs w:val="18"/>
          <w:u w:val="single" w:color="auto"/>
          <w:color w:val="auto"/>
        </w:rPr>
        <w:t>provided</w:t>
      </w:r>
      <w:r>
        <w:rPr>
          <w:rFonts w:ascii="Arial" w:cs="Arial" w:eastAsia="Arial" w:hAnsi="Arial"/>
          <w:sz w:val="18"/>
          <w:szCs w:val="18"/>
          <w:color w:val="auto"/>
        </w:rPr>
        <w:t>, that notwithstanding anything herein to the contrary, (x) the Dodd-Frank Wall Street Reform and Consumer Protection Act and all requests, rules, regulations, guidelines, interpretations or directives thereunder or issued in connection therewith (whether or not having the force of Requirement of Law) and (y) all requests, rules, regulations, guidelines, interpretations or directives promulgated by the Bank for International Settlements, the Basel Committee on Banking Supervision (or any successor or similar authority) or the United States or foreign regulatory authorities (whether or not having the force of Requirement of Law), in each case pursuant to Basel III, shall in each case be deemed to be a Change in Law regardless of the date enacted, adopted, issued, promulgated or implemented.</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20" w:type="dxa"/>
            <w:vAlign w:val="bottom"/>
            <w:tcBorders>
              <w:bottom w:val="single" w:sz="8" w:color="auto"/>
            </w:tcBorders>
          </w:tcPr>
          <w:p>
            <w:pPr>
              <w:jc w:val="right"/>
              <w:ind w:right="5430"/>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1240"/>
          </w:cols>
          <w:pgMar w:left="320" w:top="908" w:right="339" w:bottom="1440" w:gutter="0" w:footer="0" w:header="0"/>
        </w:sectPr>
      </w:pPr>
    </w:p>
    <w:bookmarkStart w:id="80" w:name="page81"/>
    <w:bookmarkEnd w:id="80"/>
    <w:p>
      <w:pPr>
        <w:jc w:val="both"/>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Change of Control</w:t>
      </w:r>
      <w:r>
        <w:rPr>
          <w:rFonts w:ascii="Arial" w:cs="Arial" w:eastAsia="Arial" w:hAnsi="Arial"/>
          <w:sz w:val="17"/>
          <w:szCs w:val="17"/>
          <w:color w:val="auto"/>
        </w:rPr>
        <w:t>”: (a) at any time, any “person” or “group” (as such terms are used in Sections 13(d) and 14(d) of the Exchange Act) other than the Controlling Equity Holders shall (i) become, or obtain rights (whether by means or warrants, options or otherwise) to become, the “beneficial owner” (as defined in Rules 13(d)-3 and 13(d) 5 under the Exchange Act), directly or indirectly, of 35% or more of the ordinary voting power or economic interests of Parent (determined on a fully diluted basis) or (ii) have obtained the power (whether exercised or not) to elect a majority of the members of the board of directors (or any similar governing body) of Parent; (b) any of the following shall cease to remain on the board of directors (or any similar governing body) of Parent: (i) Krishna Gupta (or any other designee of the REMUS Stockholders), (ii) Gail Zauder (or any other designee of the REMUS Stockholders) or (iii) Keith Kravcik (or any other designee of Cleveland Avenue); (c) Parent shall cease to beneficially own and control, on a fully diluted basis, 100% of the Equity Interests (including all economic and voting interests associated therewith) of Borrower; or (d) Borrower shall cease to beneficially own and control, on a fully diluted basis, 100% of the Equity Interests (including all economic and voting interests associated therewith) of each of its Subsidiaries as of the Closing Date (if any) and the Collateral (except to the extent disposed of in accordance with the term of this Agreement and the other Loan Documents).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Cleveland Avenue</w:t>
      </w:r>
      <w:r>
        <w:rPr>
          <w:rFonts w:ascii="Arial" w:cs="Arial" w:eastAsia="Arial" w:hAnsi="Arial"/>
          <w:sz w:val="18"/>
          <w:szCs w:val="18"/>
          <w:color w:val="auto"/>
        </w:rPr>
        <w:t>”: Cleveland Avenue, LLC and its Affiliates.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Closing Date</w:t>
      </w:r>
      <w:r>
        <w:rPr>
          <w:rFonts w:ascii="Arial" w:cs="Arial" w:eastAsia="Arial" w:hAnsi="Arial"/>
          <w:sz w:val="18"/>
          <w:szCs w:val="18"/>
          <w:color w:val="auto"/>
        </w:rPr>
        <w:t>”: September 21, 2022.</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Closing Date Registration Rights Agreement</w:t>
      </w:r>
      <w:r>
        <w:rPr>
          <w:rFonts w:ascii="Arial" w:cs="Arial" w:eastAsia="Arial" w:hAnsi="Arial"/>
          <w:sz w:val="18"/>
          <w:szCs w:val="18"/>
          <w:color w:val="auto"/>
        </w:rPr>
        <w:t>”: that certain Amended and Restated Registration Rights Agreement, dated as of the Closing Date, by and among Parent, the Sponsors, Lenders and certain other Parent stockholders party thereto, as may be amended, restated, supplemented or otherwise modified from time to time.</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Closing Date Warrants</w:t>
      </w:r>
      <w:r>
        <w:rPr>
          <w:rFonts w:ascii="Arial" w:cs="Arial" w:eastAsia="Arial" w:hAnsi="Arial"/>
          <w:sz w:val="18"/>
          <w:szCs w:val="18"/>
          <w:color w:val="auto"/>
        </w:rPr>
        <w:t>”: those certain warrants to purchase 1,500,000 shares of Parent Common Stock at a purchase price of $11.50 per share issued by Parent pursuant to the Warrant Subscription Agreement to the Lenders on the Closing Date, as may be amended, restated, supplemented or otherwise modified from time to time.</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the Internal Revenue Code of 1986, as amended or supplemented from time to time, and any successor statute of similar import, and the rules and regulations thereunder, as from time to time in effect.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Collateral</w:t>
      </w:r>
      <w:r>
        <w:rPr>
          <w:rFonts w:ascii="Arial" w:cs="Arial" w:eastAsia="Arial" w:hAnsi="Arial"/>
          <w:sz w:val="18"/>
          <w:szCs w:val="18"/>
          <w:color w:val="auto"/>
        </w:rPr>
        <w:t>”: all property of the Loan Parties, now owned or hereafter acquired or arising, upon which a Lien is purported to be created in favor of Agent, for the benefit of itself and the Lenders, under any Loan Document.</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20" w:type="dxa"/>
            <w:vAlign w:val="bottom"/>
            <w:tcBorders>
              <w:bottom w:val="single" w:sz="8" w:color="auto"/>
            </w:tcBorders>
          </w:tcPr>
          <w:p>
            <w:pPr>
              <w:jc w:val="right"/>
              <w:ind w:right="5430"/>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240"/>
          </w:cols>
          <w:pgMar w:left="320" w:top="908" w:right="339" w:bottom="1440" w:gutter="0" w:footer="0" w:header="0"/>
        </w:sectPr>
      </w:pPr>
    </w:p>
    <w:bookmarkStart w:id="81" w:name="page82"/>
    <w:bookmarkEnd w:id="81"/>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Collateral Access Agreement</w:t>
      </w:r>
      <w:r>
        <w:rPr>
          <w:rFonts w:ascii="Arial" w:cs="Arial" w:eastAsia="Arial" w:hAnsi="Arial"/>
          <w:sz w:val="18"/>
          <w:szCs w:val="18"/>
          <w:color w:val="auto"/>
        </w:rPr>
        <w:t>”: any landlord waiver or other agreement, in form and substance satisfactory to Agent, between Agent and any of the following: (i) any third party (including any bailee, consignee, customs broker, landlord, mortgagee, or other similar Person) in possession of any Collateral, (ii) any landlord of any Loan Party with respect to any real property where any Collateral is located, and (iii) any landlord where any books and records of any Loan Party are kept.</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Collections</w:t>
      </w:r>
      <w:r>
        <w:rPr>
          <w:rFonts w:ascii="Arial" w:cs="Arial" w:eastAsia="Arial" w:hAnsi="Arial"/>
          <w:sz w:val="18"/>
          <w:szCs w:val="18"/>
          <w:color w:val="auto"/>
        </w:rPr>
        <w:t>”: (a) with respect to the Collateral, all payments (including any prepayments) of lease payments, principal, interest, fees or charges collected or otherwise received or paid, any proceeds from the sale or other disposition of such Collateral, including remittances, recoveries on defaulted assets, and settlements, whether effectuated by ACH withdrawal or otherwise, and (b) such other distributions, dividends and payments of every description received by any Loan Party from time to time, and all other proceeds of the Collateral.</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Commodities Accounts</w:t>
      </w:r>
      <w:r>
        <w:rPr>
          <w:rFonts w:ascii="Arial" w:cs="Arial" w:eastAsia="Arial" w:hAnsi="Arial"/>
          <w:sz w:val="18"/>
          <w:szCs w:val="18"/>
          <w:color w:val="auto"/>
        </w:rPr>
        <w:t>”: all “commodity accounts” as defined in Article 9 of the UCC.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Compliance Certificate</w:t>
      </w:r>
      <w:r>
        <w:rPr>
          <w:rFonts w:ascii="Arial" w:cs="Arial" w:eastAsia="Arial" w:hAnsi="Arial"/>
          <w:sz w:val="17"/>
          <w:szCs w:val="17"/>
          <w:color w:val="auto"/>
        </w:rPr>
        <w:t xml:space="preserve">”: a certificate duly executed by a Responsible Officer of each Loan Party substantially in the form of </w:t>
      </w:r>
      <w:r>
        <w:rPr>
          <w:rFonts w:ascii="Arial" w:cs="Arial" w:eastAsia="Arial" w:hAnsi="Arial"/>
          <w:sz w:val="17"/>
          <w:szCs w:val="17"/>
          <w:u w:val="single" w:color="auto"/>
          <w:color w:val="auto"/>
        </w:rPr>
        <w:t>Exhibit A</w:t>
      </w:r>
      <w:r>
        <w:rPr>
          <w:rFonts w:ascii="Arial" w:cs="Arial" w:eastAsia="Arial" w:hAnsi="Arial"/>
          <w:sz w:val="17"/>
          <w:szCs w:val="17"/>
          <w:color w:val="auto"/>
        </w:rPr>
        <w:t>.</w:t>
      </w:r>
    </w:p>
    <w:p>
      <w:pPr>
        <w:spacing w:after="0" w:line="2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Computer Vision Annual Platform Revenue</w:t>
      </w:r>
      <w:r>
        <w:rPr>
          <w:rFonts w:ascii="Arial" w:cs="Arial" w:eastAsia="Arial" w:hAnsi="Arial"/>
          <w:sz w:val="18"/>
          <w:szCs w:val="18"/>
          <w:color w:val="auto"/>
        </w:rPr>
        <w:t xml:space="preserve">”: for any date of determination, (a) Computer Vision Platform Revenue for the three (3) consecutive month period ending as of such date </w:t>
      </w:r>
      <w:r>
        <w:rPr>
          <w:rFonts w:ascii="Arial" w:cs="Arial" w:eastAsia="Arial" w:hAnsi="Arial"/>
          <w:sz w:val="18"/>
          <w:szCs w:val="18"/>
          <w:u w:val="single" w:color="auto"/>
          <w:color w:val="auto"/>
        </w:rPr>
        <w:t>multiplied</w:t>
      </w:r>
      <w:r>
        <w:rPr>
          <w:rFonts w:ascii="Arial" w:cs="Arial" w:eastAsia="Arial" w:hAnsi="Arial"/>
          <w:sz w:val="18"/>
          <w:szCs w:val="18"/>
          <w:color w:val="auto"/>
        </w:rPr>
        <w:t xml:space="preserve"> by (b) four (4).</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Computer Vision Platform Revenue</w:t>
      </w:r>
      <w:r>
        <w:rPr>
          <w:rFonts w:ascii="Arial" w:cs="Arial" w:eastAsia="Arial" w:hAnsi="Arial"/>
          <w:sz w:val="18"/>
          <w:szCs w:val="18"/>
          <w:color w:val="auto"/>
        </w:rPr>
        <w:t xml:space="preserve">”: platform revenue earned during any calendar month by the Borrower from Computer Vision Products and calculated in a manner consistent with the calculation of same on </w:t>
      </w:r>
      <w:r>
        <w:rPr>
          <w:rFonts w:ascii="Arial" w:cs="Arial" w:eastAsia="Arial" w:hAnsi="Arial"/>
          <w:sz w:val="18"/>
          <w:szCs w:val="18"/>
          <w:u w:val="single" w:color="auto"/>
          <w:color w:val="auto"/>
        </w:rPr>
        <w:t>Exhibit E</w:t>
      </w:r>
      <w:r>
        <w:rPr>
          <w:rFonts w:ascii="Arial" w:cs="Arial" w:eastAsia="Arial" w:hAnsi="Arial"/>
          <w:sz w:val="18"/>
          <w:szCs w:val="18"/>
          <w:color w:val="auto"/>
        </w:rPr>
        <w:t>.</w:t>
      </w:r>
    </w:p>
    <w:p>
      <w:pPr>
        <w:spacing w:after="0" w:line="170"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Computer Vision Products</w:t>
      </w:r>
      <w:r>
        <w:rPr>
          <w:rFonts w:ascii="Arial" w:cs="Arial" w:eastAsia="Arial" w:hAnsi="Arial"/>
          <w:sz w:val="17"/>
          <w:szCs w:val="17"/>
          <w:color w:val="auto"/>
        </w:rPr>
        <w:t>”: Borrower’s AI-powered computer vision software application providing error detection, visual order tracking capabilities and repeat guest identification and determined in a manner consistent with the calculation of Computer Vision Platform Revenue.</w:t>
      </w:r>
    </w:p>
    <w:p>
      <w:pPr>
        <w:spacing w:after="0" w:line="14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Connection Income Taxes</w:t>
      </w:r>
      <w:r>
        <w:rPr>
          <w:rFonts w:ascii="Arial" w:cs="Arial" w:eastAsia="Arial" w:hAnsi="Arial"/>
          <w:sz w:val="18"/>
          <w:szCs w:val="18"/>
          <w:color w:val="auto"/>
        </w:rPr>
        <w:t>”: Other Connection Taxes that are imposed on or measured by net income (however denominated) or that are franchise Taxes or branch profits Taxes.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Contractual Obligation</w:t>
      </w:r>
      <w:r>
        <w:rPr>
          <w:rFonts w:ascii="Arial" w:cs="Arial" w:eastAsia="Arial" w:hAnsi="Arial"/>
          <w:sz w:val="18"/>
          <w:szCs w:val="18"/>
          <w:color w:val="auto"/>
        </w:rPr>
        <w:t>”: as to any Person, any provision of any security issued by such Person or of any agreement, instrument or other undertaking to which such Person is a party or by which it or any of its property is bound.</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Control</w:t>
      </w:r>
      <w:r>
        <w:rPr>
          <w:rFonts w:ascii="Arial" w:cs="Arial" w:eastAsia="Arial" w:hAnsi="Arial"/>
          <w:sz w:val="17"/>
          <w:szCs w:val="17"/>
          <w:color w:val="auto"/>
        </w:rPr>
        <w:t>”: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17"/>
          <w:szCs w:val="17"/>
          <w:b w:val="1"/>
          <w:bCs w:val="1"/>
          <w:i w:val="1"/>
          <w:iCs w:val="1"/>
          <w:color w:val="auto"/>
        </w:rPr>
        <w:t>Controlling</w:t>
      </w:r>
      <w:r>
        <w:rPr>
          <w:rFonts w:ascii="Arial" w:cs="Arial" w:eastAsia="Arial" w:hAnsi="Arial"/>
          <w:sz w:val="17"/>
          <w:szCs w:val="17"/>
          <w:color w:val="auto"/>
        </w:rPr>
        <w:t>” and “</w:t>
      </w:r>
      <w:r>
        <w:rPr>
          <w:rFonts w:ascii="Arial" w:cs="Arial" w:eastAsia="Arial" w:hAnsi="Arial"/>
          <w:sz w:val="17"/>
          <w:szCs w:val="17"/>
          <w:b w:val="1"/>
          <w:bCs w:val="1"/>
          <w:i w:val="1"/>
          <w:iCs w:val="1"/>
          <w:color w:val="auto"/>
        </w:rPr>
        <w:t>Controlled</w:t>
      </w:r>
      <w:r>
        <w:rPr>
          <w:rFonts w:ascii="Arial" w:cs="Arial" w:eastAsia="Arial" w:hAnsi="Arial"/>
          <w:sz w:val="17"/>
          <w:szCs w:val="17"/>
          <w:color w:val="auto"/>
        </w:rPr>
        <w:t>” have meanings correlative thereto.</w:t>
      </w:r>
    </w:p>
    <w:p>
      <w:pPr>
        <w:spacing w:after="0" w:line="14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Control Agreement</w:t>
      </w:r>
      <w:r>
        <w:rPr>
          <w:rFonts w:ascii="Arial" w:cs="Arial" w:eastAsia="Arial" w:hAnsi="Arial"/>
          <w:sz w:val="18"/>
          <w:szCs w:val="18"/>
          <w:color w:val="auto"/>
        </w:rPr>
        <w:t>”: each deposit account control agreement, securities account control agreement or commodities account control agreement, as applicable, entered into by a Loan Party, Agent and any institution holding a Deposit Account (other than Excluded Deposit Accounts), Securities Account, or Commodities Account of such Loan Party in form and substance satisfactory to Agent in its sole discretion, as may be amended, restated, supplemented or otherwise modified from time to time.</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20" w:type="dxa"/>
            <w:vAlign w:val="bottom"/>
            <w:tcBorders>
              <w:bottom w:val="single" w:sz="8" w:color="auto"/>
            </w:tcBorders>
          </w:tcPr>
          <w:p>
            <w:pPr>
              <w:jc w:val="right"/>
              <w:ind w:right="5430"/>
              <w:spacing w:after="0"/>
              <w:rPr>
                <w:sz w:val="20"/>
                <w:szCs w:val="20"/>
                <w:color w:val="auto"/>
              </w:rPr>
            </w:pPr>
            <w:r>
              <w:rPr>
                <w:rFonts w:ascii="Arial" w:cs="Arial" w:eastAsia="Arial" w:hAnsi="Arial"/>
                <w:sz w:val="18"/>
                <w:szCs w:val="18"/>
                <w:color w:val="auto"/>
              </w:rPr>
              <w:t>5</w:t>
            </w:r>
          </w:p>
        </w:tc>
      </w:tr>
    </w:tbl>
    <w:p>
      <w:pPr>
        <w:sectPr>
          <w:pgSz w:w="11900" w:h="16838" w:orient="portrait"/>
          <w:cols w:equalWidth="0" w:num="1">
            <w:col w:w="11240"/>
          </w:cols>
          <w:pgMar w:left="320" w:top="908" w:right="339" w:bottom="1440" w:gutter="0" w:footer="0" w:header="0"/>
        </w:sectPr>
      </w:pPr>
    </w:p>
    <w:bookmarkStart w:id="82" w:name="page83"/>
    <w:bookmarkEnd w:id="82"/>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Controlled Account</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2.9(a)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Controlling Equity Holders</w:t>
      </w:r>
      <w:r>
        <w:rPr>
          <w:rFonts w:ascii="Arial" w:cs="Arial" w:eastAsia="Arial" w:hAnsi="Arial"/>
          <w:sz w:val="17"/>
          <w:szCs w:val="17"/>
          <w:color w:val="auto"/>
        </w:rPr>
        <w:t>”: collectively, Rajat Suri, the REMUS Stockholders, I2BF Global Investments Ltd. and Cleveland Avenue.</w:t>
      </w:r>
    </w:p>
    <w:p>
      <w:pPr>
        <w:spacing w:after="0" w:line="23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Conversion Warrants</w:t>
      </w:r>
      <w:r>
        <w:rPr>
          <w:rFonts w:ascii="Arial" w:cs="Arial" w:eastAsia="Arial" w:hAnsi="Arial"/>
          <w:sz w:val="18"/>
          <w:szCs w:val="18"/>
          <w:b w:val="1"/>
          <w:bCs w:val="1"/>
          <w:color w:val="auto"/>
        </w:rPr>
        <w:t xml:space="preserve">” </w:t>
      </w:r>
      <w:r>
        <w:rPr>
          <w:rFonts w:ascii="Arial" w:cs="Arial" w:eastAsia="Arial" w:hAnsi="Arial"/>
          <w:sz w:val="18"/>
          <w:szCs w:val="18"/>
          <w:color w:val="auto"/>
        </w:rPr>
        <w:t>those certain warrants to purchase 500,000 shares of Parent Common Stock at a purchase price of $0.01 per share, issued</w:t>
      </w:r>
      <w:r>
        <w:rPr>
          <w:rFonts w:ascii="Arial" w:cs="Arial" w:eastAsia="Arial" w:hAnsi="Arial"/>
          <w:sz w:val="18"/>
          <w:szCs w:val="18"/>
          <w:b w:val="1"/>
          <w:bCs w:val="1"/>
          <w:color w:val="auto"/>
        </w:rPr>
        <w:t xml:space="preserve"> </w:t>
      </w:r>
      <w:r>
        <w:rPr>
          <w:rFonts w:ascii="Arial" w:cs="Arial" w:eastAsia="Arial" w:hAnsi="Arial"/>
          <w:sz w:val="18"/>
          <w:szCs w:val="18"/>
          <w:color w:val="auto"/>
        </w:rPr>
        <w:t>by Parent pursuant to the Second Amendment on the Second Amendment Effective Date, as may be amended, restated, supplemented or otherwise modified from time to time.</w:t>
      </w:r>
    </w:p>
    <w:p>
      <w:pPr>
        <w:spacing w:after="0" w:line="18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Debtor Relief Laws</w:t>
      </w:r>
      <w:r>
        <w:rPr>
          <w:rFonts w:ascii="Arial" w:cs="Arial" w:eastAsia="Arial" w:hAnsi="Arial"/>
          <w:sz w:val="18"/>
          <w:szCs w:val="18"/>
          <w:color w:val="auto"/>
        </w:rPr>
        <w:t>”: the Bankruptcy Code,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Default</w:t>
      </w:r>
      <w:r>
        <w:rPr>
          <w:rFonts w:ascii="Arial" w:cs="Arial" w:eastAsia="Arial" w:hAnsi="Arial"/>
          <w:sz w:val="18"/>
          <w:szCs w:val="18"/>
          <w:color w:val="auto"/>
        </w:rPr>
        <w:t xml:space="preserve">”: the occurrence of any of the events specified in </w:t>
      </w:r>
      <w:r>
        <w:rPr>
          <w:rFonts w:ascii="Arial" w:cs="Arial" w:eastAsia="Arial" w:hAnsi="Arial"/>
          <w:sz w:val="18"/>
          <w:szCs w:val="18"/>
          <w:u w:val="single" w:color="auto"/>
          <w:color w:val="auto"/>
        </w:rPr>
        <w:t>Section 7.1</w:t>
      </w:r>
      <w:r>
        <w:rPr>
          <w:rFonts w:ascii="Arial" w:cs="Arial" w:eastAsia="Arial" w:hAnsi="Arial"/>
          <w:sz w:val="18"/>
          <w:szCs w:val="18"/>
          <w:color w:val="auto"/>
        </w:rPr>
        <w:t>, whether or not any requirement for the giving of notice, the lapse of time, or both, has been satisfied.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Default Rate</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2.4(b)</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Deposit Account</w:t>
      </w:r>
      <w:r>
        <w:rPr>
          <w:rFonts w:ascii="Arial" w:cs="Arial" w:eastAsia="Arial" w:hAnsi="Arial"/>
          <w:sz w:val="17"/>
          <w:szCs w:val="17"/>
          <w:color w:val="auto"/>
        </w:rPr>
        <w:t xml:space="preserve">”: shall mean, individually and collectively any bank or other depository accounts of a Loan Party (other than Excluded Deposit Accounts), as set forth in </w:t>
      </w:r>
      <w:r>
        <w:rPr>
          <w:rFonts w:ascii="Arial" w:cs="Arial" w:eastAsia="Arial" w:hAnsi="Arial"/>
          <w:sz w:val="17"/>
          <w:szCs w:val="17"/>
          <w:u w:val="single" w:color="auto"/>
          <w:color w:val="auto"/>
        </w:rPr>
        <w:t>Schedule 1.1(b)</w:t>
      </w:r>
      <w:r>
        <w:rPr>
          <w:rFonts w:ascii="Arial" w:cs="Arial" w:eastAsia="Arial" w:hAnsi="Arial"/>
          <w:sz w:val="17"/>
          <w:szCs w:val="17"/>
          <w:color w:val="auto"/>
        </w:rPr>
        <w:t xml:space="preserve"> hereto (as such schedule may be updated from time to time following the Closing Date).</w:t>
      </w:r>
    </w:p>
    <w:p>
      <w:pPr>
        <w:spacing w:after="0" w:line="14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Disposition</w:t>
      </w:r>
      <w:r>
        <w:rPr>
          <w:rFonts w:ascii="Arial" w:cs="Arial" w:eastAsia="Arial" w:hAnsi="Arial"/>
          <w:sz w:val="18"/>
          <w:szCs w:val="18"/>
          <w:color w:val="auto"/>
        </w:rPr>
        <w:t>” or “</w:t>
      </w:r>
      <w:r>
        <w:rPr>
          <w:rFonts w:ascii="Arial" w:cs="Arial" w:eastAsia="Arial" w:hAnsi="Arial"/>
          <w:sz w:val="18"/>
          <w:szCs w:val="18"/>
          <w:b w:val="1"/>
          <w:bCs w:val="1"/>
          <w:i w:val="1"/>
          <w:iCs w:val="1"/>
          <w:color w:val="auto"/>
        </w:rPr>
        <w:t>Dispose</w:t>
      </w:r>
      <w:r>
        <w:rPr>
          <w:rFonts w:ascii="Arial" w:cs="Arial" w:eastAsia="Arial" w:hAnsi="Arial"/>
          <w:sz w:val="18"/>
          <w:szCs w:val="18"/>
          <w:color w:val="auto"/>
        </w:rPr>
        <w:t>”: the sale, transfer, license, lease or other disposition outside of the ordinary course of business of any property by any Loan Party, including any sale, assignment, transfer or other disposal, with or without recourse, of any notes or accounts receivable or any rights and claims associated therewith.</w:t>
      </w:r>
    </w:p>
    <w:p>
      <w:pPr>
        <w:spacing w:after="0" w:line="18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Disqualified Equity Interests</w:t>
      </w:r>
      <w:r>
        <w:rPr>
          <w:rFonts w:ascii="Arial" w:cs="Arial" w:eastAsia="Arial" w:hAnsi="Arial"/>
          <w:sz w:val="17"/>
          <w:szCs w:val="17"/>
          <w:color w:val="auto"/>
        </w:rPr>
        <w:t>”: any Equity Interest that, by its terms (or by the terms of any security into which it is convertible or for which it is exchangeable, either mandatorily or at the option of the holder thereof), or upon the happening of any event or condition: (a) matures or are mandatorily redeemable (other than solely for Qualified Equity Interests), pursuant to a sinking fund obligation or otherwise (except as a result of a change of control or asset sale so long as any rights of the holders thereof upon the occurrence of a change of control or asset sale event shall be subject to the prior repayment in full of the Term Loan and all other Obligations that are accrued and payable and the termination of the Term Loan Commitments), (b) are redeemable at the option of the holder thereof (other than solely for Qualified Equity Interests), in whole or in part, (c) provide for the scheduled payments of dividends in cash, or (d) are or become convertible into or exchangeable for Indebtedness or any other Equity Interests that would constitute Disqualified Equity Interests, in each case, prior to the date that is 180 days after the Maturity Date.</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Division/Series Transaction</w:t>
      </w:r>
      <w:r>
        <w:rPr>
          <w:rFonts w:ascii="Arial" w:cs="Arial" w:eastAsia="Arial" w:hAnsi="Arial"/>
          <w:sz w:val="18"/>
          <w:szCs w:val="18"/>
          <w:color w:val="auto"/>
        </w:rPr>
        <w:t>”: with respect to the Loan Parties, that any such Person (i) divides into two or more Persons (whether or not the original Loan Party survives such division) or (ii) creates, or reorganizes into, one or more series, in each case as contemplated under the Laws of any jurisdiction.</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20" w:type="dxa"/>
            <w:vAlign w:val="bottom"/>
            <w:tcBorders>
              <w:bottom w:val="single" w:sz="8" w:color="auto"/>
            </w:tcBorders>
          </w:tcPr>
          <w:p>
            <w:pPr>
              <w:jc w:val="right"/>
              <w:ind w:right="5430"/>
              <w:spacing w:after="0"/>
              <w:rPr>
                <w:sz w:val="20"/>
                <w:szCs w:val="20"/>
                <w:color w:val="auto"/>
              </w:rPr>
            </w:pPr>
            <w:r>
              <w:rPr>
                <w:rFonts w:ascii="Arial" w:cs="Arial" w:eastAsia="Arial" w:hAnsi="Arial"/>
                <w:sz w:val="18"/>
                <w:szCs w:val="18"/>
                <w:color w:val="auto"/>
              </w:rPr>
              <w:t>6</w:t>
            </w:r>
          </w:p>
        </w:tc>
      </w:tr>
    </w:tbl>
    <w:p>
      <w:pPr>
        <w:sectPr>
          <w:pgSz w:w="11900" w:h="16838" w:orient="portrait"/>
          <w:cols w:equalWidth="0" w:num="1">
            <w:col w:w="11240"/>
          </w:cols>
          <w:pgMar w:left="320" w:top="908" w:right="339" w:bottom="1440" w:gutter="0" w:footer="0" w:header="0"/>
        </w:sectPr>
      </w:pPr>
    </w:p>
    <w:bookmarkStart w:id="83" w:name="page84"/>
    <w:bookmarkEnd w:id="83"/>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Dollars</w:t>
      </w:r>
      <w:r>
        <w:rPr>
          <w:rFonts w:ascii="Arial" w:cs="Arial" w:eastAsia="Arial" w:hAnsi="Arial"/>
          <w:sz w:val="18"/>
          <w:szCs w:val="18"/>
          <w:color w:val="auto"/>
        </w:rPr>
        <w:t>” and “</w:t>
      </w:r>
      <w:r>
        <w:rPr>
          <w:rFonts w:ascii="Arial" w:cs="Arial" w:eastAsia="Arial" w:hAnsi="Arial"/>
          <w:sz w:val="18"/>
          <w:szCs w:val="18"/>
          <w:b w:val="1"/>
          <w:bCs w:val="1"/>
          <w:i w:val="1"/>
          <w:iCs w:val="1"/>
          <w:color w:val="auto"/>
        </w:rPr>
        <w:t>$</w:t>
      </w:r>
      <w:r>
        <w:rPr>
          <w:rFonts w:ascii="Arial" w:cs="Arial" w:eastAsia="Arial" w:hAnsi="Arial"/>
          <w:sz w:val="18"/>
          <w:szCs w:val="18"/>
          <w:color w:val="auto"/>
        </w:rPr>
        <w:t>”: dollars in lawful currency of the United States of America.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Domestic Subsidiary</w:t>
      </w:r>
      <w:r>
        <w:rPr>
          <w:rFonts w:ascii="Arial" w:cs="Arial" w:eastAsia="Arial" w:hAnsi="Arial"/>
          <w:sz w:val="17"/>
          <w:szCs w:val="17"/>
          <w:color w:val="auto"/>
        </w:rPr>
        <w:t>”: a Subsidiary organized, incorporated or otherwise formed under the Laws of the United States or any state thereof.</w:t>
      </w:r>
    </w:p>
    <w:p>
      <w:pPr>
        <w:spacing w:after="0" w:line="2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Eligible Market</w:t>
      </w:r>
      <w:r>
        <w:rPr>
          <w:rFonts w:ascii="Arial" w:cs="Arial" w:eastAsia="Arial" w:hAnsi="Arial"/>
          <w:sz w:val="18"/>
          <w:szCs w:val="18"/>
          <w:color w:val="auto"/>
        </w:rPr>
        <w:t>”: The Nasdaq Capital Market, the NYSE American, The Nasdaq Global Select Market, The Nasdaq Global Market or The New York Stock Exchange.</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Environmental Laws</w:t>
      </w:r>
      <w:r>
        <w:rPr>
          <w:rFonts w:ascii="Arial" w:cs="Arial" w:eastAsia="Arial" w:hAnsi="Arial"/>
          <w:sz w:val="17"/>
          <w:szCs w:val="17"/>
          <w:color w:val="auto"/>
        </w:rPr>
        <w:t>”: any and all foreign, Federal, state, local or municipal Laws, rules, orders, regulations, statutes, ordinances, codes, decrees, requirements of any Governmental Authority or other Requirements of Law (including common law) regulating, relating to or imposing liability or standards of conduct concerning protection of human health or the environment, as now or may at any time hereafter be in effect.</w:t>
      </w:r>
    </w:p>
    <w:p>
      <w:pPr>
        <w:spacing w:after="0" w:line="16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Equity Interests</w:t>
      </w:r>
      <w:r>
        <w:rPr>
          <w:rFonts w:ascii="Arial" w:cs="Arial" w:eastAsia="Arial" w:hAnsi="Arial"/>
          <w:sz w:val="17"/>
          <w:szCs w:val="17"/>
          <w:color w:val="auto"/>
        </w:rPr>
        <w:t>”: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ERISA</w:t>
      </w:r>
      <w:r>
        <w:rPr>
          <w:rFonts w:ascii="Arial" w:cs="Arial" w:eastAsia="Arial" w:hAnsi="Arial"/>
          <w:sz w:val="18"/>
          <w:szCs w:val="18"/>
          <w:color w:val="auto"/>
        </w:rPr>
        <w:t>”: the Employee Retirement Income Security Act of 1974, including (unless the context otherwise requires) any rules or regulations promulgated thereunder, in each case, as amended from time to time.</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ERISA Affiliate</w:t>
      </w:r>
      <w:r>
        <w:rPr>
          <w:rFonts w:ascii="Arial" w:cs="Arial" w:eastAsia="Arial" w:hAnsi="Arial"/>
          <w:sz w:val="18"/>
          <w:szCs w:val="18"/>
          <w:color w:val="auto"/>
        </w:rPr>
        <w:t>”: with respect to any Person, any trade or business (whether or not incorporated) under common control with such Person within the meaning of Section 414(b) or (c) of the Code (and Sections 414(m) and (o) of the Code for purposes of provisions relating to Section 412 of the Code or Section 302 of ERISA).</w:t>
      </w:r>
    </w:p>
    <w:p>
      <w:pPr>
        <w:spacing w:after="0" w:line="18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ERISA Event</w:t>
      </w:r>
      <w:r>
        <w:rPr>
          <w:rFonts w:ascii="Arial" w:cs="Arial" w:eastAsia="Arial" w:hAnsi="Arial"/>
          <w:sz w:val="17"/>
          <w:szCs w:val="17"/>
          <w:color w:val="auto"/>
        </w:rPr>
        <w:t>”: (a) a Reportable Event with respect to a Pension Plan; (b) the failure by the Borrower or any ERISA Affiliate to meet all applicable requirements under the Pension Funding Rules or the filing of an application for the waiver of the minimum funding standards under the Pension Funding Rules; (c) the incurrence by the Borrower or any ERISA Affiliate of any liability pursuant to Section 4063 or 4064 of ERISA or a cessation of operations with respect to a Pension Plan within the meaning of Section 4062(e) of ERISA; (d) a complete or partial withdrawal by the Borrower or any ERISA Affiliate from a Multiemployer Plan or notification that a Multiemployer Plan is insolvent (within the meaning of Title IV of ERISA); (e) the filing of a notice of intent to terminate a Pension Plan under, or the treatment of a Pension Plan amendment as a termination under, Section 4041 of ERISA; (f) the institution by the PBGC of proceedings to terminate a Pension Plan; (g) any event or condition that constitutes grounds under Section 4042 of ERISA for the termination of, or the appointment of a trustee to administer, any Pension Plan; (h) the determination that any Pension Plan is in at-risk status (within the meaning of Section 430 of the Code or Section 303 of ERISA) or that a Multiemployer Plan is in endangered or critical status (within the meaning of Section 432 of the Code or Section 305 of ERISA); (i) the imposition or incurrence of any liability under Title IV of ERISA, other than for PBGC premiums due but not delinquent under Section 4007 of ERISA, upon the Borrower or any ERISA Affiliate; (j) the engagement by the Borrower or any ERISA Affiliate in a transaction that could be subject to Section 4069 or Section 4212(c) of ERISA; (k) the imposition of a lien upon the Borrower pursuant to Section 430(k) of the Code or Section 303(k) of ERISA; or (l) the making of an amendment to a Pension Plan that could result in the posting of bond or security under Section 436(f)(1) of the Code.</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20" w:type="dxa"/>
            <w:vAlign w:val="bottom"/>
            <w:tcBorders>
              <w:bottom w:val="single" w:sz="8" w:color="auto"/>
            </w:tcBorders>
          </w:tcPr>
          <w:p>
            <w:pPr>
              <w:jc w:val="right"/>
              <w:ind w:right="5430"/>
              <w:spacing w:after="0"/>
              <w:rPr>
                <w:sz w:val="20"/>
                <w:szCs w:val="20"/>
                <w:color w:val="auto"/>
              </w:rPr>
            </w:pPr>
            <w:r>
              <w:rPr>
                <w:rFonts w:ascii="Arial" w:cs="Arial" w:eastAsia="Arial" w:hAnsi="Arial"/>
                <w:sz w:val="18"/>
                <w:szCs w:val="18"/>
                <w:color w:val="auto"/>
              </w:rPr>
              <w:t>7</w:t>
            </w:r>
          </w:p>
        </w:tc>
      </w:tr>
    </w:tbl>
    <w:p>
      <w:pPr>
        <w:sectPr>
          <w:pgSz w:w="11900" w:h="16838" w:orient="portrait"/>
          <w:cols w:equalWidth="0" w:num="1">
            <w:col w:w="11240"/>
          </w:cols>
          <w:pgMar w:left="320" w:top="908" w:right="339" w:bottom="1440" w:gutter="0" w:footer="0" w:header="0"/>
        </w:sectPr>
      </w:pPr>
    </w:p>
    <w:bookmarkStart w:id="84" w:name="page85"/>
    <w:bookmarkEnd w:id="84"/>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Erroneous Payment</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9.12(a)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Erroneous Payment Deficiency Assignment</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9.12(d)(i)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Erroneous Payment Return Deficiency</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9.12(d)(i)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Erroneous Payment Subrogation Rights</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9.12(e)</w:t>
      </w:r>
      <w:r>
        <w:rPr>
          <w:rFonts w:ascii="Arial" w:cs="Arial" w:eastAsia="Arial" w:hAnsi="Arial"/>
          <w:sz w:val="18"/>
          <w:szCs w:val="18"/>
          <w:color w:val="auto"/>
        </w:rPr>
        <w:t>.</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Event of Default</w:t>
      </w:r>
      <w:r>
        <w:rPr>
          <w:rFonts w:ascii="Arial" w:cs="Arial" w:eastAsia="Arial" w:hAnsi="Arial"/>
          <w:sz w:val="18"/>
          <w:szCs w:val="18"/>
          <w:color w:val="auto"/>
        </w:rPr>
        <w:t xml:space="preserve">”: any of the events specified in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for which the requirement for the giving of notice, the lapse of time, or both, if any, has been satisfied.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the Securities Exchange Act of 1934, as amended from time to time.</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Excluded Deposit Accounts</w:t>
      </w:r>
      <w:r>
        <w:rPr>
          <w:rFonts w:ascii="Arial" w:cs="Arial" w:eastAsia="Arial" w:hAnsi="Arial"/>
          <w:sz w:val="16"/>
          <w:szCs w:val="16"/>
          <w:color w:val="auto"/>
        </w:rPr>
        <w:t>”: any (a) Deposit Account used solely and exclusively for payroll, payroll taxes, other employee wage and benefit payments to or for the benefit of any Loan Party, (b) zero balance accounts so long as the balance in such account is zero at the end of each Business Day,</w:t>
      </w:r>
    </w:p>
    <w:p>
      <w:pPr>
        <w:jc w:val="both"/>
        <w:ind w:firstLine="8"/>
        <w:spacing w:after="0" w:line="255" w:lineRule="auto"/>
        <w:tabs>
          <w:tab w:leader="none" w:pos="258"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payment processing accounts, (d) any cash collateral accounts securing Liens permitted pursuant to clauses (l) under the definition of “Permitted Liens”, and (e) other Deposit Accounts or other accounts so long as the aggregate balance in all such accounts permitted pursuant to this clause (e) does not exceed $100,000.</w:t>
      </w:r>
    </w:p>
    <w:p>
      <w:pPr>
        <w:spacing w:after="0" w:line="19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Excluded Taxes</w:t>
      </w:r>
      <w:r>
        <w:rPr>
          <w:rFonts w:ascii="Arial" w:cs="Arial" w:eastAsia="Arial" w:hAnsi="Arial"/>
          <w:sz w:val="16"/>
          <w:szCs w:val="16"/>
          <w:color w:val="auto"/>
        </w:rPr>
        <w:t xml:space="preserve">”: any of the following Taxes imposed on or with respect to any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the Term Loan or Term Loan Commitment pursuant to a Law in effect on the date on which (i) such Lender acquires such interest in the Term Loan or Term Loan Commitment (other than pursuant to an assignment requested by a Loan Party pursuant to </w:t>
      </w:r>
      <w:r>
        <w:rPr>
          <w:rFonts w:ascii="Arial" w:cs="Arial" w:eastAsia="Arial" w:hAnsi="Arial"/>
          <w:sz w:val="16"/>
          <w:szCs w:val="16"/>
          <w:u w:val="single" w:color="auto"/>
          <w:color w:val="auto"/>
        </w:rPr>
        <w:t>Section 2.11(b)</w:t>
      </w:r>
      <w:r>
        <w:rPr>
          <w:rFonts w:ascii="Arial" w:cs="Arial" w:eastAsia="Arial" w:hAnsi="Arial"/>
          <w:sz w:val="16"/>
          <w:szCs w:val="16"/>
          <w:color w:val="auto"/>
        </w:rPr>
        <w:t xml:space="preserve">) or (ii) such Lender changes its lending office, except in each case to the extent that, pursuant to </w:t>
      </w:r>
      <w:r>
        <w:rPr>
          <w:rFonts w:ascii="Arial" w:cs="Arial" w:eastAsia="Arial" w:hAnsi="Arial"/>
          <w:sz w:val="16"/>
          <w:szCs w:val="16"/>
          <w:u w:val="single" w:color="auto"/>
          <w:color w:val="auto"/>
        </w:rPr>
        <w:t>Section 2.8</w:t>
      </w:r>
      <w:r>
        <w:rPr>
          <w:rFonts w:ascii="Arial" w:cs="Arial" w:eastAsia="Arial" w:hAnsi="Arial"/>
          <w:sz w:val="16"/>
          <w:szCs w:val="16"/>
          <w:color w:val="auto"/>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Arial" w:cs="Arial" w:eastAsia="Arial" w:hAnsi="Arial"/>
          <w:sz w:val="16"/>
          <w:szCs w:val="16"/>
          <w:u w:val="single" w:color="auto"/>
          <w:color w:val="auto"/>
        </w:rPr>
        <w:t>Section 2.8(d)</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8.6(a)(ii)</w:t>
      </w:r>
      <w:r>
        <w:rPr>
          <w:rFonts w:ascii="Arial" w:cs="Arial" w:eastAsia="Arial" w:hAnsi="Arial"/>
          <w:sz w:val="16"/>
          <w:szCs w:val="16"/>
          <w:color w:val="auto"/>
        </w:rPr>
        <w:t xml:space="preserve"> and (d) any U.S. federal withholding Taxes imposed under FATCA.</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20" w:type="dxa"/>
            <w:vAlign w:val="bottom"/>
            <w:tcBorders>
              <w:bottom w:val="single" w:sz="8" w:color="auto"/>
            </w:tcBorders>
          </w:tcPr>
          <w:p>
            <w:pPr>
              <w:jc w:val="right"/>
              <w:ind w:right="5430"/>
              <w:spacing w:after="0"/>
              <w:rPr>
                <w:sz w:val="20"/>
                <w:szCs w:val="20"/>
                <w:color w:val="auto"/>
              </w:rPr>
            </w:pPr>
            <w:r>
              <w:rPr>
                <w:rFonts w:ascii="Arial" w:cs="Arial" w:eastAsia="Arial" w:hAnsi="Arial"/>
                <w:sz w:val="18"/>
                <w:szCs w:val="18"/>
                <w:color w:val="auto"/>
              </w:rPr>
              <w:t>8</w:t>
            </w:r>
          </w:p>
        </w:tc>
      </w:tr>
    </w:tbl>
    <w:p>
      <w:pPr>
        <w:sectPr>
          <w:pgSz w:w="11900" w:h="16838" w:orient="portrait"/>
          <w:cols w:equalWidth="0" w:num="1">
            <w:col w:w="11240"/>
          </w:cols>
          <w:pgMar w:left="320" w:top="908" w:right="339" w:bottom="1440" w:gutter="0" w:footer="0" w:header="0"/>
        </w:sectPr>
      </w:pPr>
    </w:p>
    <w:bookmarkStart w:id="85" w:name="page86"/>
    <w:bookmarkEnd w:id="85"/>
    <w:p>
      <w:pPr>
        <w:jc w:val="both"/>
        <w:ind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Extraordinary Receipt</w:t>
      </w:r>
      <w:r>
        <w:rPr>
          <w:rFonts w:ascii="Arial" w:cs="Arial" w:eastAsia="Arial" w:hAnsi="Arial"/>
          <w:sz w:val="18"/>
          <w:szCs w:val="18"/>
          <w:color w:val="auto"/>
        </w:rPr>
        <w:t>”: any cash received by or paid to or for the account of any Loan Party or paid to or for the account of any equity holder of any Loan Party in connection with any tax refund or indemnification claim not in the ordinary course of business (and not consisting of (i) proceeds described in any clauses (a) through (f) of the definition of Prepayment Event, or (ii) indemnification payments to pay or reimburse cash losses, costs or expenses of a Loan Party, including working capital adjustments or indemnification payments owed to a third party), including, but not limited to, tax refund, purchase price and other monetary adjustments, and/or indemnification payments (not included in clause (ii) of the preceding parenthetical), in each case, made in connection with an Acquisition. Notwithstanding anything to the contrary, Extraordinary Receipts shall not include any cash received by or paid to or for the account of any Loan Party or paid to or for the account of any equity holder of any Loan Party in connection with any judgment relating to the XAC Litigation (or any appeal thereof).</w:t>
      </w:r>
    </w:p>
    <w:p>
      <w:pPr>
        <w:spacing w:after="0" w:line="19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FATCA</w:t>
      </w:r>
      <w:r>
        <w:rPr>
          <w:rFonts w:ascii="Arial" w:cs="Arial" w:eastAsia="Arial" w:hAnsi="Arial"/>
          <w:sz w:val="17"/>
          <w:szCs w:val="17"/>
          <w:color w:val="auto"/>
        </w:rPr>
        <w:t>”: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(or any amended or successor version described above) and any intergovernmental agreement, treaty or convention among Governmental Authorities entered into in connection with the foregoing and any fiscal or regulatory legislation, or official administrative rules or practices adopted pursuant to, any such intergovernmental agreement, treaty or convention.</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FCPA</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3.24</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Fee Letter</w:t>
      </w:r>
      <w:r>
        <w:rPr>
          <w:rFonts w:ascii="Arial" w:cs="Arial" w:eastAsia="Arial" w:hAnsi="Arial"/>
          <w:sz w:val="18"/>
          <w:szCs w:val="18"/>
          <w:color w:val="auto"/>
        </w:rPr>
        <w:t>”: that certain Fee Letter, dated as of the Closing Date, by and between the Loan Parties and the Agent, as may be amended, restated, supplemented or otherwise modified from time to time.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First Amendment</w:t>
      </w:r>
      <w:r>
        <w:rPr>
          <w:rFonts w:ascii="Arial" w:cs="Arial" w:eastAsia="Arial" w:hAnsi="Arial"/>
          <w:sz w:val="18"/>
          <w:szCs w:val="18"/>
          <w:color w:val="auto"/>
        </w:rPr>
        <w:t>”: that certain First Amendment to Credit Agreement dated as of the First Amendment Effective Date, by and among the Borrower, the Parent, the Lenders and the Agent.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First Amendment Effective Date</w:t>
      </w:r>
      <w:r>
        <w:rPr>
          <w:rFonts w:ascii="Arial" w:cs="Arial" w:eastAsia="Arial" w:hAnsi="Arial"/>
          <w:sz w:val="18"/>
          <w:szCs w:val="18"/>
          <w:color w:val="auto"/>
        </w:rPr>
        <w:t>”: March 31, 2023.</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First Amendment Registration Rights Agreement</w:t>
      </w:r>
      <w:r>
        <w:rPr>
          <w:rFonts w:ascii="Arial" w:cs="Arial" w:eastAsia="Arial" w:hAnsi="Arial"/>
          <w:sz w:val="17"/>
          <w:szCs w:val="17"/>
          <w:color w:val="auto"/>
        </w:rPr>
        <w:t>”: that certain Registration Rights Agreement, dated as of the First Amendment Effective Date, by and between Parent and the Lenders, as may be amended, restated, supplemented or otherwise modified from time to time.</w:t>
      </w:r>
    </w:p>
    <w:p>
      <w:pPr>
        <w:spacing w:after="0" w:line="14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First Amendment Warrants</w:t>
      </w:r>
      <w:r>
        <w:rPr>
          <w:rFonts w:ascii="Arial" w:cs="Arial" w:eastAsia="Arial" w:hAnsi="Arial"/>
          <w:sz w:val="18"/>
          <w:szCs w:val="18"/>
          <w:color w:val="auto"/>
        </w:rPr>
        <w:t>”: those certain warrants to purchase 400,000 shares of Parent Common Stock at a purchase price of $0.01 per share issued by Parent pursuant to the Fee Letter to the Lenders on the First Amendment Effective Date, as may be amended, restated, supplemented or otherwise modified from time to time.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Fiscal Quarter</w:t>
      </w:r>
      <w:r>
        <w:rPr>
          <w:rFonts w:ascii="Arial" w:cs="Arial" w:eastAsia="Arial" w:hAnsi="Arial"/>
          <w:sz w:val="18"/>
          <w:szCs w:val="18"/>
          <w:color w:val="auto"/>
        </w:rPr>
        <w:t>”: a calendar quarter of a Fiscal Year.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Fiscal Year</w:t>
      </w:r>
      <w:r>
        <w:rPr>
          <w:rFonts w:ascii="Arial" w:cs="Arial" w:eastAsia="Arial" w:hAnsi="Arial"/>
          <w:sz w:val="18"/>
          <w:szCs w:val="18"/>
          <w:color w:val="auto"/>
        </w:rPr>
        <w:t>”: the fiscal year of each Loan Party, which period shall be the twelve (12) month period ending on June 30 of each year.</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20" w:type="dxa"/>
            <w:vAlign w:val="bottom"/>
            <w:tcBorders>
              <w:bottom w:val="single" w:sz="8" w:color="auto"/>
            </w:tcBorders>
          </w:tcPr>
          <w:p>
            <w:pPr>
              <w:jc w:val="right"/>
              <w:ind w:right="5430"/>
              <w:spacing w:after="0"/>
              <w:rPr>
                <w:sz w:val="20"/>
                <w:szCs w:val="20"/>
                <w:color w:val="auto"/>
              </w:rPr>
            </w:pPr>
            <w:r>
              <w:rPr>
                <w:rFonts w:ascii="Arial" w:cs="Arial" w:eastAsia="Arial" w:hAnsi="Arial"/>
                <w:sz w:val="18"/>
                <w:szCs w:val="18"/>
                <w:color w:val="auto"/>
              </w:rPr>
              <w:t>9</w:t>
            </w:r>
          </w:p>
        </w:tc>
      </w:tr>
    </w:tbl>
    <w:p>
      <w:pPr>
        <w:sectPr>
          <w:pgSz w:w="11900" w:h="16838" w:orient="portrait"/>
          <w:cols w:equalWidth="0" w:num="1">
            <w:col w:w="11240"/>
          </w:cols>
          <w:pgMar w:left="320" w:top="908" w:right="339" w:bottom="1440" w:gutter="0" w:footer="0" w:header="0"/>
        </w:sectPr>
      </w:pPr>
    </w:p>
    <w:bookmarkStart w:id="86" w:name="page87"/>
    <w:bookmarkEnd w:id="86"/>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Foreign Recipient</w:t>
      </w:r>
      <w:r>
        <w:rPr>
          <w:rFonts w:ascii="Arial" w:cs="Arial" w:eastAsia="Arial" w:hAnsi="Arial"/>
          <w:sz w:val="17"/>
          <w:szCs w:val="17"/>
          <w:color w:val="auto"/>
        </w:rPr>
        <w:t>”: (a) if the Borrower is a U.S. Person, a Recipient that is not a U.S. Person, and (b) if the Borrower is not a U.S. Person, a Recipient that is resident or organized under the Laws of a jurisdiction other than that in which the Borrower is resident for tax purposes.</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Foreign Subsidiary</w:t>
      </w:r>
      <w:r>
        <w:rPr>
          <w:rFonts w:ascii="Arial" w:cs="Arial" w:eastAsia="Arial" w:hAnsi="Arial"/>
          <w:sz w:val="18"/>
          <w:szCs w:val="18"/>
          <w:color w:val="auto"/>
        </w:rPr>
        <w:t>”: any Subsidiary other than a Domestic Subsidiary.</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Founder Shares</w:t>
      </w:r>
      <w:r>
        <w:rPr>
          <w:rFonts w:ascii="Arial" w:cs="Arial" w:eastAsia="Arial" w:hAnsi="Arial"/>
          <w:sz w:val="18"/>
          <w:szCs w:val="18"/>
          <w:color w:val="auto"/>
        </w:rPr>
        <w:t>”: means shares of Parent Common Stock which were acquired by the Sponsors in a private placement concurrent with the Parent’s initial public offering.</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Founder Shares Transfer Agreement</w:t>
      </w:r>
      <w:r>
        <w:rPr>
          <w:rFonts w:ascii="Arial" w:cs="Arial" w:eastAsia="Arial" w:hAnsi="Arial"/>
          <w:sz w:val="18"/>
          <w:szCs w:val="18"/>
          <w:color w:val="auto"/>
        </w:rPr>
        <w:t>”: that certain Share Purchase Agreement, dated as of the date hereof, by and among the Sponsors and the Lenders, as may be amended, restated, supplemented or otherwise modified from time to time.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GAAP</w:t>
      </w:r>
      <w:r>
        <w:rPr>
          <w:rFonts w:ascii="Arial" w:cs="Arial" w:eastAsia="Arial" w:hAnsi="Arial"/>
          <w:sz w:val="18"/>
          <w:szCs w:val="18"/>
          <w:color w:val="auto"/>
        </w:rPr>
        <w:t xml:space="preserve">”: generally accepted accounting principles in the United States as in effect from time to time, subject to the provisions of </w:t>
      </w:r>
      <w:r>
        <w:rPr>
          <w:rFonts w:ascii="Arial" w:cs="Arial" w:eastAsia="Arial" w:hAnsi="Arial"/>
          <w:sz w:val="18"/>
          <w:szCs w:val="18"/>
          <w:u w:val="single" w:color="auto"/>
          <w:color w:val="auto"/>
        </w:rPr>
        <w:t>Section 1.2(e)</w:t>
      </w:r>
      <w:r>
        <w:rPr>
          <w:rFonts w:ascii="Arial" w:cs="Arial" w:eastAsia="Arial" w:hAnsi="Arial"/>
          <w:sz w:val="18"/>
          <w:szCs w:val="18"/>
          <w:color w:val="auto"/>
        </w:rPr>
        <w:t>, and applied on a consistent basis both as to classification of items and amounts.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Governmental Approval</w:t>
      </w:r>
      <w:r>
        <w:rPr>
          <w:rFonts w:ascii="Arial" w:cs="Arial" w:eastAsia="Arial" w:hAnsi="Arial"/>
          <w:sz w:val="18"/>
          <w:szCs w:val="18"/>
          <w:color w:val="auto"/>
        </w:rPr>
        <w:t>”: any consent, authorization, approval, order, license, franchise, permit, certificate, accreditation, registration, filing or notice, of, issued by, from or to, or other act by or in respect of, any Governmental Authority.</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Governmental Authority</w:t>
      </w:r>
      <w:r>
        <w:rPr>
          <w:rFonts w:ascii="Arial" w:cs="Arial" w:eastAsia="Arial" w:hAnsi="Arial"/>
          <w:sz w:val="18"/>
          <w:szCs w:val="18"/>
          <w:color w:val="auto"/>
        </w:rPr>
        <w:t>”: the government of the United States of America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8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Guarantee Obligation</w:t>
      </w:r>
      <w:r>
        <w:rPr>
          <w:rFonts w:ascii="Arial" w:cs="Arial" w:eastAsia="Arial" w:hAnsi="Arial"/>
          <w:sz w:val="17"/>
          <w:szCs w:val="17"/>
          <w:color w:val="auto"/>
        </w:rPr>
        <w:t>”: as to any Person (the “</w:t>
      </w:r>
      <w:r>
        <w:rPr>
          <w:rFonts w:ascii="Arial" w:cs="Arial" w:eastAsia="Arial" w:hAnsi="Arial"/>
          <w:sz w:val="17"/>
          <w:szCs w:val="17"/>
          <w:b w:val="1"/>
          <w:bCs w:val="1"/>
          <w:i w:val="1"/>
          <w:iCs w:val="1"/>
          <w:color w:val="auto"/>
        </w:rPr>
        <w:t>guaranteeing person</w:t>
      </w:r>
      <w:r>
        <w:rPr>
          <w:rFonts w:ascii="Arial" w:cs="Arial" w:eastAsia="Arial" w:hAnsi="Arial"/>
          <w:sz w:val="17"/>
          <w:szCs w:val="17"/>
          <w:color w:val="auto"/>
        </w:rPr>
        <w:t>”), any obligation, including a reimbursement, counterindemnity or similar obligation, of the guaranteeing person that guarantees or in effect guarantees, or which is given to induce the creation of a separate obligation by another Person (including any bank under any letter of credit, or a provider of a surety bond, performance bond or similar instrument) that guarantees or in effect guarantees, any Indebtedness, leases, dividends or other obligations (the “</w:t>
      </w:r>
      <w:r>
        <w:rPr>
          <w:rFonts w:ascii="Arial" w:cs="Arial" w:eastAsia="Arial" w:hAnsi="Arial"/>
          <w:sz w:val="17"/>
          <w:szCs w:val="17"/>
          <w:b w:val="1"/>
          <w:bCs w:val="1"/>
          <w:i w:val="1"/>
          <w:iCs w:val="1"/>
          <w:color w:val="auto"/>
        </w:rPr>
        <w:t>primary obligations</w:t>
      </w:r>
      <w:r>
        <w:rPr>
          <w:rFonts w:ascii="Arial" w:cs="Arial" w:eastAsia="Arial" w:hAnsi="Arial"/>
          <w:sz w:val="17"/>
          <w:szCs w:val="17"/>
          <w:color w:val="auto"/>
        </w:rPr>
        <w:t>”) of any other third Person (the “</w:t>
      </w:r>
      <w:r>
        <w:rPr>
          <w:rFonts w:ascii="Arial" w:cs="Arial" w:eastAsia="Arial" w:hAnsi="Arial"/>
          <w:sz w:val="17"/>
          <w:szCs w:val="17"/>
          <w:b w:val="1"/>
          <w:bCs w:val="1"/>
          <w:i w:val="1"/>
          <w:iCs w:val="1"/>
          <w:color w:val="auto"/>
        </w:rPr>
        <w:t>primary obligor</w:t>
      </w:r>
      <w:r>
        <w:rPr>
          <w:rFonts w:ascii="Arial" w:cs="Arial" w:eastAsia="Arial" w:hAnsi="Arial"/>
          <w:sz w:val="17"/>
          <w:szCs w:val="17"/>
          <w:color w:val="auto"/>
        </w:rPr>
        <w:t xml:space="preserve">”) in any manner, whether directly or indirectly, including, any obligation of the guaranteeing person, whether or not contingent, (i) to purchase any such primary obligation or any property constituting direct or indirect security therefor, (ii) to advance or supply funds (1) for the purchase or payment of any such primary obligation or (2) to maintain working capital or equity capital of the primary obligor or otherwise to maintain the net worth or solvency of the primary obligor, (iii) to purchase property, securities or services primarily for the purpose of assuring the owner of any such primary obligation of the ability of the primary obligor to make payment of such primary obligation or (iv) otherwise to assure or hold harmless the owner of any such primary obligation against loss in respect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term Guarantee Obligation shall not include endorsements of instruments for deposit or collection in the ordinary course of business. The amount of any Guarantee Obligation of any guaranteeing person shall be deemed to be the lower of (a) an amount equal to the stated or determinable amount of the primary obligation in respect of which such Guarantee Obligation is made and (b) the maximum amount for which such guaranteeing person may be liable pursuant to the terms of the instrument embodying such Guarantee Obligation, unless such primary obligation and the maximum amount for which such guaranteeing person may be liable are not stated or determinable, in which case the amount of such Guarantee Obligation shall be such guaranteeing person’s maximum reasonably anticipated liability in respect thereof as determined by Borrower in good faith.</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20" w:type="dxa"/>
            <w:vAlign w:val="bottom"/>
            <w:tcBorders>
              <w:bottom w:val="single" w:sz="8" w:color="auto"/>
            </w:tcBorders>
          </w:tcPr>
          <w:p>
            <w:pPr>
              <w:jc w:val="right"/>
              <w:ind w:right="5350"/>
              <w:spacing w:after="0"/>
              <w:rPr>
                <w:sz w:val="20"/>
                <w:szCs w:val="20"/>
                <w:color w:val="auto"/>
              </w:rPr>
            </w:pPr>
            <w:r>
              <w:rPr>
                <w:rFonts w:ascii="Arial" w:cs="Arial" w:eastAsia="Arial" w:hAnsi="Arial"/>
                <w:sz w:val="18"/>
                <w:szCs w:val="18"/>
                <w:color w:val="auto"/>
              </w:rPr>
              <w:t>10</w:t>
            </w:r>
          </w:p>
        </w:tc>
      </w:tr>
    </w:tbl>
    <w:p>
      <w:pPr>
        <w:sectPr>
          <w:pgSz w:w="11900" w:h="16838" w:orient="portrait"/>
          <w:cols w:equalWidth="0" w:num="1">
            <w:col w:w="11240"/>
          </w:cols>
          <w:pgMar w:left="320" w:top="908" w:right="339" w:bottom="1440" w:gutter="0" w:footer="0" w:header="0"/>
        </w:sectPr>
      </w:pPr>
    </w:p>
    <w:bookmarkStart w:id="87" w:name="page88"/>
    <w:bookmarkEnd w:id="87"/>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Guarantor</w:t>
      </w:r>
      <w:r>
        <w:rPr>
          <w:rFonts w:ascii="Arial" w:cs="Arial" w:eastAsia="Arial" w:hAnsi="Arial"/>
          <w:sz w:val="18"/>
          <w:szCs w:val="18"/>
          <w:color w:val="auto"/>
        </w:rPr>
        <w:t>”: (i) Parent and (ii) any Subsidiary of Parent that is not Borrower or an Immaterial Subsidiary.</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Immaterial Subsidiary</w:t>
      </w:r>
      <w:r>
        <w:rPr>
          <w:rFonts w:ascii="Arial" w:cs="Arial" w:eastAsia="Arial" w:hAnsi="Arial"/>
          <w:sz w:val="17"/>
          <w:szCs w:val="17"/>
          <w:color w:val="auto"/>
        </w:rPr>
        <w:t xml:space="preserve">”: any Subsidiary of Borrower that (i) does not own assets that (x) have an aggregate book value in excess of five percent (5%) of the Parent’s and its Subsidiaries consolidated total assets, or (y) are material to the business of any Loan Party, and (ii) does not generate Touch Platform Revenue, Computer Vision Platform Revenue or Voice Platform Revenue in excess of five percent (5%) of all Touch Platform Revenue, Computer Vision Platform Revenue or Voice Platform Revenue, as applicable, of the Loan Parties in any monthly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at any time such Subsidiary fails to satisfy any of the foregoing, such Subsidiary shall immediately cease to be an Immaterial Subsidiary.</w:t>
      </w:r>
    </w:p>
    <w:p>
      <w:pPr>
        <w:spacing w:after="0" w:line="17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Indebtedness</w:t>
      </w:r>
      <w:r>
        <w:rPr>
          <w:rFonts w:ascii="Arial" w:cs="Arial" w:eastAsia="Arial" w:hAnsi="Arial"/>
          <w:sz w:val="16"/>
          <w:szCs w:val="16"/>
          <w:color w:val="auto"/>
        </w:rPr>
        <w:t>”: collectively, as to any Person at any time, any and all indebtedness, obligations or liabilities (whether matured or unmatured, liquidated or unliquidated, direct or indirect, absolute or contingent, or joint or several) of such Person for or in respect of: (a) all indebtedness for borrowed money, (b) all accounts due and payable and not yet paid ninety (90) days from the original due date, (c) all obligations for the deferred purchase price of property or services (other than current trade payables incurred in the ordinary course of business), (d) all obligations evidenced by notes, bonds, debentures or other similar instruments, (e) all indebtedness created or arising under any conditional sale or other title retention agreement with respect to property acquired (even though the rights and remedies of the seller or lender under such agreement in the event of default are limited to repossession or sale of such property), (f) all Capital Lease obligations and all synthetic lease obligations, (g) all obligations, contingent or otherwise, as an account party or applicant under or in respect of acceptances, letters of credit, surety bonds or similar arrangements, (h) all Guarantee Obligations in respect of obligations of the kind referred to in clauses (a) through (g) above, (i) all obligations of the kind referred to in clauses (a) through (h) above secured by (or for which the holder of such obligation has an existing right, contingent or otherwise, to be secured by) any Lien on the property (including accounts and contract rights) owned by the applicable Person, whether or not such Person has assumed or become liable for the payment of such obligation, (j) the net obligations in respect of swap agreements, and (k) any Disqualified Equity Interests of such Person, and including, without limitation obligations described in the foregoing clauses (a) through (j) of any other entity to the extent the subject Person is liable therefor as a result of such Person’s ownership interest in or other relationship with such entity, except to the extent the terms of such obligations expressly provide that such Person is not liable therefor.</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Indemnified Taxes</w:t>
      </w:r>
      <w:r>
        <w:rPr>
          <w:rFonts w:ascii="Arial" w:cs="Arial" w:eastAsia="Arial" w:hAnsi="Arial"/>
          <w:sz w:val="18"/>
          <w:szCs w:val="18"/>
          <w:color w:val="auto"/>
        </w:rPr>
        <w:t>”: (a) Taxes, other than Excluded Taxes, imposed on or with respect to any payment made by or on account of any obligation of any Loan Party under any Loan Document and (b) to the extent not otherwise described in clause (a) above, Other Taxes.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Indemnitee</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8.5(b)</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20" w:type="dxa"/>
            <w:vAlign w:val="bottom"/>
            <w:tcBorders>
              <w:bottom w:val="single" w:sz="8" w:color="auto"/>
            </w:tcBorders>
          </w:tcPr>
          <w:p>
            <w:pPr>
              <w:jc w:val="right"/>
              <w:ind w:right="5350"/>
              <w:spacing w:after="0"/>
              <w:rPr>
                <w:sz w:val="20"/>
                <w:szCs w:val="20"/>
                <w:color w:val="auto"/>
              </w:rPr>
            </w:pPr>
            <w:r>
              <w:rPr>
                <w:rFonts w:ascii="Arial" w:cs="Arial" w:eastAsia="Arial" w:hAnsi="Arial"/>
                <w:sz w:val="18"/>
                <w:szCs w:val="18"/>
                <w:color w:val="auto"/>
              </w:rPr>
              <w:t>11</w:t>
            </w:r>
          </w:p>
        </w:tc>
      </w:tr>
    </w:tbl>
    <w:p>
      <w:pPr>
        <w:sectPr>
          <w:pgSz w:w="11900" w:h="16838" w:orient="portrait"/>
          <w:cols w:equalWidth="0" w:num="1">
            <w:col w:w="11240"/>
          </w:cols>
          <w:pgMar w:left="320" w:top="908" w:right="339" w:bottom="1440" w:gutter="0" w:footer="0" w:header="0"/>
        </w:sectPr>
      </w:pPr>
    </w:p>
    <w:bookmarkStart w:id="88" w:name="page89"/>
    <w:bookmarkEnd w:id="88"/>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Initial Term Loan</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2.1(a)(i)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Intellectual Property</w:t>
      </w:r>
      <w:r>
        <w:rPr>
          <w:rFonts w:ascii="Arial" w:cs="Arial" w:eastAsia="Arial" w:hAnsi="Arial"/>
          <w:sz w:val="18"/>
          <w:szCs w:val="18"/>
          <w:color w:val="auto"/>
        </w:rPr>
        <w:t>”: as defined in the Security Agreement.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Interest Payment Date</w:t>
      </w:r>
      <w:r>
        <w:rPr>
          <w:rFonts w:ascii="Arial" w:cs="Arial" w:eastAsia="Arial" w:hAnsi="Arial"/>
          <w:sz w:val="18"/>
          <w:szCs w:val="18"/>
          <w:color w:val="auto"/>
        </w:rPr>
        <w:t>”: the first day of each calendar month, commencing October 1, 2022, provided that if such day of any calendar month shall not be a Business Day, the Interest Payment Date with respect to any interest payable in cash shall be the next succeeding day thereafter that is a Business Day (it being understood that all payments of PIK Interest shall be deemed to have occurred on the first day of each calendar month, regardless of whether such date is a Business Day).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Interest Rate</w:t>
      </w:r>
      <w:r>
        <w:rPr>
          <w:rFonts w:ascii="Arial" w:cs="Arial" w:eastAsia="Arial" w:hAnsi="Arial"/>
          <w:sz w:val="18"/>
          <w:szCs w:val="18"/>
          <w:color w:val="auto"/>
        </w:rPr>
        <w:t>”: fifteen percent (15%) per annum.</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Investments</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6.8</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IRS</w:t>
      </w:r>
      <w:r>
        <w:rPr>
          <w:rFonts w:ascii="Arial" w:cs="Arial" w:eastAsia="Arial" w:hAnsi="Arial"/>
          <w:sz w:val="18"/>
          <w:szCs w:val="18"/>
          <w:color w:val="auto"/>
        </w:rPr>
        <w:t>”: the United States Internal Revenue Service.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Knowledge</w:t>
      </w:r>
      <w:r>
        <w:rPr>
          <w:rFonts w:ascii="Arial" w:cs="Arial" w:eastAsia="Arial" w:hAnsi="Arial"/>
          <w:sz w:val="17"/>
          <w:szCs w:val="17"/>
          <w:color w:val="auto"/>
        </w:rPr>
        <w:t>”: the knowledge of any Responsible Officer, member of the Board, or any other senior executive, after reasonable inquiry.</w:t>
      </w:r>
    </w:p>
    <w:p>
      <w:pPr>
        <w:spacing w:after="0" w:line="23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Laws</w:t>
      </w:r>
      <w:r>
        <w:rPr>
          <w:rFonts w:ascii="Arial" w:cs="Arial" w:eastAsia="Arial" w:hAnsi="Arial"/>
          <w:sz w:val="17"/>
          <w:szCs w:val="17"/>
          <w:color w:val="auto"/>
        </w:rPr>
        <w:t>”: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17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Lender</w:t>
      </w:r>
      <w:r>
        <w:rPr>
          <w:rFonts w:ascii="Arial" w:cs="Arial" w:eastAsia="Arial" w:hAnsi="Arial"/>
          <w:sz w:val="16"/>
          <w:szCs w:val="16"/>
          <w:color w:val="auto"/>
        </w:rPr>
        <w:t>”: as defined in the preamble hereto, and any other Person that shall have become party hereto pursuant to an assignment and assumption permitted hereby, other than any such Person that ceases to be a party hereto pursuant to an assignment and assumption permitted hereby.</w:t>
      </w:r>
    </w:p>
    <w:p>
      <w:pPr>
        <w:spacing w:after="0" w:line="1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Lien</w:t>
      </w:r>
      <w:r>
        <w:rPr>
          <w:rFonts w:ascii="Arial" w:cs="Arial" w:eastAsia="Arial" w:hAnsi="Arial"/>
          <w:sz w:val="18"/>
          <w:szCs w:val="18"/>
          <w:color w:val="auto"/>
        </w:rPr>
        <w:t>”: any mortgage, deed of trust, pledge, hypothecation, collateral assignment, deposit arrangement, encumbrance, lien (statutory or other), charge or other security interest or any preference, priority or other security agreement or preferential arrangement of any kind or nature whatsoever (including any conditional sale or other title retention agreement and any Capital Lease having substantially the same economic effect as any of the foregoing).</w:t>
      </w:r>
    </w:p>
    <w:p>
      <w:pPr>
        <w:spacing w:after="0" w:line="18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Loan Documents</w:t>
      </w:r>
      <w:r>
        <w:rPr>
          <w:rFonts w:ascii="Arial" w:cs="Arial" w:eastAsia="Arial" w:hAnsi="Arial"/>
          <w:sz w:val="16"/>
          <w:szCs w:val="16"/>
          <w:color w:val="auto"/>
        </w:rPr>
        <w:t>”: this Agreement, the First Amendment, the Second Amendment, the Third Amendment, the Security Documents, the Notes, the Warrant Subscription Agreement, the Warrants, the Founder Shares Transfer Agreement, the Registration Rights Agreements, each Perfection Certificate, each Compliance Certificate, the Fee Letter, each Notice of Borrowing, each Payment Notice and any other document or instrument evidencing, securing or otherwise governing the Obligations and any amendment, restatement, supplement or other modification to any of the foregoing.</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Loan Party</w:t>
      </w:r>
      <w:r>
        <w:rPr>
          <w:rFonts w:ascii="Arial" w:cs="Arial" w:eastAsia="Arial" w:hAnsi="Arial"/>
          <w:sz w:val="16"/>
          <w:szCs w:val="16"/>
          <w:color w:val="auto"/>
        </w:rPr>
        <w:t>”: Borrower, each Guarantor and any other Person that becomes obligated pursuant to a Loan Document, other than as a Lender 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Agent.</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20" w:type="dxa"/>
            <w:vAlign w:val="bottom"/>
            <w:tcBorders>
              <w:bottom w:val="single" w:sz="8" w:color="auto"/>
            </w:tcBorders>
          </w:tcPr>
          <w:p>
            <w:pPr>
              <w:jc w:val="right"/>
              <w:ind w:right="5350"/>
              <w:spacing w:after="0"/>
              <w:rPr>
                <w:sz w:val="20"/>
                <w:szCs w:val="20"/>
                <w:color w:val="auto"/>
              </w:rPr>
            </w:pPr>
            <w:r>
              <w:rPr>
                <w:rFonts w:ascii="Arial" w:cs="Arial" w:eastAsia="Arial" w:hAnsi="Arial"/>
                <w:sz w:val="18"/>
                <w:szCs w:val="18"/>
                <w:color w:val="auto"/>
              </w:rPr>
              <w:t>12</w:t>
            </w:r>
          </w:p>
        </w:tc>
      </w:tr>
    </w:tbl>
    <w:p>
      <w:pPr>
        <w:sectPr>
          <w:pgSz w:w="11900" w:h="16838" w:orient="portrait"/>
          <w:cols w:equalWidth="0" w:num="1">
            <w:col w:w="11240"/>
          </w:cols>
          <w:pgMar w:left="320" w:top="908" w:right="339" w:bottom="1440" w:gutter="0" w:footer="0" w:header="0"/>
        </w:sectPr>
      </w:pPr>
    </w:p>
    <w:bookmarkStart w:id="89" w:name="page90"/>
    <w:bookmarkEnd w:id="89"/>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Make Whole Premium</w:t>
      </w:r>
      <w:r>
        <w:rPr>
          <w:rFonts w:ascii="Arial" w:cs="Arial" w:eastAsia="Arial" w:hAnsi="Arial"/>
          <w:sz w:val="17"/>
          <w:szCs w:val="17"/>
          <w:color w:val="auto"/>
        </w:rPr>
        <w:t>”: in connection with the applicable payment, prepayment or repayment of the principal amount of the Term Loan or any distribution on account thereof (whether prior to or after acceleration and from any Person, including in connection with any insolvency proceeding), an amount equal to the interest and fees that would have accrued on the aggregate principal amount of the Term Loan (including any interest that could have been capitalized as PIK Interest during such period) from the date of payment through March 21, 2024.</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Margin Stock</w:t>
      </w:r>
      <w:r>
        <w:rPr>
          <w:rFonts w:ascii="Arial" w:cs="Arial" w:eastAsia="Arial" w:hAnsi="Arial"/>
          <w:sz w:val="18"/>
          <w:szCs w:val="18"/>
          <w:color w:val="auto"/>
        </w:rPr>
        <w:t>”: margin stock within the meaning of Regulations T, U and X.</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Material Adverse Effect</w:t>
      </w:r>
      <w:r>
        <w:rPr>
          <w:rFonts w:ascii="Arial" w:cs="Arial" w:eastAsia="Arial" w:hAnsi="Arial"/>
          <w:sz w:val="18"/>
          <w:szCs w:val="18"/>
          <w:color w:val="auto"/>
        </w:rPr>
        <w:t>”: (a) a material adverse change in, or a material adverse effect on (i) the operations, business, Collateral, liabilities (actual or contingent) or condition of the Loan Parties (financial or otherwise), taken as a whole, (ii) the perfection or priority of any Lien granted to Agent under any of the Loan Documents or (iii) the value, validity, enforceability or collectability of any Collateral; (b) a material impairment of the rights and remedies of Agent or any Lender under any Loan Document, or of the ability of Borrower or any other Loan Party to perform its respective Obligations under any Loan Document to which it is a party; or (c) a material adverse effect upon the legality, validity, binding effect or enforceability against any Loan Party of any Loan Document to which it is a party.</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Material Contract</w:t>
      </w:r>
      <w:r>
        <w:rPr>
          <w:rFonts w:ascii="Arial" w:cs="Arial" w:eastAsia="Arial" w:hAnsi="Arial"/>
          <w:sz w:val="18"/>
          <w:szCs w:val="18"/>
          <w:color w:val="auto"/>
        </w:rPr>
        <w:t xml:space="preserve">”: each Contractual Obligation of any Loan Party that is (i) listed on </w:t>
      </w:r>
      <w:r>
        <w:rPr>
          <w:rFonts w:ascii="Arial" w:cs="Arial" w:eastAsia="Arial" w:hAnsi="Arial"/>
          <w:sz w:val="18"/>
          <w:szCs w:val="18"/>
          <w:u w:val="single" w:color="auto"/>
          <w:color w:val="auto"/>
        </w:rPr>
        <w:t>Schedule 3.7</w:t>
      </w:r>
      <w:r>
        <w:rPr>
          <w:rFonts w:ascii="Arial" w:cs="Arial" w:eastAsia="Arial" w:hAnsi="Arial"/>
          <w:sz w:val="18"/>
          <w:szCs w:val="18"/>
          <w:color w:val="auto"/>
        </w:rPr>
        <w:t xml:space="preserve"> (including any renewals or replacements thereof) or (ii) is otherwise material to the continued operation of the business of such Loan Party and for which either (a) amounts received or paid thereunder is equal to or exceeds $2,500,000 in any Fiscal Year with respect to any Material Contract or (b) a breach or default could reasonably be expected to result in a Material Adverse Effect.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Maturity Date</w:t>
      </w:r>
      <w:r>
        <w:rPr>
          <w:rFonts w:ascii="Arial" w:cs="Arial" w:eastAsia="Arial" w:hAnsi="Arial"/>
          <w:sz w:val="17"/>
          <w:szCs w:val="17"/>
          <w:color w:val="auto"/>
        </w:rPr>
        <w:t>”: the earlier of (a) March 21, 2025, and (b) the date upon which the Obligations are accelerated in accordance with the terms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hereof.</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Metropolitan</w:t>
      </w:r>
      <w:r>
        <w:rPr>
          <w:rFonts w:ascii="Arial" w:cs="Arial" w:eastAsia="Arial" w:hAnsi="Arial"/>
          <w:sz w:val="18"/>
          <w:szCs w:val="18"/>
          <w:color w:val="auto"/>
        </w:rPr>
        <w:t>”: Agent, Lenders, and each of their Affiliates and Approved Funds.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Minimum Unrestricted Cash Amount</w:t>
      </w:r>
      <w:r>
        <w:rPr>
          <w:rFonts w:ascii="Arial" w:cs="Arial" w:eastAsia="Arial" w:hAnsi="Arial"/>
          <w:sz w:val="16"/>
          <w:szCs w:val="16"/>
          <w:color w:val="auto"/>
        </w:rPr>
        <w:t>”: (a) prior to the Second Amendment Effective Date, as of any date of determination, an amount equal to:</w:t>
      </w:r>
    </w:p>
    <w:p>
      <w:pPr>
        <w:spacing w:after="0" w:line="46" w:lineRule="exact"/>
        <w:rPr>
          <w:sz w:val="20"/>
          <w:szCs w:val="20"/>
          <w:color w:val="auto"/>
        </w:rPr>
      </w:pPr>
    </w:p>
    <w:p>
      <w:pPr>
        <w:jc w:val="both"/>
        <w:ind w:firstLine="8"/>
        <w:spacing w:after="0" w:line="277" w:lineRule="auto"/>
        <w:tabs>
          <w:tab w:leader="none" w:pos="219" w:val="left"/>
        </w:tabs>
        <w:numPr>
          <w:ilvl w:val="0"/>
          <w:numId w:val="69"/>
        </w:numPr>
        <w:rPr>
          <w:rFonts w:ascii="Arial" w:cs="Arial" w:eastAsia="Arial" w:hAnsi="Arial"/>
          <w:sz w:val="17"/>
          <w:szCs w:val="17"/>
          <w:color w:val="auto"/>
        </w:rPr>
      </w:pPr>
      <w:r>
        <w:rPr>
          <w:rFonts w:ascii="Arial" w:cs="Arial" w:eastAsia="Arial" w:hAnsi="Arial"/>
          <w:sz w:val="17"/>
          <w:szCs w:val="17"/>
          <w:color w:val="auto"/>
        </w:rPr>
        <w:t xml:space="preserve">the operating expenses of the Loan Parties and their Subsidiaries determined on a consolidated basis for the six (6) consecutive month period ending on such date of determination, as set forth in the financial statements most recently delivered pursuant to </w:t>
      </w:r>
      <w:r>
        <w:rPr>
          <w:rFonts w:ascii="Arial" w:cs="Arial" w:eastAsia="Arial" w:hAnsi="Arial"/>
          <w:sz w:val="17"/>
          <w:szCs w:val="17"/>
          <w:u w:val="single" w:color="auto"/>
          <w:color w:val="auto"/>
        </w:rPr>
        <w:t>Sections 5.1(c)</w:t>
      </w:r>
      <w:r>
        <w:rPr>
          <w:rFonts w:ascii="Arial" w:cs="Arial" w:eastAsia="Arial" w:hAnsi="Arial"/>
          <w:sz w:val="17"/>
          <w:szCs w:val="17"/>
          <w:color w:val="auto"/>
        </w:rPr>
        <w:t xml:space="preserv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(ii) $1,100,000; and (b) from and after the Second Amendment Effective Date, as of any date of determination, an amount equal to $10,000,000.</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MSA</w:t>
      </w:r>
      <w:r>
        <w:rPr>
          <w:rFonts w:ascii="Arial" w:cs="Arial" w:eastAsia="Arial" w:hAnsi="Arial"/>
          <w:sz w:val="18"/>
          <w:szCs w:val="18"/>
          <w:color w:val="auto"/>
        </w:rPr>
        <w:t>”: new multiyear master sales agreements for customers of the Touch Business.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Multiemployer Plan</w:t>
      </w:r>
      <w:r>
        <w:rPr>
          <w:rFonts w:ascii="Arial" w:cs="Arial" w:eastAsia="Arial" w:hAnsi="Arial"/>
          <w:sz w:val="18"/>
          <w:szCs w:val="18"/>
          <w:color w:val="auto"/>
        </w:rPr>
        <w:t>”: any employee benefit plan of the type described in Section 4001(a)(3) of ERISA, to which a Loan Party or any ERISA Affiliate makes or is obligated to make contributions, during the preceding five plan years has made or been obligated to make contributions, or has any liability.</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20" w:type="dxa"/>
            <w:vAlign w:val="bottom"/>
            <w:tcBorders>
              <w:bottom w:val="single" w:sz="8" w:color="auto"/>
            </w:tcBorders>
          </w:tcPr>
          <w:p>
            <w:pPr>
              <w:jc w:val="right"/>
              <w:ind w:right="5350"/>
              <w:spacing w:after="0"/>
              <w:rPr>
                <w:sz w:val="20"/>
                <w:szCs w:val="20"/>
                <w:color w:val="auto"/>
              </w:rPr>
            </w:pPr>
            <w:r>
              <w:rPr>
                <w:rFonts w:ascii="Arial" w:cs="Arial" w:eastAsia="Arial" w:hAnsi="Arial"/>
                <w:sz w:val="18"/>
                <w:szCs w:val="18"/>
                <w:color w:val="auto"/>
              </w:rPr>
              <w:t>13</w:t>
            </w:r>
          </w:p>
        </w:tc>
      </w:tr>
    </w:tbl>
    <w:p>
      <w:pPr>
        <w:sectPr>
          <w:pgSz w:w="11900" w:h="16838" w:orient="portrait"/>
          <w:cols w:equalWidth="0" w:num="1">
            <w:col w:w="11240"/>
          </w:cols>
          <w:pgMar w:left="320" w:top="908" w:right="339" w:bottom="1440" w:gutter="0" w:footer="0" w:header="0"/>
        </w:sectPr>
      </w:pPr>
    </w:p>
    <w:bookmarkStart w:id="90" w:name="page91"/>
    <w:bookmarkEnd w:id="90"/>
    <w:p>
      <w:pPr>
        <w:jc w:val="both"/>
        <w:ind w:firstLine="648"/>
        <w:spacing w:after="0" w:line="292" w:lineRule="auto"/>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Net Adjusted Decrease in Operating Cash</w:t>
      </w:r>
      <w:r>
        <w:rPr>
          <w:rFonts w:ascii="Arial" w:cs="Arial" w:eastAsia="Arial" w:hAnsi="Arial"/>
          <w:sz w:val="16"/>
          <w:szCs w:val="16"/>
          <w:color w:val="auto"/>
        </w:rPr>
        <w:t>”: for the applicable period, without duplication, an amount equal to (a) all of Borrower’s cash on hand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as of the last day of the applicable period, </w:t>
      </w:r>
      <w:r>
        <w:rPr>
          <w:rFonts w:ascii="Arial" w:cs="Arial" w:eastAsia="Arial" w:hAnsi="Arial"/>
          <w:sz w:val="16"/>
          <w:szCs w:val="16"/>
          <w:i w:val="1"/>
          <w:iCs w:val="1"/>
          <w:color w:val="auto"/>
        </w:rPr>
        <w:t>minus</w:t>
      </w:r>
      <w:r>
        <w:rPr>
          <w:rFonts w:ascii="Arial" w:cs="Arial" w:eastAsia="Arial" w:hAnsi="Arial"/>
          <w:sz w:val="16"/>
          <w:szCs w:val="16"/>
          <w:color w:val="auto"/>
        </w:rPr>
        <w:t xml:space="preserve"> (b) Borrower’s Starting Cash, </w:t>
      </w:r>
      <w:r>
        <w:rPr>
          <w:rFonts w:ascii="Arial" w:cs="Arial" w:eastAsia="Arial" w:hAnsi="Arial"/>
          <w:sz w:val="16"/>
          <w:szCs w:val="16"/>
          <w:i w:val="1"/>
          <w:iCs w:val="1"/>
          <w:color w:val="auto"/>
        </w:rPr>
        <w:t>plus</w:t>
      </w:r>
      <w:r>
        <w:rPr>
          <w:rFonts w:ascii="Arial" w:cs="Arial" w:eastAsia="Arial" w:hAnsi="Arial"/>
          <w:sz w:val="16"/>
          <w:szCs w:val="16"/>
          <w:color w:val="auto"/>
        </w:rPr>
        <w:t xml:space="preserve"> (c) the aggregate amount paid in cash during the applicable period of (i) accrued interest on the Term Loan, (ii) principal on the Term Loan, (iii) monitoring fees paid pursuant to the Fee Letter, and (iv) fees, costs and expenses of the Agent and Lenders under the Loan Documents, </w:t>
      </w:r>
      <w:r>
        <w:rPr>
          <w:rFonts w:ascii="Arial" w:cs="Arial" w:eastAsia="Arial" w:hAnsi="Arial"/>
          <w:sz w:val="16"/>
          <w:szCs w:val="16"/>
          <w:i w:val="1"/>
          <w:iCs w:val="1"/>
          <w:color w:val="auto"/>
        </w:rPr>
        <w:t>minus</w:t>
      </w:r>
      <w:r>
        <w:rPr>
          <w:rFonts w:ascii="Arial" w:cs="Arial" w:eastAsia="Arial" w:hAnsi="Arial"/>
          <w:sz w:val="16"/>
          <w:szCs w:val="16"/>
          <w:color w:val="auto"/>
        </w:rPr>
        <w:t xml:space="preserve"> (d) accounts payable aged in excess of 60 days or more as of the last day of the applicable period, </w:t>
      </w:r>
      <w:r>
        <w:rPr>
          <w:rFonts w:ascii="Arial" w:cs="Arial" w:eastAsia="Arial" w:hAnsi="Arial"/>
          <w:sz w:val="16"/>
          <w:szCs w:val="16"/>
          <w:i w:val="1"/>
          <w:iCs w:val="1"/>
          <w:color w:val="auto"/>
        </w:rPr>
        <w:t xml:space="preserve">minus </w:t>
      </w:r>
      <w:r>
        <w:rPr>
          <w:rFonts w:ascii="Arial" w:cs="Arial" w:eastAsia="Arial" w:hAnsi="Arial"/>
          <w:sz w:val="16"/>
          <w:szCs w:val="16"/>
          <w:color w:val="auto"/>
        </w:rPr>
        <w:t>(e) all cash proceeds of the issuance or incurrence of Indebtedness or Equity Interests since May 31, 2023,</w:t>
      </w:r>
      <w:r>
        <w:rPr>
          <w:rFonts w:ascii="Arial" w:cs="Arial" w:eastAsia="Arial" w:hAnsi="Arial"/>
          <w:sz w:val="16"/>
          <w:szCs w:val="16"/>
          <w:i w:val="1"/>
          <w:iCs w:val="1"/>
          <w:color w:val="auto"/>
        </w:rPr>
        <w:t xml:space="preserve"> plus </w:t>
      </w:r>
      <w:r>
        <w:rPr>
          <w:rFonts w:ascii="Arial" w:cs="Arial" w:eastAsia="Arial" w:hAnsi="Arial"/>
          <w:sz w:val="16"/>
          <w:szCs w:val="16"/>
          <w:color w:val="auto"/>
        </w:rPr>
        <w:t>(f) solely for periods ending on or</w:t>
      </w:r>
      <w:r>
        <w:rPr>
          <w:rFonts w:ascii="Arial" w:cs="Arial" w:eastAsia="Arial" w:hAnsi="Arial"/>
          <w:sz w:val="16"/>
          <w:szCs w:val="16"/>
          <w:i w:val="1"/>
          <w:iCs w:val="1"/>
          <w:color w:val="auto"/>
        </w:rPr>
        <w:t xml:space="preserve"> </w:t>
      </w:r>
      <w:r>
        <w:rPr>
          <w:rFonts w:ascii="Arial" w:cs="Arial" w:eastAsia="Arial" w:hAnsi="Arial"/>
          <w:sz w:val="16"/>
          <w:szCs w:val="16"/>
          <w:color w:val="auto"/>
        </w:rPr>
        <w:t>after October 31, 2023, (i) fees, costs and expenses of White &amp; Case LLP actually paid in cash during such period, (ii) fees, costs and expenses of Teneo actually paid in cash during such period, and (iii) charges and costs in respect of severance expenses actually paid in cash during such period.</w:t>
      </w:r>
    </w:p>
    <w:p>
      <w:pPr>
        <w:spacing w:after="0" w:line="16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Net Cash Proceeds</w:t>
      </w:r>
      <w:r>
        <w:rPr>
          <w:rFonts w:ascii="Arial" w:cs="Arial" w:eastAsia="Arial" w:hAnsi="Arial"/>
          <w:sz w:val="16"/>
          <w:szCs w:val="16"/>
          <w:color w:val="auto"/>
        </w:rPr>
        <w:t>”: with respect to any transaction or event, an amount equal to the cash proceeds received by any Loan Party from or in respect of such transaction or event (including cash proceeds resulting from any non-cash proceeds received in connection with such transaction or a related transaction), less: (i) any direct costs (including any reasonable and documented legal, accounting or other advisor fees or expenses), commissions and out-of-pocket expenses paid to any Person that is not an Affiliate that are reasonably and actually incurred by such Loan Party solely in connection therewith;</w:t>
      </w:r>
    </w:p>
    <w:p>
      <w:pPr>
        <w:spacing w:after="0" w:line="1" w:lineRule="exact"/>
        <w:rPr>
          <w:sz w:val="20"/>
          <w:szCs w:val="20"/>
          <w:color w:val="auto"/>
        </w:rPr>
      </w:pPr>
    </w:p>
    <w:p>
      <w:pPr>
        <w:jc w:val="both"/>
        <w:ind w:firstLine="8"/>
        <w:spacing w:after="0" w:line="253" w:lineRule="auto"/>
        <w:tabs>
          <w:tab w:leader="none" w:pos="291"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in the case of an asset disposition, casualty or other insured damage, the amount of any Indebtedness secured by a Lien on the related asset and discharged from the proceeds of such asset disposition, casualty or other insured damage; (iii) any Taxes or Tax Distributions to the extent permitted hereunder paid or reasonably estimated by Loan Party to be payable by such Person or such Loan Party in respect of such asset disposition, casualty or other insured damage; </w:t>
      </w:r>
      <w:r>
        <w:rPr>
          <w:rFonts w:ascii="Arial" w:cs="Arial" w:eastAsia="Arial" w:hAnsi="Arial"/>
          <w:sz w:val="18"/>
          <w:szCs w:val="18"/>
          <w:u w:val="single" w:color="auto"/>
          <w:color w:val="auto"/>
        </w:rPr>
        <w:t>provided</w:t>
      </w:r>
      <w:r>
        <w:rPr>
          <w:rFonts w:ascii="Arial" w:cs="Arial" w:eastAsia="Arial" w:hAnsi="Arial"/>
          <w:sz w:val="18"/>
          <w:szCs w:val="18"/>
          <w:color w:val="auto"/>
        </w:rPr>
        <w:t>, that if the actual amount of Taxes paid or taken into account in computing a Tax Distribution is less than the estimated amount, the difference shall constitute Net Cash Proceeds; and (iv) [reserved].</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Next Generation Technology</w:t>
      </w:r>
      <w:r>
        <w:rPr>
          <w:rFonts w:ascii="Arial" w:cs="Arial" w:eastAsia="Arial" w:hAnsi="Arial"/>
          <w:sz w:val="16"/>
          <w:szCs w:val="16"/>
          <w:color w:val="auto"/>
        </w:rPr>
        <w:t>”: the Loan Parties’ flex tablet or the newest iteration of the Loan Parties’ Touch Business products, as applicable.</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Note</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2.1(b)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Notice of Borrowing</w:t>
      </w:r>
      <w:r>
        <w:rPr>
          <w:rFonts w:ascii="Arial" w:cs="Arial" w:eastAsia="Arial" w:hAnsi="Arial"/>
          <w:sz w:val="18"/>
          <w:szCs w:val="18"/>
          <w:color w:val="auto"/>
        </w:rPr>
        <w:t xml:space="preserve">”: a notice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Obligations</w:t>
      </w:r>
      <w:r>
        <w:rPr>
          <w:rFonts w:ascii="Arial" w:cs="Arial" w:eastAsia="Arial" w:hAnsi="Arial"/>
          <w:sz w:val="18"/>
          <w:szCs w:val="18"/>
          <w:color w:val="auto"/>
        </w:rPr>
        <w:t>”: (a) the unpaid principal of and interest on (including interest accruing after the maturity of the Term Loan and interest accruing after the filing of any petition in bankruptcy, or the commencement of any insolvency, reorganization or like proceeding, relating to any Loan Party, whether or not a claim for post-filing or post-petition interest is allowed in such proceeding) the Term Loan, and (b) all other obligations and liabilities of any Loan Party to Agent or any Lender, whether direct or indirect, absolute or contingent, due or to become due, or now existing or hereafter incurred, which may arise under, out of, or in connection with, this Agreement, any other Loan Document or any other document made, delivered or given in connection herewith or therewith, whether on account of principal, interest, reimbursement obligations, fees, indemnities, costs, expenses (including all reasonable and documented fees, charges and disbursements of counsel to Agent and the Lenders that are required to be paid by any Loan Party pursuant to any Loan Document) or otherwise, including, without limitation, the Loan Parties’ obligations to pay, discharge and satisfy the Erroneous Payment Subrogation Rights.</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20" w:type="dxa"/>
            <w:vAlign w:val="bottom"/>
            <w:tcBorders>
              <w:bottom w:val="single" w:sz="8" w:color="auto"/>
            </w:tcBorders>
          </w:tcPr>
          <w:p>
            <w:pPr>
              <w:jc w:val="right"/>
              <w:ind w:right="5350"/>
              <w:spacing w:after="0"/>
              <w:rPr>
                <w:sz w:val="20"/>
                <w:szCs w:val="20"/>
                <w:color w:val="auto"/>
              </w:rPr>
            </w:pPr>
            <w:r>
              <w:rPr>
                <w:rFonts w:ascii="Arial" w:cs="Arial" w:eastAsia="Arial" w:hAnsi="Arial"/>
                <w:sz w:val="18"/>
                <w:szCs w:val="18"/>
                <w:color w:val="auto"/>
              </w:rPr>
              <w:t>14</w:t>
            </w:r>
          </w:p>
        </w:tc>
      </w:tr>
    </w:tbl>
    <w:p>
      <w:pPr>
        <w:sectPr>
          <w:pgSz w:w="11900" w:h="16838" w:orient="portrait"/>
          <w:cols w:equalWidth="0" w:num="1">
            <w:col w:w="11240"/>
          </w:cols>
          <w:pgMar w:left="320" w:top="904" w:right="339" w:bottom="1440" w:gutter="0" w:footer="0" w:header="0"/>
        </w:sectPr>
      </w:pPr>
    </w:p>
    <w:bookmarkStart w:id="91" w:name="page92"/>
    <w:bookmarkEnd w:id="91"/>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Official Body</w:t>
      </w:r>
      <w:r>
        <w:rPr>
          <w:rFonts w:ascii="Arial" w:cs="Arial" w:eastAsia="Arial" w:hAnsi="Arial"/>
          <w:sz w:val="18"/>
          <w:szCs w:val="18"/>
          <w:color w:val="auto"/>
        </w:rPr>
        <w:t>”: the government of the United States of America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 and any group or body charged with setting financial accounting or regulatory capital rules or standards (including the Financial Accounting Standards Board, the Bank for International Settlements or the Basel Committee on Banking Supervision or any successor or similar authority to any of the foregoing).</w:t>
      </w:r>
    </w:p>
    <w:p>
      <w:pPr>
        <w:spacing w:after="0" w:line="19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Operating Documents</w:t>
      </w:r>
      <w:r>
        <w:rPr>
          <w:rFonts w:ascii="Arial" w:cs="Arial" w:eastAsia="Arial" w:hAnsi="Arial"/>
          <w:sz w:val="18"/>
          <w:szCs w:val="18"/>
          <w:color w:val="auto"/>
        </w:rPr>
        <w:t>”: for any Person as of any date, such Person’s constitutional documents, formation documents and/or certificate of incorporation (or equivalent thereof), as certified (if applicable) by such Person’s jurisdiction of incorporation or formation as of a recent date, and any stockholders agreements or other applicable documents relating to such Person’s formation, organization or operation, and, (a) if such Person is a corporation, its bylaws or memorandum and articles of association (or equivalent thereof) in current form, (b) if such Person is a limited liability company, its limited liability company agreement (or similar agreement), and (c) if such Person is a partnership, its partnership agreement (or similar agreement), each of the foregoing with all current amendments or modifications thereto.</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Other Connection Taxes</w:t>
      </w:r>
      <w:r>
        <w:rPr>
          <w:rFonts w:ascii="Arial" w:cs="Arial" w:eastAsia="Arial" w:hAnsi="Arial"/>
          <w:sz w:val="18"/>
          <w:szCs w:val="18"/>
          <w:color w:val="auto"/>
        </w:rPr>
        <w:t>”: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the Term Loan or Loan Document).</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Other Taxes</w:t>
      </w:r>
      <w:r>
        <w:rPr>
          <w:rFonts w:ascii="Arial" w:cs="Arial" w:eastAsia="Arial" w:hAnsi="Arial"/>
          <w:sz w:val="18"/>
          <w:szCs w:val="18"/>
          <w:color w:val="auto"/>
        </w:rPr>
        <w:t xml:space="preserve">”: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Arial" w:cs="Arial" w:eastAsia="Arial" w:hAnsi="Arial"/>
          <w:sz w:val="18"/>
          <w:szCs w:val="18"/>
          <w:u w:val="single" w:color="auto"/>
          <w:color w:val="auto"/>
        </w:rPr>
        <w:t>Section 2.11(b)</w:t>
      </w:r>
      <w:r>
        <w:rPr>
          <w:rFonts w:ascii="Arial" w:cs="Arial" w:eastAsia="Arial" w:hAnsi="Arial"/>
          <w:sz w:val="18"/>
          <w:szCs w:val="18"/>
          <w:color w:val="auto"/>
        </w:rPr>
        <w: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Parent</w:t>
      </w:r>
      <w:r>
        <w:rPr>
          <w:rFonts w:ascii="Arial" w:cs="Arial" w:eastAsia="Arial" w:hAnsi="Arial"/>
          <w:sz w:val="18"/>
          <w:szCs w:val="18"/>
          <w:color w:val="auto"/>
        </w:rPr>
        <w:t>”: as defined in the Preamble.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Parent Common Stock</w:t>
      </w:r>
      <w:r>
        <w:rPr>
          <w:rFonts w:ascii="Arial" w:cs="Arial" w:eastAsia="Arial" w:hAnsi="Arial"/>
          <w:sz w:val="18"/>
          <w:szCs w:val="18"/>
          <w:color w:val="auto"/>
        </w:rPr>
        <w:t>”: Parent’s common stock, par value $0.0001 per share, which are currently trading on the Nasdaq Stock Market under the ticker symbol “PRST” (and formerly trading on the Nasdaq Stock Market under the ticker symbol “VTAQ”).</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Parent Subordinated Indebtedness</w:t>
      </w:r>
      <w:r>
        <w:rPr>
          <w:rFonts w:ascii="Arial" w:cs="Arial" w:eastAsia="Arial" w:hAnsi="Arial"/>
          <w:sz w:val="18"/>
          <w:szCs w:val="18"/>
          <w:color w:val="auto"/>
        </w:rPr>
        <w:t>”: any Subordinated Indebtedness issued by Parent and not guaranteed by any Person.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8.6(c)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Participant Register</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8.6(c)</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20" w:type="dxa"/>
            <w:vAlign w:val="bottom"/>
            <w:tcBorders>
              <w:bottom w:val="single" w:sz="8" w:color="auto"/>
            </w:tcBorders>
          </w:tcPr>
          <w:p>
            <w:pPr>
              <w:jc w:val="right"/>
              <w:ind w:right="5350"/>
              <w:spacing w:after="0"/>
              <w:rPr>
                <w:sz w:val="20"/>
                <w:szCs w:val="20"/>
                <w:color w:val="auto"/>
              </w:rPr>
            </w:pPr>
            <w:r>
              <w:rPr>
                <w:rFonts w:ascii="Arial" w:cs="Arial" w:eastAsia="Arial" w:hAnsi="Arial"/>
                <w:sz w:val="18"/>
                <w:szCs w:val="18"/>
                <w:color w:val="auto"/>
              </w:rPr>
              <w:t>15</w:t>
            </w:r>
          </w:p>
        </w:tc>
      </w:tr>
    </w:tbl>
    <w:p>
      <w:pPr>
        <w:sectPr>
          <w:pgSz w:w="11900" w:h="16838" w:orient="portrait"/>
          <w:cols w:equalWidth="0" w:num="1">
            <w:col w:w="11240"/>
          </w:cols>
          <w:pgMar w:left="320" w:top="908" w:right="339" w:bottom="1440" w:gutter="0" w:footer="0" w:header="0"/>
        </w:sectPr>
      </w:pPr>
    </w:p>
    <w:bookmarkStart w:id="92" w:name="page93"/>
    <w:bookmarkEnd w:id="92"/>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Patriot Act</w:t>
      </w:r>
      <w:r>
        <w:rPr>
          <w:rFonts w:ascii="Arial" w:cs="Arial" w:eastAsia="Arial" w:hAnsi="Arial"/>
          <w:sz w:val="18"/>
          <w:szCs w:val="18"/>
          <w:color w:val="auto"/>
        </w:rPr>
        <w:t>”: the Uniting and Strengthening America by Providing Appropriate Tools Required to Intercept and Obstruct Terrorism (USA PATRIOT ACT) Act of 2001, Title III of Pub. L. 107-56, signed into law October 26, 2001.</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Payment Notice</w:t>
      </w:r>
      <w:r>
        <w:rPr>
          <w:rFonts w:ascii="Arial" w:cs="Arial" w:eastAsia="Arial" w:hAnsi="Arial"/>
          <w:sz w:val="18"/>
          <w:szCs w:val="18"/>
          <w:color w:val="auto"/>
        </w:rPr>
        <w:t xml:space="preserve">”: means a notice substantially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Payment Recipient</w:t>
      </w:r>
      <w:r>
        <w:rPr>
          <w:rFonts w:ascii="Arial" w:cs="Arial" w:eastAsia="Arial" w:hAnsi="Arial"/>
          <w:sz w:val="18"/>
          <w:szCs w:val="18"/>
          <w:color w:val="auto"/>
        </w:rPr>
        <w:t>”: as defined in Section 9.12(a).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PBGC</w:t>
      </w:r>
      <w:r>
        <w:rPr>
          <w:rFonts w:ascii="Arial" w:cs="Arial" w:eastAsia="Arial" w:hAnsi="Arial"/>
          <w:sz w:val="18"/>
          <w:szCs w:val="18"/>
          <w:color w:val="auto"/>
        </w:rPr>
        <w:t>”: the Pension Benefit Guaranty Corporation.</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Pension Funding Rules</w:t>
      </w:r>
      <w:r>
        <w:rPr>
          <w:rFonts w:ascii="Arial" w:cs="Arial" w:eastAsia="Arial" w:hAnsi="Arial"/>
          <w:sz w:val="18"/>
          <w:szCs w:val="18"/>
          <w:color w:val="auto"/>
        </w:rPr>
        <w:t>”: the rules of the Code and ERISA regarding minimum funding standards and minimum required contributions (including any installment payment thereof) to Pension Plans and Multiemployer Plans and set forth in Sections 412, 430, 431, 432 and 436 of the Code and Sections 302, 303, 304 and 305 of ERISA.</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Pension Plan</w:t>
      </w:r>
      <w:r>
        <w:rPr>
          <w:rFonts w:ascii="Arial" w:cs="Arial" w:eastAsia="Arial" w:hAnsi="Arial"/>
          <w:sz w:val="18"/>
          <w:szCs w:val="18"/>
          <w:color w:val="auto"/>
        </w:rPr>
        <w:t>”: any employee pension benefit plan as defined in Section 3(2) of ERISA, other than a Multiemployer Plan, that is maintained or is contributed to by any Loan Party and any ERISA Affiliate and is either covered by Title IV of ERISA or is subject to the minimum funding standards under Section 412 of the Internal Revenue Code.</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Acquisition</w:t>
      </w:r>
      <w:r>
        <w:rPr>
          <w:rFonts w:ascii="Arial" w:cs="Arial" w:eastAsia="Arial" w:hAnsi="Arial"/>
          <w:sz w:val="18"/>
          <w:szCs w:val="18"/>
          <w:color w:val="auto"/>
        </w:rPr>
        <w:t>”: (i) in the case of any Acquisition where the aggregate cash consideration does not exceed $1,000,000, such Acquisition is approved in writing by Agent (such approval not to be unreasonably withheld, conditioned or delayed) or (ii) in the case of any other Acquisition, such Acquisition is approved in writing by Agent in its sole discretion.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Permitted Cure Securities</w:t>
      </w:r>
      <w:r>
        <w:rPr>
          <w:rFonts w:ascii="Arial" w:cs="Arial" w:eastAsia="Arial" w:hAnsi="Arial"/>
          <w:sz w:val="16"/>
          <w:szCs w:val="16"/>
          <w:color w:val="auto"/>
        </w:rPr>
        <w:t>”: any (i) Parent Subordinated Indebtedness or (ii) equity security of Parent (other than Disqualified Equity Interests).</w:t>
      </w:r>
    </w:p>
    <w:p>
      <w:pPr>
        <w:spacing w:after="0" w:line="24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Discretion</w:t>
      </w:r>
      <w:r>
        <w:rPr>
          <w:rFonts w:ascii="Arial" w:cs="Arial" w:eastAsia="Arial" w:hAnsi="Arial"/>
          <w:sz w:val="18"/>
          <w:szCs w:val="18"/>
          <w:color w:val="auto"/>
        </w:rPr>
        <w:t>”: a determination or judgment made in good faith in the exercise of commercially reasonable (from the perspective of a secured lender) credit or business judgment.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Indebtedness</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59" w:lineRule="auto"/>
        <w:tabs>
          <w:tab w:leader="none" w:pos="913"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Indebtedness as described in attached </w:t>
      </w:r>
      <w:r>
        <w:rPr>
          <w:rFonts w:ascii="Arial" w:cs="Arial" w:eastAsia="Arial" w:hAnsi="Arial"/>
          <w:sz w:val="18"/>
          <w:szCs w:val="18"/>
          <w:u w:val="single" w:color="auto"/>
          <w:color w:val="auto"/>
        </w:rPr>
        <w:t>Schedule 1.1(c)</w:t>
      </w:r>
      <w:r>
        <w:rPr>
          <w:rFonts w:ascii="Arial" w:cs="Arial" w:eastAsia="Arial" w:hAnsi="Arial"/>
          <w:sz w:val="18"/>
          <w:szCs w:val="18"/>
          <w:color w:val="auto"/>
        </w:rPr>
        <w:t xml:space="preserve"> and any renewals or refinancing of such Indebtedness in amounts not exceeding the scheduled amounts (less any required amortization according to the terms thereof or other payments made reducing the principal amount of such Indebtedness) on substantially the same or better terms for Borrower as in effect on the Closing Date, with a maturity date not less than the maturity date of the debt being renewed or refinanced, and otherwise in compliance with this Agreement;</w:t>
      </w:r>
    </w:p>
    <w:p>
      <w:pPr>
        <w:spacing w:after="0" w:line="186" w:lineRule="exact"/>
        <w:rPr>
          <w:rFonts w:ascii="Arial" w:cs="Arial" w:eastAsia="Arial" w:hAnsi="Arial"/>
          <w:sz w:val="18"/>
          <w:szCs w:val="18"/>
          <w:color w:val="auto"/>
        </w:rPr>
      </w:pPr>
    </w:p>
    <w:p>
      <w:pPr>
        <w:jc w:val="both"/>
        <w:ind w:firstLine="656"/>
        <w:spacing w:after="0" w:line="255" w:lineRule="auto"/>
        <w:tabs>
          <w:tab w:leader="none" w:pos="931"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Indebtedness incurred in connection with (i) existing Capital Leases as of the Closing Date, or (ii) the granting of any Purchase Money Security Interest or Capital Leases (other than existing Capital Leases as of the Closing Date) in an aggregate amount not exceeding $1,000,000 at any time outstanding, and in the case of clause (i), any renewals or refinancing of such Indebtedness in amounts not exceeding the scheduled amounts (less any required amortization according to the terms thereof or other payments made reducing the principal amount of such Indebtedness) on substantially the same or better terms for Borrower as in effect on the Closing Date, with a maturity date not less than the maturity date of the debt being renewed or refinanced and otherwise in compliance with this Agreement;</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20" w:type="dxa"/>
            <w:vAlign w:val="bottom"/>
            <w:tcBorders>
              <w:bottom w:val="single" w:sz="8" w:color="auto"/>
            </w:tcBorders>
          </w:tcPr>
          <w:p>
            <w:pPr>
              <w:jc w:val="right"/>
              <w:ind w:right="5350"/>
              <w:spacing w:after="0"/>
              <w:rPr>
                <w:sz w:val="20"/>
                <w:szCs w:val="20"/>
                <w:color w:val="auto"/>
              </w:rPr>
            </w:pPr>
            <w:r>
              <w:rPr>
                <w:rFonts w:ascii="Arial" w:cs="Arial" w:eastAsia="Arial" w:hAnsi="Arial"/>
                <w:sz w:val="18"/>
                <w:szCs w:val="18"/>
                <w:color w:val="auto"/>
              </w:rPr>
              <w:t>16</w:t>
            </w:r>
          </w:p>
        </w:tc>
      </w:tr>
    </w:tbl>
    <w:p>
      <w:pPr>
        <w:sectPr>
          <w:pgSz w:w="11900" w:h="16838" w:orient="portrait"/>
          <w:cols w:equalWidth="0" w:num="1">
            <w:col w:w="11240"/>
          </w:cols>
          <w:pgMar w:left="320" w:top="908" w:right="339" w:bottom="1440" w:gutter="0" w:footer="0" w:header="0"/>
        </w:sectPr>
      </w:pPr>
    </w:p>
    <w:bookmarkStart w:id="93" w:name="page94"/>
    <w:bookmarkEnd w:id="93"/>
    <w:p>
      <w:pPr>
        <w:ind w:firstLine="656"/>
        <w:spacing w:after="0" w:line="342" w:lineRule="auto"/>
        <w:tabs>
          <w:tab w:leader="none" w:pos="901" w:val="left"/>
        </w:tabs>
        <w:numPr>
          <w:ilvl w:val="0"/>
          <w:numId w:val="72"/>
        </w:numPr>
        <w:rPr>
          <w:rFonts w:ascii="Arial" w:cs="Arial" w:eastAsia="Arial" w:hAnsi="Arial"/>
          <w:sz w:val="16"/>
          <w:szCs w:val="16"/>
          <w:color w:val="auto"/>
        </w:rPr>
      </w:pPr>
      <w:r>
        <w:rPr>
          <w:rFonts w:ascii="Arial" w:cs="Arial" w:eastAsia="Arial" w:hAnsi="Arial"/>
          <w:sz w:val="16"/>
          <w:szCs w:val="16"/>
          <w:color w:val="auto"/>
        </w:rPr>
        <w:t>Guarantee Obligations on (i) Indebtedness under the Loan Documents, (ii) of any refinancing of such Indebtedness, (iii) on Indebtedness of a Loan Party otherwise permitted pursuant to this definition of Permitted Indebtedness or (iv) real property leases of any Loan Party or its Subsidiaries;</w:t>
      </w:r>
    </w:p>
    <w:p>
      <w:pPr>
        <w:spacing w:after="0" w:line="123" w:lineRule="exact"/>
        <w:rPr>
          <w:rFonts w:ascii="Arial" w:cs="Arial" w:eastAsia="Arial" w:hAnsi="Arial"/>
          <w:sz w:val="16"/>
          <w:szCs w:val="16"/>
          <w:color w:val="auto"/>
        </w:rPr>
      </w:pPr>
    </w:p>
    <w:p>
      <w:pPr>
        <w:ind w:firstLine="656"/>
        <w:spacing w:after="0" w:line="342" w:lineRule="auto"/>
        <w:tabs>
          <w:tab w:leader="none" w:pos="926" w:val="left"/>
        </w:tabs>
        <w:numPr>
          <w:ilvl w:val="0"/>
          <w:numId w:val="72"/>
        </w:numPr>
        <w:rPr>
          <w:rFonts w:ascii="Arial" w:cs="Arial" w:eastAsia="Arial" w:hAnsi="Arial"/>
          <w:sz w:val="16"/>
          <w:szCs w:val="16"/>
          <w:color w:val="auto"/>
        </w:rPr>
      </w:pPr>
      <w:r>
        <w:rPr>
          <w:rFonts w:ascii="Arial" w:cs="Arial" w:eastAsia="Arial" w:hAnsi="Arial"/>
          <w:sz w:val="16"/>
          <w:szCs w:val="16"/>
          <w:color w:val="auto"/>
        </w:rPr>
        <w:t>unsecured Indebtedness of any Loan Party (other than Parent) owed to Borrower or any other Guarantor, so long as such Indebtedness is subject to a master intercompany note in form and substance satisfactory to the Agent in its Permitted Discretion and pledged to the Agent as Collateral;</w:t>
      </w:r>
    </w:p>
    <w:p>
      <w:pPr>
        <w:spacing w:after="0" w:line="123" w:lineRule="exact"/>
        <w:rPr>
          <w:rFonts w:ascii="Arial" w:cs="Arial" w:eastAsia="Arial" w:hAnsi="Arial"/>
          <w:sz w:val="16"/>
          <w:szCs w:val="16"/>
          <w:color w:val="auto"/>
        </w:rPr>
      </w:pPr>
    </w:p>
    <w:p>
      <w:pPr>
        <w:ind w:left="900" w:hanging="244"/>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firstLine="656"/>
        <w:spacing w:after="0" w:line="263" w:lineRule="auto"/>
        <w:tabs>
          <w:tab w:leader="none" w:pos="888"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Indebtedness incurred in connection with the endorsement of instruments for deposit in the ordinary course of business and Indebtedness in respect of bank overdrafts or returned items, netting services, automatic clearinghouse arrangements and other cash management and similar arrangements incurred in the ordinary course of business;</w:t>
      </w:r>
    </w:p>
    <w:p>
      <w:pPr>
        <w:spacing w:after="0" w:line="183" w:lineRule="exact"/>
        <w:rPr>
          <w:rFonts w:ascii="Arial" w:cs="Arial" w:eastAsia="Arial" w:hAnsi="Arial"/>
          <w:sz w:val="18"/>
          <w:szCs w:val="18"/>
          <w:color w:val="auto"/>
        </w:rPr>
      </w:pPr>
    </w:p>
    <w:p>
      <w:pPr>
        <w:ind w:left="920" w:hanging="264"/>
        <w:spacing w:after="0"/>
        <w:tabs>
          <w:tab w:leader="none" w:pos="920" w:val="left"/>
        </w:tabs>
        <w:numPr>
          <w:ilvl w:val="0"/>
          <w:numId w:val="72"/>
        </w:numPr>
        <w:rPr>
          <w:rFonts w:ascii="Arial" w:cs="Arial" w:eastAsia="Arial" w:hAnsi="Arial"/>
          <w:sz w:val="17"/>
          <w:szCs w:val="17"/>
          <w:color w:val="auto"/>
        </w:rPr>
      </w:pPr>
      <w:r>
        <w:rPr>
          <w:rFonts w:ascii="Arial" w:cs="Arial" w:eastAsia="Arial" w:hAnsi="Arial"/>
          <w:sz w:val="17"/>
          <w:szCs w:val="17"/>
          <w:color w:val="auto"/>
        </w:rPr>
        <w:t>other Indebtedness not otherwise permitted hereunder in an aggregate principal amount not to exceed $500,000 at any time outstanding;</w:t>
      </w:r>
    </w:p>
    <w:p>
      <w:pPr>
        <w:spacing w:after="0" w:line="236" w:lineRule="exact"/>
        <w:rPr>
          <w:rFonts w:ascii="Arial" w:cs="Arial" w:eastAsia="Arial" w:hAnsi="Arial"/>
          <w:sz w:val="17"/>
          <w:szCs w:val="17"/>
          <w:color w:val="auto"/>
        </w:rPr>
      </w:pPr>
    </w:p>
    <w:p>
      <w:pPr>
        <w:ind w:firstLine="656"/>
        <w:spacing w:after="0" w:line="277" w:lineRule="auto"/>
        <w:tabs>
          <w:tab w:leader="none" w:pos="926" w:val="left"/>
        </w:tabs>
        <w:numPr>
          <w:ilvl w:val="0"/>
          <w:numId w:val="72"/>
        </w:numPr>
        <w:rPr>
          <w:rFonts w:ascii="Arial" w:cs="Arial" w:eastAsia="Arial" w:hAnsi="Arial"/>
          <w:sz w:val="18"/>
          <w:szCs w:val="18"/>
          <w:color w:val="auto"/>
        </w:rPr>
      </w:pPr>
      <w:r>
        <w:rPr>
          <w:rFonts w:ascii="Arial" w:cs="Arial" w:eastAsia="Arial" w:hAnsi="Arial"/>
          <w:sz w:val="18"/>
          <w:szCs w:val="18"/>
          <w:color w:val="auto"/>
        </w:rPr>
        <w:t>trade indebtedness incurred on usual and customary terms in the ordinary course of business and consistent with past practice (including, without limitation, incurred and paid through third-party credit card service providers);</w:t>
      </w:r>
    </w:p>
    <w:p>
      <w:pPr>
        <w:spacing w:after="0" w:line="170" w:lineRule="exact"/>
        <w:rPr>
          <w:rFonts w:ascii="Arial" w:cs="Arial" w:eastAsia="Arial" w:hAnsi="Arial"/>
          <w:sz w:val="18"/>
          <w:szCs w:val="18"/>
          <w:color w:val="auto"/>
        </w:rPr>
      </w:pPr>
    </w:p>
    <w:p>
      <w:pPr>
        <w:ind w:left="900" w:hanging="244"/>
        <w:spacing w:after="0"/>
        <w:tabs>
          <w:tab w:leader="none" w:pos="900" w:val="left"/>
        </w:tabs>
        <w:numPr>
          <w:ilvl w:val="0"/>
          <w:numId w:val="72"/>
        </w:numPr>
        <w:rPr>
          <w:rFonts w:ascii="Arial" w:cs="Arial" w:eastAsia="Arial" w:hAnsi="Arial"/>
          <w:sz w:val="17"/>
          <w:szCs w:val="17"/>
          <w:color w:val="auto"/>
        </w:rPr>
      </w:pPr>
      <w:r>
        <w:rPr>
          <w:rFonts w:ascii="Arial" w:cs="Arial" w:eastAsia="Arial" w:hAnsi="Arial"/>
          <w:sz w:val="17"/>
          <w:szCs w:val="17"/>
          <w:color w:val="auto"/>
        </w:rPr>
        <w:t>Indebtedness consisting of reasonable deferred compensation payable to current or former employees incurred in the ordinary course of</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business;</w:t>
      </w:r>
    </w:p>
    <w:p>
      <w:pPr>
        <w:spacing w:after="0" w:line="210" w:lineRule="exact"/>
        <w:rPr>
          <w:rFonts w:ascii="Arial" w:cs="Arial" w:eastAsia="Arial" w:hAnsi="Arial"/>
          <w:sz w:val="17"/>
          <w:szCs w:val="17"/>
          <w:color w:val="auto"/>
        </w:rPr>
      </w:pPr>
    </w:p>
    <w:p>
      <w:pPr>
        <w:ind w:left="900" w:hanging="244"/>
        <w:spacing w:after="0"/>
        <w:tabs>
          <w:tab w:leader="none" w:pos="900" w:val="left"/>
        </w:tabs>
        <w:numPr>
          <w:ilvl w:val="0"/>
          <w:numId w:val="72"/>
        </w:numPr>
        <w:rPr>
          <w:rFonts w:ascii="Arial" w:cs="Arial" w:eastAsia="Arial" w:hAnsi="Arial"/>
          <w:sz w:val="17"/>
          <w:szCs w:val="17"/>
          <w:color w:val="auto"/>
        </w:rPr>
      </w:pPr>
      <w:r>
        <w:rPr>
          <w:rFonts w:ascii="Arial" w:cs="Arial" w:eastAsia="Arial" w:hAnsi="Arial"/>
          <w:sz w:val="17"/>
          <w:szCs w:val="17"/>
          <w:color w:val="auto"/>
        </w:rPr>
        <w:t>Indebtedness incurred in the ordinary course of business with respect to workers compensation and health, disability and other employee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benefits;</w:t>
      </w:r>
    </w:p>
    <w:p>
      <w:pPr>
        <w:spacing w:after="0" w:line="210" w:lineRule="exact"/>
        <w:rPr>
          <w:rFonts w:ascii="Arial" w:cs="Arial" w:eastAsia="Arial" w:hAnsi="Arial"/>
          <w:sz w:val="17"/>
          <w:szCs w:val="17"/>
          <w:color w:val="auto"/>
        </w:rPr>
      </w:pPr>
    </w:p>
    <w:p>
      <w:pPr>
        <w:jc w:val="both"/>
        <w:ind w:firstLine="656"/>
        <w:spacing w:after="0" w:line="263" w:lineRule="auto"/>
        <w:tabs>
          <w:tab w:leader="none" w:pos="928" w:val="left"/>
        </w:tabs>
        <w:numPr>
          <w:ilvl w:val="0"/>
          <w:numId w:val="72"/>
        </w:numPr>
        <w:rPr>
          <w:rFonts w:ascii="Arial" w:cs="Arial" w:eastAsia="Arial" w:hAnsi="Arial"/>
          <w:sz w:val="18"/>
          <w:szCs w:val="18"/>
          <w:color w:val="auto"/>
        </w:rPr>
      </w:pPr>
      <w:r>
        <w:rPr>
          <w:rFonts w:ascii="Arial" w:cs="Arial" w:eastAsia="Arial" w:hAnsi="Arial"/>
          <w:sz w:val="18"/>
          <w:szCs w:val="18"/>
          <w:color w:val="auto"/>
        </w:rPr>
        <w:t>unsecured Indebtedness under that certain Customer Performance Agreement, originally dated April 27, 2021, between the Borrower and Nirvana Funding II, LLC, as in effect on the date hereof (the “</w:t>
      </w:r>
      <w:r>
        <w:rPr>
          <w:rFonts w:ascii="Arial" w:cs="Arial" w:eastAsia="Arial" w:hAnsi="Arial"/>
          <w:sz w:val="18"/>
          <w:szCs w:val="18"/>
          <w:b w:val="1"/>
          <w:bCs w:val="1"/>
          <w:i w:val="1"/>
          <w:iCs w:val="1"/>
          <w:color w:val="auto"/>
        </w:rPr>
        <w:t>Nirvana Debt</w:t>
      </w:r>
      <w:r>
        <w:rPr>
          <w:rFonts w:ascii="Arial" w:cs="Arial" w:eastAsia="Arial" w:hAnsi="Arial"/>
          <w:sz w:val="18"/>
          <w:szCs w:val="18"/>
          <w:color w:val="auto"/>
        </w:rPr>
        <w:t xml:space="preserve">”) in an outstanding principal investment amount not to exceed (i) $6,000,000 </w:t>
      </w:r>
      <w:r>
        <w:rPr>
          <w:rFonts w:ascii="Arial" w:cs="Arial" w:eastAsia="Arial" w:hAnsi="Arial"/>
          <w:sz w:val="18"/>
          <w:szCs w:val="18"/>
          <w:i w:val="1"/>
          <w:iCs w:val="1"/>
          <w:color w:val="auto"/>
        </w:rPr>
        <w:t xml:space="preserve">minus </w:t>
      </w:r>
      <w:r>
        <w:rPr>
          <w:rFonts w:ascii="Arial" w:cs="Arial" w:eastAsia="Arial" w:hAnsi="Arial"/>
          <w:sz w:val="18"/>
          <w:szCs w:val="18"/>
          <w:color w:val="auto"/>
        </w:rPr>
        <w:t>(ii) the aggregate amount all principal investment repayments made thereon from and after the Closing Date;</w:t>
      </w:r>
    </w:p>
    <w:p>
      <w:pPr>
        <w:spacing w:after="0" w:line="183" w:lineRule="exact"/>
        <w:rPr>
          <w:rFonts w:ascii="Arial" w:cs="Arial" w:eastAsia="Arial" w:hAnsi="Arial"/>
          <w:sz w:val="18"/>
          <w:szCs w:val="18"/>
          <w:color w:val="auto"/>
        </w:rPr>
      </w:pPr>
    </w:p>
    <w:p>
      <w:pPr>
        <w:ind w:left="880" w:hanging="224"/>
        <w:spacing w:after="0"/>
        <w:tabs>
          <w:tab w:leader="none" w:pos="8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Indebtedness incurred pursuant to hedging agreements entered into in the ordinary course of business to manage interest rates or currency risk;</w:t>
      </w:r>
    </w:p>
    <w:p>
      <w:pPr>
        <w:spacing w:after="0" w:line="248" w:lineRule="exact"/>
        <w:rPr>
          <w:rFonts w:ascii="Arial" w:cs="Arial" w:eastAsia="Arial" w:hAnsi="Arial"/>
          <w:sz w:val="16"/>
          <w:szCs w:val="16"/>
          <w:color w:val="auto"/>
        </w:rPr>
      </w:pPr>
    </w:p>
    <w:p>
      <w:pPr>
        <w:ind w:firstLine="656"/>
        <w:spacing w:after="0" w:line="277" w:lineRule="auto"/>
        <w:tabs>
          <w:tab w:leader="none" w:pos="969"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Indebtedness in respect of performance bonds, bid bonds, appeal bonds, surety bonds and similar obligations, in each case provided in the ordinary course of business and in an aggregate amount not to exceed $500,000 at any time outstanding;</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20" w:type="dxa"/>
            <w:vAlign w:val="bottom"/>
            <w:tcBorders>
              <w:bottom w:val="single" w:sz="8" w:color="auto"/>
            </w:tcBorders>
          </w:tcPr>
          <w:p>
            <w:pPr>
              <w:jc w:val="right"/>
              <w:ind w:right="5350"/>
              <w:spacing w:after="0"/>
              <w:rPr>
                <w:sz w:val="20"/>
                <w:szCs w:val="20"/>
                <w:color w:val="auto"/>
              </w:rPr>
            </w:pPr>
            <w:r>
              <w:rPr>
                <w:rFonts w:ascii="Arial" w:cs="Arial" w:eastAsia="Arial" w:hAnsi="Arial"/>
                <w:sz w:val="18"/>
                <w:szCs w:val="18"/>
                <w:color w:val="auto"/>
              </w:rPr>
              <w:t>17</w:t>
            </w:r>
          </w:p>
        </w:tc>
      </w:tr>
    </w:tbl>
    <w:p>
      <w:pPr>
        <w:sectPr>
          <w:pgSz w:w="11900" w:h="16838" w:orient="portrait"/>
          <w:cols w:equalWidth="0" w:num="1">
            <w:col w:w="11240"/>
          </w:cols>
          <w:pgMar w:left="320" w:top="908" w:right="339" w:bottom="1440" w:gutter="0" w:footer="0" w:header="0"/>
        </w:sectPr>
      </w:pPr>
    </w:p>
    <w:bookmarkStart w:id="94" w:name="page95"/>
    <w:bookmarkEnd w:id="94"/>
    <w:p>
      <w:pPr>
        <w:ind w:firstLine="656"/>
        <w:spacing w:after="0" w:line="277" w:lineRule="auto"/>
        <w:tabs>
          <w:tab w:leader="none" w:pos="903"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Indebtedness arising from corporate credit cards and merchant services arrangements in the ordinary course of business in an aggregate amount not to exceed $500,000 at any time outstanding;</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Subordinated Indebtedness; and</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other indebtedness incurred by a Loan Party that has been approved in writing by the Agent, in its sole discretion.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Liens</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63" w:lineRule="auto"/>
        <w:tabs>
          <w:tab w:leader="none" w:pos="906" w:val="left"/>
        </w:tabs>
        <w:numPr>
          <w:ilvl w:val="0"/>
          <w:numId w:val="74"/>
        </w:numPr>
        <w:rPr>
          <w:rFonts w:ascii="Arial" w:cs="Arial" w:eastAsia="Arial" w:hAnsi="Arial"/>
          <w:sz w:val="18"/>
          <w:szCs w:val="18"/>
          <w:color w:val="auto"/>
        </w:rPr>
      </w:pPr>
      <w:r>
        <w:rPr>
          <w:rFonts w:ascii="Arial" w:cs="Arial" w:eastAsia="Arial" w:hAnsi="Arial"/>
          <w:sz w:val="18"/>
          <w:szCs w:val="18"/>
          <w:color w:val="auto"/>
        </w:rPr>
        <w:t>statutory Liens for Taxes not yet due or Liens for Taxes that are being contested in good faith by appropriate proceedings which stay the enforcement of any Lien resulting from the non-payment of such Taxes; provided, that adequate reserves have been set aside for the payment thereof by the Loan Parties in conformity with GAAP;</w:t>
      </w:r>
    </w:p>
    <w:p>
      <w:pPr>
        <w:spacing w:after="0" w:line="183" w:lineRule="exact"/>
        <w:rPr>
          <w:rFonts w:ascii="Arial" w:cs="Arial" w:eastAsia="Arial" w:hAnsi="Arial"/>
          <w:sz w:val="18"/>
          <w:szCs w:val="18"/>
          <w:color w:val="auto"/>
        </w:rPr>
      </w:pPr>
    </w:p>
    <w:p>
      <w:pPr>
        <w:ind w:left="920" w:hanging="264"/>
        <w:spacing w:after="0"/>
        <w:tabs>
          <w:tab w:leader="none" w:pos="9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Liens created pursuant to the Security Documents or any other Loan Document;</w:t>
      </w:r>
    </w:p>
    <w:p>
      <w:pPr>
        <w:spacing w:after="0" w:line="225" w:lineRule="exact"/>
        <w:rPr>
          <w:rFonts w:ascii="Arial" w:cs="Arial" w:eastAsia="Arial" w:hAnsi="Arial"/>
          <w:sz w:val="18"/>
          <w:szCs w:val="18"/>
          <w:color w:val="auto"/>
        </w:rPr>
      </w:pPr>
    </w:p>
    <w:p>
      <w:pPr>
        <w:ind w:left="900" w:hanging="244"/>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judgment Liens that do not constitute an Event of Default under Section 7.1(f) of this Agreement;</w:t>
      </w:r>
    </w:p>
    <w:p>
      <w:pPr>
        <w:spacing w:after="0" w:line="225" w:lineRule="exact"/>
        <w:rPr>
          <w:rFonts w:ascii="Arial" w:cs="Arial" w:eastAsia="Arial" w:hAnsi="Arial"/>
          <w:sz w:val="18"/>
          <w:szCs w:val="18"/>
          <w:color w:val="auto"/>
        </w:rPr>
      </w:pPr>
    </w:p>
    <w:p>
      <w:pPr>
        <w:jc w:val="both"/>
        <w:ind w:firstLine="656"/>
        <w:spacing w:after="0" w:line="257" w:lineRule="auto"/>
        <w:tabs>
          <w:tab w:leader="none" w:pos="916" w:val="left"/>
        </w:tabs>
        <w:numPr>
          <w:ilvl w:val="0"/>
          <w:numId w:val="74"/>
        </w:numPr>
        <w:rPr>
          <w:rFonts w:ascii="Arial" w:cs="Arial" w:eastAsia="Arial" w:hAnsi="Arial"/>
          <w:sz w:val="18"/>
          <w:szCs w:val="18"/>
          <w:color w:val="auto"/>
        </w:rPr>
      </w:pPr>
      <w:r>
        <w:rPr>
          <w:rFonts w:ascii="Arial" w:cs="Arial" w:eastAsia="Arial" w:hAnsi="Arial"/>
          <w:sz w:val="18"/>
          <w:szCs w:val="18"/>
          <w:color w:val="auto"/>
        </w:rPr>
        <w:t>bankers’ Liens, rights of setoff and other similar Liens existing solely with respect to cash, Cash Equivalents, securities, commodities and other funds on deposit in one or more accounts maintained by the Loan Parties, in each case arising in the ordinary course of business in favor of banks, other depositary institutions, securities or commodities intermediaries or brokerages with which such accounts are maintained securing amounts owing to such banks or financial institutions with respect to cash management and operating account management or are arising under Section 4-208 or 4-210 of the UCC on items in the course of collection;</w:t>
      </w:r>
    </w:p>
    <w:p>
      <w:pPr>
        <w:spacing w:after="0" w:line="187" w:lineRule="exact"/>
        <w:rPr>
          <w:rFonts w:ascii="Arial" w:cs="Arial" w:eastAsia="Arial" w:hAnsi="Arial"/>
          <w:sz w:val="18"/>
          <w:szCs w:val="18"/>
          <w:color w:val="auto"/>
        </w:rPr>
      </w:pPr>
    </w:p>
    <w:p>
      <w:pPr>
        <w:jc w:val="both"/>
        <w:ind w:firstLine="656"/>
        <w:spacing w:after="0" w:line="259" w:lineRule="auto"/>
        <w:tabs>
          <w:tab w:leader="none" w:pos="906"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Liens securing Permitted Indebtedness described in item (b) of the definition thereof or as set forth on </w:t>
      </w:r>
      <w:r>
        <w:rPr>
          <w:rFonts w:ascii="Arial" w:cs="Arial" w:eastAsia="Arial" w:hAnsi="Arial"/>
          <w:sz w:val="18"/>
          <w:szCs w:val="18"/>
          <w:u w:val="single" w:color="auto"/>
          <w:color w:val="auto"/>
        </w:rPr>
        <w:t>Schedule 1.1(c)</w:t>
      </w:r>
      <w:r>
        <w:rPr>
          <w:rFonts w:ascii="Arial" w:cs="Arial" w:eastAsia="Arial" w:hAnsi="Arial"/>
          <w:sz w:val="18"/>
          <w:szCs w:val="18"/>
          <w:color w:val="auto"/>
        </w:rPr>
        <w:t xml:space="preserve"> hereto to the extent existing on the Closing Date; provided, that with respect to any refinancing thereof, such continuations or renewals do not extend to any additional property or assets of any Loan Party or secure any additional obligations, other than as set forth in item (b) of the definition of Permitted Indebtedness or as set forth on </w:t>
      </w:r>
      <w:r>
        <w:rPr>
          <w:rFonts w:ascii="Arial" w:cs="Arial" w:eastAsia="Arial" w:hAnsi="Arial"/>
          <w:sz w:val="18"/>
          <w:szCs w:val="18"/>
          <w:u w:val="single" w:color="auto"/>
          <w:color w:val="auto"/>
        </w:rPr>
        <w:t>Schedule 1.1(c)</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jc w:val="both"/>
        <w:ind w:firstLine="656"/>
        <w:spacing w:after="0" w:line="259"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carriers’, warehousemen’s, mechanics’, materialmen’s, repairmen’s, landlord’s Liens or other like Liens arising in the ordinary course of business which secure obligations that are not overdue for a period of more than thirty (30) days or are being contested in good faith by appropriate proceedings, provided, that (i) in the case of any such contest, enforcement of such Liens has been suspended and (ii) appropriate reserves have been made on the books of such Person as may be required by GAAP, consistently applied, therefor;</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20" w:type="dxa"/>
            <w:vAlign w:val="bottom"/>
            <w:tcBorders>
              <w:bottom w:val="single" w:sz="8" w:color="auto"/>
            </w:tcBorders>
          </w:tcPr>
          <w:p>
            <w:pPr>
              <w:jc w:val="right"/>
              <w:ind w:right="5350"/>
              <w:spacing w:after="0"/>
              <w:rPr>
                <w:sz w:val="20"/>
                <w:szCs w:val="20"/>
                <w:color w:val="auto"/>
              </w:rPr>
            </w:pPr>
            <w:r>
              <w:rPr>
                <w:rFonts w:ascii="Arial" w:cs="Arial" w:eastAsia="Arial" w:hAnsi="Arial"/>
                <w:sz w:val="18"/>
                <w:szCs w:val="18"/>
                <w:color w:val="auto"/>
              </w:rPr>
              <w:t>18</w:t>
            </w:r>
          </w:p>
        </w:tc>
      </w:tr>
    </w:tbl>
    <w:p>
      <w:pPr>
        <w:sectPr>
          <w:pgSz w:w="11900" w:h="16838" w:orient="portrait"/>
          <w:cols w:equalWidth="0" w:num="1">
            <w:col w:w="11240"/>
          </w:cols>
          <w:pgMar w:left="320" w:top="908" w:right="339" w:bottom="1440" w:gutter="0" w:footer="0" w:header="0"/>
        </w:sectPr>
      </w:pPr>
    </w:p>
    <w:bookmarkStart w:id="95" w:name="page96"/>
    <w:bookmarkEnd w:id="95"/>
    <w:p>
      <w:pPr>
        <w:jc w:val="both"/>
        <w:ind w:firstLine="656"/>
        <w:spacing w:after="0" w:line="257" w:lineRule="auto"/>
        <w:tabs>
          <w:tab w:leader="none" w:pos="916" w:val="left"/>
        </w:tabs>
        <w:numPr>
          <w:ilvl w:val="0"/>
          <w:numId w:val="75"/>
        </w:numPr>
        <w:rPr>
          <w:rFonts w:ascii="Arial" w:cs="Arial" w:eastAsia="Arial" w:hAnsi="Arial"/>
          <w:sz w:val="18"/>
          <w:szCs w:val="18"/>
          <w:color w:val="auto"/>
        </w:rPr>
      </w:pPr>
      <w:r>
        <w:rPr>
          <w:rFonts w:ascii="Arial" w:cs="Arial" w:eastAsia="Arial" w:hAnsi="Arial"/>
          <w:sz w:val="18"/>
          <w:szCs w:val="18"/>
          <w:color w:val="auto"/>
        </w:rPr>
        <w:t>Liens arising in connection with worker’s compensation, unemployment insurance, old age pensions and social security benefits and similar statutory obligations which are not overdue for a period of more than thirty (30) days or are being contested in good faith by appropriate proceedings diligently pursued; provided, that in the case of any such contest (i) any proceedings commenced for the enforcement of such Liens shall have been duly suspended and (ii) such provision for the payment of such Liens has been made on the books of such Person as may be required by GAAP, consistently applied;</w:t>
      </w:r>
    </w:p>
    <w:p>
      <w:pPr>
        <w:spacing w:after="0" w:line="187" w:lineRule="exact"/>
        <w:rPr>
          <w:rFonts w:ascii="Arial" w:cs="Arial" w:eastAsia="Arial" w:hAnsi="Arial"/>
          <w:sz w:val="18"/>
          <w:szCs w:val="18"/>
          <w:color w:val="auto"/>
        </w:rPr>
      </w:pPr>
    </w:p>
    <w:p>
      <w:pPr>
        <w:ind w:left="920" w:hanging="264"/>
        <w:spacing w:after="0"/>
        <w:tabs>
          <w:tab w:leader="none" w:pos="9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any interest or title of a lessor under any lease entered into by any Loan Party in the ordinary course of business;</w:t>
      </w:r>
    </w:p>
    <w:p>
      <w:pPr>
        <w:spacing w:after="0" w:line="225" w:lineRule="exact"/>
        <w:rPr>
          <w:rFonts w:ascii="Arial" w:cs="Arial" w:eastAsia="Arial" w:hAnsi="Arial"/>
          <w:sz w:val="18"/>
          <w:szCs w:val="18"/>
          <w:color w:val="auto"/>
        </w:rPr>
      </w:pPr>
    </w:p>
    <w:p>
      <w:pPr>
        <w:ind w:left="880" w:hanging="224"/>
        <w:spacing w:after="0"/>
        <w:tabs>
          <w:tab w:leader="none" w:pos="8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non-exclusive licenses of Intellectual Property entered into in the ordinary course of business;</w:t>
      </w:r>
    </w:p>
    <w:p>
      <w:pPr>
        <w:spacing w:after="0" w:line="225" w:lineRule="exact"/>
        <w:rPr>
          <w:rFonts w:ascii="Arial" w:cs="Arial" w:eastAsia="Arial" w:hAnsi="Arial"/>
          <w:sz w:val="18"/>
          <w:szCs w:val="18"/>
          <w:color w:val="auto"/>
        </w:rPr>
      </w:pPr>
    </w:p>
    <w:p>
      <w:pPr>
        <w:ind w:firstLine="656"/>
        <w:spacing w:after="0" w:line="277" w:lineRule="auto"/>
        <w:tabs>
          <w:tab w:leader="none" w:pos="863" w:val="left"/>
        </w:tabs>
        <w:numPr>
          <w:ilvl w:val="0"/>
          <w:numId w:val="75"/>
        </w:numPr>
        <w:rPr>
          <w:rFonts w:ascii="Arial" w:cs="Arial" w:eastAsia="Arial" w:hAnsi="Arial"/>
          <w:sz w:val="18"/>
          <w:szCs w:val="18"/>
          <w:color w:val="auto"/>
        </w:rPr>
      </w:pPr>
      <w:r>
        <w:rPr>
          <w:rFonts w:ascii="Arial" w:cs="Arial" w:eastAsia="Arial" w:hAnsi="Arial"/>
          <w:sz w:val="18"/>
          <w:szCs w:val="18"/>
          <w:color w:val="auto"/>
        </w:rPr>
        <w:t>Liens securing Indebtedness permitted pursuant to clause (b) of the definition of “Permitted Indebtedness” so long as such Liens attach only to the assets purchased with the proceeds of such Indebtedness and not any other assets or property of any Loan Party;</w:t>
      </w:r>
    </w:p>
    <w:p>
      <w:pPr>
        <w:spacing w:after="0" w:line="170" w:lineRule="exact"/>
        <w:rPr>
          <w:rFonts w:ascii="Arial" w:cs="Arial" w:eastAsia="Arial" w:hAnsi="Arial"/>
          <w:sz w:val="18"/>
          <w:szCs w:val="18"/>
          <w:color w:val="auto"/>
        </w:rPr>
      </w:pPr>
    </w:p>
    <w:p>
      <w:pPr>
        <w:ind w:right="20" w:firstLine="656"/>
        <w:spacing w:after="0" w:line="277" w:lineRule="auto"/>
        <w:tabs>
          <w:tab w:leader="none" w:pos="903" w:val="left"/>
        </w:tabs>
        <w:numPr>
          <w:ilvl w:val="0"/>
          <w:numId w:val="75"/>
        </w:numPr>
        <w:rPr>
          <w:rFonts w:ascii="Arial" w:cs="Arial" w:eastAsia="Arial" w:hAnsi="Arial"/>
          <w:sz w:val="18"/>
          <w:szCs w:val="18"/>
          <w:color w:val="auto"/>
        </w:rPr>
      </w:pPr>
      <w:r>
        <w:rPr>
          <w:rFonts w:ascii="Arial" w:cs="Arial" w:eastAsia="Arial" w:hAnsi="Arial"/>
          <w:sz w:val="18"/>
          <w:szCs w:val="18"/>
          <w:color w:val="auto"/>
        </w:rPr>
        <w:t>cash pledges and deposits in an aggregate amount not to exceed $500,000 securing obligations permitted under clause (n) of the definition of “Permitted Indebtedness”;</w:t>
      </w:r>
    </w:p>
    <w:p>
      <w:pPr>
        <w:spacing w:after="0" w:line="170" w:lineRule="exact"/>
        <w:rPr>
          <w:rFonts w:ascii="Arial" w:cs="Arial" w:eastAsia="Arial" w:hAnsi="Arial"/>
          <w:sz w:val="18"/>
          <w:szCs w:val="18"/>
          <w:color w:val="auto"/>
        </w:rPr>
      </w:pPr>
    </w:p>
    <w:p>
      <w:pPr>
        <w:ind w:left="880" w:hanging="224"/>
        <w:spacing w:after="0"/>
        <w:tabs>
          <w:tab w:leader="none" w:pos="8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960" w:hanging="304"/>
        <w:spacing w:after="0"/>
        <w:tabs>
          <w:tab w:leader="none" w:pos="9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cash deposits held by a third-party landlord and Liens on such cash deposits to secure lease obligations in the ordinary course of business; and</w:t>
      </w:r>
    </w:p>
    <w:p>
      <w:pPr>
        <w:spacing w:after="0" w:line="248" w:lineRule="exact"/>
        <w:rPr>
          <w:rFonts w:ascii="Arial" w:cs="Arial" w:eastAsia="Arial" w:hAnsi="Arial"/>
          <w:sz w:val="16"/>
          <w:szCs w:val="16"/>
          <w:color w:val="auto"/>
        </w:rPr>
      </w:pPr>
    </w:p>
    <w:p>
      <w:pPr>
        <w:ind w:left="920" w:hanging="264"/>
        <w:spacing w:after="0"/>
        <w:tabs>
          <w:tab w:leader="none" w:pos="9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Liens which have been approved in writing by the Agent, in its sole discretion.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any natural person, corporation, limited liability company, trust, joint venture, association, company, partnership, Governmental Authority or other entity.</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PIK Interest</w:t>
      </w:r>
      <w:r>
        <w:rPr>
          <w:rFonts w:ascii="Arial" w:cs="Arial" w:eastAsia="Arial" w:hAnsi="Arial"/>
          <w:sz w:val="18"/>
          <w:szCs w:val="18"/>
          <w:color w:val="auto"/>
        </w:rPr>
        <w:t>”: shall mean interest accrued with respect to the Term Loan that is paid in kind, and not in cash, by capitalizing such interest as principal of the outstanding Term Loan as provided herein.</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PIK Limit</w:t>
      </w:r>
      <w:r>
        <w:rPr>
          <w:rFonts w:ascii="Arial" w:cs="Arial" w:eastAsia="Arial" w:hAnsi="Arial"/>
          <w:sz w:val="17"/>
          <w:szCs w:val="17"/>
          <w:color w:val="auto"/>
        </w:rPr>
        <w:t>”: with respect to any payment of interest due on any Interest Payment Date, an amount equal to (a) with respect to the Interest Payment Dates occurring on September 30, 2023, October 31, 2023, November 30, 2023, December 31, 2023 and January 31, 2024, one hundred percent (100%) of such payment of interest (exclusive of the portion of such interest attributable to the implementation of the Default Rate or Protective Advance Rate, if any), and (b) with respect to any Interest Payment Date occurring after January 31, 2024, zero percent (0%) of such payment of interest, unless Borrower both (i) submits a written request to Agent to increase such payment of interest to one hundred percent (100%) at least ten (10) days prior to such Interest Payment Date, and (ii) Agent approves such request in its sole and absolute discretion.</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PIPE Transactions</w:t>
      </w:r>
      <w:r>
        <w:rPr>
          <w:rFonts w:ascii="Arial" w:cs="Arial" w:eastAsia="Arial" w:hAnsi="Arial"/>
          <w:sz w:val="16"/>
          <w:szCs w:val="16"/>
          <w:color w:val="auto"/>
        </w:rPr>
        <w:t>”: the closing of “PIPE” equity investments of $55,000,000 in Parent contemplated by the SPAC Subscription Agreements.</w:t>
      </w:r>
    </w:p>
    <w:p>
      <w:pPr>
        <w:spacing w:after="0" w:line="24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any employee benefit plan within the meaning of Section 3(3) of ERISA, maintained for employees of a Loan Party or any Subsidiary, or any such plan to which a Loan Party or any Subsidiary is required to contribute on behalf of any of its employees or with respect to which such Loan Party has any liability.</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20" w:type="dxa"/>
            <w:vAlign w:val="bottom"/>
            <w:tcBorders>
              <w:bottom w:val="single" w:sz="8" w:color="auto"/>
            </w:tcBorders>
          </w:tcPr>
          <w:p>
            <w:pPr>
              <w:jc w:val="right"/>
              <w:ind w:right="5350"/>
              <w:spacing w:after="0"/>
              <w:rPr>
                <w:sz w:val="20"/>
                <w:szCs w:val="20"/>
                <w:color w:val="auto"/>
              </w:rPr>
            </w:pPr>
            <w:r>
              <w:rPr>
                <w:rFonts w:ascii="Arial" w:cs="Arial" w:eastAsia="Arial" w:hAnsi="Arial"/>
                <w:sz w:val="18"/>
                <w:szCs w:val="18"/>
                <w:color w:val="auto"/>
              </w:rPr>
              <w:t>19</w:t>
            </w:r>
          </w:p>
        </w:tc>
      </w:tr>
    </w:tbl>
    <w:p>
      <w:pPr>
        <w:sectPr>
          <w:pgSz w:w="11900" w:h="16838" w:orient="portrait"/>
          <w:cols w:equalWidth="0" w:num="1">
            <w:col w:w="11240"/>
          </w:cols>
          <w:pgMar w:left="320" w:top="908" w:right="339" w:bottom="1440" w:gutter="0" w:footer="0" w:header="0"/>
        </w:sectPr>
      </w:pPr>
    </w:p>
    <w:bookmarkStart w:id="96" w:name="page97"/>
    <w:bookmarkEnd w:id="96"/>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PPP Loans</w:t>
      </w:r>
      <w:r>
        <w:rPr>
          <w:rFonts w:ascii="Arial" w:cs="Arial" w:eastAsia="Arial" w:hAnsi="Arial"/>
          <w:sz w:val="18"/>
          <w:szCs w:val="18"/>
          <w:color w:val="auto"/>
        </w:rPr>
        <w:t>”: (i) the 2020 PPP Loan, and (ii) the 2021 PPP Loan.</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Prepayment Event</w:t>
      </w:r>
      <w:r>
        <w:rPr>
          <w:rFonts w:ascii="Arial" w:cs="Arial" w:eastAsia="Arial" w:hAnsi="Arial"/>
          <w:sz w:val="16"/>
          <w:szCs w:val="16"/>
          <w:color w:val="auto"/>
        </w:rPr>
        <w:t xml:space="preserve">”: any (a) any sale, transfer or other disposition (including pursuant to a sale and leaseback transaction) of any property or asset of any Loan Party outside of the ordinary course of business in excess of $500,000 in the aggregate during any Fiscal Year, (b) casualty or other insured damage to, or any taking under power of eminent domain or by condemnation or similar proceeding of, any property or asset of any Loan Party in excess of $500,000 in the aggregate during any Fiscal Year, (c) the incurrence by any Loan Party of any Indebtedness other than Indebtedness permitted pursuant to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hereof, (d) the occurrence of a Change of Control, (e) [reserved], (f) Borrower’s receipt of the proceeds of any business interruption insurance, and (g) any receipt by a Loan Party of any Extraordinary Receipt in excess of $500,000 in the aggregate during any Fiscal Year.</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Presto</w:t>
      </w:r>
      <w:r>
        <w:rPr>
          <w:rFonts w:ascii="Arial" w:cs="Arial" w:eastAsia="Arial" w:hAnsi="Arial"/>
          <w:sz w:val="18"/>
          <w:szCs w:val="18"/>
          <w:color w:val="auto"/>
        </w:rPr>
        <w:t>”: as defined in the preamble hereto, and shall include its successors and assigns.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Principal Market</w:t>
      </w:r>
      <w:r>
        <w:rPr>
          <w:rFonts w:ascii="Arial" w:cs="Arial" w:eastAsia="Arial" w:hAnsi="Arial"/>
          <w:sz w:val="18"/>
          <w:szCs w:val="18"/>
          <w:color w:val="auto"/>
        </w:rPr>
        <w:t>”: any Eligible Market, or any national securities exchange, market or trading or quotation facility on which the common stock of the Parent is then listed or quoted.</w:t>
      </w:r>
    </w:p>
    <w:p>
      <w:pPr>
        <w:spacing w:after="0" w:line="17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Prior Debt</w:t>
      </w:r>
      <w:r>
        <w:rPr>
          <w:rFonts w:ascii="Arial" w:cs="Arial" w:eastAsia="Arial" w:hAnsi="Arial"/>
          <w:sz w:val="16"/>
          <w:szCs w:val="16"/>
          <w:color w:val="auto"/>
        </w:rPr>
        <w:t>”: all Indebtedness and other obligations of Borrower (or any of them) owing to (i) Horizon Technology Finance Corporation under that certain Venture Loan and Security Agreement, originally dated as of March 5, 2021, and (ii) to Lago Innovation Fund, LLC and Lago Innovation Fund II, LLC under that certain Venture Loan and Security Agreement, dated as of March 11, 2022, in each case as it may have been amended from time to time.</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Protective Advance</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2.6(f)</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Purchase Money Security Interest</w:t>
      </w:r>
      <w:r>
        <w:rPr>
          <w:rFonts w:ascii="Arial" w:cs="Arial" w:eastAsia="Arial" w:hAnsi="Arial"/>
          <w:sz w:val="17"/>
          <w:szCs w:val="17"/>
          <w:color w:val="auto"/>
        </w:rPr>
        <w:t xml:space="preserve">”: Liens upon tangible personal property (including the proceeds thereof) securing loans to the Loan Parties or deferred payments (including, without limitation, capitalized lease obligations under GAAP) by the Loan Parties for the purchase or capital lease of such tangible personal property;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security interest does not encumber any asset except the assets purchased (and the proceeds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such security interest does not secure obligations in excess of such purchase price or deferred payments; provided that notwithstanding anything to the contrary, “Purchase Money Security Interest” does not include Capital Leases.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Qualified Equity Interest</w:t>
      </w:r>
      <w:r>
        <w:rPr>
          <w:rFonts w:ascii="Arial" w:cs="Arial" w:eastAsia="Arial" w:hAnsi="Arial"/>
          <w:sz w:val="18"/>
          <w:szCs w:val="18"/>
          <w:color w:val="auto"/>
        </w:rPr>
        <w:t>”: any Equity Interest issued by any Loan Party that is not a Disqualified Equity Interest.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Recipient</w:t>
      </w:r>
      <w:r>
        <w:rPr>
          <w:rFonts w:ascii="Arial" w:cs="Arial" w:eastAsia="Arial" w:hAnsi="Arial"/>
          <w:sz w:val="18"/>
          <w:szCs w:val="18"/>
          <w:color w:val="auto"/>
        </w:rPr>
        <w:t>”: the Agent, any Lender or any other financial institution party hereto, or to an arrangement contemplated hereby, that is the recipient of any payment to be made by or on account of any Obligations of any Loan Party hereunder.</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Registration Rights Agreements</w:t>
      </w:r>
      <w:r>
        <w:rPr>
          <w:rFonts w:ascii="Arial" w:cs="Arial" w:eastAsia="Arial" w:hAnsi="Arial"/>
          <w:sz w:val="18"/>
          <w:szCs w:val="18"/>
          <w:color w:val="auto"/>
        </w:rPr>
        <w:t>”: individually and collectively the Closing Date Registration Rights Agreement and the First Amendment Registration Rights Agreement.</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20" w:type="dxa"/>
            <w:vAlign w:val="bottom"/>
            <w:tcBorders>
              <w:bottom w:val="single" w:sz="8" w:color="auto"/>
            </w:tcBorders>
          </w:tcPr>
          <w:p>
            <w:pPr>
              <w:jc w:val="right"/>
              <w:ind w:right="5350"/>
              <w:spacing w:after="0"/>
              <w:rPr>
                <w:sz w:val="20"/>
                <w:szCs w:val="20"/>
                <w:color w:val="auto"/>
              </w:rPr>
            </w:pPr>
            <w:r>
              <w:rPr>
                <w:rFonts w:ascii="Arial" w:cs="Arial" w:eastAsia="Arial" w:hAnsi="Arial"/>
                <w:sz w:val="18"/>
                <w:szCs w:val="18"/>
                <w:color w:val="auto"/>
              </w:rPr>
              <w:t>20</w:t>
            </w:r>
          </w:p>
        </w:tc>
      </w:tr>
    </w:tbl>
    <w:p>
      <w:pPr>
        <w:sectPr>
          <w:pgSz w:w="11900" w:h="16838" w:orient="portrait"/>
          <w:cols w:equalWidth="0" w:num="1">
            <w:col w:w="11240"/>
          </w:cols>
          <w:pgMar w:left="320" w:top="908" w:right="33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Regulation T</w:t>
      </w:r>
      <w:r>
        <w:rPr>
          <w:rFonts w:ascii="Arial" w:cs="Arial" w:eastAsia="Arial" w:hAnsi="Arial"/>
          <w:sz w:val="18"/>
          <w:szCs w:val="18"/>
          <w:color w:val="auto"/>
        </w:rPr>
        <w:t>”: Regulation T of the Board, as in effect from time to time and all official rulings and interpretations thereunder or thereof.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Regulation U</w:t>
      </w:r>
      <w:r>
        <w:rPr>
          <w:rFonts w:ascii="Arial" w:cs="Arial" w:eastAsia="Arial" w:hAnsi="Arial"/>
          <w:sz w:val="18"/>
          <w:szCs w:val="18"/>
          <w:color w:val="auto"/>
        </w:rPr>
        <w:t>”: Regulation U of the Board as in effect from time to time and all official rulings and interpretations thereunder or thereof.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Regulation X</w:t>
      </w:r>
      <w:r>
        <w:rPr>
          <w:rFonts w:ascii="Arial" w:cs="Arial" w:eastAsia="Arial" w:hAnsi="Arial"/>
          <w:sz w:val="17"/>
          <w:szCs w:val="17"/>
          <w:color w:val="auto"/>
        </w:rPr>
        <w:t>”: Regulation X of the Board, as in effect from time to time and all official rulings and interpretations thereunder or thereof.</w:t>
      </w:r>
    </w:p>
    <w:p>
      <w:pPr>
        <w:spacing w:after="0" w:line="23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Related Parties</w:t>
      </w:r>
      <w:r>
        <w:rPr>
          <w:rFonts w:ascii="Arial" w:cs="Arial" w:eastAsia="Arial" w:hAnsi="Arial"/>
          <w:sz w:val="18"/>
          <w:szCs w:val="18"/>
          <w:color w:val="auto"/>
        </w:rPr>
        <w:t>”: with respect to any Person, such Person’s Affiliates and the members, partners, directors, officers, trustees, managers, representatives, attorneys, equity owners, professional consultants, portfolio management services, employees, agents and advisors of such Person and of such Person’s Affiliates.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Reportable Event</w:t>
      </w:r>
      <w:r>
        <w:rPr>
          <w:rFonts w:ascii="Arial" w:cs="Arial" w:eastAsia="Arial" w:hAnsi="Arial"/>
          <w:sz w:val="16"/>
          <w:szCs w:val="16"/>
          <w:color w:val="auto"/>
        </w:rPr>
        <w:t>”: any of the events set forth in Section 4043(c) of ERISA, other than events for which the thirty-day notice period has been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waived.</w:t>
      </w:r>
    </w:p>
    <w:p>
      <w:pPr>
        <w:spacing w:after="0" w:line="2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Required Lenders</w:t>
      </w:r>
      <w:r>
        <w:rPr>
          <w:rFonts w:ascii="Arial" w:cs="Arial" w:eastAsia="Arial" w:hAnsi="Arial"/>
          <w:sz w:val="18"/>
          <w:szCs w:val="18"/>
          <w:color w:val="auto"/>
        </w:rPr>
        <w:t xml:space="preserve">”: Lenders having more than 50% of the aggregate outstanding amount of the Term Loan on such date of determination </w:t>
      </w:r>
      <w:r>
        <w:rPr>
          <w:rFonts w:ascii="Arial" w:cs="Arial" w:eastAsia="Arial" w:hAnsi="Arial"/>
          <w:sz w:val="18"/>
          <w:szCs w:val="18"/>
          <w:u w:val="single" w:color="auto"/>
          <w:color w:val="auto"/>
        </w:rPr>
        <w:t>provided</w:t>
      </w:r>
      <w:r>
        <w:rPr>
          <w:rFonts w:ascii="Arial" w:cs="Arial" w:eastAsia="Arial" w:hAnsi="Arial"/>
          <w:sz w:val="18"/>
          <w:szCs w:val="18"/>
          <w:color w:val="auto"/>
        </w:rPr>
        <w:t>, that for so long as Metropolitan holds any Term Loan, Required Lenders shall include Metropolitan.</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Requirement of Law</w:t>
      </w:r>
      <w:r>
        <w:rPr>
          <w:rFonts w:ascii="Arial" w:cs="Arial" w:eastAsia="Arial" w:hAnsi="Arial"/>
          <w:sz w:val="18"/>
          <w:szCs w:val="18"/>
          <w:color w:val="auto"/>
        </w:rPr>
        <w:t>”: as to any Person, the Operating Documents of such Person, and any Law, treaty, rule or regulation or determination of an arbitrator or a court or other Governmental Authority, in each case applicable to or binding upon such Person or any of its property or to which such Person or any of its property is subject.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Responsible Officer</w:t>
      </w:r>
      <w:r>
        <w:rPr>
          <w:rFonts w:ascii="Arial" w:cs="Arial" w:eastAsia="Arial" w:hAnsi="Arial"/>
          <w:sz w:val="18"/>
          <w:szCs w:val="18"/>
          <w:color w:val="auto"/>
        </w:rPr>
        <w:t>”: the chief executive officer or the chief financial officer of the applicable Loan Party.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Payments</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6.5</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Sanctions</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3.23</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w:t>
      </w:r>
      <w:r>
        <w:rPr>
          <w:rFonts w:ascii="Arial" w:cs="Arial" w:eastAsia="Arial" w:hAnsi="Arial"/>
          <w:sz w:val="18"/>
          <w:szCs w:val="18"/>
          <w:color w:val="auto"/>
        </w:rPr>
        <w:t>”: the United States Securities and Exchange Commission and any successor thereto.</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Second Amendment</w:t>
      </w:r>
      <w:r>
        <w:rPr>
          <w:rFonts w:ascii="Arial" w:cs="Arial" w:eastAsia="Arial" w:hAnsi="Arial"/>
          <w:sz w:val="18"/>
          <w:szCs w:val="18"/>
          <w:color w:val="auto"/>
        </w:rPr>
        <w:t>”: that certain Second Amendment to Credit Agreement dated as of May 22, 2023, by and among the Borrower, the Parent, the Lenders and the Agent.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Second Amendment Effective Date</w:t>
      </w:r>
      <w:r>
        <w:rPr>
          <w:rFonts w:ascii="Arial" w:cs="Arial" w:eastAsia="Arial" w:hAnsi="Arial"/>
          <w:sz w:val="18"/>
          <w:szCs w:val="18"/>
          <w:color w:val="auto"/>
        </w:rPr>
        <w:t>”: May 25, 2023.</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Second Amendment Warrants</w:t>
      </w:r>
      <w:r>
        <w:rPr>
          <w:rFonts w:ascii="Arial" w:cs="Arial" w:eastAsia="Arial" w:hAnsi="Arial"/>
          <w:sz w:val="18"/>
          <w:szCs w:val="18"/>
          <w:color w:val="auto"/>
        </w:rPr>
        <w:t>”: those certain warrants to purchase 2,000,000 shares of Parent Common Stock at a purchase price of $0.01 per share, issued by Parent pursuant to the Fee Letter to the Lenders on the Second Amendment Effective Date, as may be amended, restated, supplemented or otherwise modified from time to time.</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the Securities Act of 1933, as amended, or any similar federal statute, and the rules and regulations thereunder as the same shall be in effect at the time.</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20" w:type="dxa"/>
            <w:vAlign w:val="bottom"/>
            <w:tcBorders>
              <w:bottom w:val="single" w:sz="8" w:color="auto"/>
            </w:tcBorders>
          </w:tcPr>
          <w:p>
            <w:pPr>
              <w:jc w:val="right"/>
              <w:ind w:right="5350"/>
              <w:spacing w:after="0"/>
              <w:rPr>
                <w:sz w:val="20"/>
                <w:szCs w:val="20"/>
                <w:color w:val="auto"/>
              </w:rPr>
            </w:pPr>
            <w:r>
              <w:rPr>
                <w:rFonts w:ascii="Arial" w:cs="Arial" w:eastAsia="Arial" w:hAnsi="Arial"/>
                <w:sz w:val="18"/>
                <w:szCs w:val="18"/>
                <w:color w:val="auto"/>
              </w:rPr>
              <w:t>21</w:t>
            </w:r>
          </w:p>
        </w:tc>
      </w:tr>
    </w:tbl>
    <w:p>
      <w:pPr>
        <w:sectPr>
          <w:pgSz w:w="11900" w:h="16838" w:orient="portrait"/>
          <w:cols w:equalWidth="0" w:num="1">
            <w:col w:w="11240"/>
          </w:cols>
          <w:pgMar w:left="320" w:top="908" w:right="339" w:bottom="1440" w:gutter="0" w:footer="0" w:header="0"/>
        </w:sectPr>
      </w:pPr>
    </w:p>
    <w:bookmarkStart w:id="98" w:name="page99"/>
    <w:bookmarkEnd w:id="98"/>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Accounts</w:t>
      </w:r>
      <w:r>
        <w:rPr>
          <w:rFonts w:ascii="Arial" w:cs="Arial" w:eastAsia="Arial" w:hAnsi="Arial"/>
          <w:sz w:val="18"/>
          <w:szCs w:val="18"/>
          <w:color w:val="auto"/>
        </w:rPr>
        <w:t>”: all “securities accounts” as defined in Article 8 of the UCC.</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Security Agreement</w:t>
      </w:r>
      <w:r>
        <w:rPr>
          <w:rFonts w:ascii="Arial" w:cs="Arial" w:eastAsia="Arial" w:hAnsi="Arial"/>
          <w:sz w:val="18"/>
          <w:szCs w:val="18"/>
          <w:color w:val="auto"/>
        </w:rPr>
        <w:t>”: that certain Guarantee and Collateral Agreement, dated as of the date hereof, by and among the Borrower, the other Loan Parties, and Agent, as may be amended, restated, supplemented or otherwise modified from time to time.</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Security Documents</w:t>
      </w:r>
      <w:r>
        <w:rPr>
          <w:rFonts w:ascii="Arial" w:cs="Arial" w:eastAsia="Arial" w:hAnsi="Arial"/>
          <w:sz w:val="17"/>
          <w:szCs w:val="17"/>
          <w:color w:val="auto"/>
        </w:rPr>
        <w:t>”: the collective reference to the Security Agreement, any Control Agreement, any Collateral Access Agreement and all other security documents hereafter delivered to Agent granting a Lien on any property of any Person to secure the Obligations of any Loan Party arising under any Loan Document, and all financing statements, fixtures filings, patent, trademark and copyright filings, assignments, acknowledgments and other filings, documents and agreements made or delivered pursuant to any of the foregoing.</w:t>
      </w:r>
    </w:p>
    <w:p>
      <w:pPr>
        <w:spacing w:after="0" w:line="17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Solvent</w:t>
      </w:r>
      <w:r>
        <w:rPr>
          <w:rFonts w:ascii="Arial" w:cs="Arial" w:eastAsia="Arial" w:hAnsi="Arial"/>
          <w:sz w:val="17"/>
          <w:szCs w:val="17"/>
          <w:color w:val="auto"/>
        </w:rPr>
        <w:t>”: when used with respect to any Person, means that, as of any date of determination, (a) the amount of the “fair value” of the assets of such Person will, as of such date, exceed the amount of all “liabilities of such Person, contingent or otherwise,” as of such date, as such quoted terms are determined in accordance with applicable federal and state Laws governing determinations of the insolvency of debtors, (b) the “present fair saleable value” of the assets of such Person will, as of such date, be greater than the amount that will be required to pay the liability of such Person on its debts as such debts become absolute and matured, as such quoted terms are determined in accordance with applicable federal and state Laws governing determinations of the insolvency of debtors, (c) such Person will not have, as of such date, an unreasonably small amount of capital with which to conduct its business, and (d) such Person will be able to pay its debts as they mature. For purposes of this definition, (i) “debt” means liability on a “claim”, and (ii) “claim” means any (x) right to payment, whether or not such a right is reduced to judgment, liquidated, unliquidated, fixed, contingent, matured, unmatured, disputed, undisputed, legal, equitable, secured or unsecured or (y) right to an equitable remedy for breach of performance if such breach gives rise to a right to payment, whether or not such right to an equitable remedy is reduced to judgment, fixed, contingent, matured or unmatured, disputed, undisputed, secured or unsecured.</w:t>
      </w:r>
    </w:p>
    <w:p>
      <w:pPr>
        <w:spacing w:after="0" w:line="18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SPAC Business Combination</w:t>
      </w:r>
      <w:r>
        <w:rPr>
          <w:rFonts w:ascii="Arial" w:cs="Arial" w:eastAsia="Arial" w:hAnsi="Arial"/>
          <w:sz w:val="17"/>
          <w:szCs w:val="17"/>
          <w:color w:val="auto"/>
        </w:rPr>
        <w:t>”: the business combination transaction contemplated by the SPAC Merger Agreement, pursuant to which (a) Ventoux Merger Sub I Inc. will merge with and into E La Carte, Inc. (the “</w:t>
      </w:r>
      <w:r>
        <w:rPr>
          <w:rFonts w:ascii="Arial" w:cs="Arial" w:eastAsia="Arial" w:hAnsi="Arial"/>
          <w:sz w:val="17"/>
          <w:szCs w:val="17"/>
          <w:b w:val="1"/>
          <w:bCs w:val="1"/>
          <w:i w:val="1"/>
          <w:iCs w:val="1"/>
          <w:color w:val="auto"/>
        </w:rPr>
        <w:t>First Merger</w:t>
      </w:r>
      <w:r>
        <w:rPr>
          <w:rFonts w:ascii="Arial" w:cs="Arial" w:eastAsia="Arial" w:hAnsi="Arial"/>
          <w:sz w:val="17"/>
          <w:szCs w:val="17"/>
          <w:color w:val="auto"/>
        </w:rPr>
        <w:t>”), with E La Carte, Inc. being the surviving entity in the First Merger and continuing (immediately following the First Merger) as a wholly-owned subsidiary of Parent (the “</w:t>
      </w:r>
      <w:r>
        <w:rPr>
          <w:rFonts w:ascii="Arial" w:cs="Arial" w:eastAsia="Arial" w:hAnsi="Arial"/>
          <w:sz w:val="17"/>
          <w:szCs w:val="17"/>
          <w:b w:val="1"/>
          <w:bCs w:val="1"/>
          <w:i w:val="1"/>
          <w:iCs w:val="1"/>
          <w:color w:val="auto"/>
        </w:rPr>
        <w:t>Surviving Corporation</w:t>
      </w:r>
      <w:r>
        <w:rPr>
          <w:rFonts w:ascii="Arial" w:cs="Arial" w:eastAsia="Arial" w:hAnsi="Arial"/>
          <w:sz w:val="17"/>
          <w:szCs w:val="17"/>
          <w:color w:val="auto"/>
        </w:rPr>
        <w:t>”) and (b) immediately following the First Merger and as part of the same overall transaction as the First Merger, the Surviving Corporation will merge with and into Presto (the “</w:t>
      </w:r>
      <w:r>
        <w:rPr>
          <w:rFonts w:ascii="Arial" w:cs="Arial" w:eastAsia="Arial" w:hAnsi="Arial"/>
          <w:sz w:val="17"/>
          <w:szCs w:val="17"/>
          <w:b w:val="1"/>
          <w:bCs w:val="1"/>
          <w:i w:val="1"/>
          <w:iCs w:val="1"/>
          <w:color w:val="auto"/>
        </w:rPr>
        <w:t>Second Merger</w:t>
      </w:r>
      <w:r>
        <w:rPr>
          <w:rFonts w:ascii="Arial" w:cs="Arial" w:eastAsia="Arial" w:hAnsi="Arial"/>
          <w:sz w:val="17"/>
          <w:szCs w:val="17"/>
          <w:color w:val="auto"/>
        </w:rPr>
        <w:t>”), with Presto being the surviving entity in the Second Merger and continuing (immediately following the Second Merger) as a wholly-owned subsidiary of Parent, at which time Parent shall be renamed “Presto Automation Inc.”.</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SPAC Merger Agreement</w:t>
      </w:r>
      <w:r>
        <w:rPr>
          <w:rFonts w:ascii="Arial" w:cs="Arial" w:eastAsia="Arial" w:hAnsi="Arial"/>
          <w:sz w:val="18"/>
          <w:szCs w:val="18"/>
          <w:color w:val="auto"/>
        </w:rPr>
        <w:t>”: that certain Agreement and Plan of Merger, dated as of November 10, 2021, among E La Carte, Inc., the Parent, Ventoux Merger Sub I Inc. and Ventoux Merger Sub II LLC, as amended on April 1, 2022 and July 25, 2022, as in effect on the date hereof or as later amended, restated, supplemented or otherwise modified with the consent of the Agent, in its Permitted Discretion.</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20" w:type="dxa"/>
            <w:vAlign w:val="bottom"/>
            <w:tcBorders>
              <w:bottom w:val="single" w:sz="8" w:color="auto"/>
            </w:tcBorders>
          </w:tcPr>
          <w:p>
            <w:pPr>
              <w:jc w:val="right"/>
              <w:ind w:right="5350"/>
              <w:spacing w:after="0"/>
              <w:rPr>
                <w:sz w:val="20"/>
                <w:szCs w:val="20"/>
                <w:color w:val="auto"/>
              </w:rPr>
            </w:pPr>
            <w:r>
              <w:rPr>
                <w:rFonts w:ascii="Arial" w:cs="Arial" w:eastAsia="Arial" w:hAnsi="Arial"/>
                <w:sz w:val="18"/>
                <w:szCs w:val="18"/>
                <w:color w:val="auto"/>
              </w:rPr>
              <w:t>22</w:t>
            </w:r>
          </w:p>
        </w:tc>
      </w:tr>
    </w:tbl>
    <w:p>
      <w:pPr>
        <w:sectPr>
          <w:pgSz w:w="11900" w:h="16838" w:orient="portrait"/>
          <w:cols w:equalWidth="0" w:num="1">
            <w:col w:w="11240"/>
          </w:cols>
          <w:pgMar w:left="320" w:top="908" w:right="339" w:bottom="1440" w:gutter="0" w:footer="0" w:header="0"/>
        </w:sectPr>
      </w:pPr>
    </w:p>
    <w:bookmarkStart w:id="99" w:name="page100"/>
    <w:bookmarkEnd w:id="99"/>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SPAC Subscription Agreement(s)</w:t>
      </w:r>
      <w:r>
        <w:rPr>
          <w:rFonts w:ascii="Arial" w:cs="Arial" w:eastAsia="Arial" w:hAnsi="Arial"/>
          <w:sz w:val="18"/>
          <w:szCs w:val="18"/>
          <w:color w:val="auto"/>
        </w:rPr>
        <w:t xml:space="preserve">”: each subscription agreement executed in connection with the SPAC Transaction for Parent Common Stock, including, without limitation, those identified on </w:t>
      </w:r>
      <w:r>
        <w:rPr>
          <w:rFonts w:ascii="Arial" w:cs="Arial" w:eastAsia="Arial" w:hAnsi="Arial"/>
          <w:sz w:val="18"/>
          <w:szCs w:val="18"/>
          <w:u w:val="single" w:color="auto"/>
          <w:color w:val="auto"/>
        </w:rPr>
        <w:t>Schedule 1.1(d)</w:t>
      </w:r>
      <w:r>
        <w:rPr>
          <w:rFonts w:ascii="Arial" w:cs="Arial" w:eastAsia="Arial" w:hAnsi="Arial"/>
          <w:sz w:val="18"/>
          <w:szCs w:val="18"/>
          <w:color w:val="auto"/>
        </w:rPr>
        <w:t>.</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SPAC Transaction</w:t>
      </w:r>
      <w:r>
        <w:rPr>
          <w:rFonts w:ascii="Arial" w:cs="Arial" w:eastAsia="Arial" w:hAnsi="Arial"/>
          <w:sz w:val="18"/>
          <w:szCs w:val="18"/>
          <w:color w:val="auto"/>
        </w:rPr>
        <w:t>”: the consummation of the SPAC Business Combination, including the closing of the PIPE Transactions and all other transactions contemplated by the SPAC Merger Agreement.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Specified Locations</w:t>
      </w:r>
      <w:r>
        <w:rPr>
          <w:rFonts w:ascii="Arial" w:cs="Arial" w:eastAsia="Arial" w:hAnsi="Arial"/>
          <w:sz w:val="18"/>
          <w:szCs w:val="18"/>
          <w:color w:val="auto"/>
        </w:rPr>
        <w:t>”: means (a) 816 Hamilton St., Redwood City, CA 94063 and (b) each other location identified by Borrower to Agent from time to time hereafter and approved by Agent in its Permitted Discretion.</w:t>
      </w:r>
    </w:p>
    <w:p>
      <w:pPr>
        <w:spacing w:after="0" w:line="17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Sponsor Support Agreement</w:t>
      </w:r>
      <w:r>
        <w:rPr>
          <w:rFonts w:ascii="Arial" w:cs="Arial" w:eastAsia="Arial" w:hAnsi="Arial"/>
          <w:sz w:val="16"/>
          <w:szCs w:val="16"/>
          <w:color w:val="auto"/>
        </w:rPr>
        <w:t>”: that certain Amended and Restated Sponsor Support Agreement dated as of July 25, 2022 by and among, Parent, the Sponsors, E La Carte, Inc. and the other parties thereto, as may be amended, restated, supplemented or otherwise modified from time to time.</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Sponsors</w:t>
      </w:r>
      <w:r>
        <w:rPr>
          <w:rFonts w:ascii="Arial" w:cs="Arial" w:eastAsia="Arial" w:hAnsi="Arial"/>
          <w:sz w:val="18"/>
          <w:szCs w:val="18"/>
          <w:color w:val="auto"/>
        </w:rPr>
        <w:t>”: Ventoux Acquisition Holdings LLC and Chardan International Investments, LLC.</w:t>
      </w:r>
    </w:p>
    <w:p>
      <w:pPr>
        <w:spacing w:after="0" w:line="22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Starting Cash</w:t>
      </w:r>
      <w:r>
        <w:rPr>
          <w:rFonts w:ascii="Arial" w:cs="Arial" w:eastAsia="Arial" w:hAnsi="Arial"/>
          <w:sz w:val="18"/>
          <w:szCs w:val="18"/>
          <w:b w:val="1"/>
          <w:bCs w:val="1"/>
          <w:color w:val="auto"/>
        </w:rPr>
        <w:t xml:space="preserve">” </w:t>
      </w:r>
      <w:r>
        <w:rPr>
          <w:rFonts w:ascii="Arial" w:cs="Arial" w:eastAsia="Arial" w:hAnsi="Arial"/>
          <w:sz w:val="18"/>
          <w:szCs w:val="18"/>
          <w:color w:val="auto"/>
        </w:rPr>
        <w:t>as of any date of determination, Borrower’s cash on hand as of the day prior to the start of the applicable period,</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minus</w:t>
      </w:r>
      <w:r>
        <w:rPr>
          <w:rFonts w:ascii="Arial" w:cs="Arial" w:eastAsia="Arial" w:hAnsi="Arial"/>
          <w:sz w:val="18"/>
          <w:szCs w:val="18"/>
          <w:b w:val="1"/>
          <w:bCs w:val="1"/>
          <w:color w:val="auto"/>
        </w:rPr>
        <w:t xml:space="preserve"> </w:t>
      </w:r>
      <w:r>
        <w:rPr>
          <w:rFonts w:ascii="Arial" w:cs="Arial" w:eastAsia="Arial" w:hAnsi="Arial"/>
          <w:sz w:val="18"/>
          <w:szCs w:val="18"/>
          <w:color w:val="auto"/>
        </w:rPr>
        <w:t>all cash</w:t>
      </w:r>
      <w:r>
        <w:rPr>
          <w:rFonts w:ascii="Arial" w:cs="Arial" w:eastAsia="Arial" w:hAnsi="Arial"/>
          <w:sz w:val="18"/>
          <w:szCs w:val="18"/>
          <w:b w:val="1"/>
          <w:bCs w:val="1"/>
          <w:color w:val="auto"/>
        </w:rPr>
        <w:t xml:space="preserve"> </w:t>
      </w:r>
      <w:r>
        <w:rPr>
          <w:rFonts w:ascii="Arial" w:cs="Arial" w:eastAsia="Arial" w:hAnsi="Arial"/>
          <w:sz w:val="18"/>
          <w:szCs w:val="18"/>
          <w:color w:val="auto"/>
        </w:rPr>
        <w:t>proceeds of the issuance or incurrence of Indebtedness or Equity Interests from and after May 31, 2023 through the day prior to the start of the applicable period.</w:t>
      </w:r>
    </w:p>
    <w:p>
      <w:pPr>
        <w:spacing w:after="0" w:line="18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Stockholder Support Agreement</w:t>
      </w:r>
      <w:r>
        <w:rPr>
          <w:rFonts w:ascii="Arial" w:cs="Arial" w:eastAsia="Arial" w:hAnsi="Arial"/>
          <w:sz w:val="18"/>
          <w:szCs w:val="18"/>
          <w:color w:val="auto"/>
        </w:rPr>
        <w:t>”: that certain Amended and Restated Support Agreement dated as of July 25, 2022 by and among, Parent, E La Carte, Inc., and certain stockholders of E La Carte, Inc. party thereto.</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Subordinated Debt</w:t>
      </w:r>
      <w:r>
        <w:rPr>
          <w:rFonts w:ascii="Arial" w:cs="Arial" w:eastAsia="Arial" w:hAnsi="Arial"/>
          <w:sz w:val="18"/>
          <w:szCs w:val="18"/>
          <w:color w:val="auto"/>
        </w:rPr>
        <w:t>”: unsecured Indebtedness incurred with the prior written consent of the Agent in its sole discretion, the payment of which is subordinated as to right and time of payment and as to other rights and remedies thereunder and having such subordination and other terms as are, in each case, satisfactory to Agent in its sole discretion.</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Subsidiary</w:t>
      </w:r>
      <w:r>
        <w:rPr>
          <w:rFonts w:ascii="Arial" w:cs="Arial" w:eastAsia="Arial" w:hAnsi="Arial"/>
          <w:sz w:val="17"/>
          <w:szCs w:val="17"/>
          <w:color w:val="auto"/>
        </w:rPr>
        <w:t>”: as to any Person, a corporation, partnership, limited liability company or other entity of which shares of stock or other ownership interests having ordinary voting power (other than stock or such other ownership interests having such power only by reason of the happening of a contingency) to elect a majority of the board of directors or other managers of such corporation, partnership or other entity are at the time owned, or the management of which is otherwise controlled, directly or indirectly through one or more intermediaries, or both, by such Person.</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 Distributions</w:t>
      </w:r>
      <w:r>
        <w:rPr>
          <w:rFonts w:ascii="Arial" w:cs="Arial" w:eastAsia="Arial" w:hAnsi="Arial"/>
          <w:sz w:val="18"/>
          <w:szCs w:val="18"/>
          <w:color w:val="auto"/>
        </w:rPr>
        <w:t>”: with respect to any taxable period for which Borrower is a member of a consolidated, combined, affiliated, unitary or similar income tax group for U.S. federal and/or applicable state or local income tax purposes of which another Person is the common parent, cash distributions by Borrower in an amount not to exceed the amount of any U.S. federal, state and/or local income taxes that Borrower would have paid for such taxable period had Borrower been a stand-alone corporate taxpayer or the common parent of a consolidated, combined, affiliated, unitary or similar income tax group including its Subsidiaries.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20" w:type="dxa"/>
            <w:vAlign w:val="bottom"/>
            <w:tcBorders>
              <w:bottom w:val="single" w:sz="8" w:color="auto"/>
            </w:tcBorders>
          </w:tcPr>
          <w:p>
            <w:pPr>
              <w:jc w:val="right"/>
              <w:ind w:right="5350"/>
              <w:spacing w:after="0"/>
              <w:rPr>
                <w:sz w:val="20"/>
                <w:szCs w:val="20"/>
                <w:color w:val="auto"/>
              </w:rPr>
            </w:pPr>
            <w:r>
              <w:rPr>
                <w:rFonts w:ascii="Arial" w:cs="Arial" w:eastAsia="Arial" w:hAnsi="Arial"/>
                <w:sz w:val="18"/>
                <w:szCs w:val="18"/>
                <w:color w:val="auto"/>
              </w:rPr>
              <w:t>23</w:t>
            </w:r>
          </w:p>
        </w:tc>
      </w:tr>
    </w:tbl>
    <w:p>
      <w:pPr>
        <w:sectPr>
          <w:pgSz w:w="11900" w:h="16838" w:orient="portrait"/>
          <w:cols w:equalWidth="0" w:num="1">
            <w:col w:w="11240"/>
          </w:cols>
          <w:pgMar w:left="320" w:top="908" w:right="339" w:bottom="1440" w:gutter="0" w:footer="0" w:header="0"/>
        </w:sectPr>
      </w:pPr>
    </w:p>
    <w:bookmarkStart w:id="100" w:name="page101"/>
    <w:bookmarkEnd w:id="100"/>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Taxes</w:t>
      </w:r>
      <w:r>
        <w:rPr>
          <w:rFonts w:ascii="Arial" w:cs="Arial" w:eastAsia="Arial" w:hAnsi="Arial"/>
          <w:sz w:val="18"/>
          <w:szCs w:val="18"/>
          <w:color w:val="auto"/>
        </w:rPr>
        <w:t>”: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Term Loan</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2.1(a)(ii)</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Term Loan Commitment</w:t>
      </w:r>
      <w:r>
        <w:rPr>
          <w:rFonts w:ascii="Arial" w:cs="Arial" w:eastAsia="Arial" w:hAnsi="Arial"/>
          <w:sz w:val="18"/>
          <w:szCs w:val="18"/>
          <w:color w:val="auto"/>
        </w:rPr>
        <w:t>”: the commitment of a Lender to make or otherwise fund Term Loans and “</w:t>
      </w:r>
      <w:r>
        <w:rPr>
          <w:rFonts w:ascii="Arial" w:cs="Arial" w:eastAsia="Arial" w:hAnsi="Arial"/>
          <w:sz w:val="18"/>
          <w:szCs w:val="18"/>
          <w:b w:val="1"/>
          <w:bCs w:val="1"/>
          <w:i w:val="1"/>
          <w:iCs w:val="1"/>
          <w:color w:val="auto"/>
        </w:rPr>
        <w:t>Term Loan Commitments</w:t>
      </w:r>
      <w:r>
        <w:rPr>
          <w:rFonts w:ascii="Arial" w:cs="Arial" w:eastAsia="Arial" w:hAnsi="Arial"/>
          <w:sz w:val="18"/>
          <w:szCs w:val="18"/>
          <w:color w:val="auto"/>
        </w:rPr>
        <w:t xml:space="preserve">” means such commitments of all Lenders to fund the Term Loans in the aggregate. The amount of each Lender’s Term Loan Commitment, if any, is set forth on </w:t>
      </w:r>
      <w:r>
        <w:rPr>
          <w:rFonts w:ascii="Arial" w:cs="Arial" w:eastAsia="Arial" w:hAnsi="Arial"/>
          <w:sz w:val="18"/>
          <w:szCs w:val="18"/>
          <w:u w:val="single" w:color="auto"/>
          <w:color w:val="auto"/>
        </w:rPr>
        <w:t>Schedule 1.1(a)</w:t>
      </w:r>
      <w:r>
        <w:rPr>
          <w:rFonts w:ascii="Arial" w:cs="Arial" w:eastAsia="Arial" w:hAnsi="Arial"/>
          <w:sz w:val="18"/>
          <w:szCs w:val="18"/>
          <w:color w:val="auto"/>
        </w:rPr>
        <w:t xml:space="preserve"> attached hereto, subject to any adjustment or reduction pursuant to the terms and conditions hereof. As of the Third Amendment Effective Date, the aggregate amount of the Term Loan Commitments in respect of (i) Initial Term Loans is $0.00 and (ii) Third Amendment Term Loans, prior to the funding of such Third Amendment Term Loans, is $3,000,000.</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Third Amendment</w:t>
      </w:r>
      <w:r>
        <w:rPr>
          <w:rFonts w:ascii="Arial" w:cs="Arial" w:eastAsia="Arial" w:hAnsi="Arial"/>
          <w:sz w:val="18"/>
          <w:szCs w:val="18"/>
          <w:color w:val="auto"/>
        </w:rPr>
        <w:t>”: that certain Third Amendment to Credit Agreement dated as of the Third Amendment Effective Date, by and among the Borrower, the Parent, the Lenders and the Agent.</w:t>
      </w:r>
    </w:p>
    <w:p>
      <w:pPr>
        <w:spacing w:after="0" w:line="16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Third Amendment Conversion Warrants</w:t>
      </w:r>
      <w:r>
        <w:rPr>
          <w:rFonts w:ascii="Arial" w:cs="Arial" w:eastAsia="Arial" w:hAnsi="Arial"/>
          <w:sz w:val="18"/>
          <w:szCs w:val="18"/>
          <w:b w:val="1"/>
          <w:bCs w:val="1"/>
          <w:color w:val="auto"/>
        </w:rPr>
        <w:t xml:space="preserve">” </w:t>
      </w:r>
      <w:r>
        <w:rPr>
          <w:rFonts w:ascii="Arial" w:cs="Arial" w:eastAsia="Arial" w:hAnsi="Arial"/>
          <w:sz w:val="18"/>
          <w:szCs w:val="18"/>
          <w:color w:val="auto"/>
        </w:rPr>
        <w:t>those certain warrants to purchase 3,000,000 shares of Parent Common Stock at a purchase price of</w:t>
      </w:r>
      <w:r>
        <w:rPr>
          <w:rFonts w:ascii="Arial" w:cs="Arial" w:eastAsia="Arial" w:hAnsi="Arial"/>
          <w:sz w:val="18"/>
          <w:szCs w:val="18"/>
          <w:b w:val="1"/>
          <w:bCs w:val="1"/>
          <w:color w:val="auto"/>
        </w:rPr>
        <w:t xml:space="preserve"> </w:t>
      </w:r>
      <w:r>
        <w:rPr>
          <w:rFonts w:ascii="Arial" w:cs="Arial" w:eastAsia="Arial" w:hAnsi="Arial"/>
          <w:sz w:val="18"/>
          <w:szCs w:val="18"/>
          <w:color w:val="auto"/>
        </w:rPr>
        <w:t>$0.01 per share, issued by Parent pursuant to the Third Amendment on the Third Amendment Effective Date, as may be amended, restated, supplemented or otherwise modified from time to time.</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Third Amendment Effective Date</w:t>
      </w:r>
      <w:r>
        <w:rPr>
          <w:rFonts w:ascii="Arial" w:cs="Arial" w:eastAsia="Arial" w:hAnsi="Arial"/>
          <w:sz w:val="18"/>
          <w:szCs w:val="18"/>
          <w:color w:val="auto"/>
        </w:rPr>
        <w:t>”: October [●], 2023.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Third Amendment Term Loan</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2.1(a)(ii)</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Third Amendment Warrants</w:t>
      </w:r>
      <w:r>
        <w:rPr>
          <w:rFonts w:ascii="Arial" w:cs="Arial" w:eastAsia="Arial" w:hAnsi="Arial"/>
          <w:sz w:val="18"/>
          <w:szCs w:val="18"/>
          <w:color w:val="auto"/>
        </w:rPr>
        <w:t>”: those certain warrants to purchase 25,000 shares of Parent Common Stock at a purchase price of $0.01 per share, issued by Parent pursuant to the Fee Letter to the Lenders on the Third Amendment Effective Date, as may be amended, restated, supplemented or otherwise modified from time to time.</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Touch Annual Platform Revenue</w:t>
      </w:r>
      <w:r>
        <w:rPr>
          <w:rFonts w:ascii="Arial" w:cs="Arial" w:eastAsia="Arial" w:hAnsi="Arial"/>
          <w:sz w:val="18"/>
          <w:szCs w:val="18"/>
          <w:color w:val="auto"/>
        </w:rPr>
        <w:t xml:space="preserve">”: for any date of determination, (a) Touch Platform Revenue for the three (3) consecutive month period ending as of such date </w:t>
      </w:r>
      <w:r>
        <w:rPr>
          <w:rFonts w:ascii="Arial" w:cs="Arial" w:eastAsia="Arial" w:hAnsi="Arial"/>
          <w:sz w:val="18"/>
          <w:szCs w:val="18"/>
          <w:u w:val="single" w:color="auto"/>
          <w:color w:val="auto"/>
        </w:rPr>
        <w:t>multiplied</w:t>
      </w:r>
      <w:r>
        <w:rPr>
          <w:rFonts w:ascii="Arial" w:cs="Arial" w:eastAsia="Arial" w:hAnsi="Arial"/>
          <w:sz w:val="18"/>
          <w:szCs w:val="18"/>
          <w:color w:val="auto"/>
        </w:rPr>
        <w:t xml:space="preserve"> by (b) four (4).</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Touch Business</w:t>
      </w:r>
      <w:r>
        <w:rPr>
          <w:rFonts w:ascii="Arial" w:cs="Arial" w:eastAsia="Arial" w:hAnsi="Arial"/>
          <w:sz w:val="18"/>
          <w:szCs w:val="18"/>
          <w:color w:val="auto"/>
        </w:rPr>
        <w:t>”: the development, marketing, sales and servicing of the Presto Smart Dining system and any other tabletop, handheld and wearable devices and related software.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Touch Business Plan</w:t>
      </w:r>
      <w:r>
        <w:rPr>
          <w:rFonts w:ascii="Arial" w:cs="Arial" w:eastAsia="Arial" w:hAnsi="Arial"/>
          <w:sz w:val="18"/>
          <w:szCs w:val="18"/>
          <w:color w:val="auto"/>
        </w:rPr>
        <w:t>”: a strategic wind-down plan with respect to the Loan Parties’ Touch Business.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Touch Platform Revenue</w:t>
      </w:r>
      <w:r>
        <w:rPr>
          <w:rFonts w:ascii="Arial" w:cs="Arial" w:eastAsia="Arial" w:hAnsi="Arial"/>
          <w:sz w:val="18"/>
          <w:szCs w:val="18"/>
          <w:color w:val="auto"/>
        </w:rPr>
        <w:t xml:space="preserve">”: platform revenue earned during any calendar month by Borrower from (a) Borrower’s sale of hardware to restaurants and (b) subscriptions for Borrower’s software products entered into by restaurants, and calculated in a manner consistent with the calculation of same on </w:t>
      </w:r>
      <w:r>
        <w:rPr>
          <w:rFonts w:ascii="Arial" w:cs="Arial" w:eastAsia="Arial" w:hAnsi="Arial"/>
          <w:sz w:val="18"/>
          <w:szCs w:val="18"/>
          <w:u w:val="single" w:color="auto"/>
          <w:color w:val="auto"/>
        </w:rPr>
        <w:t>Exhibit E</w:t>
      </w:r>
      <w:r>
        <w:rPr>
          <w:rFonts w:ascii="Arial" w:cs="Arial" w:eastAsia="Arial" w:hAnsi="Arial"/>
          <w:sz w:val="18"/>
          <w:szCs w:val="18"/>
          <w:color w:val="auto"/>
        </w:rPr>
        <w:t>.</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20" w:type="dxa"/>
            <w:vAlign w:val="bottom"/>
            <w:tcBorders>
              <w:bottom w:val="single" w:sz="8" w:color="auto"/>
            </w:tcBorders>
          </w:tcPr>
          <w:p>
            <w:pPr>
              <w:jc w:val="right"/>
              <w:ind w:right="5350"/>
              <w:spacing w:after="0"/>
              <w:rPr>
                <w:sz w:val="20"/>
                <w:szCs w:val="20"/>
                <w:color w:val="auto"/>
              </w:rPr>
            </w:pPr>
            <w:r>
              <w:rPr>
                <w:rFonts w:ascii="Arial" w:cs="Arial" w:eastAsia="Arial" w:hAnsi="Arial"/>
                <w:sz w:val="18"/>
                <w:szCs w:val="18"/>
                <w:color w:val="auto"/>
              </w:rPr>
              <w:t>24</w:t>
            </w:r>
          </w:p>
        </w:tc>
      </w:tr>
    </w:tbl>
    <w:p>
      <w:pPr>
        <w:sectPr>
          <w:pgSz w:w="11900" w:h="16838" w:orient="portrait"/>
          <w:cols w:equalWidth="0" w:num="1">
            <w:col w:w="11240"/>
          </w:cols>
          <w:pgMar w:left="320" w:top="908" w:right="339" w:bottom="1440" w:gutter="0" w:footer="0" w:header="0"/>
        </w:sectPr>
      </w:pPr>
    </w:p>
    <w:bookmarkStart w:id="101" w:name="page102"/>
    <w:bookmarkEnd w:id="101"/>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UCC</w:t>
      </w:r>
      <w:r>
        <w:rPr>
          <w:rFonts w:ascii="Arial" w:cs="Arial" w:eastAsia="Arial" w:hAnsi="Arial"/>
          <w:sz w:val="18"/>
          <w:szCs w:val="18"/>
          <w:color w:val="auto"/>
        </w:rPr>
        <w:t>”: the Uniform Commercial Code (or any similar or equivalent legislation) as in effect from time to time in the State of New York, or as the context may require, any other applicable jurisdiction.</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Unrestricted Cash</w:t>
      </w:r>
      <w:r>
        <w:rPr>
          <w:rFonts w:ascii="Arial" w:cs="Arial" w:eastAsia="Arial" w:hAnsi="Arial"/>
          <w:sz w:val="17"/>
          <w:szCs w:val="17"/>
          <w:color w:val="auto"/>
        </w:rPr>
        <w:t xml:space="preserve">”: as of any date of determination, the sum of (i) all unrestricted balance sheet cash of the Borrower that is on deposit in any Deposit Account that is, subject to </w:t>
      </w:r>
      <w:r>
        <w:rPr>
          <w:rFonts w:ascii="Arial" w:cs="Arial" w:eastAsia="Arial" w:hAnsi="Arial"/>
          <w:sz w:val="17"/>
          <w:szCs w:val="17"/>
          <w:u w:val="single" w:color="auto"/>
          <w:color w:val="auto"/>
        </w:rPr>
        <w:t>Section 5.13(b)</w:t>
      </w:r>
      <w:r>
        <w:rPr>
          <w:rFonts w:ascii="Arial" w:cs="Arial" w:eastAsia="Arial" w:hAnsi="Arial"/>
          <w:sz w:val="17"/>
          <w:szCs w:val="17"/>
          <w:color w:val="auto"/>
        </w:rPr>
        <w:t xml:space="preserve">, subject to a Control Agreement in favor of the Agent, and (ii) all unrestricted Cash Equivalents of the Borrower held in a Securities Account that is, subject to </w:t>
      </w:r>
      <w:r>
        <w:rPr>
          <w:rFonts w:ascii="Arial" w:cs="Arial" w:eastAsia="Arial" w:hAnsi="Arial"/>
          <w:sz w:val="17"/>
          <w:szCs w:val="17"/>
          <w:u w:val="single" w:color="auto"/>
          <w:color w:val="auto"/>
        </w:rPr>
        <w:t>Section 5.13(b)</w:t>
      </w:r>
      <w:r>
        <w:rPr>
          <w:rFonts w:ascii="Arial" w:cs="Arial" w:eastAsia="Arial" w:hAnsi="Arial"/>
          <w:sz w:val="17"/>
          <w:szCs w:val="17"/>
          <w:color w:val="auto"/>
        </w:rPr>
        <w:t>, subject to a Control Agreement in favor of Agent.</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U.S. Person</w:t>
      </w:r>
      <w:r>
        <w:rPr>
          <w:rFonts w:ascii="Arial" w:cs="Arial" w:eastAsia="Arial" w:hAnsi="Arial"/>
          <w:sz w:val="18"/>
          <w:szCs w:val="18"/>
          <w:color w:val="auto"/>
        </w:rPr>
        <w:t>”: any Person that is a “United States Person” as defined in Section 7701(a)(30) of the Code.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Voice Annual Platform Revenue</w:t>
      </w:r>
      <w:r>
        <w:rPr>
          <w:rFonts w:ascii="Arial" w:cs="Arial" w:eastAsia="Arial" w:hAnsi="Arial"/>
          <w:sz w:val="18"/>
          <w:szCs w:val="18"/>
          <w:color w:val="auto"/>
        </w:rPr>
        <w:t xml:space="preserve">”: for any date of determination, (a) Voice Platform Revenue for the three (3) consecutive month period ending as of such date </w:t>
      </w:r>
      <w:r>
        <w:rPr>
          <w:rFonts w:ascii="Arial" w:cs="Arial" w:eastAsia="Arial" w:hAnsi="Arial"/>
          <w:sz w:val="18"/>
          <w:szCs w:val="18"/>
          <w:u w:val="single" w:color="auto"/>
          <w:color w:val="auto"/>
        </w:rPr>
        <w:t>multiplied</w:t>
      </w:r>
      <w:r>
        <w:rPr>
          <w:rFonts w:ascii="Arial" w:cs="Arial" w:eastAsia="Arial" w:hAnsi="Arial"/>
          <w:sz w:val="18"/>
          <w:szCs w:val="18"/>
          <w:color w:val="auto"/>
        </w:rPr>
        <w:t xml:space="preserve"> by (b) four (4).</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Voice Platform Revenue</w:t>
      </w:r>
      <w:r>
        <w:rPr>
          <w:rFonts w:ascii="Arial" w:cs="Arial" w:eastAsia="Arial" w:hAnsi="Arial"/>
          <w:sz w:val="18"/>
          <w:szCs w:val="18"/>
          <w:color w:val="auto"/>
        </w:rPr>
        <w:t xml:space="preserve">”: platform revenue earned during any calendar month by the Borrower from Voice Products, and calculated in a manner consistent with the calculation of same on </w:t>
      </w:r>
      <w:r>
        <w:rPr>
          <w:rFonts w:ascii="Arial" w:cs="Arial" w:eastAsia="Arial" w:hAnsi="Arial"/>
          <w:sz w:val="18"/>
          <w:szCs w:val="18"/>
          <w:u w:val="single" w:color="auto"/>
          <w:color w:val="auto"/>
        </w:rPr>
        <w:t>Exhibit E</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Voice Products</w:t>
      </w:r>
      <w:r>
        <w:rPr>
          <w:rFonts w:ascii="Arial" w:cs="Arial" w:eastAsia="Arial" w:hAnsi="Arial"/>
          <w:sz w:val="18"/>
          <w:szCs w:val="18"/>
          <w:color w:val="auto"/>
        </w:rPr>
        <w:t>”: Borrower’s speech recognition technology for use in the customer order process and otherwise determined in a manner consistent with the calculation of Voice Platform Revenue.</w:t>
      </w:r>
    </w:p>
    <w:p>
      <w:pPr>
        <w:spacing w:after="0" w:line="17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Warrant Agreement</w:t>
      </w:r>
      <w:r>
        <w:rPr>
          <w:rFonts w:ascii="Arial" w:cs="Arial" w:eastAsia="Arial" w:hAnsi="Arial"/>
          <w:sz w:val="16"/>
          <w:szCs w:val="16"/>
          <w:color w:val="auto"/>
        </w:rPr>
        <w:t>”: that certain Amended and Restated Warrant Agreement, dated as of the Closing Date, by and between Parent and Continental Stock Transfer &amp; Trust Company, as Warrant Agent in substantially the form attached as Exhibit A to the Warrant Subscription Agreement.</w:t>
      </w:r>
    </w:p>
    <w:p>
      <w:pPr>
        <w:spacing w:after="0" w:line="12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Warrant Subscription Agreement</w:t>
      </w:r>
      <w:r>
        <w:rPr>
          <w:rFonts w:ascii="Arial" w:cs="Arial" w:eastAsia="Arial" w:hAnsi="Arial"/>
          <w:sz w:val="18"/>
          <w:szCs w:val="18"/>
          <w:color w:val="auto"/>
        </w:rPr>
        <w:t>”: that certain Warrant Subscription Agreement, dated as of the Closing Date, by and between Parent and the Lenders, as may be amended, restated, supplemented or otherwise modified from time to time.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Warrants</w:t>
      </w:r>
      <w:r>
        <w:rPr>
          <w:rFonts w:ascii="Arial" w:cs="Arial" w:eastAsia="Arial" w:hAnsi="Arial"/>
          <w:sz w:val="18"/>
          <w:szCs w:val="18"/>
          <w:color w:val="auto"/>
        </w:rPr>
        <w:t>”: individually and collectively, the Closing Date Warrants, the First Amendment Warrants, Conversion Warrants, the Second Amendment Warrants, the Third Amendment Warrants and the Third Amendment Conversion Warrants, as applicable.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Withholding Agent</w:t>
      </w:r>
      <w:r>
        <w:rPr>
          <w:rFonts w:ascii="Arial" w:cs="Arial" w:eastAsia="Arial" w:hAnsi="Arial"/>
          <w:sz w:val="18"/>
          <w:szCs w:val="18"/>
          <w:color w:val="auto"/>
        </w:rPr>
        <w:t>”: any Loan Party and Agent.</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XAC Litigation</w:t>
      </w:r>
      <w:r>
        <w:rPr>
          <w:rFonts w:ascii="Arial" w:cs="Arial" w:eastAsia="Arial" w:hAnsi="Arial"/>
          <w:sz w:val="18"/>
          <w:szCs w:val="18"/>
          <w:color w:val="auto"/>
        </w:rPr>
        <w:t>”: means any litigation relating to that certain Final Award, dated June 28, 2022 in respect of SIAC Arbitration No. 099 of 2021 between E La Carte, Inc., as claimant, and XAC Taiwan, as respondent.</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20" w:type="dxa"/>
            <w:vAlign w:val="bottom"/>
            <w:tcBorders>
              <w:bottom w:val="single" w:sz="8" w:color="auto"/>
            </w:tcBorders>
          </w:tcPr>
          <w:p>
            <w:pPr>
              <w:jc w:val="right"/>
              <w:ind w:right="5350"/>
              <w:spacing w:after="0"/>
              <w:rPr>
                <w:sz w:val="20"/>
                <w:szCs w:val="20"/>
                <w:color w:val="auto"/>
              </w:rPr>
            </w:pPr>
            <w:r>
              <w:rPr>
                <w:rFonts w:ascii="Arial" w:cs="Arial" w:eastAsia="Arial" w:hAnsi="Arial"/>
                <w:sz w:val="18"/>
                <w:szCs w:val="18"/>
                <w:color w:val="auto"/>
              </w:rPr>
              <w:t>25</w:t>
            </w:r>
          </w:p>
        </w:tc>
      </w:tr>
    </w:tbl>
    <w:p>
      <w:pPr>
        <w:sectPr>
          <w:pgSz w:w="11900" w:h="16838" w:orient="portrait"/>
          <w:cols w:equalWidth="0" w:num="1">
            <w:col w:w="11240"/>
          </w:cols>
          <w:pgMar w:left="320" w:top="908" w:right="339" w:bottom="1440" w:gutter="0" w:footer="0" w:header="0"/>
        </w:sectPr>
      </w:pPr>
    </w:p>
    <w:bookmarkStart w:id="102" w:name="page103"/>
    <w:bookmarkEnd w:id="102"/>
    <w:p>
      <w:pPr>
        <w:ind w:left="660"/>
        <w:spacing w:after="0"/>
        <w:rPr>
          <w:sz w:val="20"/>
          <w:szCs w:val="20"/>
          <w:color w:val="auto"/>
        </w:rPr>
      </w:pPr>
      <w:r>
        <w:rPr>
          <w:rFonts w:ascii="Arial" w:cs="Arial" w:eastAsia="Arial" w:hAnsi="Arial"/>
          <w:sz w:val="18"/>
          <w:szCs w:val="18"/>
          <w:b w:val="1"/>
          <w:bCs w:val="1"/>
          <w:color w:val="auto"/>
        </w:rPr>
        <w:t>1.2 Other Definitional Provisions</w:t>
      </w:r>
      <w:r>
        <w:rPr>
          <w:rFonts w:ascii="Arial" w:cs="Arial" w:eastAsia="Arial" w:hAnsi="Arial"/>
          <w:sz w:val="18"/>
          <w:szCs w:val="18"/>
          <w:color w:val="auto"/>
        </w:rPr>
        <w:t>.</w:t>
      </w:r>
    </w:p>
    <w:p>
      <w:pPr>
        <w:spacing w:after="0" w:line="229" w:lineRule="exact"/>
        <w:rPr>
          <w:sz w:val="20"/>
          <w:szCs w:val="20"/>
          <w:color w:val="auto"/>
        </w:rPr>
      </w:pPr>
    </w:p>
    <w:p>
      <w:pPr>
        <w:ind w:firstLine="656"/>
        <w:spacing w:after="0" w:line="277" w:lineRule="auto"/>
        <w:tabs>
          <w:tab w:leader="none" w:pos="919" w:val="left"/>
        </w:tabs>
        <w:numPr>
          <w:ilvl w:val="0"/>
          <w:numId w:val="76"/>
        </w:numPr>
        <w:rPr>
          <w:rFonts w:ascii="Arial" w:cs="Arial" w:eastAsia="Arial" w:hAnsi="Arial"/>
          <w:sz w:val="18"/>
          <w:szCs w:val="18"/>
          <w:color w:val="auto"/>
        </w:rPr>
      </w:pPr>
      <w:r>
        <w:rPr>
          <w:rFonts w:ascii="Arial" w:cs="Arial" w:eastAsia="Arial" w:hAnsi="Arial"/>
          <w:sz w:val="18"/>
          <w:szCs w:val="18"/>
          <w:color w:val="auto"/>
        </w:rPr>
        <w:t>Unless otherwise specified therein, all terms defined in this Agreement shall have the defined meanings when used in the other Loan Documents or any certificate or other document made or delivered pursuant hereto or thereto.</w:t>
      </w:r>
    </w:p>
    <w:p>
      <w:pPr>
        <w:spacing w:after="0" w:line="170" w:lineRule="exact"/>
        <w:rPr>
          <w:rFonts w:ascii="Arial" w:cs="Arial" w:eastAsia="Arial" w:hAnsi="Arial"/>
          <w:sz w:val="18"/>
          <w:szCs w:val="18"/>
          <w:color w:val="auto"/>
        </w:rPr>
      </w:pPr>
    </w:p>
    <w:p>
      <w:pPr>
        <w:jc w:val="both"/>
        <w:ind w:firstLine="656"/>
        <w:spacing w:after="0" w:line="287" w:lineRule="auto"/>
        <w:tabs>
          <w:tab w:leader="none" w:pos="917" w:val="left"/>
        </w:tabs>
        <w:numPr>
          <w:ilvl w:val="0"/>
          <w:numId w:val="76"/>
        </w:numPr>
        <w:rPr>
          <w:rFonts w:ascii="Arial" w:cs="Arial" w:eastAsia="Arial" w:hAnsi="Arial"/>
          <w:sz w:val="16"/>
          <w:szCs w:val="16"/>
          <w:color w:val="auto"/>
        </w:rPr>
      </w:pPr>
      <w:r>
        <w:rPr>
          <w:rFonts w:ascii="Arial" w:cs="Arial" w:eastAsia="Arial" w:hAnsi="Arial"/>
          <w:sz w:val="16"/>
          <w:szCs w:val="16"/>
          <w:color w:val="auto"/>
        </w:rPr>
        <w:t xml:space="preserve">As used herein and in the other Loan Documents, and in any certificate or other document made or delivered pursuant hereto or thereto, (i) accounting terms relating to the Loan Parties not defined in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and accounting terms partly defined in </w:t>
      </w:r>
      <w:r>
        <w:rPr>
          <w:rFonts w:ascii="Arial" w:cs="Arial" w:eastAsia="Arial" w:hAnsi="Arial"/>
          <w:sz w:val="16"/>
          <w:szCs w:val="16"/>
          <w:u w:val="single" w:color="auto"/>
          <w:color w:val="auto"/>
        </w:rPr>
        <w:t>Section 1.1</w:t>
      </w:r>
      <w:r>
        <w:rPr>
          <w:rFonts w:ascii="Arial" w:cs="Arial" w:eastAsia="Arial" w:hAnsi="Arial"/>
          <w:sz w:val="16"/>
          <w:szCs w:val="16"/>
          <w:color w:val="auto"/>
        </w:rPr>
        <w:t>, to the extent not defined, shall have the respective meanings given to them under GAAP, (ii) the words “include,” “includes” and “including” shall be deemed to be followed by the phrase “without limitation,” (iii) the word “incur” shall be construed to mean incur, create, issue, assume, become liable in respect of or suffer to exist (and the words “incurred” and “incurrence” shall have correlative meanings), (iv) the words “asset” and “property” shall be construed to have the same meaning and effect and to refer to any and all tangible and intangible assets and properties, including cash, Equity Interests, securities, revenues, accounts, leasehold interests and contract rights, (v) any Default or Event of Default is deemed continuing until waived in writing by Agent or the Required Lenders, (vi) references to agreements (including this Agreement) or other Contractual Obligations, or any Law or regulation, shall, unless otherwise specified, be deemed to refer to such agreements or Contractual Obligations, or Law or regulation, as applicable, as amended, supplemented, restated, amended and restated or otherwise modified from time to time and (vii) all capitalized terms used which are not specifically defined shall have the meanings provided in Article 9 of the UCC in effect on the date hereof to the extent the same are used or defined therein. All references to the principal amount of the Term Loan shall include accrued and capitalized PIK Interest, unless expressly stated otherwise.</w:t>
      </w:r>
    </w:p>
    <w:p>
      <w:pPr>
        <w:spacing w:after="0" w:line="167" w:lineRule="exact"/>
        <w:rPr>
          <w:rFonts w:ascii="Arial" w:cs="Arial" w:eastAsia="Arial" w:hAnsi="Arial"/>
          <w:sz w:val="16"/>
          <w:szCs w:val="16"/>
          <w:color w:val="auto"/>
        </w:rPr>
      </w:pPr>
    </w:p>
    <w:p>
      <w:pPr>
        <w:jc w:val="both"/>
        <w:ind w:firstLine="656"/>
        <w:spacing w:after="0" w:line="253" w:lineRule="auto"/>
        <w:tabs>
          <w:tab w:leader="none" w:pos="892"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words “hereof”, “herein” and “hereunder” and words of similar import, when used in this Agreement, shall refer to this Agreement as a whole and not to any particular provision of this Agreement, and all references herein to Sections, Exhibits and Schedules shall be construed to refer to this Agreement unless otherwise specified. The word “will” shall be construed to have the same meaning and effect as the word “shall”. Unless the context requires otherwise, (i) any reference herein to any Person shall be construed to include such Person’s successors and assigns, (ii) any reference to any Law or regulation herein shall, unless otherwise specified, refer to such Law or regulation as amended, modified or supplemented from time to time, (iii) relative to the determination of any period of time, “from” means “from and including”, “to” means “to and including”, and “through” means “through and including”, (iv) section headings herein and in each other Loan Document are included for convenience and shall not affect the interpretation of this Agreement or such Loan Document and (v) unless otherwise specified, all references herein to times of day shall constitute references to New York City time.</w:t>
      </w:r>
    </w:p>
    <w:p>
      <w:pPr>
        <w:spacing w:after="0" w:line="196" w:lineRule="exact"/>
        <w:rPr>
          <w:rFonts w:ascii="Arial" w:cs="Arial" w:eastAsia="Arial" w:hAnsi="Arial"/>
          <w:sz w:val="18"/>
          <w:szCs w:val="18"/>
          <w:color w:val="auto"/>
        </w:rPr>
      </w:pPr>
    </w:p>
    <w:p>
      <w:pPr>
        <w:ind w:firstLine="656"/>
        <w:spacing w:after="0" w:line="277" w:lineRule="auto"/>
        <w:tabs>
          <w:tab w:leader="none" w:pos="916"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meanings given to terms defined herein shall be equally applicable to both the singular and plural forms of such terms. Whenever the context may require, any pronoun shall include the corresponding masculine, feminine and neuter forms.</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20" w:type="dxa"/>
            <w:vAlign w:val="bottom"/>
            <w:tcBorders>
              <w:bottom w:val="single" w:sz="8" w:color="auto"/>
            </w:tcBorders>
          </w:tcPr>
          <w:p>
            <w:pPr>
              <w:jc w:val="right"/>
              <w:ind w:right="5350"/>
              <w:spacing w:after="0"/>
              <w:rPr>
                <w:sz w:val="20"/>
                <w:szCs w:val="20"/>
                <w:color w:val="auto"/>
              </w:rPr>
            </w:pPr>
            <w:r>
              <w:rPr>
                <w:rFonts w:ascii="Arial" w:cs="Arial" w:eastAsia="Arial" w:hAnsi="Arial"/>
                <w:sz w:val="18"/>
                <w:szCs w:val="18"/>
                <w:color w:val="auto"/>
              </w:rPr>
              <w:t>26</w:t>
            </w:r>
          </w:p>
        </w:tc>
      </w:tr>
    </w:tbl>
    <w:p>
      <w:pPr>
        <w:sectPr>
          <w:pgSz w:w="11900" w:h="16838" w:orient="portrait"/>
          <w:cols w:equalWidth="0" w:num="1">
            <w:col w:w="11240"/>
          </w:cols>
          <w:pgMar w:left="320" w:top="904" w:right="339" w:bottom="1440" w:gutter="0" w:footer="0" w:header="0"/>
        </w:sectPr>
      </w:pPr>
    </w:p>
    <w:bookmarkStart w:id="103" w:name="page104"/>
    <w:bookmarkEnd w:id="103"/>
    <w:p>
      <w:pPr>
        <w:jc w:val="both"/>
        <w:ind w:firstLine="656"/>
        <w:spacing w:after="0" w:line="269" w:lineRule="auto"/>
        <w:tabs>
          <w:tab w:leader="none" w:pos="908" w:val="left"/>
        </w:tabs>
        <w:numPr>
          <w:ilvl w:val="0"/>
          <w:numId w:val="77"/>
        </w:numPr>
        <w:rPr>
          <w:rFonts w:ascii="Arial" w:cs="Arial" w:eastAsia="Arial" w:hAnsi="Arial"/>
          <w:sz w:val="17"/>
          <w:szCs w:val="17"/>
          <w:color w:val="auto"/>
        </w:rPr>
      </w:pPr>
      <w:r>
        <w:rPr>
          <w:rFonts w:ascii="Arial" w:cs="Arial" w:eastAsia="Arial" w:hAnsi="Arial"/>
          <w:sz w:val="17"/>
          <w:szCs w:val="17"/>
          <w:color w:val="auto"/>
        </w:rPr>
        <w:t xml:space="preserve">Except as otherwise provided in this Agreement, all computations and determinations as to accounting or financial matters and all financial statements to be delivered pursuant to this Agreement shall be made and prepared in accordance with GAAP (including principles of consolidation where appropriate), and all accounting or financial terms shall have the meanings ascribed to such terms by GAAP. Notwithstanding the foregoing, if the Borrower notifies Agent in writing that the Loan Parties wish wishes to amend any financial covenant in </w:t>
      </w:r>
      <w:r>
        <w:rPr>
          <w:rFonts w:ascii="Arial" w:cs="Arial" w:eastAsia="Arial" w:hAnsi="Arial"/>
          <w:sz w:val="17"/>
          <w:szCs w:val="17"/>
          <w:u w:val="single" w:color="auto"/>
          <w:color w:val="auto"/>
        </w:rPr>
        <w:t>Section 6.17</w:t>
      </w:r>
      <w:r>
        <w:rPr>
          <w:rFonts w:ascii="Arial" w:cs="Arial" w:eastAsia="Arial" w:hAnsi="Arial"/>
          <w:sz w:val="17"/>
          <w:szCs w:val="17"/>
          <w:color w:val="auto"/>
        </w:rPr>
        <w:t xml:space="preserve"> of this Agreement and/or any related definition to eliminate the effect of any change in GAAP occurring after the Closing Date on the operation of such covenants (or if Agent notifies the Borrower in writing that the Required Lenders wish to amend any covenant in </w:t>
      </w:r>
      <w:r>
        <w:rPr>
          <w:rFonts w:ascii="Arial" w:cs="Arial" w:eastAsia="Arial" w:hAnsi="Arial"/>
          <w:sz w:val="17"/>
          <w:szCs w:val="17"/>
          <w:u w:val="single" w:color="auto"/>
          <w:color w:val="auto"/>
        </w:rPr>
        <w:t>Section 6.17</w:t>
      </w:r>
      <w:r>
        <w:rPr>
          <w:rFonts w:ascii="Arial" w:cs="Arial" w:eastAsia="Arial" w:hAnsi="Arial"/>
          <w:sz w:val="17"/>
          <w:szCs w:val="17"/>
          <w:color w:val="auto"/>
        </w:rPr>
        <w:t xml:space="preserve"> and/or any related definition to eliminate the effect of any such change in GAAP), then Agent, the Lenders and the Borrower shall negotiate in good faith to amend such ratios or requirements to preserve the original intent thereof in light of such change in GAAP (subject to the approval of the Required Lenders);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until so amended, the Loan Parties’ compliance with such covenants and/or the definitions shall be determined on the basis of GAAP in effect immediately before the relevant change in GAAP became effective, until either such notice is withdrawn or such covenants or definitions are amended in a manner satisfactory to the Borrower, Agent and the Required Lenders, and the Loan Parties shall provide to Agent, when they deliver their financial statements pursuant to </w:t>
      </w:r>
      <w:r>
        <w:rPr>
          <w:rFonts w:ascii="Arial" w:cs="Arial" w:eastAsia="Arial" w:hAnsi="Arial"/>
          <w:sz w:val="17"/>
          <w:szCs w:val="17"/>
          <w:u w:val="single" w:color="auto"/>
          <w:color w:val="auto"/>
        </w:rPr>
        <w:t>Section 5.1</w:t>
      </w:r>
      <w:r>
        <w:rPr>
          <w:rFonts w:ascii="Arial" w:cs="Arial" w:eastAsia="Arial" w:hAnsi="Arial"/>
          <w:sz w:val="17"/>
          <w:szCs w:val="17"/>
          <w:color w:val="auto"/>
        </w:rPr>
        <w:t xml:space="preserve"> of this Agreement, such reconciliation statements as shall be reasonably requested by Agent.</w:t>
      </w:r>
    </w:p>
    <w:p>
      <w:pPr>
        <w:spacing w:after="0" w:line="178" w:lineRule="exact"/>
        <w:rPr>
          <w:rFonts w:ascii="Arial" w:cs="Arial" w:eastAsia="Arial" w:hAnsi="Arial"/>
          <w:sz w:val="17"/>
          <w:szCs w:val="17"/>
          <w:color w:val="auto"/>
        </w:rPr>
      </w:pPr>
    </w:p>
    <w:p>
      <w:pPr>
        <w:jc w:val="both"/>
        <w:ind w:firstLine="656"/>
        <w:spacing w:after="0" w:line="259" w:lineRule="auto"/>
        <w:tabs>
          <w:tab w:leader="none" w:pos="873" w:val="left"/>
        </w:tabs>
        <w:numPr>
          <w:ilvl w:val="0"/>
          <w:numId w:val="77"/>
        </w:numPr>
        <w:rPr>
          <w:rFonts w:ascii="Arial" w:cs="Arial" w:eastAsia="Arial" w:hAnsi="Arial"/>
          <w:sz w:val="18"/>
          <w:szCs w:val="18"/>
          <w:color w:val="auto"/>
        </w:rPr>
      </w:pPr>
      <w:r>
        <w:rPr>
          <w:rFonts w:ascii="Arial" w:cs="Arial" w:eastAsia="Arial" w:hAnsi="Arial"/>
          <w:sz w:val="18"/>
          <w:szCs w:val="18"/>
          <w:color w:val="auto"/>
        </w:rPr>
        <w:t>For all purposes under the Loan Documents, in connection with any Division/Series Transaction: (i) if any asset, right, obligation or liability of any Person becomes the asset, right, obligation or liability of a different Person, then it shall be deemed to have been transferred from the original Person to the subsequent Person, and (ii) if any new Person comes into existence, such new Person shall be deemed to have been organized on the first date of its existence by the holders of its Equity Interests at such time</w:t>
      </w:r>
    </w:p>
    <w:p>
      <w:pPr>
        <w:spacing w:after="0" w:line="186" w:lineRule="exact"/>
        <w:rPr>
          <w:rFonts w:ascii="Arial" w:cs="Arial" w:eastAsia="Arial" w:hAnsi="Arial"/>
          <w:sz w:val="18"/>
          <w:szCs w:val="18"/>
          <w:color w:val="auto"/>
        </w:rPr>
      </w:pPr>
    </w:p>
    <w:p>
      <w:pPr>
        <w:jc w:val="both"/>
        <w:ind w:firstLine="656"/>
        <w:spacing w:after="0" w:line="255" w:lineRule="auto"/>
        <w:tabs>
          <w:tab w:leader="none" w:pos="930" w:val="left"/>
        </w:tabs>
        <w:numPr>
          <w:ilvl w:val="0"/>
          <w:numId w:val="77"/>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contained in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or in the definition of “Capital Lease,” any provision related to the accounting for leases pursuant to GAAP reflecting the adoption of Financial Accounting Standards Board Accounting Standards Update No. 2016-02, Leases (Topic 842) (“FAS 842”), to the extent such provisions require or would require treating any lease (or similar arrangement conveying the right to use) as a capital lease where such lease (or similar arrangement) would not have been required to be so treated under GAAP prior to the adoption thereof, such lease shall not be considered a capital lease, and all calculations and deliverables under this Agreement or any other Loan Document shall be made or delivered, as applicable, in accordance therewith.</w:t>
      </w:r>
    </w:p>
    <w:p>
      <w:pPr>
        <w:spacing w:after="0" w:line="192" w:lineRule="exact"/>
        <w:rPr>
          <w:rFonts w:ascii="Arial" w:cs="Arial" w:eastAsia="Arial" w:hAnsi="Arial"/>
          <w:sz w:val="18"/>
          <w:szCs w:val="18"/>
          <w:color w:val="auto"/>
        </w:rPr>
      </w:pPr>
    </w:p>
    <w:p>
      <w:pPr>
        <w:jc w:val="both"/>
        <w:ind w:firstLine="656"/>
        <w:spacing w:after="0" w:line="291" w:lineRule="auto"/>
        <w:tabs>
          <w:tab w:leader="none" w:pos="916" w:val="left"/>
        </w:tabs>
        <w:numPr>
          <w:ilvl w:val="0"/>
          <w:numId w:val="77"/>
        </w:numPr>
        <w:rPr>
          <w:rFonts w:ascii="Arial" w:cs="Arial" w:eastAsia="Arial" w:hAnsi="Arial"/>
          <w:sz w:val="16"/>
          <w:szCs w:val="16"/>
          <w:color w:val="auto"/>
        </w:rPr>
      </w:pPr>
      <w:r>
        <w:rPr>
          <w:rFonts w:ascii="Arial" w:cs="Arial" w:eastAsia="Arial" w:hAnsi="Arial"/>
          <w:sz w:val="16"/>
          <w:szCs w:val="16"/>
          <w:color w:val="auto"/>
        </w:rPr>
        <w:t>Notwithstanding any other provision contained herein, all terms of an accounting or financial nature used herein shall be construed, and all computations of amounts and ratios referred to herein shall be made (i) without giving effect to any election under Financial Accounting Standards Board Accounting Standards Codification 825 10 25 (or any other Accounting Standards Codification or Financial Accounting Standard having a similar result or effect) to value any Indebtedness or other liabilities of any Loan Party or any Subsidiary at “fair value”, as defined therein and (ii) without giving effect to any treatment of Indebtedness under Financial Accounting Standards Board Accounting Standards Codification 470 20 or 2015-03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20" w:type="dxa"/>
            <w:vAlign w:val="bottom"/>
            <w:tcBorders>
              <w:bottom w:val="single" w:sz="8" w:color="auto"/>
            </w:tcBorders>
          </w:tcPr>
          <w:p>
            <w:pPr>
              <w:jc w:val="right"/>
              <w:ind w:right="5350"/>
              <w:spacing w:after="0"/>
              <w:rPr>
                <w:sz w:val="20"/>
                <w:szCs w:val="20"/>
                <w:color w:val="auto"/>
              </w:rPr>
            </w:pPr>
            <w:r>
              <w:rPr>
                <w:rFonts w:ascii="Arial" w:cs="Arial" w:eastAsia="Arial" w:hAnsi="Arial"/>
                <w:sz w:val="18"/>
                <w:szCs w:val="18"/>
                <w:color w:val="auto"/>
              </w:rPr>
              <w:t>27</w:t>
            </w:r>
          </w:p>
        </w:tc>
      </w:tr>
    </w:tbl>
    <w:p>
      <w:pPr>
        <w:sectPr>
          <w:pgSz w:w="11900" w:h="16838" w:orient="portrait"/>
          <w:cols w:equalWidth="0" w:num="1">
            <w:col w:w="11240"/>
          </w:cols>
          <w:pgMar w:left="320" w:top="908" w:right="3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color w:val="auto"/>
        </w:rPr>
        <w:t>SECTION 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 AND TERMS OF COMMITMENTS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2.1 Commitments; Repayment</w:t>
      </w:r>
      <w:r>
        <w:rPr>
          <w:rFonts w:ascii="Arial" w:cs="Arial" w:eastAsia="Arial" w:hAnsi="Arial"/>
          <w:sz w:val="18"/>
          <w:szCs w:val="18"/>
          <w:color w:val="auto"/>
        </w:rPr>
        <w:t>.</w:t>
      </w:r>
    </w:p>
    <w:p>
      <w:pPr>
        <w:spacing w:after="0" w:line="229" w:lineRule="exact"/>
        <w:rPr>
          <w:sz w:val="20"/>
          <w:szCs w:val="20"/>
          <w:color w:val="auto"/>
        </w:rPr>
      </w:pPr>
    </w:p>
    <w:p>
      <w:pPr>
        <w:ind w:left="900" w:hanging="244"/>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Term Loan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firstLine="644"/>
        <w:spacing w:after="0" w:line="263" w:lineRule="auto"/>
        <w:tabs>
          <w:tab w:leader="none" w:pos="1523" w:val="left"/>
        </w:tabs>
        <w:numPr>
          <w:ilvl w:val="1"/>
          <w:numId w:val="78"/>
        </w:numPr>
        <w:rPr>
          <w:rFonts w:ascii="Arial" w:cs="Arial" w:eastAsia="Arial" w:hAnsi="Arial"/>
          <w:sz w:val="18"/>
          <w:szCs w:val="18"/>
          <w:color w:val="auto"/>
        </w:rPr>
      </w:pPr>
      <w:r>
        <w:rPr>
          <w:rFonts w:ascii="Arial" w:cs="Arial" w:eastAsia="Arial" w:hAnsi="Arial"/>
          <w:sz w:val="18"/>
          <w:szCs w:val="18"/>
          <w:color w:val="auto"/>
        </w:rPr>
        <w:t>Subject to the terms and conditions hereof, Lenders agree to make a term loan on the Closing Date in the aggregate initial principal amount of $55,000,000 (the “</w:t>
      </w:r>
      <w:r>
        <w:rPr>
          <w:rFonts w:ascii="Arial" w:cs="Arial" w:eastAsia="Arial" w:hAnsi="Arial"/>
          <w:sz w:val="18"/>
          <w:szCs w:val="18"/>
          <w:b w:val="1"/>
          <w:bCs w:val="1"/>
          <w:i w:val="1"/>
          <w:iCs w:val="1"/>
          <w:color w:val="auto"/>
        </w:rPr>
        <w:t>Initial Term Loan</w:t>
      </w:r>
      <w:r>
        <w:rPr>
          <w:rFonts w:ascii="Arial" w:cs="Arial" w:eastAsia="Arial" w:hAnsi="Arial"/>
          <w:sz w:val="18"/>
          <w:szCs w:val="18"/>
          <w:color w:val="auto"/>
        </w:rPr>
        <w:t>”). Once repaid, no portion of the Term Loan may be re-borrowed. Upon the funding on the Closing Date, the Term Loan Commitment shall be immediately terminated and reduced to $0.</w:t>
      </w:r>
    </w:p>
    <w:p>
      <w:pPr>
        <w:spacing w:after="0" w:line="183" w:lineRule="exact"/>
        <w:rPr>
          <w:rFonts w:ascii="Arial" w:cs="Arial" w:eastAsia="Arial" w:hAnsi="Arial"/>
          <w:sz w:val="18"/>
          <w:szCs w:val="18"/>
          <w:color w:val="auto"/>
        </w:rPr>
      </w:pPr>
    </w:p>
    <w:p>
      <w:pPr>
        <w:jc w:val="both"/>
        <w:ind w:left="660" w:firstLine="644"/>
        <w:spacing w:after="0" w:line="287" w:lineRule="auto"/>
        <w:tabs>
          <w:tab w:leader="none" w:pos="1600" w:val="left"/>
        </w:tabs>
        <w:numPr>
          <w:ilvl w:val="1"/>
          <w:numId w:val="78"/>
        </w:numPr>
        <w:rPr>
          <w:rFonts w:ascii="Arial" w:cs="Arial" w:eastAsia="Arial" w:hAnsi="Arial"/>
          <w:sz w:val="16"/>
          <w:szCs w:val="16"/>
          <w:color w:val="auto"/>
        </w:rPr>
      </w:pPr>
      <w:r>
        <w:rPr>
          <w:rFonts w:ascii="Arial" w:cs="Arial" w:eastAsia="Arial" w:hAnsi="Arial"/>
          <w:sz w:val="16"/>
          <w:szCs w:val="16"/>
          <w:color w:val="auto"/>
        </w:rPr>
        <w:t>Subject to the terms and conditions hereof, Lenders agree to make a term loan on the Third Amendment Effective Date in the aggregate initial principal amount of $3,000,000 (the “</w:t>
      </w:r>
      <w:r>
        <w:rPr>
          <w:rFonts w:ascii="Arial" w:cs="Arial" w:eastAsia="Arial" w:hAnsi="Arial"/>
          <w:sz w:val="16"/>
          <w:szCs w:val="16"/>
          <w:b w:val="1"/>
          <w:bCs w:val="1"/>
          <w:i w:val="1"/>
          <w:iCs w:val="1"/>
          <w:color w:val="auto"/>
        </w:rPr>
        <w:t>Third Amendment Term Loan</w:t>
      </w:r>
      <w:r>
        <w:rPr>
          <w:rFonts w:ascii="Arial" w:cs="Arial" w:eastAsia="Arial" w:hAnsi="Arial"/>
          <w:sz w:val="16"/>
          <w:szCs w:val="16"/>
          <w:color w:val="auto"/>
        </w:rPr>
        <w:t>”, and together with the Initial Term Loan, the “</w:t>
      </w:r>
      <w:r>
        <w:rPr>
          <w:rFonts w:ascii="Arial" w:cs="Arial" w:eastAsia="Arial" w:hAnsi="Arial"/>
          <w:sz w:val="16"/>
          <w:szCs w:val="16"/>
          <w:b w:val="1"/>
          <w:bCs w:val="1"/>
          <w:i w:val="1"/>
          <w:iCs w:val="1"/>
          <w:color w:val="auto"/>
        </w:rPr>
        <w:t>Term</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Loans</w:t>
      </w:r>
      <w:r>
        <w:rPr>
          <w:rFonts w:ascii="Arial" w:cs="Arial" w:eastAsia="Arial" w:hAnsi="Arial"/>
          <w:sz w:val="16"/>
          <w:szCs w:val="16"/>
          <w:color w:val="auto"/>
        </w:rPr>
        <w:t>”). The Third Amendment Term Loan shall constitute a Term Loan and, except as otherwise provided for herein, the terms and provisions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applicable thereto shall be identical to those of the Initial Term Loans (including, without limitation, the Maturity Date and Interest Rate) and shall be subject to all of the terms and provisions herein and in the other Loan Documents, as modified by the Third Amendment. In addition, the Third Amendment Term Loans shall be deemed to constitute a part of the outstanding Obligations (as a portion of the outstanding Term Loans and Obligations) and shall have all of the rights, remedies, protections and collateral security afforded to the Obligations under the Loan Documents. The Loan Parties shall take any and all actions reasonably required by the Lenders to ensure and demonstrate that the Liens and security interests granted by the Loan Documents continue to be perfected under the UCC or otherwise after giving effect to the Third Amendment Term Loans. Each Lender from time to time holding all or any portion of the Third Amendment Term Loans shall be deemed to constitute a Lender for all purposes of herein and in the other Loan Documents. Once repaid, no portion of the Term Loan may be re-borrowed. Upon the funding on the Third Amendment Effective Date, the Term Loan Commitment shall be immediately terminated and reduced to $0.</w:t>
      </w:r>
    </w:p>
    <w:p>
      <w:pPr>
        <w:spacing w:after="0" w:line="167" w:lineRule="exact"/>
        <w:rPr>
          <w:rFonts w:ascii="Arial" w:cs="Arial" w:eastAsia="Arial" w:hAnsi="Arial"/>
          <w:sz w:val="16"/>
          <w:szCs w:val="16"/>
          <w:color w:val="auto"/>
        </w:rPr>
      </w:pPr>
    </w:p>
    <w:p>
      <w:pPr>
        <w:jc w:val="both"/>
        <w:ind w:firstLine="656"/>
        <w:spacing w:after="0" w:line="259" w:lineRule="auto"/>
        <w:tabs>
          <w:tab w:leader="none" w:pos="916"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Notes.</w:t>
      </w:r>
      <w:r>
        <w:rPr>
          <w:rFonts w:ascii="Arial" w:cs="Arial" w:eastAsia="Arial" w:hAnsi="Arial"/>
          <w:sz w:val="18"/>
          <w:szCs w:val="18"/>
          <w:color w:val="auto"/>
        </w:rPr>
        <w:t xml:space="preserve"> The Advances made by each Lender may, upon request by each Lender, be evidenced by a promissory note payable to the order of Agent, for the benefit of such Lender, substantially in the form of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(as amended, restated, amended and restated, supplemented or otherwise modified from time to time, a “</w:t>
      </w:r>
      <w:r>
        <w:rPr>
          <w:rFonts w:ascii="Arial" w:cs="Arial" w:eastAsia="Arial" w:hAnsi="Arial"/>
          <w:sz w:val="18"/>
          <w:szCs w:val="18"/>
          <w:b w:val="1"/>
          <w:bCs w:val="1"/>
          <w:i w:val="1"/>
          <w:iCs w:val="1"/>
          <w:color w:val="auto"/>
        </w:rPr>
        <w:t>Note</w:t>
      </w:r>
      <w:r>
        <w:rPr>
          <w:rFonts w:ascii="Arial" w:cs="Arial" w:eastAsia="Arial" w:hAnsi="Arial"/>
          <w:sz w:val="18"/>
          <w:szCs w:val="18"/>
          <w:color w:val="auto"/>
        </w:rPr>
        <w:t>”), executed by Borrower and delivered to such Lender. Each Note shall be in a stated maximum principal amount equal to such Lender’s Term Loan Commitment, as applicable.</w:t>
      </w:r>
    </w:p>
    <w:p>
      <w:pPr>
        <w:spacing w:after="0" w:line="186" w:lineRule="exact"/>
        <w:rPr>
          <w:rFonts w:ascii="Arial" w:cs="Arial" w:eastAsia="Arial" w:hAnsi="Arial"/>
          <w:sz w:val="18"/>
          <w:szCs w:val="18"/>
          <w:color w:val="auto"/>
        </w:rPr>
      </w:pPr>
    </w:p>
    <w:p>
      <w:pPr>
        <w:ind w:left="900" w:hanging="244"/>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Mandatory Repayments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firstLine="644"/>
        <w:spacing w:after="0" w:line="263" w:lineRule="auto"/>
        <w:tabs>
          <w:tab w:leader="none" w:pos="1523" w:val="left"/>
        </w:tabs>
        <w:numPr>
          <w:ilvl w:val="1"/>
          <w:numId w:val="78"/>
        </w:numPr>
        <w:rPr>
          <w:rFonts w:ascii="Arial" w:cs="Arial" w:eastAsia="Arial" w:hAnsi="Arial"/>
          <w:sz w:val="18"/>
          <w:szCs w:val="18"/>
          <w:color w:val="auto"/>
        </w:rPr>
      </w:pPr>
      <w:r>
        <w:rPr>
          <w:rFonts w:ascii="Arial" w:cs="Arial" w:eastAsia="Arial" w:hAnsi="Arial"/>
          <w:sz w:val="18"/>
          <w:szCs w:val="18"/>
          <w:color w:val="auto"/>
        </w:rPr>
        <w:t>To the extent not previously paid, the then outstanding Term Loan and all other Obligations shall be due and payable on the Maturity Date, together with all accrued and unpaid interest on such Obligations to be paid to and including the date of payment and any Make Whole Premium and other Obligations.</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20" w:type="dxa"/>
            <w:vAlign w:val="bottom"/>
            <w:tcBorders>
              <w:bottom w:val="single" w:sz="8" w:color="auto"/>
            </w:tcBorders>
          </w:tcPr>
          <w:p>
            <w:pPr>
              <w:jc w:val="right"/>
              <w:ind w:right="5350"/>
              <w:spacing w:after="0"/>
              <w:rPr>
                <w:sz w:val="20"/>
                <w:szCs w:val="20"/>
                <w:color w:val="auto"/>
              </w:rPr>
            </w:pPr>
            <w:r>
              <w:rPr>
                <w:rFonts w:ascii="Arial" w:cs="Arial" w:eastAsia="Arial" w:hAnsi="Arial"/>
                <w:sz w:val="18"/>
                <w:szCs w:val="18"/>
                <w:color w:val="auto"/>
              </w:rPr>
              <w:t>28</w:t>
            </w:r>
          </w:p>
        </w:tc>
      </w:tr>
    </w:tbl>
    <w:p>
      <w:pPr>
        <w:sectPr>
          <w:pgSz w:w="11900" w:h="16838" w:orient="portrait"/>
          <w:cols w:equalWidth="0" w:num="1">
            <w:col w:w="11240"/>
          </w:cols>
          <w:pgMar w:left="320" w:top="908" w:right="339" w:bottom="1440" w:gutter="0" w:footer="0" w:header="0"/>
        </w:sectPr>
      </w:pPr>
    </w:p>
    <w:bookmarkStart w:id="105" w:name="page106"/>
    <w:bookmarkEnd w:id="105"/>
    <w:p>
      <w:pPr>
        <w:jc w:val="both"/>
        <w:ind w:left="660" w:firstLine="644"/>
        <w:spacing w:after="0" w:line="270" w:lineRule="auto"/>
        <w:tabs>
          <w:tab w:leader="none" w:pos="1586" w:val="left"/>
        </w:tabs>
        <w:numPr>
          <w:ilvl w:val="2"/>
          <w:numId w:val="79"/>
        </w:numPr>
        <w:rPr>
          <w:rFonts w:ascii="Arial" w:cs="Arial" w:eastAsia="Arial" w:hAnsi="Arial"/>
          <w:sz w:val="17"/>
          <w:szCs w:val="17"/>
          <w:color w:val="auto"/>
        </w:rPr>
      </w:pPr>
      <w:r>
        <w:rPr>
          <w:rFonts w:ascii="Arial" w:cs="Arial" w:eastAsia="Arial" w:hAnsi="Arial"/>
          <w:sz w:val="17"/>
          <w:szCs w:val="17"/>
          <w:color w:val="auto"/>
        </w:rPr>
        <w:t>Upon receipt by Borrower of the proceeds of any Prepayment Event, Borrower shall make a prepayment of principal of the Term Loan in an amount equal to 100% of the Net Cash Proceeds of such Prepayment Event, together with any accrued interest on such amount and any Make Whole Premium payable pursuant to Section 2.1(e) in connection therewith. Notwithstanding the foregoing and provided no Event of Default has occurred and is continuing, in the case of any event of the type described in either clause (a) or (b) of the definition of the term “Prepayment Event”, such prepayment shall not be required to the extent Borrower reinvests the Net Cash Proceeds of such Prepayment Event, in assets of a kind then used or usable in the business of Borrower and in which Agent has a first-priority perfected Lien within ninety (90) days (with respect to clause (a)) and one hundred eighty (180) days (with respect to clause (b)) after the date of such Disposition or enters into a binding commitment thereof within such period and subsequently makes such reinvestment, provided until such date of reinvestment such Net Cash Proceeds are deposited into a Controlled Account over which Agent has a first-priority perfected Lien.</w:t>
      </w:r>
    </w:p>
    <w:p>
      <w:pPr>
        <w:spacing w:after="0" w:line="180" w:lineRule="exact"/>
        <w:rPr>
          <w:rFonts w:ascii="Arial" w:cs="Arial" w:eastAsia="Arial" w:hAnsi="Arial"/>
          <w:sz w:val="17"/>
          <w:szCs w:val="17"/>
          <w:color w:val="auto"/>
        </w:rPr>
      </w:pPr>
    </w:p>
    <w:p>
      <w:pPr>
        <w:jc w:val="both"/>
        <w:ind w:firstLine="656"/>
        <w:spacing w:after="0" w:line="257" w:lineRule="auto"/>
        <w:tabs>
          <w:tab w:leader="none" w:pos="916" w:val="left"/>
        </w:tabs>
        <w:numPr>
          <w:ilvl w:val="1"/>
          <w:numId w:val="80"/>
        </w:numPr>
        <w:rPr>
          <w:rFonts w:ascii="Arial" w:cs="Arial" w:eastAsia="Arial" w:hAnsi="Arial"/>
          <w:sz w:val="18"/>
          <w:szCs w:val="18"/>
          <w:color w:val="auto"/>
        </w:rPr>
      </w:pPr>
      <w:r>
        <w:rPr>
          <w:rFonts w:ascii="Arial" w:cs="Arial" w:eastAsia="Arial" w:hAnsi="Arial"/>
          <w:sz w:val="18"/>
          <w:szCs w:val="18"/>
          <w:u w:val="single" w:color="auto"/>
          <w:color w:val="auto"/>
        </w:rPr>
        <w:t>Voluntary Prepayment</w:t>
      </w:r>
      <w:r>
        <w:rPr>
          <w:rFonts w:ascii="Arial" w:cs="Arial" w:eastAsia="Arial" w:hAnsi="Arial"/>
          <w:sz w:val="18"/>
          <w:szCs w:val="18"/>
          <w:color w:val="auto"/>
        </w:rPr>
        <w:t xml:space="preserve">. With thirty (30) days’ prior written notice, Borrower may at any time voluntarily prepay, in whole or in part, the principal amount of the outstanding Term Loan,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all accrued and unpaid interest and fees with respect to the outstanding Obligations are paid simultaneously with such voluntary principal payment;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to the extent such voluntary principal payment occurs on or before the date that is eighteen (18) months following the Closing Date, such payment shall be accompanied by payment in full in cash of the Make Whole Premium on the amount of the Term Loan repaid and all other earned and unpaid fees.</w:t>
      </w:r>
    </w:p>
    <w:p>
      <w:pPr>
        <w:spacing w:after="0" w:line="183" w:lineRule="exact"/>
        <w:rPr>
          <w:rFonts w:ascii="Arial" w:cs="Arial" w:eastAsia="Arial" w:hAnsi="Arial"/>
          <w:sz w:val="18"/>
          <w:szCs w:val="18"/>
          <w:color w:val="auto"/>
        </w:rPr>
      </w:pPr>
    </w:p>
    <w:p>
      <w:pPr>
        <w:jc w:val="both"/>
        <w:ind w:firstLine="656"/>
        <w:spacing w:after="0" w:line="293" w:lineRule="auto"/>
        <w:tabs>
          <w:tab w:leader="none" w:pos="906" w:val="left"/>
        </w:tabs>
        <w:numPr>
          <w:ilvl w:val="1"/>
          <w:numId w:val="80"/>
        </w:numPr>
        <w:rPr>
          <w:rFonts w:ascii="Arial" w:cs="Arial" w:eastAsia="Arial" w:hAnsi="Arial"/>
          <w:sz w:val="16"/>
          <w:szCs w:val="16"/>
          <w:color w:val="auto"/>
        </w:rPr>
      </w:pPr>
      <w:r>
        <w:rPr>
          <w:rFonts w:ascii="Arial" w:cs="Arial" w:eastAsia="Arial" w:hAnsi="Arial"/>
          <w:sz w:val="16"/>
          <w:szCs w:val="16"/>
          <w:b w:val="1"/>
          <w:bCs w:val="1"/>
          <w:color w:val="auto"/>
        </w:rPr>
        <w:t>Make Whole Premium</w:t>
      </w:r>
      <w:r>
        <w:rPr>
          <w:rFonts w:ascii="Arial" w:cs="Arial" w:eastAsia="Arial" w:hAnsi="Arial"/>
          <w:sz w:val="16"/>
          <w:szCs w:val="16"/>
          <w:color w:val="auto"/>
        </w:rPr>
        <w:t>. To the extent any payment pursuant to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Sections 2.1(c)</w:t>
      </w:r>
      <w:r>
        <w:rPr>
          <w:rFonts w:ascii="Arial" w:cs="Arial" w:eastAsia="Arial" w:hAnsi="Arial"/>
          <w:sz w:val="16"/>
          <w:szCs w:val="16"/>
          <w:b w:val="1"/>
          <w:bCs w:val="1"/>
          <w:color w:val="auto"/>
        </w:rPr>
        <w:t xml:space="preserve"> </w:t>
      </w:r>
      <w:r>
        <w:rPr>
          <w:rFonts w:ascii="Arial" w:cs="Arial" w:eastAsia="Arial" w:hAnsi="Arial"/>
          <w:sz w:val="16"/>
          <w:szCs w:val="16"/>
          <w:color w:val="auto"/>
        </w:rPr>
        <w:t>or</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2.1(d)</w:t>
      </w:r>
      <w:r>
        <w:rPr>
          <w:rFonts w:ascii="Arial" w:cs="Arial" w:eastAsia="Arial" w:hAnsi="Arial"/>
          <w:sz w:val="16"/>
          <w:szCs w:val="16"/>
          <w:b w:val="1"/>
          <w:bCs w:val="1"/>
          <w:color w:val="auto"/>
        </w:rPr>
        <w:t xml:space="preserve"> </w:t>
      </w:r>
      <w:r>
        <w:rPr>
          <w:rFonts w:ascii="Arial" w:cs="Arial" w:eastAsia="Arial" w:hAnsi="Arial"/>
          <w:sz w:val="16"/>
          <w:szCs w:val="16"/>
          <w:color w:val="auto"/>
        </w:rPr>
        <w:t>occurs on or before the date that is eighteen (18)</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months following the Closing Date, any prepayment made (i) pursuant to </w:t>
      </w:r>
      <w:r>
        <w:rPr>
          <w:rFonts w:ascii="Arial" w:cs="Arial" w:eastAsia="Arial" w:hAnsi="Arial"/>
          <w:sz w:val="16"/>
          <w:szCs w:val="16"/>
          <w:u w:val="single" w:color="auto"/>
          <w:color w:val="auto"/>
        </w:rPr>
        <w:t>Section 2.1(c)(ii)</w:t>
      </w:r>
      <w:r>
        <w:rPr>
          <w:rFonts w:ascii="Arial" w:cs="Arial" w:eastAsia="Arial" w:hAnsi="Arial"/>
          <w:sz w:val="16"/>
          <w:szCs w:val="16"/>
          <w:color w:val="auto"/>
        </w:rPr>
        <w:t xml:space="preserve"> as a result of a Prepayment Event described in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w:t>
      </w:r>
      <w:r>
        <w:rPr>
          <w:rFonts w:ascii="Arial" w:cs="Arial" w:eastAsia="Arial" w:hAnsi="Arial"/>
          <w:sz w:val="16"/>
          <w:szCs w:val="16"/>
          <w:u w:val="single" w:color="auto"/>
          <w:color w:val="auto"/>
        </w:rPr>
        <w:t>(c)</w:t>
      </w:r>
      <w:r>
        <w:rPr>
          <w:rFonts w:ascii="Arial" w:cs="Arial" w:eastAsia="Arial" w:hAnsi="Arial"/>
          <w:sz w:val="16"/>
          <w:szCs w:val="16"/>
          <w:color w:val="auto"/>
        </w:rPr>
        <w:t>,</w:t>
      </w:r>
    </w:p>
    <w:p>
      <w:pPr>
        <w:spacing w:after="0" w:line="1" w:lineRule="exact"/>
        <w:rPr>
          <w:rFonts w:ascii="Arial" w:cs="Arial" w:eastAsia="Arial" w:hAnsi="Arial"/>
          <w:sz w:val="16"/>
          <w:szCs w:val="16"/>
          <w:color w:val="auto"/>
        </w:rPr>
      </w:pPr>
    </w:p>
    <w:p>
      <w:pPr>
        <w:jc w:val="both"/>
        <w:ind w:firstLine="8"/>
        <w:spacing w:after="0" w:line="266" w:lineRule="auto"/>
        <w:tabs>
          <w:tab w:leader="none" w:pos="255" w:val="left"/>
        </w:tabs>
        <w:numPr>
          <w:ilvl w:val="0"/>
          <w:numId w:val="81"/>
        </w:numPr>
        <w:rPr>
          <w:rFonts w:ascii="Arial" w:cs="Arial" w:eastAsia="Arial" w:hAnsi="Arial"/>
          <w:sz w:val="17"/>
          <w:szCs w:val="17"/>
          <w:u w:val="single" w:color="auto"/>
          <w:color w:val="auto"/>
        </w:rPr>
      </w:pPr>
      <w:r>
        <w:rPr>
          <w:rFonts w:ascii="Arial" w:cs="Arial" w:eastAsia="Arial" w:hAnsi="Arial"/>
          <w:sz w:val="17"/>
          <w:szCs w:val="17"/>
          <w:color w:val="auto"/>
        </w:rPr>
        <w:t xml:space="preserve">or </w:t>
      </w:r>
      <w:r>
        <w:rPr>
          <w:rFonts w:ascii="Arial" w:cs="Arial" w:eastAsia="Arial" w:hAnsi="Arial"/>
          <w:sz w:val="17"/>
          <w:szCs w:val="17"/>
          <w:u w:val="single" w:color="auto"/>
          <w:color w:val="auto"/>
        </w:rPr>
        <w:t>(e)</w:t>
      </w:r>
      <w:r>
        <w:rPr>
          <w:rFonts w:ascii="Arial" w:cs="Arial" w:eastAsia="Arial" w:hAnsi="Arial"/>
          <w:sz w:val="17"/>
          <w:szCs w:val="17"/>
          <w:color w:val="auto"/>
        </w:rPr>
        <w:t xml:space="preserve"> thereof, or </w:t>
      </w:r>
      <w:r>
        <w:rPr>
          <w:rFonts w:ascii="Arial" w:cs="Arial" w:eastAsia="Arial" w:hAnsi="Arial"/>
          <w:sz w:val="17"/>
          <w:szCs w:val="17"/>
          <w:u w:val="single" w:color="auto"/>
          <w:color w:val="auto"/>
        </w:rPr>
        <w:t>Section 2.1(d)</w:t>
      </w:r>
      <w:r>
        <w:rPr>
          <w:rFonts w:ascii="Arial" w:cs="Arial" w:eastAsia="Arial" w:hAnsi="Arial"/>
          <w:sz w:val="17"/>
          <w:szCs w:val="17"/>
          <w:color w:val="auto"/>
        </w:rPr>
        <w:t>, shall be accompanied by payment in full in cash of the Make Whole Premium. Any Make Whole Premium payable in accordance with this Agreement shall be presumed to be equal to the liquidated damages sustained by the Lenders as the result of the occurrence of any event triggering the prepayment of such Make Whole Premium and Borrower agrees that it is reasonable under the circumstances currently existing. The parties hereto acknowledge that the Make Whole Premium shall survive acceleration of the Obligations and/or the occurrence of any insolvency proceeding, and shall automatically accrue to the principal amount of the Term Loan pro rata and shall constitute part of the Obligations for all purposes herein. If the Term Loan is accelerated for any reason pursuant to the terms herein, the Make Whole Premium shall be calculated as if the date of acceleration of the Term Loan was the date of prepayment of the Term Loan. THE BORROWER EXPRESSLY WAIVES THE PROVISIONS OF ANY PRESENT OR FUTURE STATUTE OR LAW THAT PROHIBITS OR MAY PROHIBIT THE COLLECTION OF THE FOREGOING MAKE WHOLE PREMIUM IN CONNECTION WITH ANY ACCELERATION. The Borrower expressly agrees that: (A) the Make Whole Premium is reasonable and is the product of an arm’s length transaction between sophisticated business people, ably represented by counsel; (B) the Make Whole Premium shall be payable notwithstanding the then prevailing market rates at the time payment is made; (C) there has been a course of conduct between Lenders and Borrower giving specific consideration in this transaction for such agreement to pay the Make Whole Premium; (D) Borrower shall be estopped hereafter from claiming differently than as agreed to in this paragraph; (E) Borrower’s agreement to pay the Make Whole Premium is a material inducement to Lenders to extend the Term Loan; and (F) the Make Whole Premium represents a good faith, reasonable estimate and calculation of the lost profits or damages of Lenders and that it would be impractical and extremely difficult to ascertain the actual amount of damages to Lenders or profits lost by Lenders as a result of such event triggering payment of the Make Whole Premium.</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20" w:type="dxa"/>
            <w:vAlign w:val="bottom"/>
            <w:tcBorders>
              <w:bottom w:val="single" w:sz="8" w:color="auto"/>
            </w:tcBorders>
          </w:tcPr>
          <w:p>
            <w:pPr>
              <w:jc w:val="right"/>
              <w:ind w:right="5350"/>
              <w:spacing w:after="0"/>
              <w:rPr>
                <w:sz w:val="20"/>
                <w:szCs w:val="20"/>
                <w:color w:val="auto"/>
              </w:rPr>
            </w:pPr>
            <w:r>
              <w:rPr>
                <w:rFonts w:ascii="Arial" w:cs="Arial" w:eastAsia="Arial" w:hAnsi="Arial"/>
                <w:sz w:val="18"/>
                <w:szCs w:val="18"/>
                <w:color w:val="auto"/>
              </w:rPr>
              <w:t>29</w:t>
            </w:r>
          </w:p>
        </w:tc>
      </w:tr>
    </w:tbl>
    <w:p>
      <w:pPr>
        <w:sectPr>
          <w:pgSz w:w="11900" w:h="16838" w:orient="portrait"/>
          <w:cols w:equalWidth="0" w:num="1">
            <w:col w:w="11240"/>
          </w:cols>
          <w:pgMar w:left="320" w:top="908" w:right="339" w:bottom="1440" w:gutter="0" w:footer="0" w:header="0"/>
        </w:sectPr>
      </w:pPr>
    </w:p>
    <w:bookmarkStart w:id="106" w:name="page107"/>
    <w:bookmarkEnd w:id="106"/>
    <w:p>
      <w:pPr>
        <w:ind w:left="660"/>
        <w:spacing w:after="0"/>
        <w:rPr>
          <w:sz w:val="20"/>
          <w:szCs w:val="20"/>
          <w:color w:val="auto"/>
        </w:rPr>
      </w:pPr>
      <w:r>
        <w:rPr>
          <w:rFonts w:ascii="Arial" w:cs="Arial" w:eastAsia="Arial" w:hAnsi="Arial"/>
          <w:sz w:val="18"/>
          <w:szCs w:val="18"/>
          <w:b w:val="1"/>
          <w:bCs w:val="1"/>
          <w:color w:val="auto"/>
        </w:rPr>
        <w:t>2.2 Advances</w:t>
      </w:r>
      <w:r>
        <w:rPr>
          <w:rFonts w:ascii="Arial" w:cs="Arial" w:eastAsia="Arial" w:hAnsi="Arial"/>
          <w:sz w:val="18"/>
          <w:szCs w:val="18"/>
          <w:color w:val="auto"/>
        </w:rPr>
        <w:t>.</w:t>
      </w:r>
    </w:p>
    <w:p>
      <w:pPr>
        <w:spacing w:after="0" w:line="229" w:lineRule="exact"/>
        <w:rPr>
          <w:sz w:val="20"/>
          <w:szCs w:val="20"/>
          <w:color w:val="auto"/>
        </w:rPr>
      </w:pPr>
    </w:p>
    <w:p>
      <w:pPr>
        <w:jc w:val="both"/>
        <w:ind w:firstLine="656"/>
        <w:spacing w:after="0" w:line="255" w:lineRule="auto"/>
        <w:tabs>
          <w:tab w:leader="none" w:pos="892"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Procedure for Borrowing</w:t>
      </w:r>
      <w:r>
        <w:rPr>
          <w:rFonts w:ascii="Arial" w:cs="Arial" w:eastAsia="Arial" w:hAnsi="Arial"/>
          <w:sz w:val="18"/>
          <w:szCs w:val="18"/>
          <w:color w:val="auto"/>
        </w:rPr>
        <w:t xml:space="preserve">. Subject to the terms and conditions of this Agreement, Borrower may borrow the Term Loan on the Closing Date; provided, that Borrower shall give Agent a Notice of Borrowing specifying the principal amount of the requested Term Loan to be made, the requested Borrowing Date, and instructions for remittance of the proceeds of the requested Term Loan (which notice must be received by Agent prior to 11:00 am (New York City time) on the Closing Date). The Term Loan shall be in an initial principal amount equal to $55,000,000 on the Closing Date. Subject to the satisfaction or waiver of the conditions set forth in </w:t>
      </w:r>
      <w:r>
        <w:rPr>
          <w:rFonts w:ascii="Arial" w:cs="Arial" w:eastAsia="Arial" w:hAnsi="Arial"/>
          <w:sz w:val="18"/>
          <w:szCs w:val="18"/>
          <w:u w:val="single" w:color="auto"/>
          <w:color w:val="auto"/>
        </w:rPr>
        <w:t>Section 4</w:t>
      </w:r>
      <w:r>
        <w:rPr>
          <w:rFonts w:ascii="Arial" w:cs="Arial" w:eastAsia="Arial" w:hAnsi="Arial"/>
          <w:sz w:val="18"/>
          <w:szCs w:val="18"/>
          <w:color w:val="auto"/>
        </w:rPr>
        <w:t>, Lenders will fund the principal amount of the requested Advance pursuant to the wiring instructions provided in the Notice of Borrowing on the requested Borrowing Date.</w:t>
      </w:r>
    </w:p>
    <w:p>
      <w:pPr>
        <w:spacing w:after="0" w:line="192" w:lineRule="exact"/>
        <w:rPr>
          <w:rFonts w:ascii="Arial" w:cs="Arial" w:eastAsia="Arial" w:hAnsi="Arial"/>
          <w:sz w:val="18"/>
          <w:szCs w:val="18"/>
          <w:color w:val="auto"/>
        </w:rPr>
      </w:pPr>
    </w:p>
    <w:p>
      <w:pPr>
        <w:ind w:left="920" w:hanging="264"/>
        <w:spacing w:after="0"/>
        <w:tabs>
          <w:tab w:leader="none" w:pos="920"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Making of the Term Loan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firstLine="644"/>
        <w:spacing w:after="0" w:line="257" w:lineRule="auto"/>
        <w:tabs>
          <w:tab w:leader="none" w:pos="1523" w:val="left"/>
        </w:tabs>
        <w:numPr>
          <w:ilvl w:val="1"/>
          <w:numId w:val="82"/>
        </w:numPr>
        <w:rPr>
          <w:rFonts w:ascii="Arial" w:cs="Arial" w:eastAsia="Arial" w:hAnsi="Arial"/>
          <w:sz w:val="18"/>
          <w:szCs w:val="18"/>
          <w:color w:val="auto"/>
        </w:rPr>
      </w:pPr>
      <w:r>
        <w:rPr>
          <w:rFonts w:ascii="Arial" w:cs="Arial" w:eastAsia="Arial" w:hAnsi="Arial"/>
          <w:sz w:val="18"/>
          <w:szCs w:val="18"/>
          <w:color w:val="auto"/>
        </w:rPr>
        <w:t xml:space="preserve">Following receipt of a Notice of Borrowing in accordance with </w:t>
      </w:r>
      <w:r>
        <w:rPr>
          <w:rFonts w:ascii="Arial" w:cs="Arial" w:eastAsia="Arial" w:hAnsi="Arial"/>
          <w:sz w:val="18"/>
          <w:szCs w:val="18"/>
          <w:u w:val="single" w:color="auto"/>
          <w:color w:val="auto"/>
        </w:rPr>
        <w:t>Section 2.2(a)</w:t>
      </w:r>
      <w:r>
        <w:rPr>
          <w:rFonts w:ascii="Arial" w:cs="Arial" w:eastAsia="Arial" w:hAnsi="Arial"/>
          <w:sz w:val="18"/>
          <w:szCs w:val="18"/>
          <w:color w:val="auto"/>
        </w:rPr>
        <w:t xml:space="preserve">, Agent shall promptly notify each applicable Lender of the amount of its Applicable Percentage of the requested Advance. Each Lender shall make the amount of its applicable portion of the Term Loan available to Agent in immediately available funds at Agent’s office not later than 1:00 p.m. on the related Borrowing Date. Upon satisfaction of the applicable conditions set forth in </w:t>
      </w:r>
      <w:r>
        <w:rPr>
          <w:rFonts w:ascii="Arial" w:cs="Arial" w:eastAsia="Arial" w:hAnsi="Arial"/>
          <w:sz w:val="18"/>
          <w:szCs w:val="18"/>
          <w:u w:val="single" w:color="auto"/>
          <w:color w:val="auto"/>
        </w:rPr>
        <w:t>Section 4.1</w:t>
      </w:r>
      <w:r>
        <w:rPr>
          <w:rFonts w:ascii="Arial" w:cs="Arial" w:eastAsia="Arial" w:hAnsi="Arial"/>
          <w:sz w:val="18"/>
          <w:szCs w:val="18"/>
          <w:color w:val="auto"/>
        </w:rPr>
        <w:t>, Agent shall remit, or cause to be remitted, all funds so received as directed by the Borrower in the Notice of Borrowing.</w:t>
      </w:r>
    </w:p>
    <w:p>
      <w:pPr>
        <w:spacing w:after="0" w:line="187" w:lineRule="exact"/>
        <w:rPr>
          <w:rFonts w:ascii="Arial" w:cs="Arial" w:eastAsia="Arial" w:hAnsi="Arial"/>
          <w:sz w:val="18"/>
          <w:szCs w:val="18"/>
          <w:color w:val="auto"/>
        </w:rPr>
      </w:pPr>
    </w:p>
    <w:p>
      <w:pPr>
        <w:jc w:val="both"/>
        <w:ind w:left="660" w:firstLine="644"/>
        <w:spacing w:after="0" w:line="285" w:lineRule="auto"/>
        <w:tabs>
          <w:tab w:leader="none" w:pos="1577" w:val="left"/>
        </w:tabs>
        <w:numPr>
          <w:ilvl w:val="1"/>
          <w:numId w:val="82"/>
        </w:numPr>
        <w:rPr>
          <w:rFonts w:ascii="Arial" w:cs="Arial" w:eastAsia="Arial" w:hAnsi="Arial"/>
          <w:sz w:val="16"/>
          <w:szCs w:val="16"/>
          <w:color w:val="auto"/>
        </w:rPr>
      </w:pPr>
      <w:r>
        <w:rPr>
          <w:rFonts w:ascii="Arial" w:cs="Arial" w:eastAsia="Arial" w:hAnsi="Arial"/>
          <w:sz w:val="16"/>
          <w:szCs w:val="16"/>
          <w:color w:val="auto"/>
        </w:rPr>
        <w:t xml:space="preserve">Unless Agent receives notice from a Lender prior to 9:30 a.m. on the Business Day that is the requested Borrowing Date relative to a requested Advance as to which Agent has notified the Lenders of a requested Advance that such Lender will not make available as and when required hereunder to Agent for the account of Borrower the amount of that Lender’s Applicable Percentage of the Advance, Agent may assume that each Lender has made or will make such amount available to Agent in immediately available funds on the Borrowing Date and Agent may (but shall not be so required), in reliance upon such assumption, make available to Borrower a corresponding amount. If, on the requested Borrowing Date, any Lender shall not have remitted the full amount that it is required to make available to Agent in immediately available funds and if Agent has made available to Borrower such amount on the requested Borrowing Date, then such Lender shall make the amount of such Lender’s pro rata share of the requested Advance available to Agent in immediately available funds, to Agent’s designated account, no later than 10:00 a.m. on the Business Day that is the first Business Day after the requested Borrowing Date (in which case, the interest accrued on such Lender’s portion of such Advance for the Borrowing Date shall be for Agent’s separate account). If any Lender shall not remit the full amount that it is required to make available to Agent in immediately available funds as and when required hereby and if Agent has made available to Borrower such amount, then that Lender shall be obligated to immediately remit such amount to Agent, together with interest at the Interest Rate for each day until the date on which such amount is so remitted. A notice submitted by Agent to any Lender with respect to amounts owing under this </w:t>
      </w:r>
      <w:r>
        <w:rPr>
          <w:rFonts w:ascii="Arial" w:cs="Arial" w:eastAsia="Arial" w:hAnsi="Arial"/>
          <w:sz w:val="16"/>
          <w:szCs w:val="16"/>
          <w:u w:val="single" w:color="auto"/>
          <w:color w:val="auto"/>
        </w:rPr>
        <w:t>Section 2.3(b)(ii)</w:t>
      </w:r>
      <w:r>
        <w:rPr>
          <w:rFonts w:ascii="Arial" w:cs="Arial" w:eastAsia="Arial" w:hAnsi="Arial"/>
          <w:sz w:val="16"/>
          <w:szCs w:val="16"/>
          <w:color w:val="auto"/>
        </w:rPr>
        <w:t xml:space="preserve"> shall be conclusive, absent manifest error. If the amount that a Lender is required to remit is made available to Agent, then such payment to Agent shall constitute such Lender’s Advance for all purposes of this Agreement. If such amount is not made available to Agent on the Business Day following the Borrowing Date, Agent will notify Borrower of such failure to fund and, upon demand by Agent, Borrower shall pay such amount to Agent for Agent’s account, together with interest thereon for each day elapsed since the date of such borrowing, at a rate per annum equal to the interest rate applicable at the time to the Advances composing such Advance.</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20" w:type="dxa"/>
            <w:vAlign w:val="bottom"/>
            <w:tcBorders>
              <w:bottom w:val="single" w:sz="8" w:color="auto"/>
            </w:tcBorders>
          </w:tcPr>
          <w:p>
            <w:pPr>
              <w:jc w:val="right"/>
              <w:ind w:right="5350"/>
              <w:spacing w:after="0"/>
              <w:rPr>
                <w:sz w:val="20"/>
                <w:szCs w:val="20"/>
                <w:color w:val="auto"/>
              </w:rPr>
            </w:pPr>
            <w:r>
              <w:rPr>
                <w:rFonts w:ascii="Arial" w:cs="Arial" w:eastAsia="Arial" w:hAnsi="Arial"/>
                <w:sz w:val="18"/>
                <w:szCs w:val="18"/>
                <w:color w:val="auto"/>
              </w:rPr>
              <w:t>30</w:t>
            </w:r>
          </w:p>
        </w:tc>
      </w:tr>
    </w:tbl>
    <w:p>
      <w:pPr>
        <w:sectPr>
          <w:pgSz w:w="11900" w:h="16838" w:orient="portrait"/>
          <w:cols w:equalWidth="0" w:num="1">
            <w:col w:w="11240"/>
          </w:cols>
          <w:pgMar w:left="320" w:top="904" w:right="339" w:bottom="1440" w:gutter="0" w:footer="0" w:header="0"/>
        </w:sectPr>
      </w:pPr>
    </w:p>
    <w:bookmarkStart w:id="107" w:name="page108"/>
    <w:bookmarkEnd w:id="107"/>
    <w:p>
      <w:pPr>
        <w:jc w:val="both"/>
        <w:ind w:left="660" w:firstLine="644"/>
        <w:spacing w:after="0" w:line="257" w:lineRule="auto"/>
        <w:tabs>
          <w:tab w:leader="none" w:pos="1566"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Independent Obligations</w:t>
      </w:r>
      <w:r>
        <w:rPr>
          <w:rFonts w:ascii="Arial" w:cs="Arial" w:eastAsia="Arial" w:hAnsi="Arial"/>
          <w:sz w:val="18"/>
          <w:szCs w:val="18"/>
          <w:color w:val="auto"/>
        </w:rPr>
        <w:t>. All Advances shall be made by the Lenders contemporaneously and in accordance with their Applicable Percentages. It is understood that (i) no Lender shall be responsible for any failure by any other Lender to perform its obligation to make any Advance (or other extension of credit) hereunder, nor shall any Term Loan Commitment of any Lender be increased or decreased as a result of any failure by any other Lender to perform its obligations hereunder, and (ii) no failure by any Lender to perform its obligations hereunder shall excuse any other Lender from its obligations hereunder.</w:t>
      </w:r>
    </w:p>
    <w:p>
      <w:pPr>
        <w:spacing w:after="0" w:line="18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2.3 Fees</w:t>
      </w:r>
      <w:r>
        <w:rPr>
          <w:rFonts w:ascii="Arial" w:cs="Arial" w:eastAsia="Arial" w:hAnsi="Arial"/>
          <w:sz w:val="18"/>
          <w:szCs w:val="18"/>
          <w:color w:val="auto"/>
        </w:rPr>
        <w:t>. As compensation for the Term Loan Commitment and Agent’s commitment to perform its obligations hereunder, Borrower shall pay to</w:t>
      </w:r>
      <w:r>
        <w:rPr>
          <w:rFonts w:ascii="Arial" w:cs="Arial" w:eastAsia="Arial" w:hAnsi="Arial"/>
          <w:sz w:val="18"/>
          <w:szCs w:val="18"/>
          <w:b w:val="1"/>
          <w:bCs w:val="1"/>
          <w:color w:val="auto"/>
        </w:rPr>
        <w:t xml:space="preserve"> </w:t>
      </w:r>
      <w:r>
        <w:rPr>
          <w:rFonts w:ascii="Arial" w:cs="Arial" w:eastAsia="Arial" w:hAnsi="Arial"/>
          <w:sz w:val="18"/>
          <w:szCs w:val="18"/>
          <w:color w:val="auto"/>
        </w:rPr>
        <w:t>Agent for its own account or for the benefit of the Lenders, as applicable, the fees set forth in the Fee Letter, the First Amendment, the Second Amendment and the Third Amendment.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2.4 Interest Rates and Payment Dates</w:t>
      </w:r>
      <w:r>
        <w:rPr>
          <w:rFonts w:ascii="Arial" w:cs="Arial" w:eastAsia="Arial" w:hAnsi="Arial"/>
          <w:sz w:val="18"/>
          <w:szCs w:val="18"/>
          <w:color w:val="auto"/>
        </w:rPr>
        <w:t>.</w:t>
      </w:r>
    </w:p>
    <w:p>
      <w:pPr>
        <w:spacing w:after="0" w:line="229" w:lineRule="exact"/>
        <w:rPr>
          <w:sz w:val="20"/>
          <w:szCs w:val="20"/>
          <w:color w:val="auto"/>
        </w:rPr>
      </w:pPr>
    </w:p>
    <w:p>
      <w:pPr>
        <w:ind w:left="900" w:hanging="244"/>
        <w:spacing w:after="0"/>
        <w:tabs>
          <w:tab w:leader="none" w:pos="900" w:val="left"/>
        </w:tabs>
        <w:numPr>
          <w:ilvl w:val="0"/>
          <w:numId w:val="84"/>
        </w:numPr>
        <w:rPr>
          <w:rFonts w:ascii="Arial" w:cs="Arial" w:eastAsia="Arial" w:hAnsi="Arial"/>
          <w:sz w:val="17"/>
          <w:szCs w:val="17"/>
          <w:color w:val="auto"/>
        </w:rPr>
      </w:pPr>
      <w:r>
        <w:rPr>
          <w:rFonts w:ascii="Arial" w:cs="Arial" w:eastAsia="Arial" w:hAnsi="Arial"/>
          <w:sz w:val="17"/>
          <w:szCs w:val="17"/>
          <w:color w:val="auto"/>
        </w:rPr>
        <w:t xml:space="preserve">Each Term Loan shall bear interest at a rate per annum equal to the Interest Rate, subject to adjustment as set forth in this </w:t>
      </w:r>
      <w:r>
        <w:rPr>
          <w:rFonts w:ascii="Arial" w:cs="Arial" w:eastAsia="Arial" w:hAnsi="Arial"/>
          <w:sz w:val="17"/>
          <w:szCs w:val="17"/>
          <w:u w:val="single" w:color="auto"/>
          <w:color w:val="auto"/>
        </w:rPr>
        <w:t>Section 2.4</w:t>
      </w:r>
      <w:r>
        <w:rPr>
          <w:rFonts w:ascii="Arial" w:cs="Arial" w:eastAsia="Arial" w:hAnsi="Arial"/>
          <w:sz w:val="17"/>
          <w:szCs w:val="17"/>
          <w:color w:val="auto"/>
        </w:rPr>
        <w:t>.</w:t>
      </w:r>
    </w:p>
    <w:p>
      <w:pPr>
        <w:spacing w:after="0" w:line="236" w:lineRule="exact"/>
        <w:rPr>
          <w:rFonts w:ascii="Arial" w:cs="Arial" w:eastAsia="Arial" w:hAnsi="Arial"/>
          <w:sz w:val="17"/>
          <w:szCs w:val="17"/>
          <w:color w:val="auto"/>
        </w:rPr>
      </w:pPr>
    </w:p>
    <w:p>
      <w:pPr>
        <w:jc w:val="both"/>
        <w:ind w:firstLine="656"/>
        <w:spacing w:after="0" w:line="296" w:lineRule="auto"/>
        <w:tabs>
          <w:tab w:leader="none" w:pos="903" w:val="left"/>
        </w:tabs>
        <w:numPr>
          <w:ilvl w:val="0"/>
          <w:numId w:val="84"/>
        </w:numPr>
        <w:rPr>
          <w:rFonts w:ascii="Arial" w:cs="Arial" w:eastAsia="Arial" w:hAnsi="Arial"/>
          <w:sz w:val="16"/>
          <w:szCs w:val="16"/>
          <w:color w:val="auto"/>
        </w:rPr>
      </w:pPr>
      <w:r>
        <w:rPr>
          <w:rFonts w:ascii="Arial" w:cs="Arial" w:eastAsia="Arial" w:hAnsi="Arial"/>
          <w:sz w:val="16"/>
          <w:szCs w:val="16"/>
          <w:color w:val="auto"/>
        </w:rPr>
        <w:t xml:space="preserve">During the continuance of an Event of Default, the outstanding Obligations shall, at the election of the Agent (or automatically upon an Event of Default pursuant to </w:t>
      </w:r>
      <w:r>
        <w:rPr>
          <w:rFonts w:ascii="Arial" w:cs="Arial" w:eastAsia="Arial" w:hAnsi="Arial"/>
          <w:sz w:val="16"/>
          <w:szCs w:val="16"/>
          <w:u w:val="single" w:color="auto"/>
          <w:color w:val="auto"/>
        </w:rPr>
        <w:t>Section 7.1(a)</w:t>
      </w:r>
      <w:r>
        <w:rPr>
          <w:rFonts w:ascii="Arial" w:cs="Arial" w:eastAsia="Arial" w:hAnsi="Arial"/>
          <w:sz w:val="16"/>
          <w:szCs w:val="16"/>
          <w:color w:val="auto"/>
        </w:rPr>
        <w:t xml:space="preserve">, </w:t>
      </w:r>
      <w:r>
        <w:rPr>
          <w:rFonts w:ascii="Arial" w:cs="Arial" w:eastAsia="Arial" w:hAnsi="Arial"/>
          <w:sz w:val="16"/>
          <w:szCs w:val="16"/>
          <w:u w:val="single" w:color="auto"/>
          <w:color w:val="auto"/>
        </w:rPr>
        <w:t>(d)</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(e)</w:t>
      </w:r>
      <w:r>
        <w:rPr>
          <w:rFonts w:ascii="Arial" w:cs="Arial" w:eastAsia="Arial" w:hAnsi="Arial"/>
          <w:sz w:val="16"/>
          <w:szCs w:val="16"/>
          <w:color w:val="auto"/>
        </w:rPr>
        <w:t xml:space="preserve">) bear interest at a rate per annum equal to the lesser of (i) the rate that would otherwise be applicable thereto pursuant to the foregoing provisions of this Section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five percent (5%) and (ii) the maximum rate allowed by applicable Law (the “</w:t>
      </w:r>
      <w:r>
        <w:rPr>
          <w:rFonts w:ascii="Arial" w:cs="Arial" w:eastAsia="Arial" w:hAnsi="Arial"/>
          <w:sz w:val="16"/>
          <w:szCs w:val="16"/>
          <w:b w:val="1"/>
          <w:bCs w:val="1"/>
          <w:i w:val="1"/>
          <w:iCs w:val="1"/>
          <w:color w:val="auto"/>
        </w:rPr>
        <w:t>Default Rate</w:t>
      </w:r>
      <w:r>
        <w:rPr>
          <w:rFonts w:ascii="Arial" w:cs="Arial" w:eastAsia="Arial" w:hAnsi="Arial"/>
          <w:sz w:val="16"/>
          <w:szCs w:val="16"/>
          <w:color w:val="auto"/>
        </w:rPr>
        <w:t>”). The terms of this paragraph shall not be construed as Agent’s consent to Borrower’s failure to pay any amounts in strict accordance with this Agreement, and Agent’s charging any such fees and/or acceptance of any such payments shall not restrict Agent’s exercise of any remedies arising out of any such failure.</w:t>
      </w:r>
    </w:p>
    <w:p>
      <w:pPr>
        <w:spacing w:after="0" w:line="161" w:lineRule="exact"/>
        <w:rPr>
          <w:rFonts w:ascii="Arial" w:cs="Arial" w:eastAsia="Arial" w:hAnsi="Arial"/>
          <w:sz w:val="16"/>
          <w:szCs w:val="16"/>
          <w:color w:val="auto"/>
        </w:rPr>
      </w:pPr>
    </w:p>
    <w:p>
      <w:pPr>
        <w:jc w:val="both"/>
        <w:ind w:firstLine="656"/>
        <w:spacing w:after="0" w:line="253" w:lineRule="auto"/>
        <w:tabs>
          <w:tab w:leader="none" w:pos="901" w:val="left"/>
        </w:tabs>
        <w:numPr>
          <w:ilvl w:val="0"/>
          <w:numId w:val="84"/>
        </w:numPr>
        <w:rPr>
          <w:rFonts w:ascii="Arial" w:cs="Arial" w:eastAsia="Arial" w:hAnsi="Arial"/>
          <w:sz w:val="18"/>
          <w:szCs w:val="18"/>
          <w:color w:val="auto"/>
        </w:rPr>
      </w:pPr>
      <w:r>
        <w:rPr>
          <w:rFonts w:ascii="Arial" w:cs="Arial" w:eastAsia="Arial" w:hAnsi="Arial"/>
          <w:sz w:val="18"/>
          <w:szCs w:val="18"/>
          <w:color w:val="auto"/>
        </w:rPr>
        <w:t xml:space="preserve">Accrued interest shall be payable in arrears on each Interest Payment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on or prior to the date that is eighteen (18) months following the Closing Date, a portion of the interest payable on each Interest Payment Date equal to the applicable PIK Limit may be paid on such Interest Payment Date as PIK Interest if not less than ten (10) Business Days prior to such Interest Payment Date, Borrower notifies Agent in writing of its intention to pay a portion of such interest in kind on such Interest Payment Date. All PIK Interest shall be compounded on the applicable Interest Payment Date by capitalizing the amount of such PIK Interest and adding the same to the principal balance of the Term Loan, after which such PIK Interest shall accrue interest at the Interest Rate and otherwise constitute principal under the Term Loan for all purposes (including, without limitation, for purposes of calculating interest on the principal amount thereof). For the avoidance of doubt, all accrued and unpaid PIK Interest, together with all other Obligations hereunder, shall be payable by Borrower on the Maturity Date. All interest payable in cash shall be payable on each Interest Payment Date in accordance with </w:t>
      </w:r>
      <w:r>
        <w:rPr>
          <w:rFonts w:ascii="Arial" w:cs="Arial" w:eastAsia="Arial" w:hAnsi="Arial"/>
          <w:sz w:val="18"/>
          <w:szCs w:val="18"/>
          <w:u w:val="single" w:color="auto"/>
          <w:color w:val="auto"/>
        </w:rPr>
        <w:t>Section 2.6</w:t>
      </w:r>
      <w:r>
        <w:rPr>
          <w:rFonts w:ascii="Arial" w:cs="Arial" w:eastAsia="Arial" w:hAnsi="Arial"/>
          <w:sz w:val="18"/>
          <w:szCs w:val="18"/>
          <w:color w:val="auto"/>
        </w:rPr>
        <w:t>.</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20" w:type="dxa"/>
            <w:vAlign w:val="bottom"/>
            <w:tcBorders>
              <w:bottom w:val="single" w:sz="8" w:color="auto"/>
            </w:tcBorders>
          </w:tcPr>
          <w:p>
            <w:pPr>
              <w:jc w:val="right"/>
              <w:ind w:right="5350"/>
              <w:spacing w:after="0"/>
              <w:rPr>
                <w:sz w:val="20"/>
                <w:szCs w:val="20"/>
                <w:color w:val="auto"/>
              </w:rPr>
            </w:pPr>
            <w:r>
              <w:rPr>
                <w:rFonts w:ascii="Arial" w:cs="Arial" w:eastAsia="Arial" w:hAnsi="Arial"/>
                <w:sz w:val="18"/>
                <w:szCs w:val="18"/>
                <w:color w:val="auto"/>
              </w:rPr>
              <w:t>31</w:t>
            </w:r>
          </w:p>
        </w:tc>
      </w:tr>
    </w:tbl>
    <w:p>
      <w:pPr>
        <w:sectPr>
          <w:pgSz w:w="11900" w:h="16838" w:orient="portrait"/>
          <w:cols w:equalWidth="0" w:num="1">
            <w:col w:w="11240"/>
          </w:cols>
          <w:pgMar w:left="320" w:top="908" w:right="339" w:bottom="1440" w:gutter="0" w:footer="0" w:header="0"/>
        </w:sectPr>
      </w:pPr>
    </w:p>
    <w:bookmarkStart w:id="108" w:name="page109"/>
    <w:bookmarkEnd w:id="108"/>
    <w:p>
      <w:pPr>
        <w:jc w:val="both"/>
        <w:ind w:firstLine="648"/>
        <w:spacing w:after="0" w:line="303" w:lineRule="auto"/>
        <w:rPr>
          <w:sz w:val="20"/>
          <w:szCs w:val="20"/>
          <w:color w:val="auto"/>
        </w:rPr>
      </w:pPr>
      <w:r>
        <w:rPr>
          <w:rFonts w:ascii="Arial" w:cs="Arial" w:eastAsia="Arial" w:hAnsi="Arial"/>
          <w:sz w:val="16"/>
          <w:szCs w:val="16"/>
          <w:b w:val="1"/>
          <w:bCs w:val="1"/>
          <w:color w:val="auto"/>
        </w:rPr>
        <w:t>2.5 Computation of Interest and Fees</w:t>
      </w:r>
      <w:r>
        <w:rPr>
          <w:rFonts w:ascii="Arial" w:cs="Arial" w:eastAsia="Arial" w:hAnsi="Arial"/>
          <w:sz w:val="16"/>
          <w:szCs w:val="16"/>
          <w:color w:val="auto"/>
        </w:rPr>
        <w:t>. Interest and fees payable pursuant hereto shall be calculated on the basis of a 360-day year for the actual</w:t>
      </w:r>
      <w:r>
        <w:rPr>
          <w:rFonts w:ascii="Arial" w:cs="Arial" w:eastAsia="Arial" w:hAnsi="Arial"/>
          <w:sz w:val="16"/>
          <w:szCs w:val="16"/>
          <w:b w:val="1"/>
          <w:bCs w:val="1"/>
          <w:color w:val="auto"/>
        </w:rPr>
        <w:t xml:space="preserve"> </w:t>
      </w:r>
      <w:r>
        <w:rPr>
          <w:rFonts w:ascii="Arial" w:cs="Arial" w:eastAsia="Arial" w:hAnsi="Arial"/>
          <w:sz w:val="16"/>
          <w:szCs w:val="16"/>
          <w:color w:val="auto"/>
        </w:rPr>
        <w:t>days elapsed and shall be calculated on the beginning of day principal balance of the Term Loan outstanding for each day of the relevant calendar month. Each determination of an interest rate by Agent pursuant to any provision of this Agreement shall be conclusive and binding on Borrower in the absence of manifest error. For the avoidance of doubt, Advances shall be included in the daily principal balance on the date they occur.</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2.6 Payments</w:t>
      </w:r>
      <w:r>
        <w:rPr>
          <w:rFonts w:ascii="Arial" w:cs="Arial" w:eastAsia="Arial" w:hAnsi="Arial"/>
          <w:sz w:val="18"/>
          <w:szCs w:val="18"/>
          <w:color w:val="auto"/>
        </w:rPr>
        <w:t>.</w:t>
      </w:r>
    </w:p>
    <w:p>
      <w:pPr>
        <w:spacing w:after="0" w:line="229" w:lineRule="exact"/>
        <w:rPr>
          <w:sz w:val="20"/>
          <w:szCs w:val="20"/>
          <w:color w:val="auto"/>
        </w:rPr>
      </w:pPr>
    </w:p>
    <w:p>
      <w:pPr>
        <w:jc w:val="both"/>
        <w:ind w:firstLine="656"/>
        <w:spacing w:after="0" w:line="263" w:lineRule="auto"/>
        <w:tabs>
          <w:tab w:leader="none" w:pos="892" w:val="left"/>
        </w:tabs>
        <w:numPr>
          <w:ilvl w:val="0"/>
          <w:numId w:val="85"/>
        </w:numPr>
        <w:rPr>
          <w:rFonts w:ascii="Arial" w:cs="Arial" w:eastAsia="Arial" w:hAnsi="Arial"/>
          <w:sz w:val="18"/>
          <w:szCs w:val="18"/>
          <w:color w:val="auto"/>
        </w:rPr>
      </w:pPr>
      <w:r>
        <w:rPr>
          <w:rFonts w:ascii="Arial" w:cs="Arial" w:eastAsia="Arial" w:hAnsi="Arial"/>
          <w:sz w:val="18"/>
          <w:szCs w:val="18"/>
          <w:color w:val="auto"/>
        </w:rPr>
        <w:t>Unless otherwise specified herein or in any other Loan Document, prior to (or simultaneously with) making any principal payment on the Term Loan, Borrower shall deliver to Agent a Payment Notice (which such Payment Notice shall be irrevocable and binding unless Borrower otherwise notifies Agent in writing) with respect thereto.</w:t>
      </w:r>
    </w:p>
    <w:p>
      <w:pPr>
        <w:spacing w:after="0" w:line="183" w:lineRule="exact"/>
        <w:rPr>
          <w:rFonts w:ascii="Arial" w:cs="Arial" w:eastAsia="Arial" w:hAnsi="Arial"/>
          <w:sz w:val="18"/>
          <w:szCs w:val="18"/>
          <w:color w:val="auto"/>
        </w:rPr>
      </w:pPr>
    </w:p>
    <w:p>
      <w:pPr>
        <w:jc w:val="both"/>
        <w:ind w:firstLine="656"/>
        <w:spacing w:after="0" w:line="271" w:lineRule="auto"/>
        <w:tabs>
          <w:tab w:leader="none" w:pos="903" w:val="left"/>
        </w:tabs>
        <w:numPr>
          <w:ilvl w:val="0"/>
          <w:numId w:val="85"/>
        </w:numPr>
        <w:rPr>
          <w:rFonts w:ascii="Arial" w:cs="Arial" w:eastAsia="Arial" w:hAnsi="Arial"/>
          <w:sz w:val="17"/>
          <w:szCs w:val="17"/>
          <w:color w:val="auto"/>
        </w:rPr>
      </w:pPr>
      <w:r>
        <w:rPr>
          <w:rFonts w:ascii="Arial" w:cs="Arial" w:eastAsia="Arial" w:hAnsi="Arial"/>
          <w:sz w:val="17"/>
          <w:szCs w:val="17"/>
          <w:color w:val="auto"/>
        </w:rPr>
        <w:t>All payments (including prepayments) to be made by Borrower hereunder, whether on account of principal, interest, fees or otherwise, shall be made without condition or deduction for any counterclaim, defense, recoupment or setoff and shall be made prior to 2:00 P.M. (New York City time), on the due date thereof to Agent in Dollars in immediately available funds. Any payment received by Agent after 2:00 P.M. (New York City time), shall be deemed received on the next succeeding Business Day and any applicable interest or fee shall continue to accrue. If any payment hereunder (other than the capitalization of accrued PIK Interest) becomes due and payable on a day other than a Business Day, such payment due date shall be extended to the next succeeding Business Day, other than with respect to the payment to be made on the Maturity Date, which, if not a Business Day, shall be made on the immediately preceding Business Day. In the case of any extension of any payment of principal pursuant to the preceding sentence, interest thereon shall be payable at the then applicable rate during such extension.</w:t>
      </w:r>
    </w:p>
    <w:p>
      <w:pPr>
        <w:spacing w:after="0" w:line="178" w:lineRule="exact"/>
        <w:rPr>
          <w:rFonts w:ascii="Arial" w:cs="Arial" w:eastAsia="Arial" w:hAnsi="Arial"/>
          <w:sz w:val="17"/>
          <w:szCs w:val="17"/>
          <w:color w:val="auto"/>
        </w:rPr>
      </w:pPr>
    </w:p>
    <w:p>
      <w:pPr>
        <w:ind w:firstLine="656"/>
        <w:spacing w:after="0" w:line="342" w:lineRule="auto"/>
        <w:tabs>
          <w:tab w:leader="none" w:pos="892" w:val="left"/>
        </w:tabs>
        <w:numPr>
          <w:ilvl w:val="0"/>
          <w:numId w:val="85"/>
        </w:numPr>
        <w:rPr>
          <w:rFonts w:ascii="Arial" w:cs="Arial" w:eastAsia="Arial" w:hAnsi="Arial"/>
          <w:sz w:val="16"/>
          <w:szCs w:val="16"/>
          <w:color w:val="auto"/>
        </w:rPr>
      </w:pPr>
      <w:r>
        <w:rPr>
          <w:rFonts w:ascii="Arial" w:cs="Arial" w:eastAsia="Arial" w:hAnsi="Arial"/>
          <w:sz w:val="16"/>
          <w:szCs w:val="16"/>
          <w:color w:val="auto"/>
        </w:rPr>
        <w:t>Nothing herein shall be deemed to obligate Agent or any Lender to obtain the funds for the Term Loan in any particular place or manner or to constitute a representation by Agent or any Lender that it has obtained or will obtain the funds for the Term Loan in any particular place or manner.</w:t>
      </w:r>
    </w:p>
    <w:p>
      <w:pPr>
        <w:spacing w:after="0" w:line="123" w:lineRule="exact"/>
        <w:rPr>
          <w:rFonts w:ascii="Arial" w:cs="Arial" w:eastAsia="Arial" w:hAnsi="Arial"/>
          <w:sz w:val="16"/>
          <w:szCs w:val="16"/>
          <w:color w:val="auto"/>
        </w:rPr>
      </w:pPr>
    </w:p>
    <w:p>
      <w:pPr>
        <w:jc w:val="both"/>
        <w:ind w:firstLine="656"/>
        <w:spacing w:after="0" w:line="259" w:lineRule="auto"/>
        <w:tabs>
          <w:tab w:leader="none" w:pos="903" w:val="left"/>
        </w:tabs>
        <w:numPr>
          <w:ilvl w:val="0"/>
          <w:numId w:val="85"/>
        </w:numPr>
        <w:rPr>
          <w:rFonts w:ascii="Arial" w:cs="Arial" w:eastAsia="Arial" w:hAnsi="Arial"/>
          <w:sz w:val="18"/>
          <w:szCs w:val="18"/>
          <w:color w:val="auto"/>
        </w:rPr>
      </w:pPr>
      <w:r>
        <w:rPr>
          <w:rFonts w:ascii="Arial" w:cs="Arial" w:eastAsia="Arial" w:hAnsi="Arial"/>
          <w:sz w:val="18"/>
          <w:szCs w:val="18"/>
          <w:color w:val="auto"/>
        </w:rPr>
        <w:t>All payments, prepayments or repayments of the Term Loan shall be accompanied by payment in full of all accrued and unpaid interest on the portion of such Term Loan being paid, prepaid or repaid to the date of payment, prepayment, or repayment, including the Make Whole Premium as applicable, all other earned and unpaid fees, and all other amounts due and owing hereunder, including without limitation all costs associated with such payment, prepayment, or repayment.</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20" w:type="dxa"/>
            <w:vAlign w:val="bottom"/>
            <w:tcBorders>
              <w:bottom w:val="single" w:sz="8" w:color="auto"/>
            </w:tcBorders>
          </w:tcPr>
          <w:p>
            <w:pPr>
              <w:jc w:val="right"/>
              <w:ind w:right="5350"/>
              <w:spacing w:after="0"/>
              <w:rPr>
                <w:sz w:val="20"/>
                <w:szCs w:val="20"/>
                <w:color w:val="auto"/>
              </w:rPr>
            </w:pPr>
            <w:r>
              <w:rPr>
                <w:rFonts w:ascii="Arial" w:cs="Arial" w:eastAsia="Arial" w:hAnsi="Arial"/>
                <w:sz w:val="18"/>
                <w:szCs w:val="18"/>
                <w:color w:val="auto"/>
              </w:rPr>
              <w:t>32</w:t>
            </w:r>
          </w:p>
        </w:tc>
      </w:tr>
    </w:tbl>
    <w:p>
      <w:pPr>
        <w:sectPr>
          <w:pgSz w:w="11900" w:h="16838" w:orient="portrait"/>
          <w:cols w:equalWidth="0" w:num="1">
            <w:col w:w="11240"/>
          </w:cols>
          <w:pgMar w:left="320" w:top="904" w:right="339" w:bottom="1440" w:gutter="0" w:footer="0" w:header="0"/>
        </w:sectPr>
      </w:pPr>
    </w:p>
    <w:bookmarkStart w:id="109" w:name="page110"/>
    <w:bookmarkEnd w:id="109"/>
    <w:p>
      <w:pPr>
        <w:jc w:val="both"/>
        <w:ind w:firstLine="656"/>
        <w:spacing w:after="0" w:line="257" w:lineRule="auto"/>
        <w:tabs>
          <w:tab w:leader="none" w:pos="906" w:val="left"/>
        </w:tabs>
        <w:numPr>
          <w:ilvl w:val="0"/>
          <w:numId w:val="86"/>
        </w:numPr>
        <w:rPr>
          <w:rFonts w:ascii="Arial" w:cs="Arial" w:eastAsia="Arial" w:hAnsi="Arial"/>
          <w:sz w:val="18"/>
          <w:szCs w:val="18"/>
          <w:color w:val="auto"/>
        </w:rPr>
      </w:pPr>
      <w:r>
        <w:rPr>
          <w:rFonts w:ascii="Arial" w:cs="Arial" w:eastAsia="Arial" w:hAnsi="Arial"/>
          <w:sz w:val="18"/>
          <w:szCs w:val="18"/>
          <w:color w:val="auto"/>
        </w:rPr>
        <w:t xml:space="preserve">Except as specifically set forth elsewhere in this Agreement and subject to </w:t>
      </w:r>
      <w:r>
        <w:rPr>
          <w:rFonts w:ascii="Arial" w:cs="Arial" w:eastAsia="Arial" w:hAnsi="Arial"/>
          <w:sz w:val="18"/>
          <w:szCs w:val="18"/>
          <w:u w:val="single" w:color="auto"/>
          <w:color w:val="auto"/>
        </w:rPr>
        <w:t>Section 7.3</w:t>
      </w:r>
      <w:r>
        <w:rPr>
          <w:rFonts w:ascii="Arial" w:cs="Arial" w:eastAsia="Arial" w:hAnsi="Arial"/>
          <w:sz w:val="18"/>
          <w:szCs w:val="18"/>
          <w:color w:val="auto"/>
        </w:rPr>
        <w:t>, any payment, prepayment or repayment of the Term Loan shall be made by the Loan Parties to Agent, for the benefit of the Lenders, on a pro rata basis based upon each Lender’s Applicable Percentage of the amount of such payment, prepayment or repayment. If at any time insufficient funds are received by and available to Agent or any Lender to pay fully all amounts of principal, interest and fees then due hereunder, such funds shall be applied in accordance with the Lenders’ Applicable Percentage or as otherwise determined by Agent in its sole discretion.</w:t>
      </w:r>
    </w:p>
    <w:p>
      <w:pPr>
        <w:spacing w:after="0" w:line="187" w:lineRule="exact"/>
        <w:rPr>
          <w:rFonts w:ascii="Arial" w:cs="Arial" w:eastAsia="Arial" w:hAnsi="Arial"/>
          <w:sz w:val="18"/>
          <w:szCs w:val="18"/>
          <w:color w:val="auto"/>
        </w:rPr>
      </w:pPr>
    </w:p>
    <w:p>
      <w:pPr>
        <w:jc w:val="both"/>
        <w:ind w:firstLine="656"/>
        <w:spacing w:after="0" w:line="259" w:lineRule="auto"/>
        <w:tabs>
          <w:tab w:leader="none" w:pos="895" w:val="left"/>
        </w:tabs>
        <w:numPr>
          <w:ilvl w:val="0"/>
          <w:numId w:val="86"/>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in this Agreement, Agent or any Lender may, in its discretion at any time or from time to time, without Borrower’s request and even if the conditions set forth in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would not be satisfied, make a Term Loan in an amount equal to the portion of the Obligations constituting overdue interest, fees, indemnification payments or any other Obligations from time to time due and payable to itself and apply the proceeds of any such Term Loan to those Obligations.</w:t>
      </w:r>
    </w:p>
    <w:p>
      <w:pPr>
        <w:spacing w:after="0" w:line="186" w:lineRule="exact"/>
        <w:rPr>
          <w:rFonts w:ascii="Arial" w:cs="Arial" w:eastAsia="Arial" w:hAnsi="Arial"/>
          <w:sz w:val="18"/>
          <w:szCs w:val="18"/>
          <w:color w:val="auto"/>
        </w:rPr>
      </w:pPr>
    </w:p>
    <w:p>
      <w:pPr>
        <w:jc w:val="both"/>
        <w:ind w:firstLine="656"/>
        <w:spacing w:after="0" w:line="284" w:lineRule="auto"/>
        <w:tabs>
          <w:tab w:leader="none" w:pos="903" w:val="left"/>
        </w:tabs>
        <w:numPr>
          <w:ilvl w:val="0"/>
          <w:numId w:val="86"/>
        </w:numPr>
        <w:rPr>
          <w:rFonts w:ascii="Arial" w:cs="Arial" w:eastAsia="Arial" w:hAnsi="Arial"/>
          <w:sz w:val="16"/>
          <w:szCs w:val="16"/>
          <w:color w:val="auto"/>
        </w:rPr>
      </w:pPr>
      <w:r>
        <w:rPr>
          <w:rFonts w:ascii="Arial" w:cs="Arial" w:eastAsia="Arial" w:hAnsi="Arial"/>
          <w:sz w:val="16"/>
          <w:szCs w:val="16"/>
          <w:color w:val="auto"/>
        </w:rPr>
        <w:t>Notwithstanding any provision of any Loan Document, Agent, in its sole discretion shall have the right, but not any obligation, at any time that Borrower fails to do so, and from time to time, without prior notice, to: (i) discharge (at Borrower’s expense) taxes or Liens affecting any of the Collateral that have not been paid in violation of any Loan Document or that jeopardize the Agent’s Lien priority in the Collateral; or (ii) make any other payment (at Borrower’s expense) reasonably necessary for the administration, servicing, maintenance, preservation or protection of the Collateral (each such advance or payment set forth in clauses (i) and (ii), a “</w:t>
      </w:r>
      <w:r>
        <w:rPr>
          <w:rFonts w:ascii="Arial" w:cs="Arial" w:eastAsia="Arial" w:hAnsi="Arial"/>
          <w:sz w:val="16"/>
          <w:szCs w:val="16"/>
          <w:b w:val="1"/>
          <w:bCs w:val="1"/>
          <w:i w:val="1"/>
          <w:iCs w:val="1"/>
          <w:color w:val="auto"/>
        </w:rPr>
        <w:t>Protective Advance</w:t>
      </w:r>
      <w:r>
        <w:rPr>
          <w:rFonts w:ascii="Arial" w:cs="Arial" w:eastAsia="Arial" w:hAnsi="Arial"/>
          <w:sz w:val="16"/>
          <w:szCs w:val="16"/>
          <w:color w:val="auto"/>
        </w:rPr>
        <w:t xml:space="preserve">”). The Agent shall be reimbursed for all Protective Advances pursuant to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and any Protective Advances shall bear interest at the lesser of (i) the Interest Rate plus ten percent (10%) per annum, and (ii) the maximum rate permitted by Law (the “</w:t>
      </w:r>
      <w:r>
        <w:rPr>
          <w:rFonts w:ascii="Arial" w:cs="Arial" w:eastAsia="Arial" w:hAnsi="Arial"/>
          <w:sz w:val="16"/>
          <w:szCs w:val="16"/>
          <w:b w:val="1"/>
          <w:bCs w:val="1"/>
          <w:i w:val="1"/>
          <w:iCs w:val="1"/>
          <w:color w:val="auto"/>
        </w:rPr>
        <w:t>Protective Advance Rate</w:t>
      </w:r>
      <w:r>
        <w:rPr>
          <w:rFonts w:ascii="Arial" w:cs="Arial" w:eastAsia="Arial" w:hAnsi="Arial"/>
          <w:sz w:val="16"/>
          <w:szCs w:val="16"/>
          <w:color w:val="auto"/>
        </w:rPr>
        <w:t>”), payable in cash, from the date the Protective Advance is paid by Agent until it is repaid. No Protective Advance by Agent shall be construed as a waiver by Agent, or any Lender of any Default, Event of Default or any of the rights or remedies of Agent or any Lender. Upon the making of a Protective Advance by the Agent, without any further action on the part of the Agent or any Lender, the Agent will be deemed to have granted to each Lender, and each Lender will be deemed to have acquired from the Agent, without recourse or warranty, a participation in such Protective Advance equal to such Lender’s Applicable Percentage of the amount of such Protective Advance. Each Lender shall transfer (each such transfer, a “</w:t>
      </w:r>
      <w:r>
        <w:rPr>
          <w:rFonts w:ascii="Arial" w:cs="Arial" w:eastAsia="Arial" w:hAnsi="Arial"/>
          <w:sz w:val="16"/>
          <w:szCs w:val="16"/>
          <w:b w:val="1"/>
          <w:bCs w:val="1"/>
          <w:i w:val="1"/>
          <w:iCs w:val="1"/>
          <w:color w:val="auto"/>
        </w:rPr>
        <w:t>Transfer</w:t>
      </w:r>
      <w:r>
        <w:rPr>
          <w:rFonts w:ascii="Arial" w:cs="Arial" w:eastAsia="Arial" w:hAnsi="Arial"/>
          <w:sz w:val="16"/>
          <w:szCs w:val="16"/>
          <w:color w:val="auto"/>
        </w:rPr>
        <w:t>”) the amount of such Lender’s Applicable Percentage of the outstanding principal amount of the applicable Protective Advance with respect to such acquired interest and participation promptly when requested to the Agent, to such account of the Agent as the Agent may designate, but in any case not later than 2:00 P.M. (New York City time), on the Business Day requested (if notice is provided by the Agent prior to noon (New York City time) on such Business Day) or otherwise on the immediately following Business Day (each such transfer date, as to the applicable Transfer, a “</w:t>
      </w:r>
      <w:r>
        <w:rPr>
          <w:rFonts w:ascii="Arial" w:cs="Arial" w:eastAsia="Arial" w:hAnsi="Arial"/>
          <w:sz w:val="16"/>
          <w:szCs w:val="16"/>
          <w:b w:val="1"/>
          <w:bCs w:val="1"/>
          <w:i w:val="1"/>
          <w:iCs w:val="1"/>
          <w:color w:val="auto"/>
        </w:rPr>
        <w:t>Transfer</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Date</w:t>
      </w:r>
      <w:r>
        <w:rPr>
          <w:rFonts w:ascii="Arial" w:cs="Arial" w:eastAsia="Arial" w:hAnsi="Arial"/>
          <w:sz w:val="16"/>
          <w:szCs w:val="16"/>
          <w:color w:val="auto"/>
        </w:rPr>
        <w:t>”). Transfers may occur during the existence of a Default or Event of Default and regardless of whether the applicable conditions precedent set forth in</w:t>
      </w:r>
      <w:r>
        <w:rPr>
          <w:rFonts w:ascii="Arial" w:cs="Arial" w:eastAsia="Arial" w:hAnsi="Arial"/>
          <w:sz w:val="16"/>
          <w:szCs w:val="16"/>
          <w:b w:val="1"/>
          <w:bCs w:val="1"/>
          <w:i w:val="1"/>
          <w:iCs w:val="1"/>
          <w:color w:val="auto"/>
        </w:rPr>
        <w:t xml:space="preserve">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have then been satisfied. Such amounts transferred to the Agent will be applied against the amount of the Protective Advance and, together with each Lender’s Applicable Percentage of such Protective Advance, will constitute Advances of such Lenders, respectively. If any such amount is not transferred to the Agent by any Lender on the applicable Transfer Date, then the Agent may recover such amount on demand from such Lender together with interest thereon. From and after the date, if any, on which any Lender is required to fund, and funds, its participation in any Protective Advance purchased hereunder, the Agent shall promptly distribute to such Lender such Lender’s Applicable Percentage of all payments of principal and interest and all proceeds of Collateral received by the Agent in respect of such Protective Advance in accordance with this Agreement.</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20" w:type="dxa"/>
            <w:vAlign w:val="bottom"/>
            <w:tcBorders>
              <w:bottom w:val="single" w:sz="8" w:color="auto"/>
            </w:tcBorders>
          </w:tcPr>
          <w:p>
            <w:pPr>
              <w:jc w:val="right"/>
              <w:ind w:right="5350"/>
              <w:spacing w:after="0"/>
              <w:rPr>
                <w:sz w:val="20"/>
                <w:szCs w:val="20"/>
                <w:color w:val="auto"/>
              </w:rPr>
            </w:pPr>
            <w:r>
              <w:rPr>
                <w:rFonts w:ascii="Arial" w:cs="Arial" w:eastAsia="Arial" w:hAnsi="Arial"/>
                <w:sz w:val="18"/>
                <w:szCs w:val="18"/>
                <w:color w:val="auto"/>
              </w:rPr>
              <w:t>33</w:t>
            </w:r>
          </w:p>
        </w:tc>
      </w:tr>
    </w:tbl>
    <w:p>
      <w:pPr>
        <w:sectPr>
          <w:pgSz w:w="11900" w:h="16838" w:orient="portrait"/>
          <w:cols w:equalWidth="0" w:num="1">
            <w:col w:w="11240"/>
          </w:cols>
          <w:pgMar w:left="320" w:top="908" w:right="339" w:bottom="1440" w:gutter="0" w:footer="0" w:header="0"/>
        </w:sectPr>
      </w:pPr>
    </w:p>
    <w:bookmarkStart w:id="110" w:name="page111"/>
    <w:bookmarkEnd w:id="110"/>
    <w:p>
      <w:pPr>
        <w:ind w:left="660"/>
        <w:spacing w:after="0"/>
        <w:rPr>
          <w:sz w:val="20"/>
          <w:szCs w:val="20"/>
          <w:color w:val="auto"/>
        </w:rPr>
      </w:pPr>
      <w:r>
        <w:rPr>
          <w:rFonts w:ascii="Arial" w:cs="Arial" w:eastAsia="Arial" w:hAnsi="Arial"/>
          <w:sz w:val="18"/>
          <w:szCs w:val="18"/>
          <w:b w:val="1"/>
          <w:bCs w:val="1"/>
          <w:color w:val="auto"/>
        </w:rPr>
        <w:t>2.7 [Reserved]</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2.8 Taxes</w:t>
      </w:r>
      <w:r>
        <w:rPr>
          <w:rFonts w:ascii="Arial" w:cs="Arial" w:eastAsia="Arial" w:hAnsi="Arial"/>
          <w:sz w:val="18"/>
          <w:szCs w:val="18"/>
          <w:color w:val="auto"/>
        </w:rPr>
        <w:t>(a).</w:t>
      </w:r>
    </w:p>
    <w:p>
      <w:pPr>
        <w:spacing w:after="0" w:line="229" w:lineRule="exact"/>
        <w:rPr>
          <w:sz w:val="20"/>
          <w:szCs w:val="20"/>
          <w:color w:val="auto"/>
        </w:rPr>
      </w:pPr>
    </w:p>
    <w:p>
      <w:pPr>
        <w:ind w:left="900" w:hanging="244"/>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Defined Terms</w:t>
      </w:r>
      <w:r>
        <w:rPr>
          <w:rFonts w:ascii="Arial" w:cs="Arial" w:eastAsia="Arial" w:hAnsi="Arial"/>
          <w:sz w:val="18"/>
          <w:szCs w:val="18"/>
          <w:color w:val="auto"/>
        </w:rPr>
        <w:t>. For purposes of this Section, the term “Requirement of Law” includes FATCA.</w:t>
      </w:r>
    </w:p>
    <w:p>
      <w:pPr>
        <w:spacing w:after="0" w:line="225" w:lineRule="exact"/>
        <w:rPr>
          <w:rFonts w:ascii="Arial" w:cs="Arial" w:eastAsia="Arial" w:hAnsi="Arial"/>
          <w:sz w:val="18"/>
          <w:szCs w:val="18"/>
          <w:color w:val="auto"/>
        </w:rPr>
      </w:pPr>
    </w:p>
    <w:p>
      <w:pPr>
        <w:jc w:val="both"/>
        <w:ind w:firstLine="656"/>
        <w:spacing w:after="0" w:line="289" w:lineRule="auto"/>
        <w:tabs>
          <w:tab w:leader="none" w:pos="903" w:val="left"/>
        </w:tabs>
        <w:numPr>
          <w:ilvl w:val="0"/>
          <w:numId w:val="87"/>
        </w:numPr>
        <w:rPr>
          <w:rFonts w:ascii="Arial" w:cs="Arial" w:eastAsia="Arial" w:hAnsi="Arial"/>
          <w:sz w:val="16"/>
          <w:szCs w:val="16"/>
          <w:color w:val="auto"/>
        </w:rPr>
      </w:pPr>
      <w:r>
        <w:rPr>
          <w:rFonts w:ascii="Arial" w:cs="Arial" w:eastAsia="Arial" w:hAnsi="Arial"/>
          <w:sz w:val="16"/>
          <w:szCs w:val="16"/>
          <w:u w:val="single" w:color="auto"/>
          <w:color w:val="auto"/>
        </w:rPr>
        <w:t>Payments Free of Taxes</w:t>
      </w:r>
      <w:r>
        <w:rPr>
          <w:rFonts w:ascii="Arial" w:cs="Arial" w:eastAsia="Arial" w:hAnsi="Arial"/>
          <w:sz w:val="16"/>
          <w:szCs w:val="16"/>
          <w:color w:val="auto"/>
        </w:rPr>
        <w:t>. Any and all payments by or on account of any obligation of any Loan Party under any Loan Document to a Recipient shall be made without deduction or withholding for any Taxes, except as required by any Requirement of Law. If any Requirement of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any Requirement of Law and, if such Tax is an Indemnified Tax, then the sum payable by the applicable Loan Party shall be increased as necessary so that after such deduction or withholding has been made (including such deductions and withholdings applicable to additional sums payable under this Section) the applicable Recipient receives an amount equal to the sum it would have received had no such deduction or withholding been made. The applicable Recipient and each relevant Loan Party shall cooperate in completing any procedural formalities necessary for the relevant Loan Party to obtain authorization to make payments without any deduction or withholding on account of tax.</w:t>
      </w:r>
    </w:p>
    <w:p>
      <w:pPr>
        <w:spacing w:after="0" w:line="166" w:lineRule="exact"/>
        <w:rPr>
          <w:rFonts w:ascii="Arial" w:cs="Arial" w:eastAsia="Arial" w:hAnsi="Arial"/>
          <w:sz w:val="16"/>
          <w:szCs w:val="16"/>
          <w:color w:val="auto"/>
        </w:rPr>
      </w:pPr>
    </w:p>
    <w:p>
      <w:pPr>
        <w:ind w:firstLine="656"/>
        <w:spacing w:after="0" w:line="277" w:lineRule="auto"/>
        <w:tabs>
          <w:tab w:leader="none" w:pos="906"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Payment of Other Taxes by Loan Parties</w:t>
      </w:r>
      <w:r>
        <w:rPr>
          <w:rFonts w:ascii="Arial" w:cs="Arial" w:eastAsia="Arial" w:hAnsi="Arial"/>
          <w:sz w:val="18"/>
          <w:szCs w:val="18"/>
          <w:color w:val="auto"/>
        </w:rPr>
        <w:t>. The Loan Parties shall timely pay to the relevant Governmental Authority in accordance with any Requirement of Law, or at the option of Agent timely reimburse it for the payment of, any Other Taxes.</w:t>
      </w:r>
    </w:p>
    <w:p>
      <w:pPr>
        <w:spacing w:after="0" w:line="170" w:lineRule="exact"/>
        <w:rPr>
          <w:rFonts w:ascii="Arial" w:cs="Arial" w:eastAsia="Arial" w:hAnsi="Arial"/>
          <w:sz w:val="18"/>
          <w:szCs w:val="18"/>
          <w:color w:val="auto"/>
        </w:rPr>
      </w:pPr>
    </w:p>
    <w:p>
      <w:pPr>
        <w:jc w:val="both"/>
        <w:ind w:firstLine="656"/>
        <w:spacing w:after="0" w:line="255" w:lineRule="auto"/>
        <w:tabs>
          <w:tab w:leader="none" w:pos="916"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Indemnification of Agent and Lenders</w:t>
      </w:r>
      <w:r>
        <w:rPr>
          <w:rFonts w:ascii="Arial" w:cs="Arial" w:eastAsia="Arial" w:hAnsi="Arial"/>
          <w:sz w:val="18"/>
          <w:szCs w:val="18"/>
          <w:color w:val="auto"/>
        </w:rPr>
        <w:t xml:space="preserve">. Loan Parties shall indemnify any Recipient, within ten (10) days after demand thereof, for the full amount of any Indemnified Taxes (including Indemnified Taxes imposed or asserted on or attributable to amounts payable under this </w:t>
      </w:r>
      <w:r>
        <w:rPr>
          <w:rFonts w:ascii="Arial" w:cs="Arial" w:eastAsia="Arial" w:hAnsi="Arial"/>
          <w:sz w:val="18"/>
          <w:szCs w:val="18"/>
          <w:u w:val="single" w:color="auto"/>
          <w:color w:val="auto"/>
        </w:rPr>
        <w:t>Section 2.8</w:t>
      </w:r>
      <w:r>
        <w:rPr>
          <w:rFonts w:ascii="Arial" w:cs="Arial" w:eastAsia="Arial" w:hAnsi="Arial"/>
          <w:sz w:val="18"/>
          <w:szCs w:val="18"/>
          <w:color w:val="auto"/>
        </w:rPr>
        <w:t>) payable or paid by such Recipient or required to be withheld or deducted from a payment to the Recipient and any reasonable expenses arising therefrom or with respect thereto, whether or not such Indemnified Taxes were correctly or legally imposed or asserted by the relevant Governmental Authority. A certificate setting forth the amount of such payment or liability delivered to Borrower by a Recipient (with a copy to Agent, as applicable), or by Agent on its own behalf or on behalf of a Recipient, shall be conclusive absent manifest error.</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20" w:type="dxa"/>
            <w:vAlign w:val="bottom"/>
            <w:tcBorders>
              <w:bottom w:val="single" w:sz="8" w:color="auto"/>
            </w:tcBorders>
          </w:tcPr>
          <w:p>
            <w:pPr>
              <w:jc w:val="right"/>
              <w:ind w:right="5350"/>
              <w:spacing w:after="0"/>
              <w:rPr>
                <w:sz w:val="20"/>
                <w:szCs w:val="20"/>
                <w:color w:val="auto"/>
              </w:rPr>
            </w:pPr>
            <w:r>
              <w:rPr>
                <w:rFonts w:ascii="Arial" w:cs="Arial" w:eastAsia="Arial" w:hAnsi="Arial"/>
                <w:sz w:val="18"/>
                <w:szCs w:val="18"/>
                <w:color w:val="auto"/>
              </w:rPr>
              <w:t>34</w:t>
            </w:r>
          </w:p>
        </w:tc>
      </w:tr>
    </w:tbl>
    <w:p>
      <w:pPr>
        <w:sectPr>
          <w:pgSz w:w="11900" w:h="16838" w:orient="portrait"/>
          <w:cols w:equalWidth="0" w:num="1">
            <w:col w:w="11240"/>
          </w:cols>
          <w:pgMar w:left="320" w:top="904" w:right="339" w:bottom="1440" w:gutter="0" w:footer="0" w:header="0"/>
        </w:sectPr>
      </w:pPr>
    </w:p>
    <w:bookmarkStart w:id="111" w:name="page112"/>
    <w:bookmarkEnd w:id="111"/>
    <w:p>
      <w:pPr>
        <w:jc w:val="both"/>
        <w:ind w:firstLine="656"/>
        <w:spacing w:after="0" w:line="253" w:lineRule="auto"/>
        <w:tabs>
          <w:tab w:leader="none" w:pos="906"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Indemnification of Agent</w:t>
      </w:r>
      <w:r>
        <w:rPr>
          <w:rFonts w:ascii="Arial" w:cs="Arial" w:eastAsia="Arial" w:hAnsi="Arial"/>
          <w:sz w:val="18"/>
          <w:szCs w:val="18"/>
          <w:color w:val="auto"/>
        </w:rPr>
        <w:t xml:space="preserve">. Each Lender shall severally indemnify Agent, within ten (10) days after demand therefor, for (i) any Indemnified Taxes attributable to such Lender (but only to the extent that the Loan Parties have not already indemnified Agent for such Indemnified Taxes and without limiting the obligation of the Loan Parties to do so), (ii) any Taxes attributable to such Lender’s failure to comply with the provisions of </w:t>
      </w:r>
      <w:r>
        <w:rPr>
          <w:rFonts w:ascii="Arial" w:cs="Arial" w:eastAsia="Arial" w:hAnsi="Arial"/>
          <w:sz w:val="18"/>
          <w:szCs w:val="18"/>
          <w:u w:val="single" w:color="auto"/>
          <w:color w:val="auto"/>
        </w:rPr>
        <w:t>Section 8.6(b)</w:t>
      </w:r>
      <w:r>
        <w:rPr>
          <w:rFonts w:ascii="Arial" w:cs="Arial" w:eastAsia="Arial" w:hAnsi="Arial"/>
          <w:sz w:val="18"/>
          <w:szCs w:val="18"/>
          <w:color w:val="auto"/>
        </w:rPr>
        <w:t xml:space="preserve"> relating to the maintenance of a Participant Register and (iii) any Excluded Taxes attributable to such Lender, in each case, that are payable or paid by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Agent shall be conclusive absent manifest error. Each Lender hereby authorizes Agent to set off and apply any and all amounts at any time owing to such Lender under any Loan Document or otherwise payable by Agent to Lenders from any other source against any amount due to Agent under this Section 2.8(e).</w:t>
      </w:r>
    </w:p>
    <w:p>
      <w:pPr>
        <w:spacing w:after="0" w:line="196" w:lineRule="exact"/>
        <w:rPr>
          <w:rFonts w:ascii="Arial" w:cs="Arial" w:eastAsia="Arial" w:hAnsi="Arial"/>
          <w:sz w:val="18"/>
          <w:szCs w:val="18"/>
          <w:color w:val="auto"/>
        </w:rPr>
      </w:pPr>
    </w:p>
    <w:p>
      <w:pPr>
        <w:jc w:val="both"/>
        <w:ind w:firstLine="656"/>
        <w:spacing w:after="0" w:line="263" w:lineRule="auto"/>
        <w:tabs>
          <w:tab w:leader="none" w:pos="873"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Certification</w:t>
      </w:r>
      <w:r>
        <w:rPr>
          <w:rFonts w:ascii="Arial" w:cs="Arial" w:eastAsia="Arial" w:hAnsi="Arial"/>
          <w:sz w:val="18"/>
          <w:szCs w:val="18"/>
          <w:color w:val="auto"/>
        </w:rPr>
        <w:t xml:space="preserve">. As soon as practicable after any payment of Taxes by any Loan Party to a Governmental Authority pursuant to this </w:t>
      </w:r>
      <w:r>
        <w:rPr>
          <w:rFonts w:ascii="Arial" w:cs="Arial" w:eastAsia="Arial" w:hAnsi="Arial"/>
          <w:sz w:val="18"/>
          <w:szCs w:val="18"/>
          <w:u w:val="single" w:color="auto"/>
          <w:color w:val="auto"/>
        </w:rPr>
        <w:t>Section 2.8</w:t>
      </w:r>
      <w:r>
        <w:rPr>
          <w:rFonts w:ascii="Arial" w:cs="Arial" w:eastAsia="Arial" w:hAnsi="Arial"/>
          <w:sz w:val="18"/>
          <w:szCs w:val="18"/>
          <w:color w:val="auto"/>
        </w:rPr>
        <w:t>, the Borrower shall deliver to Agent the original or a certified copy of a receipt issued by such Governmental Authority evidencing such payment, a copy of the return reporting such payment or other evidence of such payment reasonably satisfactory to Agent.</w:t>
      </w:r>
    </w:p>
    <w:p>
      <w:pPr>
        <w:spacing w:after="0" w:line="183" w:lineRule="exact"/>
        <w:rPr>
          <w:rFonts w:ascii="Arial" w:cs="Arial" w:eastAsia="Arial" w:hAnsi="Arial"/>
          <w:sz w:val="18"/>
          <w:szCs w:val="18"/>
          <w:color w:val="auto"/>
        </w:rPr>
      </w:pPr>
    </w:p>
    <w:p>
      <w:pPr>
        <w:ind w:left="920" w:hanging="264"/>
        <w:spacing w:after="0"/>
        <w:tabs>
          <w:tab w:leader="none" w:pos="92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Status of Recipients; Tax Documentation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firstLine="644"/>
        <w:spacing w:after="0" w:line="269" w:lineRule="auto"/>
        <w:tabs>
          <w:tab w:leader="none" w:pos="1523" w:val="left"/>
        </w:tabs>
        <w:numPr>
          <w:ilvl w:val="1"/>
          <w:numId w:val="88"/>
        </w:numPr>
        <w:rPr>
          <w:rFonts w:ascii="Arial" w:cs="Arial" w:eastAsia="Arial" w:hAnsi="Arial"/>
          <w:sz w:val="17"/>
          <w:szCs w:val="17"/>
          <w:color w:val="auto"/>
        </w:rPr>
      </w:pPr>
      <w:r>
        <w:rPr>
          <w:rFonts w:ascii="Arial" w:cs="Arial" w:eastAsia="Arial" w:hAnsi="Arial"/>
          <w:sz w:val="17"/>
          <w:szCs w:val="17"/>
          <w:color w:val="auto"/>
        </w:rPr>
        <w:t xml:space="preserve">Any Recipient that is entitled to an exemption from or reduction of withholding Tax with respect to payments made under any Loan Document shall deliver to the applicable Withholding Agent, at the time or times reasonably requested by such Withholding Agent, such properly completed and executed documentation reasonably requested by the Withholding Agent as will permit such payments to be made without withholding or at a reduced rate of withholding. In addition, any Recipient, if reasonably requested by the applicable Withholding Agent, shall deliver such other documentation prescribed by any Requirement of Law or reasonably requested by the applicable Withholding Agent as will enable Borrower or Agent to determine whether or not such Recipient is subject to backup withholding or information reporting requirements. Notwithstanding anything to the contrary in the preceding two sentences, the completion, execution and submission of such documentation (other than the documentation in </w:t>
      </w:r>
      <w:r>
        <w:rPr>
          <w:rFonts w:ascii="Arial" w:cs="Arial" w:eastAsia="Arial" w:hAnsi="Arial"/>
          <w:sz w:val="17"/>
          <w:szCs w:val="17"/>
          <w:u w:val="single" w:color="auto"/>
          <w:color w:val="auto"/>
        </w:rPr>
        <w:t>Section 2.8(a)(ii)(A)</w:t>
      </w:r>
      <w:r>
        <w:rPr>
          <w:rFonts w:ascii="Arial" w:cs="Arial" w:eastAsia="Arial" w:hAnsi="Arial"/>
          <w:sz w:val="17"/>
          <w:szCs w:val="17"/>
          <w:color w:val="auto"/>
        </w:rPr>
        <w:t xml:space="preserve">, </w:t>
      </w:r>
      <w:r>
        <w:rPr>
          <w:rFonts w:ascii="Arial" w:cs="Arial" w:eastAsia="Arial" w:hAnsi="Arial"/>
          <w:sz w:val="17"/>
          <w:szCs w:val="17"/>
          <w:u w:val="single" w:color="auto"/>
          <w:color w:val="auto"/>
        </w:rPr>
        <w:t>(ii)(B)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(ii)(D)</w:t>
      </w:r>
      <w:r>
        <w:rPr>
          <w:rFonts w:ascii="Arial" w:cs="Arial" w:eastAsia="Arial" w:hAnsi="Arial"/>
          <w:sz w:val="17"/>
          <w:szCs w:val="17"/>
          <w:color w:val="auto"/>
        </w:rPr>
        <w:t>) shall not be required if in Recipient’s reasonable judgment such completion, execution or submission would subject such Recipient to any material unreimbursed cost or expense or would materially prejudice the legal or commercial position of such Recipient.</w:t>
      </w:r>
    </w:p>
    <w:p>
      <w:pPr>
        <w:spacing w:after="0" w:line="185" w:lineRule="exact"/>
        <w:rPr>
          <w:rFonts w:ascii="Arial" w:cs="Arial" w:eastAsia="Arial" w:hAnsi="Arial"/>
          <w:sz w:val="17"/>
          <w:szCs w:val="17"/>
          <w:color w:val="auto"/>
        </w:rPr>
      </w:pPr>
    </w:p>
    <w:p>
      <w:pPr>
        <w:ind w:left="1560" w:hanging="256"/>
        <w:spacing w:after="0"/>
        <w:tabs>
          <w:tab w:leader="none" w:pos="1560" w:val="left"/>
        </w:tabs>
        <w:numPr>
          <w:ilvl w:val="1"/>
          <w:numId w:val="88"/>
        </w:numPr>
        <w:rPr>
          <w:rFonts w:ascii="Arial" w:cs="Arial" w:eastAsia="Arial" w:hAnsi="Arial"/>
          <w:sz w:val="18"/>
          <w:szCs w:val="18"/>
          <w:color w:val="auto"/>
        </w:rPr>
      </w:pPr>
      <w:r>
        <w:rPr>
          <w:rFonts w:ascii="Arial" w:cs="Arial" w:eastAsia="Arial" w:hAnsi="Arial"/>
          <w:sz w:val="18"/>
          <w:szCs w:val="18"/>
          <w:color w:val="auto"/>
        </w:rPr>
        <w:t>Without limiting the generality of the foregoing, in the event that Borrower is a U.S. Person,</w:t>
      </w:r>
    </w:p>
    <w:p>
      <w:pPr>
        <w:spacing w:after="0" w:line="225" w:lineRule="exact"/>
        <w:rPr>
          <w:rFonts w:ascii="Arial" w:cs="Arial" w:eastAsia="Arial" w:hAnsi="Arial"/>
          <w:sz w:val="18"/>
          <w:szCs w:val="18"/>
          <w:color w:val="auto"/>
        </w:rPr>
      </w:pPr>
    </w:p>
    <w:p>
      <w:pPr>
        <w:jc w:val="both"/>
        <w:ind w:left="1300" w:firstLine="652"/>
        <w:spacing w:after="0" w:line="259" w:lineRule="auto"/>
        <w:tabs>
          <w:tab w:leader="none" w:pos="2256" w:val="left"/>
        </w:tabs>
        <w:numPr>
          <w:ilvl w:val="2"/>
          <w:numId w:val="88"/>
        </w:numPr>
        <w:rPr>
          <w:rFonts w:ascii="Arial" w:cs="Arial" w:eastAsia="Arial" w:hAnsi="Arial"/>
          <w:sz w:val="18"/>
          <w:szCs w:val="18"/>
          <w:color w:val="auto"/>
        </w:rPr>
      </w:pPr>
      <w:r>
        <w:rPr>
          <w:rFonts w:ascii="Arial" w:cs="Arial" w:eastAsia="Arial" w:hAnsi="Arial"/>
          <w:sz w:val="18"/>
          <w:szCs w:val="18"/>
          <w:color w:val="auto"/>
        </w:rPr>
        <w:t>Any Recipient that is a U.S. Person shall deliver to Borrower and Agent on or prior to the date on which such Recipient becomes a Recipient under this Agreement (and from time to time thereafter upon the reasonable request of the applicable Withholding Agent) properly completed and duly executed copies of IRS Form W-9 (or any successor or other applicable form) certifying that such Recipient is exempt from U.S. federal backup withholding tax.</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20" w:type="dxa"/>
            <w:vAlign w:val="bottom"/>
            <w:tcBorders>
              <w:bottom w:val="single" w:sz="8" w:color="auto"/>
            </w:tcBorders>
          </w:tcPr>
          <w:p>
            <w:pPr>
              <w:jc w:val="right"/>
              <w:ind w:right="5350"/>
              <w:spacing w:after="0"/>
              <w:rPr>
                <w:sz w:val="20"/>
                <w:szCs w:val="20"/>
                <w:color w:val="auto"/>
              </w:rPr>
            </w:pPr>
            <w:r>
              <w:rPr>
                <w:rFonts w:ascii="Arial" w:cs="Arial" w:eastAsia="Arial" w:hAnsi="Arial"/>
                <w:sz w:val="18"/>
                <w:szCs w:val="18"/>
                <w:color w:val="auto"/>
              </w:rPr>
              <w:t>35</w:t>
            </w:r>
          </w:p>
        </w:tc>
      </w:tr>
    </w:tbl>
    <w:p>
      <w:pPr>
        <w:sectPr>
          <w:pgSz w:w="11900" w:h="16838" w:orient="portrait"/>
          <w:cols w:equalWidth="0" w:num="1">
            <w:col w:w="11240"/>
          </w:cols>
          <w:pgMar w:left="320" w:top="908" w:right="339" w:bottom="1440" w:gutter="0" w:footer="0" w:header="0"/>
        </w:sectPr>
      </w:pPr>
    </w:p>
    <w:bookmarkStart w:id="112" w:name="page113"/>
    <w:bookmarkEnd w:id="112"/>
    <w:p>
      <w:pPr>
        <w:jc w:val="both"/>
        <w:ind w:left="1300" w:firstLine="652"/>
        <w:spacing w:after="0" w:line="259" w:lineRule="auto"/>
        <w:tabs>
          <w:tab w:leader="none" w:pos="2233"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Any Foreign Recipient shall, to the extent it is legally entitled to do so, deliver to Borrower and Agent (in such number of copies as shall be requested by the recipient) on or prior to the date on which such Foreign Recipient becomes a Recipient under this Agreement (and from time to time thereafter upon the reasonable request of the applicable Withholding Agent), whichever of the following is applicable:</w:t>
      </w:r>
    </w:p>
    <w:p>
      <w:pPr>
        <w:spacing w:after="0" w:line="186" w:lineRule="exact"/>
        <w:rPr>
          <w:rFonts w:ascii="Arial" w:cs="Arial" w:eastAsia="Arial" w:hAnsi="Arial"/>
          <w:sz w:val="18"/>
          <w:szCs w:val="18"/>
          <w:color w:val="auto"/>
        </w:rPr>
      </w:pPr>
    </w:p>
    <w:p>
      <w:pPr>
        <w:jc w:val="both"/>
        <w:ind w:left="1960" w:firstLine="640"/>
        <w:spacing w:after="0" w:line="311" w:lineRule="auto"/>
        <w:tabs>
          <w:tab w:leader="none" w:pos="2863" w:val="left"/>
        </w:tabs>
        <w:numPr>
          <w:ilvl w:val="1"/>
          <w:numId w:val="89"/>
        </w:numPr>
        <w:rPr>
          <w:rFonts w:ascii="Arial" w:cs="Arial" w:eastAsia="Arial" w:hAnsi="Arial"/>
          <w:sz w:val="16"/>
          <w:szCs w:val="16"/>
          <w:color w:val="auto"/>
        </w:rPr>
      </w:pPr>
      <w:r>
        <w:rPr>
          <w:rFonts w:ascii="Arial" w:cs="Arial" w:eastAsia="Arial" w:hAnsi="Arial"/>
          <w:sz w:val="16"/>
          <w:szCs w:val="16"/>
          <w:color w:val="auto"/>
        </w:rPr>
        <w:t>in the case of a Foreign Recipient claiming the benefits of an income tax treaty to which the United States is a party, properly completed and executed copies of IRS Form W-8BEN or W-8BEN-E (or successor forms), as applicable, establishing an exemption from, or reduction of, U.S. federal withholding Tax pursuant to the applicable provisions of the income tax treaty;</w:t>
      </w:r>
    </w:p>
    <w:p>
      <w:pPr>
        <w:spacing w:after="0" w:line="148" w:lineRule="exact"/>
        <w:rPr>
          <w:rFonts w:ascii="Arial" w:cs="Arial" w:eastAsia="Arial" w:hAnsi="Arial"/>
          <w:sz w:val="16"/>
          <w:szCs w:val="16"/>
          <w:color w:val="auto"/>
        </w:rPr>
      </w:pPr>
    </w:p>
    <w:p>
      <w:pPr>
        <w:ind w:left="2860" w:hanging="260"/>
        <w:spacing w:after="0"/>
        <w:tabs>
          <w:tab w:leader="none" w:pos="2860" w:val="left"/>
        </w:tabs>
        <w:numPr>
          <w:ilvl w:val="1"/>
          <w:numId w:val="89"/>
        </w:numPr>
        <w:rPr>
          <w:rFonts w:ascii="Arial" w:cs="Arial" w:eastAsia="Arial" w:hAnsi="Arial"/>
          <w:sz w:val="18"/>
          <w:szCs w:val="18"/>
          <w:color w:val="auto"/>
        </w:rPr>
      </w:pPr>
      <w:r>
        <w:rPr>
          <w:rFonts w:ascii="Arial" w:cs="Arial" w:eastAsia="Arial" w:hAnsi="Arial"/>
          <w:sz w:val="18"/>
          <w:szCs w:val="18"/>
          <w:color w:val="auto"/>
        </w:rPr>
        <w:t>properly completed and executed copies of IRS Form W-8ECI (or successor form);</w:t>
      </w:r>
    </w:p>
    <w:p>
      <w:pPr>
        <w:spacing w:after="0" w:line="225" w:lineRule="exact"/>
        <w:rPr>
          <w:rFonts w:ascii="Arial" w:cs="Arial" w:eastAsia="Arial" w:hAnsi="Arial"/>
          <w:sz w:val="18"/>
          <w:szCs w:val="18"/>
          <w:color w:val="auto"/>
        </w:rPr>
      </w:pPr>
    </w:p>
    <w:p>
      <w:pPr>
        <w:jc w:val="both"/>
        <w:ind w:left="1960" w:firstLine="640"/>
        <w:spacing w:after="0" w:line="255" w:lineRule="auto"/>
        <w:tabs>
          <w:tab w:leader="none" w:pos="2863" w:val="left"/>
        </w:tabs>
        <w:numPr>
          <w:ilvl w:val="1"/>
          <w:numId w:val="89"/>
        </w:numPr>
        <w:rPr>
          <w:rFonts w:ascii="Arial" w:cs="Arial" w:eastAsia="Arial" w:hAnsi="Arial"/>
          <w:sz w:val="18"/>
          <w:szCs w:val="18"/>
          <w:color w:val="auto"/>
        </w:rPr>
      </w:pPr>
      <w:r>
        <w:rPr>
          <w:rFonts w:ascii="Arial" w:cs="Arial" w:eastAsia="Arial" w:hAnsi="Arial"/>
          <w:sz w:val="18"/>
          <w:szCs w:val="18"/>
          <w:color w:val="auto"/>
        </w:rPr>
        <w:t>in the case of a Foreign Recipient claiming the benefits of the exemption for portfolio interest under Section 871(h) or Section 881(c) of the Code, (x) a certificate to the effect that such Foreign Recipient is not a “bank” within the meaning of Section 881(c)(3)(A) of the Code, a “10 percent shareholder” of any Loan Party within the meaning of Section 881(c)(3)(B) of the Code, or a “controlled foreign corporation” described in Section 881(c)(3)(C) of the Code (a “</w:t>
      </w:r>
      <w:r>
        <w:rPr>
          <w:rFonts w:ascii="Arial" w:cs="Arial" w:eastAsia="Arial" w:hAnsi="Arial"/>
          <w:sz w:val="18"/>
          <w:szCs w:val="18"/>
          <w:b w:val="1"/>
          <w:bCs w:val="1"/>
          <w:i w:val="1"/>
          <w:iCs w:val="1"/>
          <w:color w:val="auto"/>
        </w:rPr>
        <w:t>U.S. Tax Compliance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Certificate</w:t>
      </w:r>
      <w:r>
        <w:rPr>
          <w:rFonts w:ascii="Arial" w:cs="Arial" w:eastAsia="Arial" w:hAnsi="Arial"/>
          <w:sz w:val="18"/>
          <w:szCs w:val="18"/>
          <w:color w:val="auto"/>
        </w:rPr>
        <w:t>”) and (y) properly completed and executed copies of IRS Form W-8BEN or W-8BEN-E (or successor forms),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applicable; or</w:t>
      </w:r>
    </w:p>
    <w:p>
      <w:pPr>
        <w:spacing w:after="0" w:line="192" w:lineRule="exact"/>
        <w:rPr>
          <w:rFonts w:ascii="Arial" w:cs="Arial" w:eastAsia="Arial" w:hAnsi="Arial"/>
          <w:sz w:val="18"/>
          <w:szCs w:val="18"/>
          <w:color w:val="auto"/>
        </w:rPr>
      </w:pPr>
    </w:p>
    <w:p>
      <w:pPr>
        <w:jc w:val="both"/>
        <w:ind w:left="1960" w:firstLine="640"/>
        <w:spacing w:after="0" w:line="273" w:lineRule="auto"/>
        <w:tabs>
          <w:tab w:leader="none" w:pos="2863" w:val="left"/>
        </w:tabs>
        <w:numPr>
          <w:ilvl w:val="1"/>
          <w:numId w:val="89"/>
        </w:numPr>
        <w:rPr>
          <w:rFonts w:ascii="Arial" w:cs="Arial" w:eastAsia="Arial" w:hAnsi="Arial"/>
          <w:sz w:val="17"/>
          <w:szCs w:val="17"/>
          <w:color w:val="auto"/>
        </w:rPr>
      </w:pPr>
      <w:r>
        <w:rPr>
          <w:rFonts w:ascii="Arial" w:cs="Arial" w:eastAsia="Arial" w:hAnsi="Arial"/>
          <w:sz w:val="17"/>
          <w:szCs w:val="17"/>
          <w:color w:val="auto"/>
        </w:rPr>
        <w:t>to the extent a Foreign Recipient is not the beneficial owner, properly completed and executed copies of IRS Form W-8IMY, accompanied by IRS Form W-8ECI, W-8BEN, W-8BEN-E, a U.S. Tax Compliance Certificate, IRS Form W-9, and/or other certification documents from each beneficial owner, as applicable, in a form reasonably acceptable to Borrower; provided that if the Foreign Recipient is a partnership and one or more direct or indirect partners of such Foreign Recipient are claiming the portfolio interest exemption, such Foreign Recipient may provide in a form reasonable acceptable to Borrower a U.S. Tax Compliance Certificate on behalf of each such direct and indirect partner(s).</w:t>
      </w:r>
    </w:p>
    <w:p>
      <w:pPr>
        <w:spacing w:after="0" w:line="177" w:lineRule="exact"/>
        <w:rPr>
          <w:rFonts w:ascii="Arial" w:cs="Arial" w:eastAsia="Arial" w:hAnsi="Arial"/>
          <w:sz w:val="17"/>
          <w:szCs w:val="17"/>
          <w:color w:val="auto"/>
        </w:rPr>
      </w:pPr>
    </w:p>
    <w:p>
      <w:pPr>
        <w:jc w:val="both"/>
        <w:ind w:left="1300" w:firstLine="652"/>
        <w:spacing w:after="0" w:line="255" w:lineRule="auto"/>
        <w:tabs>
          <w:tab w:leader="none" w:pos="2233"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any Foreign Recipient shall, to the extent it is legally entitled to do so, deliver to Borrower and Agent (in such number of copies as shall be requested by the recipient) on or about the date on which such Foreign Recipient becomes a Recipient under this Agreement (and from time to time thereafter upon the reasonable request of Borrower or Agent), executed copies of any other form prescribed by a Requirement of Law as a basis for claiming exemption from or a reduction in U.S. federal withholding Tax, duly completed, together with such supplementary documentation as may be prescribed by Requirement of Law to permit Borrower or Agent to determine the withholding or deduction required to be made.</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20" w:type="dxa"/>
            <w:vAlign w:val="bottom"/>
            <w:tcBorders>
              <w:bottom w:val="single" w:sz="8" w:color="auto"/>
            </w:tcBorders>
          </w:tcPr>
          <w:p>
            <w:pPr>
              <w:jc w:val="right"/>
              <w:ind w:right="5350"/>
              <w:spacing w:after="0"/>
              <w:rPr>
                <w:sz w:val="20"/>
                <w:szCs w:val="20"/>
                <w:color w:val="auto"/>
              </w:rPr>
            </w:pPr>
            <w:r>
              <w:rPr>
                <w:rFonts w:ascii="Arial" w:cs="Arial" w:eastAsia="Arial" w:hAnsi="Arial"/>
                <w:sz w:val="18"/>
                <w:szCs w:val="18"/>
                <w:color w:val="auto"/>
              </w:rPr>
              <w:t>36</w:t>
            </w:r>
          </w:p>
        </w:tc>
      </w:tr>
    </w:tbl>
    <w:p>
      <w:pPr>
        <w:sectPr>
          <w:pgSz w:w="11900" w:h="16838" w:orient="portrait"/>
          <w:cols w:equalWidth="0" w:num="1">
            <w:col w:w="11240"/>
          </w:cols>
          <w:pgMar w:left="320" w:top="908" w:right="339" w:bottom="1440" w:gutter="0" w:footer="0" w:header="0"/>
        </w:sectPr>
      </w:pPr>
    </w:p>
    <w:bookmarkStart w:id="113" w:name="page114"/>
    <w:bookmarkEnd w:id="113"/>
    <w:p>
      <w:pPr>
        <w:jc w:val="both"/>
        <w:ind w:left="1300" w:firstLine="652"/>
        <w:spacing w:after="0" w:line="270" w:lineRule="auto"/>
        <w:tabs>
          <w:tab w:leader="none" w:pos="2243" w:val="left"/>
        </w:tabs>
        <w:numPr>
          <w:ilvl w:val="2"/>
          <w:numId w:val="90"/>
        </w:numPr>
        <w:rPr>
          <w:rFonts w:ascii="Arial" w:cs="Arial" w:eastAsia="Arial" w:hAnsi="Arial"/>
          <w:sz w:val="17"/>
          <w:szCs w:val="17"/>
          <w:color w:val="auto"/>
        </w:rPr>
      </w:pPr>
      <w:r>
        <w:rPr>
          <w:rFonts w:ascii="Arial" w:cs="Arial" w:eastAsia="Arial" w:hAnsi="Arial"/>
          <w:sz w:val="17"/>
          <w:szCs w:val="17"/>
          <w:color w:val="auto"/>
        </w:rPr>
        <w:t xml:space="preserve">If a payment made to a Recipient under any Loan Document would be subject to U.S. federal withholding Tax imposed by FATCA if such Recipient were to fail to comply with the applicable reporting requirements of FATCA (including those contained in Section 1471(b) or 1472(b) of the Code, as applicable), such Recipient shall deliver to the applicable Withholding Agent at the time or times prescribed by Requirement of Law and at such time or times reasonably requested by such Withholding Agent such documentation prescribed by any Requirement of Law (including as prescribed by Section 1471(b)(3)(C)(i) of the Code) and such additional documentation reasonably requested by the Withholding Agent as may be necessary for the Withholding Agent to comply with their obligations under FATCA and to determine that such Recipient has complied with such Recipient’s obligations under FATCA or to determine the amount, if any, to deduct and withhold from such payment. Solely for purposes of this </w:t>
      </w:r>
      <w:r>
        <w:rPr>
          <w:rFonts w:ascii="Arial" w:cs="Arial" w:eastAsia="Arial" w:hAnsi="Arial"/>
          <w:sz w:val="17"/>
          <w:szCs w:val="17"/>
          <w:u w:val="single" w:color="auto"/>
          <w:color w:val="auto"/>
        </w:rPr>
        <w:t>Section 2.8(g)(ii)(D</w:t>
      </w:r>
      <w:r>
        <w:rPr>
          <w:rFonts w:ascii="Arial" w:cs="Arial" w:eastAsia="Arial" w:hAnsi="Arial"/>
          <w:sz w:val="17"/>
          <w:szCs w:val="17"/>
          <w:color w:val="auto"/>
        </w:rPr>
        <w:t>), “FATCA” shall include any amendments made to FATCA after the date of this Agreement.</w:t>
      </w:r>
    </w:p>
    <w:p>
      <w:pPr>
        <w:spacing w:after="0" w:line="180" w:lineRule="exact"/>
        <w:rPr>
          <w:rFonts w:ascii="Arial" w:cs="Arial" w:eastAsia="Arial" w:hAnsi="Arial"/>
          <w:sz w:val="17"/>
          <w:szCs w:val="17"/>
          <w:color w:val="auto"/>
        </w:rPr>
      </w:pPr>
    </w:p>
    <w:p>
      <w:pPr>
        <w:jc w:val="both"/>
        <w:ind w:left="660" w:firstLine="644"/>
        <w:spacing w:after="0" w:line="263" w:lineRule="auto"/>
        <w:tabs>
          <w:tab w:leader="none" w:pos="1623" w:val="left"/>
        </w:tabs>
        <w:numPr>
          <w:ilvl w:val="1"/>
          <w:numId w:val="91"/>
        </w:numPr>
        <w:rPr>
          <w:rFonts w:ascii="Arial" w:cs="Arial" w:eastAsia="Arial" w:hAnsi="Arial"/>
          <w:sz w:val="18"/>
          <w:szCs w:val="18"/>
          <w:color w:val="auto"/>
        </w:rPr>
      </w:pPr>
      <w:r>
        <w:rPr>
          <w:rFonts w:ascii="Arial" w:cs="Arial" w:eastAsia="Arial" w:hAnsi="Arial"/>
          <w:sz w:val="18"/>
          <w:szCs w:val="18"/>
          <w:color w:val="auto"/>
        </w:rPr>
        <w:t xml:space="preserve">Each Recipient agrees that if any form or certification it previously delivered under this </w:t>
      </w:r>
      <w:r>
        <w:rPr>
          <w:rFonts w:ascii="Arial" w:cs="Arial" w:eastAsia="Arial" w:hAnsi="Arial"/>
          <w:sz w:val="18"/>
          <w:szCs w:val="18"/>
          <w:u w:val="single" w:color="auto"/>
          <w:color w:val="auto"/>
        </w:rPr>
        <w:t>Section 2.8(g)</w:t>
      </w:r>
      <w:r>
        <w:rPr>
          <w:rFonts w:ascii="Arial" w:cs="Arial" w:eastAsia="Arial" w:hAnsi="Arial"/>
          <w:sz w:val="18"/>
          <w:szCs w:val="18"/>
          <w:color w:val="auto"/>
        </w:rPr>
        <w:t xml:space="preserve"> expires or becomes obsolete or inaccurate in any respect, it shall update such form or certification or promptly notify the applicable Withholding Agent in writing of its legal inability to do so.</w:t>
      </w:r>
    </w:p>
    <w:p>
      <w:pPr>
        <w:spacing w:after="0" w:line="183" w:lineRule="exact"/>
        <w:rPr>
          <w:rFonts w:ascii="Arial" w:cs="Arial" w:eastAsia="Arial" w:hAnsi="Arial"/>
          <w:sz w:val="18"/>
          <w:szCs w:val="18"/>
          <w:color w:val="auto"/>
        </w:rPr>
      </w:pPr>
    </w:p>
    <w:p>
      <w:pPr>
        <w:jc w:val="both"/>
        <w:ind w:firstLine="656"/>
        <w:spacing w:after="0" w:line="287" w:lineRule="auto"/>
        <w:tabs>
          <w:tab w:leader="none" w:pos="903" w:val="left"/>
        </w:tabs>
        <w:numPr>
          <w:ilvl w:val="0"/>
          <w:numId w:val="92"/>
        </w:numPr>
        <w:rPr>
          <w:rFonts w:ascii="Arial" w:cs="Arial" w:eastAsia="Arial" w:hAnsi="Arial"/>
          <w:sz w:val="16"/>
          <w:szCs w:val="16"/>
          <w:color w:val="auto"/>
        </w:rPr>
      </w:pPr>
      <w:r>
        <w:rPr>
          <w:rFonts w:ascii="Arial" w:cs="Arial" w:eastAsia="Arial" w:hAnsi="Arial"/>
          <w:sz w:val="16"/>
          <w:szCs w:val="16"/>
          <w:u w:val="single" w:color="auto"/>
          <w:color w:val="auto"/>
        </w:rPr>
        <w:t>Treatment of Certain Refunds</w:t>
      </w:r>
      <w:r>
        <w:rPr>
          <w:rFonts w:ascii="Arial" w:cs="Arial" w:eastAsia="Arial" w:hAnsi="Arial"/>
          <w:sz w:val="16"/>
          <w:szCs w:val="16"/>
          <w:color w:val="auto"/>
        </w:rPr>
        <w:t xml:space="preserve">. If any Recipient determines, in its sole discretion exercised in good faith, that it has received a refund of any Taxes as to which it has been indemnified by any Loan Party pursuant to this </w:t>
      </w:r>
      <w:r>
        <w:rPr>
          <w:rFonts w:ascii="Arial" w:cs="Arial" w:eastAsia="Arial" w:hAnsi="Arial"/>
          <w:sz w:val="16"/>
          <w:szCs w:val="16"/>
          <w:u w:val="single" w:color="auto"/>
          <w:color w:val="auto"/>
        </w:rPr>
        <w:t>Section 2.8</w:t>
      </w:r>
      <w:r>
        <w:rPr>
          <w:rFonts w:ascii="Arial" w:cs="Arial" w:eastAsia="Arial" w:hAnsi="Arial"/>
          <w:sz w:val="16"/>
          <w:szCs w:val="16"/>
          <w:color w:val="auto"/>
        </w:rPr>
        <w:t xml:space="preserve"> (including by the payment of additional amounts pursuant to this </w:t>
      </w:r>
      <w:r>
        <w:rPr>
          <w:rFonts w:ascii="Arial" w:cs="Arial" w:eastAsia="Arial" w:hAnsi="Arial"/>
          <w:sz w:val="16"/>
          <w:szCs w:val="16"/>
          <w:u w:val="single" w:color="auto"/>
          <w:color w:val="auto"/>
        </w:rPr>
        <w:t>Section 2.8</w:t>
      </w:r>
      <w:r>
        <w:rPr>
          <w:rFonts w:ascii="Arial" w:cs="Arial" w:eastAsia="Arial" w:hAnsi="Arial"/>
          <w:sz w:val="16"/>
          <w:szCs w:val="16"/>
          <w:color w:val="auto"/>
        </w:rPr>
        <w:t xml:space="preserve">), it shall pay to such Loan Party an amount equal to such refund (but only to the extent of indemnity payments made under this </w:t>
      </w:r>
      <w:r>
        <w:rPr>
          <w:rFonts w:ascii="Arial" w:cs="Arial" w:eastAsia="Arial" w:hAnsi="Arial"/>
          <w:sz w:val="16"/>
          <w:szCs w:val="16"/>
          <w:u w:val="single" w:color="auto"/>
          <w:color w:val="auto"/>
        </w:rPr>
        <w:t>Section 2.8</w:t>
      </w:r>
      <w:r>
        <w:rPr>
          <w:rFonts w:ascii="Arial" w:cs="Arial" w:eastAsia="Arial" w:hAnsi="Arial"/>
          <w:sz w:val="16"/>
          <w:szCs w:val="16"/>
          <w:color w:val="auto"/>
        </w:rPr>
        <w:t xml:space="preserve"> with respect to the Taxes giving rise to such refund), net of all out-of-pocket expenses (including Taxes) incurred by such Recipient and without interest (other than any interest paid by the relevant Governmental Authority with respect to such refund); provided that each Loan Party, upon the request of the Recipient, shall repay to the Recipient the amount paid over to such Loan Party by such Recipient pursuant to this </w:t>
      </w:r>
      <w:r>
        <w:rPr>
          <w:rFonts w:ascii="Arial" w:cs="Arial" w:eastAsia="Arial" w:hAnsi="Arial"/>
          <w:sz w:val="16"/>
          <w:szCs w:val="16"/>
          <w:u w:val="single" w:color="auto"/>
          <w:color w:val="auto"/>
        </w:rPr>
        <w:t>Section 2.8(h)</w:t>
      </w:r>
      <w:r>
        <w:rPr>
          <w:rFonts w:ascii="Arial" w:cs="Arial" w:eastAsia="Arial" w:hAnsi="Arial"/>
          <w:sz w:val="16"/>
          <w:szCs w:val="16"/>
          <w:color w:val="auto"/>
        </w:rPr>
        <w:t xml:space="preserv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any penalties, interest or other charges imposed by the relevant Governmental Authority) in the event that the Recipient is required to repay such refund to such Governmental Authority. Notwithstanding anything to the contrary in this </w:t>
      </w:r>
      <w:r>
        <w:rPr>
          <w:rFonts w:ascii="Arial" w:cs="Arial" w:eastAsia="Arial" w:hAnsi="Arial"/>
          <w:sz w:val="16"/>
          <w:szCs w:val="16"/>
          <w:u w:val="single" w:color="auto"/>
          <w:color w:val="auto"/>
        </w:rPr>
        <w:t>Section 2.8(h)</w:t>
      </w:r>
      <w:r>
        <w:rPr>
          <w:rFonts w:ascii="Arial" w:cs="Arial" w:eastAsia="Arial" w:hAnsi="Arial"/>
          <w:sz w:val="16"/>
          <w:szCs w:val="16"/>
          <w:color w:val="auto"/>
        </w:rPr>
        <w:t xml:space="preserve">, in no event will any Recipient be required to pay any amount to any Loan Party pursuant to this </w:t>
      </w:r>
      <w:r>
        <w:rPr>
          <w:rFonts w:ascii="Arial" w:cs="Arial" w:eastAsia="Arial" w:hAnsi="Arial"/>
          <w:sz w:val="16"/>
          <w:szCs w:val="16"/>
          <w:u w:val="single" w:color="auto"/>
          <w:color w:val="auto"/>
        </w:rPr>
        <w:t>Section 2.8(h)</w:t>
      </w:r>
      <w:r>
        <w:rPr>
          <w:rFonts w:ascii="Arial" w:cs="Arial" w:eastAsia="Arial" w:hAnsi="Arial"/>
          <w:sz w:val="16"/>
          <w:szCs w:val="16"/>
          <w:color w:val="auto"/>
        </w:rPr>
        <w:t xml:space="preserve">, the payment of which would place the Recipient in a less favorable net after-Tax position than the Recipient would have been in if the Tax subject to indemnification and giving rise to such refund had not been deducted, withheld or otherwise imposed and the indemnification payments or additional amounts with respect to such Tax had never been paid. This </w:t>
      </w:r>
      <w:r>
        <w:rPr>
          <w:rFonts w:ascii="Arial" w:cs="Arial" w:eastAsia="Arial" w:hAnsi="Arial"/>
          <w:sz w:val="16"/>
          <w:szCs w:val="16"/>
          <w:u w:val="single" w:color="auto"/>
          <w:color w:val="auto"/>
        </w:rPr>
        <w:t>Section 2.8(h)</w:t>
      </w:r>
      <w:r>
        <w:rPr>
          <w:rFonts w:ascii="Arial" w:cs="Arial" w:eastAsia="Arial" w:hAnsi="Arial"/>
          <w:sz w:val="16"/>
          <w:szCs w:val="16"/>
          <w:color w:val="auto"/>
        </w:rPr>
        <w:t xml:space="preserve"> shall not be construed to require any Recipient to make available its Tax returns (or any other information relating to its Taxes that it deems confidential) to a Loan Party or any other Person.</w:t>
      </w:r>
    </w:p>
    <w:p>
      <w:pPr>
        <w:spacing w:after="0" w:line="167" w:lineRule="exact"/>
        <w:rPr>
          <w:rFonts w:ascii="Arial" w:cs="Arial" w:eastAsia="Arial" w:hAnsi="Arial"/>
          <w:sz w:val="16"/>
          <w:szCs w:val="16"/>
          <w:color w:val="auto"/>
        </w:rPr>
      </w:pPr>
    </w:p>
    <w:p>
      <w:pPr>
        <w:ind w:right="20" w:firstLine="656"/>
        <w:spacing w:after="0" w:line="342" w:lineRule="auto"/>
        <w:tabs>
          <w:tab w:leader="none" w:pos="863" w:val="left"/>
        </w:tabs>
        <w:numPr>
          <w:ilvl w:val="0"/>
          <w:numId w:val="92"/>
        </w:numPr>
        <w:rPr>
          <w:rFonts w:ascii="Arial" w:cs="Arial" w:eastAsia="Arial" w:hAnsi="Arial"/>
          <w:sz w:val="16"/>
          <w:szCs w:val="16"/>
          <w:color w:val="auto"/>
        </w:rPr>
      </w:pPr>
      <w:r>
        <w:rPr>
          <w:rFonts w:ascii="Arial" w:cs="Arial" w:eastAsia="Arial" w:hAnsi="Arial"/>
          <w:sz w:val="16"/>
          <w:szCs w:val="16"/>
          <w:u w:val="single" w:color="auto"/>
          <w:color w:val="auto"/>
        </w:rPr>
        <w:t>Survival</w:t>
      </w:r>
      <w:r>
        <w:rPr>
          <w:rFonts w:ascii="Arial" w:cs="Arial" w:eastAsia="Arial" w:hAnsi="Arial"/>
          <w:sz w:val="16"/>
          <w:szCs w:val="16"/>
          <w:color w:val="auto"/>
        </w:rPr>
        <w:t xml:space="preserve">. Each party’s obligations under this </w:t>
      </w:r>
      <w:r>
        <w:rPr>
          <w:rFonts w:ascii="Arial" w:cs="Arial" w:eastAsia="Arial" w:hAnsi="Arial"/>
          <w:sz w:val="16"/>
          <w:szCs w:val="16"/>
          <w:u w:val="single" w:color="auto"/>
          <w:color w:val="auto"/>
        </w:rPr>
        <w:t>Section 2.8</w:t>
      </w:r>
      <w:r>
        <w:rPr>
          <w:rFonts w:ascii="Arial" w:cs="Arial" w:eastAsia="Arial" w:hAnsi="Arial"/>
          <w:sz w:val="16"/>
          <w:szCs w:val="16"/>
          <w:color w:val="auto"/>
        </w:rPr>
        <w:t xml:space="preserve"> shall survive the resignation or replacement of Agent or any assignment of rights by, or the replacement of, a Lender, the termination of the Term Loan Commitments and the repayment, satisfaction or discharge of all other Obligations.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20" w:type="dxa"/>
            <w:vAlign w:val="bottom"/>
            <w:tcBorders>
              <w:bottom w:val="single" w:sz="8" w:color="auto"/>
            </w:tcBorders>
          </w:tcPr>
          <w:p>
            <w:pPr>
              <w:jc w:val="right"/>
              <w:ind w:right="5350"/>
              <w:spacing w:after="0"/>
              <w:rPr>
                <w:sz w:val="20"/>
                <w:szCs w:val="20"/>
                <w:color w:val="auto"/>
              </w:rPr>
            </w:pPr>
            <w:r>
              <w:rPr>
                <w:rFonts w:ascii="Arial" w:cs="Arial" w:eastAsia="Arial" w:hAnsi="Arial"/>
                <w:sz w:val="18"/>
                <w:szCs w:val="18"/>
                <w:color w:val="auto"/>
              </w:rPr>
              <w:t>37</w:t>
            </w:r>
          </w:p>
        </w:tc>
      </w:tr>
    </w:tbl>
    <w:p>
      <w:pPr>
        <w:sectPr>
          <w:pgSz w:w="11900" w:h="16838" w:orient="portrait"/>
          <w:cols w:equalWidth="0" w:num="1">
            <w:col w:w="11240"/>
          </w:cols>
          <w:pgMar w:left="320" w:top="908" w:right="339" w:bottom="1440" w:gutter="0" w:footer="0" w:header="0"/>
        </w:sectPr>
      </w:pPr>
    </w:p>
    <w:bookmarkStart w:id="114" w:name="page115"/>
    <w:bookmarkEnd w:id="114"/>
    <w:p>
      <w:pPr>
        <w:ind w:left="660"/>
        <w:spacing w:after="0"/>
        <w:rPr>
          <w:sz w:val="20"/>
          <w:szCs w:val="20"/>
          <w:color w:val="auto"/>
        </w:rPr>
      </w:pPr>
      <w:r>
        <w:rPr>
          <w:rFonts w:ascii="Arial" w:cs="Arial" w:eastAsia="Arial" w:hAnsi="Arial"/>
          <w:sz w:val="18"/>
          <w:szCs w:val="18"/>
          <w:b w:val="1"/>
          <w:bCs w:val="1"/>
          <w:color w:val="auto"/>
        </w:rPr>
        <w:t>2.9 Collections</w:t>
      </w:r>
      <w:r>
        <w:rPr>
          <w:rFonts w:ascii="Arial" w:cs="Arial" w:eastAsia="Arial" w:hAnsi="Arial"/>
          <w:sz w:val="18"/>
          <w:szCs w:val="18"/>
          <w:color w:val="auto"/>
        </w:rPr>
        <w:t>. Each Loan Party shall and shall cause each of its Subsidiaries (other than its Immaterial Subsidiaries) to:</w:t>
      </w:r>
    </w:p>
    <w:p>
      <w:pPr>
        <w:spacing w:after="0" w:line="229" w:lineRule="exact"/>
        <w:rPr>
          <w:sz w:val="20"/>
          <w:szCs w:val="20"/>
          <w:color w:val="auto"/>
        </w:rPr>
      </w:pPr>
    </w:p>
    <w:p>
      <w:pPr>
        <w:ind w:firstLine="656"/>
        <w:spacing w:after="0" w:line="277" w:lineRule="auto"/>
        <w:tabs>
          <w:tab w:leader="none" w:pos="919" w:val="left"/>
        </w:tabs>
        <w:numPr>
          <w:ilvl w:val="0"/>
          <w:numId w:val="93"/>
        </w:numPr>
        <w:rPr>
          <w:rFonts w:ascii="Arial" w:cs="Arial" w:eastAsia="Arial" w:hAnsi="Arial"/>
          <w:sz w:val="18"/>
          <w:szCs w:val="18"/>
          <w:color w:val="auto"/>
        </w:rPr>
      </w:pPr>
      <w:r>
        <w:rPr>
          <w:rFonts w:ascii="Arial" w:cs="Arial" w:eastAsia="Arial" w:hAnsi="Arial"/>
          <w:sz w:val="18"/>
          <w:szCs w:val="18"/>
          <w:color w:val="auto"/>
        </w:rPr>
        <w:t xml:space="preserve">Make (or direct any payor to make) all Collections to a Deposit Account which is, subject to </w:t>
      </w:r>
      <w:r>
        <w:rPr>
          <w:rFonts w:ascii="Arial" w:cs="Arial" w:eastAsia="Arial" w:hAnsi="Arial"/>
          <w:sz w:val="18"/>
          <w:szCs w:val="18"/>
          <w:u w:val="single" w:color="auto"/>
          <w:color w:val="auto"/>
        </w:rPr>
        <w:t>Section 5.13(b)</w:t>
      </w:r>
      <w:r>
        <w:rPr>
          <w:rFonts w:ascii="Arial" w:cs="Arial" w:eastAsia="Arial" w:hAnsi="Arial"/>
          <w:sz w:val="18"/>
          <w:szCs w:val="18"/>
          <w:color w:val="auto"/>
        </w:rPr>
        <w:t>, the subject to a Control Agreement (a “</w:t>
      </w:r>
      <w:r>
        <w:rPr>
          <w:rFonts w:ascii="Arial" w:cs="Arial" w:eastAsia="Arial" w:hAnsi="Arial"/>
          <w:sz w:val="18"/>
          <w:szCs w:val="18"/>
          <w:b w:val="1"/>
          <w:bCs w:val="1"/>
          <w:i w:val="1"/>
          <w:iCs w:val="1"/>
          <w:color w:val="auto"/>
        </w:rPr>
        <w:t>Controlled Account</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firstLine="656"/>
        <w:spacing w:after="0" w:line="263" w:lineRule="auto"/>
        <w:tabs>
          <w:tab w:leader="none" w:pos="903" w:val="left"/>
        </w:tabs>
        <w:numPr>
          <w:ilvl w:val="0"/>
          <w:numId w:val="93"/>
        </w:numPr>
        <w:rPr>
          <w:rFonts w:ascii="Arial" w:cs="Arial" w:eastAsia="Arial" w:hAnsi="Arial"/>
          <w:sz w:val="18"/>
          <w:szCs w:val="18"/>
          <w:color w:val="auto"/>
        </w:rPr>
      </w:pPr>
      <w:r>
        <w:rPr>
          <w:rFonts w:ascii="Arial" w:cs="Arial" w:eastAsia="Arial" w:hAnsi="Arial"/>
          <w:sz w:val="18"/>
          <w:szCs w:val="18"/>
          <w:color w:val="auto"/>
        </w:rPr>
        <w:t>If any Loan Party shall receive any Collections in any manner other than by deposit into the Controlled Account, such Loan Party shall hold such Collections in trust for the benefit of Agent and deposit such Collections into the Controlled Account within three (3) Business Days following such Loan Party’s receipt thereof; and</w:t>
      </w:r>
    </w:p>
    <w:p>
      <w:pPr>
        <w:spacing w:after="0" w:line="183" w:lineRule="exact"/>
        <w:rPr>
          <w:rFonts w:ascii="Arial" w:cs="Arial" w:eastAsia="Arial" w:hAnsi="Arial"/>
          <w:sz w:val="18"/>
          <w:szCs w:val="18"/>
          <w:color w:val="auto"/>
        </w:rPr>
      </w:pPr>
    </w:p>
    <w:p>
      <w:pPr>
        <w:jc w:val="both"/>
        <w:ind w:firstLine="656"/>
        <w:spacing w:after="0" w:line="311" w:lineRule="auto"/>
        <w:tabs>
          <w:tab w:leader="none" w:pos="892" w:val="left"/>
        </w:tabs>
        <w:numPr>
          <w:ilvl w:val="0"/>
          <w:numId w:val="93"/>
        </w:numPr>
        <w:rPr>
          <w:rFonts w:ascii="Arial" w:cs="Arial" w:eastAsia="Arial" w:hAnsi="Arial"/>
          <w:sz w:val="16"/>
          <w:szCs w:val="16"/>
          <w:color w:val="auto"/>
        </w:rPr>
      </w:pPr>
      <w:r>
        <w:rPr>
          <w:rFonts w:ascii="Arial" w:cs="Arial" w:eastAsia="Arial" w:hAnsi="Arial"/>
          <w:sz w:val="16"/>
          <w:szCs w:val="16"/>
          <w:color w:val="auto"/>
        </w:rPr>
        <w:t>Prevent the deposit into any Deposit Account (other than Excluded Deposit Accounts) of any funds other than the funds to be deposited into such Deposit Accounts under this Agreement or the other Loan Documents (provided that, this covenant shall not be breached to the extent that funds are inadvertently deposited into any of such Deposit Accounts and are promptly segregated and removed such Deposit Account to the Controlled Account).</w:t>
      </w:r>
    </w:p>
    <w:p>
      <w:pPr>
        <w:spacing w:after="0" w:line="14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2.10 Increased Costs</w:t>
      </w:r>
    </w:p>
    <w:p>
      <w:pPr>
        <w:spacing w:after="0" w:line="229" w:lineRule="exact"/>
        <w:rPr>
          <w:sz w:val="20"/>
          <w:szCs w:val="20"/>
          <w:color w:val="auto"/>
        </w:rPr>
      </w:pPr>
    </w:p>
    <w:p>
      <w:pPr>
        <w:ind w:left="900" w:hanging="244"/>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Increased Costs Generally</w:t>
      </w:r>
      <w:r>
        <w:rPr>
          <w:rFonts w:ascii="Arial" w:cs="Arial" w:eastAsia="Arial" w:hAnsi="Arial"/>
          <w:sz w:val="18"/>
          <w:szCs w:val="18"/>
          <w:color w:val="auto"/>
        </w:rPr>
        <w:t>. If any Change in Law shall:</w:t>
      </w:r>
    </w:p>
    <w:p>
      <w:pPr>
        <w:spacing w:after="0" w:line="225" w:lineRule="exact"/>
        <w:rPr>
          <w:rFonts w:ascii="Arial" w:cs="Arial" w:eastAsia="Arial" w:hAnsi="Arial"/>
          <w:sz w:val="18"/>
          <w:szCs w:val="18"/>
          <w:color w:val="auto"/>
        </w:rPr>
      </w:pPr>
    </w:p>
    <w:p>
      <w:pPr>
        <w:ind w:left="660" w:firstLine="644"/>
        <w:spacing w:after="0" w:line="277" w:lineRule="auto"/>
        <w:tabs>
          <w:tab w:leader="none" w:pos="1536" w:val="left"/>
        </w:tabs>
        <w:numPr>
          <w:ilvl w:val="1"/>
          <w:numId w:val="94"/>
        </w:numPr>
        <w:rPr>
          <w:rFonts w:ascii="Arial" w:cs="Arial" w:eastAsia="Arial" w:hAnsi="Arial"/>
          <w:sz w:val="18"/>
          <w:szCs w:val="18"/>
          <w:color w:val="auto"/>
        </w:rPr>
      </w:pPr>
      <w:r>
        <w:rPr>
          <w:rFonts w:ascii="Arial" w:cs="Arial" w:eastAsia="Arial" w:hAnsi="Arial"/>
          <w:sz w:val="18"/>
          <w:szCs w:val="18"/>
          <w:color w:val="auto"/>
        </w:rPr>
        <w:t>impose, modify or deem applicable any reserve, special deposit, compulsory loan, insurance charge or similar requirement against assets of, deposits with or for the account of, or credit extended or participated in by, any Lender; or</w:t>
      </w:r>
    </w:p>
    <w:p>
      <w:pPr>
        <w:spacing w:after="0" w:line="170" w:lineRule="exact"/>
        <w:rPr>
          <w:rFonts w:ascii="Arial" w:cs="Arial" w:eastAsia="Arial" w:hAnsi="Arial"/>
          <w:sz w:val="18"/>
          <w:szCs w:val="18"/>
          <w:color w:val="auto"/>
        </w:rPr>
      </w:pPr>
    </w:p>
    <w:p>
      <w:pPr>
        <w:jc w:val="both"/>
        <w:ind w:left="660" w:firstLine="644"/>
        <w:spacing w:after="0" w:line="263" w:lineRule="auto"/>
        <w:tabs>
          <w:tab w:leader="none" w:pos="1573" w:val="left"/>
        </w:tabs>
        <w:numPr>
          <w:ilvl w:val="1"/>
          <w:numId w:val="94"/>
        </w:numPr>
        <w:rPr>
          <w:rFonts w:ascii="Arial" w:cs="Arial" w:eastAsia="Arial" w:hAnsi="Arial"/>
          <w:sz w:val="18"/>
          <w:szCs w:val="18"/>
          <w:color w:val="auto"/>
        </w:rPr>
      </w:pPr>
      <w:r>
        <w:rPr>
          <w:rFonts w:ascii="Arial" w:cs="Arial" w:eastAsia="Arial" w:hAnsi="Arial"/>
          <w:sz w:val="18"/>
          <w:szCs w:val="18"/>
          <w:color w:val="auto"/>
        </w:rPr>
        <w:t>subject any Recipient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 or;</w:t>
      </w:r>
    </w:p>
    <w:p>
      <w:pPr>
        <w:spacing w:after="0" w:line="183" w:lineRule="exact"/>
        <w:rPr>
          <w:rFonts w:ascii="Arial" w:cs="Arial" w:eastAsia="Arial" w:hAnsi="Arial"/>
          <w:sz w:val="18"/>
          <w:szCs w:val="18"/>
          <w:color w:val="auto"/>
        </w:rPr>
      </w:pPr>
    </w:p>
    <w:p>
      <w:pPr>
        <w:ind w:left="660" w:firstLine="644"/>
        <w:spacing w:after="0" w:line="277" w:lineRule="auto"/>
        <w:tabs>
          <w:tab w:leader="none" w:pos="1658" w:val="left"/>
        </w:tabs>
        <w:numPr>
          <w:ilvl w:val="1"/>
          <w:numId w:val="94"/>
        </w:numPr>
        <w:rPr>
          <w:rFonts w:ascii="Arial" w:cs="Arial" w:eastAsia="Arial" w:hAnsi="Arial"/>
          <w:sz w:val="18"/>
          <w:szCs w:val="18"/>
          <w:color w:val="auto"/>
        </w:rPr>
      </w:pPr>
      <w:r>
        <w:rPr>
          <w:rFonts w:ascii="Arial" w:cs="Arial" w:eastAsia="Arial" w:hAnsi="Arial"/>
          <w:sz w:val="18"/>
          <w:szCs w:val="18"/>
          <w:color w:val="auto"/>
        </w:rPr>
        <w:t>impose on any Lender or the London interbank market any other condition, cost or expense (other than Taxes) affecting this Agreement or the portion of the Term Loan made by such Lender or participation therein</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and the result of any of the foregoing shall be to increase the cost to such Lender of making, converting to, continuing or maintaining the Term Loan or of maintaining its obligation to make any such Term Loan, or to increase the cost to such Lender or such other Person of participating in, or to reduce the amount of any sum received or receivable by such Lender or other Person hereunder (whether of principal, interest or any other amount) then, upon request of such Lender or other Person, Borrower will pay to such Lender or other Person, as the case may be, such additional amount or amounts as will compensate such Lender or other Person, as the case may be, for such additional costs incurred or reduction suffered.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20" w:type="dxa"/>
            <w:vAlign w:val="bottom"/>
            <w:tcBorders>
              <w:bottom w:val="single" w:sz="8" w:color="auto"/>
            </w:tcBorders>
          </w:tcPr>
          <w:p>
            <w:pPr>
              <w:jc w:val="right"/>
              <w:ind w:right="5350"/>
              <w:spacing w:after="0"/>
              <w:rPr>
                <w:sz w:val="20"/>
                <w:szCs w:val="20"/>
                <w:color w:val="auto"/>
              </w:rPr>
            </w:pPr>
            <w:r>
              <w:rPr>
                <w:rFonts w:ascii="Arial" w:cs="Arial" w:eastAsia="Arial" w:hAnsi="Arial"/>
                <w:sz w:val="18"/>
                <w:szCs w:val="18"/>
                <w:color w:val="auto"/>
              </w:rPr>
              <w:t>38</w:t>
            </w:r>
          </w:p>
        </w:tc>
      </w:tr>
    </w:tbl>
    <w:p>
      <w:pPr>
        <w:sectPr>
          <w:pgSz w:w="11900" w:h="16838" w:orient="portrait"/>
          <w:cols w:equalWidth="0" w:num="1">
            <w:col w:w="11240"/>
          </w:cols>
          <w:pgMar w:left="320" w:top="904" w:right="339" w:bottom="1440" w:gutter="0" w:footer="0" w:header="0"/>
        </w:sectPr>
      </w:pPr>
    </w:p>
    <w:bookmarkStart w:id="115" w:name="page116"/>
    <w:bookmarkEnd w:id="115"/>
    <w:p>
      <w:pPr>
        <w:jc w:val="both"/>
        <w:ind w:firstLine="656"/>
        <w:spacing w:after="0" w:line="254" w:lineRule="auto"/>
        <w:tabs>
          <w:tab w:leader="none" w:pos="903"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Capital Requirements</w:t>
      </w:r>
      <w:r>
        <w:rPr>
          <w:rFonts w:ascii="Arial" w:cs="Arial" w:eastAsia="Arial" w:hAnsi="Arial"/>
          <w:sz w:val="18"/>
          <w:szCs w:val="18"/>
          <w:color w:val="auto"/>
        </w:rPr>
        <w:t>. If any Lender determines that any Change in Law affecting such Lender or any lending office of such Lender or such Lender’s holding company, if any, regarding capital or liquidity requirements has or would have the effect of reducing the rate of return on such Lender’s capital or on the capital of such Lender’s holding company, if any, as a consequence of this Agreement, the Term Loan Commitments of such Lender or the Term Loan made by such Lender to a level below that which such Lender or such Lender’s holding company could have achieved but for such Change in Law (taking into consideration such Lender’s policies and the policies of such Lender’s holding company with respect to capital adequacy), then from time to time Borrower will pay to such Lender or holding company such additional amount or amounts as will compensate such Lender or such Lender’s holding company for any such reduction suffered.</w:t>
      </w:r>
    </w:p>
    <w:p>
      <w:pPr>
        <w:spacing w:after="0" w:line="194" w:lineRule="exact"/>
        <w:rPr>
          <w:rFonts w:ascii="Arial" w:cs="Arial" w:eastAsia="Arial" w:hAnsi="Arial"/>
          <w:sz w:val="18"/>
          <w:szCs w:val="18"/>
          <w:color w:val="auto"/>
        </w:rPr>
      </w:pPr>
    </w:p>
    <w:p>
      <w:pPr>
        <w:jc w:val="both"/>
        <w:ind w:firstLine="656"/>
        <w:spacing w:after="0" w:line="259" w:lineRule="auto"/>
        <w:tabs>
          <w:tab w:leader="none" w:pos="906"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Certificates for Reimbursement</w:t>
      </w:r>
      <w:r>
        <w:rPr>
          <w:rFonts w:ascii="Arial" w:cs="Arial" w:eastAsia="Arial" w:hAnsi="Arial"/>
          <w:sz w:val="18"/>
          <w:szCs w:val="18"/>
          <w:color w:val="auto"/>
        </w:rPr>
        <w:t xml:space="preserve">. A certificate of a Lender setting forth in reasonable detail the amount or amounts necessary to compensate such Lender or its holding company, as the case may be, as specified in </w:t>
      </w:r>
      <w:r>
        <w:rPr>
          <w:rFonts w:ascii="Arial" w:cs="Arial" w:eastAsia="Arial" w:hAnsi="Arial"/>
          <w:sz w:val="18"/>
          <w:szCs w:val="18"/>
          <w:u w:val="single" w:color="auto"/>
          <w:color w:val="auto"/>
        </w:rPr>
        <w:t>Section 2.10(a)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and delivered to the Borrower shall be conclusive absent manifest error. Borrower shall pay such Lender or its holding company, as the case may be, the amount shown as due on any such certificate within ten (10) days after receipt thereof.</w:t>
      </w:r>
    </w:p>
    <w:p>
      <w:pPr>
        <w:spacing w:after="0" w:line="186" w:lineRule="exact"/>
        <w:rPr>
          <w:rFonts w:ascii="Arial" w:cs="Arial" w:eastAsia="Arial" w:hAnsi="Arial"/>
          <w:sz w:val="18"/>
          <w:szCs w:val="18"/>
          <w:color w:val="auto"/>
        </w:rPr>
      </w:pPr>
    </w:p>
    <w:p>
      <w:pPr>
        <w:jc w:val="both"/>
        <w:ind w:firstLine="656"/>
        <w:spacing w:after="0" w:line="273" w:lineRule="auto"/>
        <w:tabs>
          <w:tab w:leader="none" w:pos="916" w:val="left"/>
        </w:tabs>
        <w:numPr>
          <w:ilvl w:val="0"/>
          <w:numId w:val="95"/>
        </w:numPr>
        <w:rPr>
          <w:rFonts w:ascii="Arial" w:cs="Arial" w:eastAsia="Arial" w:hAnsi="Arial"/>
          <w:sz w:val="17"/>
          <w:szCs w:val="17"/>
          <w:color w:val="auto"/>
        </w:rPr>
      </w:pPr>
      <w:r>
        <w:rPr>
          <w:rFonts w:ascii="Arial" w:cs="Arial" w:eastAsia="Arial" w:hAnsi="Arial"/>
          <w:sz w:val="17"/>
          <w:szCs w:val="17"/>
          <w:u w:val="single" w:color="auto"/>
          <w:color w:val="auto"/>
        </w:rPr>
        <w:t>Delays in Request</w:t>
      </w:r>
      <w:r>
        <w:rPr>
          <w:rFonts w:ascii="Arial" w:cs="Arial" w:eastAsia="Arial" w:hAnsi="Arial"/>
          <w:sz w:val="17"/>
          <w:szCs w:val="17"/>
          <w:color w:val="auto"/>
        </w:rPr>
        <w:t xml:space="preserve">. Failure or delay on the part of any Lender to demand compensation pursuant to this </w:t>
      </w:r>
      <w:r>
        <w:rPr>
          <w:rFonts w:ascii="Arial" w:cs="Arial" w:eastAsia="Arial" w:hAnsi="Arial"/>
          <w:sz w:val="17"/>
          <w:szCs w:val="17"/>
          <w:u w:val="single" w:color="auto"/>
          <w:color w:val="auto"/>
        </w:rPr>
        <w:t>Section 2.10</w:t>
      </w:r>
      <w:r>
        <w:rPr>
          <w:rFonts w:ascii="Arial" w:cs="Arial" w:eastAsia="Arial" w:hAnsi="Arial"/>
          <w:sz w:val="17"/>
          <w:szCs w:val="17"/>
          <w:color w:val="auto"/>
        </w:rPr>
        <w:t xml:space="preserve"> shall not constitute a waiver of such Lender’s right to demand such compensation, provided that Borrower shall not be required to compensate a Lender or other Person pursuant to this section for any increased costs incurred or reductions suffered more than nine (9) months prior to the date that such Lender or other Person, as the case may be, notifies Borrower of the Change in Law giving rise to such increased costs or reductions and of such Lender’s or Person’s intention to claim compensation therefor (except that, if the Change in Law giving rise to such increased costs or reductions is retroactive, then the nine (9) month period referred to above shall be extended to include the period of retroactive effect thereof).</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2.11 Mitigation Obligations.</w:t>
      </w:r>
    </w:p>
    <w:p>
      <w:pPr>
        <w:spacing w:after="0" w:line="229"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6"/>
          <w:szCs w:val="16"/>
          <w:color w:val="auto"/>
        </w:rPr>
        <w:t xml:space="preserve">If any Lender requires the Borrower to pay any Indemnified Taxes or additional amounts to any Lender or any Governmental Authority for the account of any Lender pursuant to </w:t>
      </w:r>
      <w:r>
        <w:rPr>
          <w:rFonts w:ascii="Arial" w:cs="Arial" w:eastAsia="Arial" w:hAnsi="Arial"/>
          <w:sz w:val="16"/>
          <w:szCs w:val="16"/>
          <w:u w:val="single" w:color="auto"/>
          <w:color w:val="auto"/>
        </w:rPr>
        <w:t>Section 2.8</w:t>
      </w:r>
      <w:r>
        <w:rPr>
          <w:rFonts w:ascii="Arial" w:cs="Arial" w:eastAsia="Arial" w:hAnsi="Arial"/>
          <w:sz w:val="16"/>
          <w:szCs w:val="16"/>
          <w:color w:val="auto"/>
        </w:rPr>
        <w:t xml:space="preserve">, then such Lender shall (at the request of the Borrower) use reasonable efforts to designate a different lending office for funding or booking its Term Loan hereunder or to assign its rights and obligations hereunder to another of its offices, branches or affiliates, if, in the judgment of such Lender, such designation or assignment (i) would eliminate or reduce amounts payable pursuant to </w:t>
      </w:r>
      <w:r>
        <w:rPr>
          <w:rFonts w:ascii="Arial" w:cs="Arial" w:eastAsia="Arial" w:hAnsi="Arial"/>
          <w:sz w:val="16"/>
          <w:szCs w:val="16"/>
          <w:u w:val="single" w:color="auto"/>
          <w:color w:val="auto"/>
        </w:rPr>
        <w:t>Section 2.8</w:t>
      </w:r>
      <w:r>
        <w:rPr>
          <w:rFonts w:ascii="Arial" w:cs="Arial" w:eastAsia="Arial" w:hAnsi="Arial"/>
          <w:sz w:val="16"/>
          <w:szCs w:val="16"/>
          <w:color w:val="auto"/>
        </w:rPr>
        <w:t>, as the case may be, in the future, and (ii) would not subject such Lender to any unreimbursed cost or expense and would not otherwise be disadvantageous to such Lender. Borrower hereby agree to pay all reasonable costs and expenses incurred by any Lender in connection with any such designation or assignment.</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20" w:type="dxa"/>
            <w:vAlign w:val="bottom"/>
            <w:tcBorders>
              <w:bottom w:val="single" w:sz="8" w:color="auto"/>
            </w:tcBorders>
          </w:tcPr>
          <w:p>
            <w:pPr>
              <w:jc w:val="right"/>
              <w:ind w:right="5350"/>
              <w:spacing w:after="0"/>
              <w:rPr>
                <w:sz w:val="20"/>
                <w:szCs w:val="20"/>
                <w:color w:val="auto"/>
              </w:rPr>
            </w:pPr>
            <w:r>
              <w:rPr>
                <w:rFonts w:ascii="Arial" w:cs="Arial" w:eastAsia="Arial" w:hAnsi="Arial"/>
                <w:sz w:val="18"/>
                <w:szCs w:val="18"/>
                <w:color w:val="auto"/>
              </w:rPr>
              <w:t>39</w:t>
            </w:r>
          </w:p>
        </w:tc>
      </w:tr>
    </w:tbl>
    <w:p>
      <w:pPr>
        <w:sectPr>
          <w:pgSz w:w="11900" w:h="16838" w:orient="portrait"/>
          <w:cols w:equalWidth="0" w:num="1">
            <w:col w:w="11240"/>
          </w:cols>
          <w:pgMar w:left="320" w:top="908" w:right="3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color w:val="auto"/>
        </w:rPr>
        <w:t>SECTION 3</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To induce Agent and Lenders to enter into this Agreement and to make the Term Loan, the Loan Parties hereby represent and warrant to Agent and Lenders on the Closing Date that:</w:t>
      </w:r>
    </w:p>
    <w:p>
      <w:pPr>
        <w:spacing w:after="0" w:line="16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3.1 Financial Condition</w:t>
      </w:r>
      <w:r>
        <w:rPr>
          <w:rFonts w:ascii="Arial" w:cs="Arial" w:eastAsia="Arial" w:hAnsi="Arial"/>
          <w:sz w:val="18"/>
          <w:szCs w:val="18"/>
          <w:color w:val="auto"/>
        </w:rPr>
        <w:t>. None of the Loan Parties have any material Guarantee Obligations (other than pursuant to the Loan Documents),</w:t>
      </w:r>
      <w:r>
        <w:rPr>
          <w:rFonts w:ascii="Arial" w:cs="Arial" w:eastAsia="Arial" w:hAnsi="Arial"/>
          <w:sz w:val="18"/>
          <w:szCs w:val="18"/>
          <w:b w:val="1"/>
          <w:bCs w:val="1"/>
          <w:color w:val="auto"/>
        </w:rPr>
        <w:t xml:space="preserve"> </w:t>
      </w:r>
      <w:r>
        <w:rPr>
          <w:rFonts w:ascii="Arial" w:cs="Arial" w:eastAsia="Arial" w:hAnsi="Arial"/>
          <w:sz w:val="18"/>
          <w:szCs w:val="18"/>
          <w:color w:val="auto"/>
        </w:rPr>
        <w:t>contingent liabilities and liabilities for Taxes, or any long term leases or unusual forward or long term commitments, including any interest rate or foreign currency swap or exchange transaction or other obligation in respect of derivatives, required to be set forth on financial statements prepared in accordance with GAAP that are not reflected in the most recent financial statements.</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3.2 No Change</w:t>
      </w:r>
      <w:r>
        <w:rPr>
          <w:rFonts w:ascii="Arial" w:cs="Arial" w:eastAsia="Arial" w:hAnsi="Arial"/>
          <w:sz w:val="18"/>
          <w:szCs w:val="18"/>
          <w:color w:val="auto"/>
        </w:rPr>
        <w:t>. Since June 30, 2022, there has been no change in the financial condition, operations, assets, business or properties of Loan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which could reasonably be expected to result in a Material Adverse Effect.</w:t>
      </w:r>
    </w:p>
    <w:p>
      <w:pPr>
        <w:spacing w:after="0" w:line="16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3.3 Existence; Compliance with Law</w:t>
      </w:r>
      <w:r>
        <w:rPr>
          <w:rFonts w:ascii="Arial" w:cs="Arial" w:eastAsia="Arial" w:hAnsi="Arial"/>
          <w:sz w:val="18"/>
          <w:szCs w:val="18"/>
          <w:color w:val="auto"/>
        </w:rPr>
        <w:t>. Each Loan Party (i) is duly organized, validly existing and in good standing under the Laws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jurisdiction of its organization, (ii) has the power and authority, and the legal right, to own and operate its property, to lease the property it operates as lessee and to conduct the business in which it is currently engaged, (iii) is duly qualified as a foreign corporation or other organization, as applicable, and in good standing under the Laws of each jurisdiction where the failure to be so qualified could reasonably be expected to have a Material Adverse Effect and (iv) is in material compliance with all Requirements of Law.</w:t>
      </w:r>
    </w:p>
    <w:p>
      <w:pPr>
        <w:spacing w:after="0" w:line="18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3.4 Power, Authorization; Enforceable Obligations</w:t>
      </w:r>
      <w:r>
        <w:rPr>
          <w:rFonts w:ascii="Arial" w:cs="Arial" w:eastAsia="Arial" w:hAnsi="Arial"/>
          <w:sz w:val="17"/>
          <w:szCs w:val="17"/>
          <w:color w:val="auto"/>
        </w:rPr>
        <w:t>. Each Loan Party has the power and authority, and the legal right, to make, deliver and</w:t>
      </w:r>
      <w:r>
        <w:rPr>
          <w:rFonts w:ascii="Arial" w:cs="Arial" w:eastAsia="Arial" w:hAnsi="Arial"/>
          <w:sz w:val="17"/>
          <w:szCs w:val="17"/>
          <w:b w:val="1"/>
          <w:bCs w:val="1"/>
          <w:color w:val="auto"/>
        </w:rPr>
        <w:t xml:space="preserve"> </w:t>
      </w:r>
      <w:r>
        <w:rPr>
          <w:rFonts w:ascii="Arial" w:cs="Arial" w:eastAsia="Arial" w:hAnsi="Arial"/>
          <w:sz w:val="17"/>
          <w:szCs w:val="17"/>
          <w:color w:val="auto"/>
        </w:rPr>
        <w:t>perform the Loan Documents to which it is a party and, in the case of Borrower, to obtain extensions of credit hereunder. Each Loan Party has taken all necessary organizational action to authorize the execution, delivery and performance of the Loan Documents to which it is a party and, in the case of Borrower, to authorize the extensions of credit on the terms and conditions of this Agreement. No Governmental Approval or consent or authorization of, filing with, notice to or other act by or in respect of, any other Person is required in connection with the extensions of credit hereunder or with the execution, delivery, performance, validity or enforceability of this Agreement or any of the other Loan Documents, except (i) Governmental Approvals, consents, authorizations, filings and notices that have previously been obtained or made and are in full force and effect and (ii) the filings of UCC financing statements in accordance with the Security Agreement. Each Loan Document has been duly executed and delivered on behalf of each Loan Party thereto. This Agreement constitutes, and each other Loan Document upon execution will constitute, a legal, valid and binding obligation of each Loan Party thereto, enforceable against each such Loan Party in accordance with its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w:t>
      </w:r>
    </w:p>
    <w:p>
      <w:pPr>
        <w:spacing w:after="0" w:line="179"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b w:val="1"/>
          <w:bCs w:val="1"/>
          <w:color w:val="auto"/>
        </w:rPr>
        <w:t>3.5 No Legal Bar</w:t>
      </w:r>
      <w:r>
        <w:rPr>
          <w:rFonts w:ascii="Arial" w:cs="Arial" w:eastAsia="Arial" w:hAnsi="Arial"/>
          <w:sz w:val="16"/>
          <w:szCs w:val="16"/>
          <w:color w:val="auto"/>
        </w:rPr>
        <w:t>. The execution, delivery and performance of this Agreement and the other Loan Documents, the borrowings hereunder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use of the proceeds thereof will not violate any Requirement of Law or any Contractual Obligation of such Loan Party and will not result in, or require, the creation or imposition of any Lien on any of their respective properties or revenues pursuant to any Requirement of Law or any Contractual Obligation (other than the Liens created by the Security Documents). No Requirement of Law or Contractual Obligation applicable to a Loan Party could reasonably be expected to have a Material Adverse Effect. No Loan Party is subject to regulation under any Requirement of Law (other than Regulation X) that limits its ability to incur Indebtedness or which may otherwise render all or any portion of the Obligations unenforceable.</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20" w:type="dxa"/>
            <w:vAlign w:val="bottom"/>
            <w:tcBorders>
              <w:bottom w:val="single" w:sz="8" w:color="auto"/>
            </w:tcBorders>
          </w:tcPr>
          <w:p>
            <w:pPr>
              <w:jc w:val="right"/>
              <w:ind w:right="5350"/>
              <w:spacing w:after="0"/>
              <w:rPr>
                <w:sz w:val="20"/>
                <w:szCs w:val="20"/>
                <w:color w:val="auto"/>
              </w:rPr>
            </w:pPr>
            <w:r>
              <w:rPr>
                <w:rFonts w:ascii="Arial" w:cs="Arial" w:eastAsia="Arial" w:hAnsi="Arial"/>
                <w:sz w:val="18"/>
                <w:szCs w:val="18"/>
                <w:color w:val="auto"/>
              </w:rPr>
              <w:t>40</w:t>
            </w:r>
          </w:p>
        </w:tc>
      </w:tr>
    </w:tbl>
    <w:p>
      <w:pPr>
        <w:sectPr>
          <w:pgSz w:w="11900" w:h="16838" w:orient="portrait"/>
          <w:cols w:equalWidth="0" w:num="1">
            <w:col w:w="11240"/>
          </w:cols>
          <w:pgMar w:left="320" w:top="908" w:right="339" w:bottom="1440" w:gutter="0" w:footer="0" w:header="0"/>
        </w:sectPr>
      </w:pPr>
    </w:p>
    <w:bookmarkStart w:id="117" w:name="page118"/>
    <w:bookmarkEnd w:id="117"/>
    <w:p>
      <w:pPr>
        <w:jc w:val="both"/>
        <w:ind w:firstLine="648"/>
        <w:spacing w:after="0" w:line="281" w:lineRule="auto"/>
        <w:rPr>
          <w:sz w:val="20"/>
          <w:szCs w:val="20"/>
          <w:color w:val="auto"/>
        </w:rPr>
      </w:pPr>
      <w:r>
        <w:rPr>
          <w:rFonts w:ascii="Arial" w:cs="Arial" w:eastAsia="Arial" w:hAnsi="Arial"/>
          <w:sz w:val="17"/>
          <w:szCs w:val="17"/>
          <w:b w:val="1"/>
          <w:bCs w:val="1"/>
          <w:color w:val="auto"/>
        </w:rPr>
        <w:t>3.6 Litigation</w:t>
      </w:r>
      <w:r>
        <w:rPr>
          <w:rFonts w:ascii="Arial" w:cs="Arial" w:eastAsia="Arial" w:hAnsi="Arial"/>
          <w:sz w:val="17"/>
          <w:szCs w:val="17"/>
          <w:color w:val="auto"/>
        </w:rPr>
        <w:t>. No litigation, investigation or proceeding of or before any arbitrator or Governmental Authority is pending or, to the knowledge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such Loan Party after reasonable inquiry, threatened by or against any Loan Party or against any of its properties or revenues (a) with respect to any of the Loan Documents, the Collateral or any of the transactions contemplated hereby or thereby, or (b) that could reasonably be expected to have a Material Adverse Effect. As of the Third Amendment Effective Date, all litigation to which any Loan Party is a party is set forth in </w:t>
      </w:r>
      <w:r>
        <w:rPr>
          <w:rFonts w:ascii="Arial" w:cs="Arial" w:eastAsia="Arial" w:hAnsi="Arial"/>
          <w:sz w:val="17"/>
          <w:szCs w:val="17"/>
          <w:u w:val="single" w:color="auto"/>
          <w:color w:val="auto"/>
        </w:rPr>
        <w:t>Schedule 3.6</w:t>
      </w:r>
      <w:r>
        <w:rPr>
          <w:rFonts w:ascii="Arial" w:cs="Arial" w:eastAsia="Arial" w:hAnsi="Arial"/>
          <w:sz w:val="17"/>
          <w:szCs w:val="17"/>
          <w:color w:val="auto"/>
        </w:rPr>
        <w:t>.</w:t>
      </w:r>
    </w:p>
    <w:p>
      <w:pPr>
        <w:spacing w:after="0" w:line="16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3.7 No Default</w:t>
      </w:r>
      <w:r>
        <w:rPr>
          <w:rFonts w:ascii="Arial" w:cs="Arial" w:eastAsia="Arial" w:hAnsi="Arial"/>
          <w:sz w:val="18"/>
          <w:szCs w:val="18"/>
          <w:color w:val="auto"/>
        </w:rPr>
        <w:t>. No Loan Party is, or will be upon consummation of the transactions contemplated herein, in default under or with respect to 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of its Contractual Obligations in any respect, including, without limitation, under any Material Contract. No Default or Event of Default has occurred and is continuing, nor shall either result from the making of a requested Term Loan. As of the Third Amendment Effective Date, each of the Material Contracts of the Loan Parties are set forth on </w:t>
      </w:r>
      <w:r>
        <w:rPr>
          <w:rFonts w:ascii="Arial" w:cs="Arial" w:eastAsia="Arial" w:hAnsi="Arial"/>
          <w:sz w:val="18"/>
          <w:szCs w:val="18"/>
          <w:u w:val="single" w:color="auto"/>
          <w:color w:val="auto"/>
        </w:rPr>
        <w:t>Schedule 3.7</w:t>
      </w:r>
      <w:r>
        <w:rPr>
          <w:rFonts w:ascii="Arial" w:cs="Arial" w:eastAsia="Arial" w:hAnsi="Arial"/>
          <w:sz w:val="18"/>
          <w:szCs w:val="18"/>
          <w:color w:val="auto"/>
        </w:rPr>
        <w:t xml:space="preserve"> attached hereto.</w:t>
      </w:r>
    </w:p>
    <w:p>
      <w:pPr>
        <w:spacing w:after="0" w:line="18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color w:val="auto"/>
        </w:rPr>
        <w:t>3.8 Taxes</w:t>
      </w:r>
      <w:r>
        <w:rPr>
          <w:rFonts w:ascii="Arial" w:cs="Arial" w:eastAsia="Arial" w:hAnsi="Arial"/>
          <w:sz w:val="17"/>
          <w:szCs w:val="17"/>
          <w:color w:val="auto"/>
        </w:rPr>
        <w:t>. Each Loan Party and each of its Subsidiaries has filed or caused to be filed all federal, state and other material Tax returns and reports</w:t>
      </w:r>
      <w:r>
        <w:rPr>
          <w:rFonts w:ascii="Arial" w:cs="Arial" w:eastAsia="Arial" w:hAnsi="Arial"/>
          <w:sz w:val="17"/>
          <w:szCs w:val="17"/>
          <w:b w:val="1"/>
          <w:bCs w:val="1"/>
          <w:color w:val="auto"/>
        </w:rPr>
        <w:t xml:space="preserve"> </w:t>
      </w:r>
      <w:r>
        <w:rPr>
          <w:rFonts w:ascii="Arial" w:cs="Arial" w:eastAsia="Arial" w:hAnsi="Arial"/>
          <w:sz w:val="17"/>
          <w:szCs w:val="17"/>
          <w:color w:val="auto"/>
        </w:rPr>
        <w:t>that are required to be filed by it and has paid all federal, state and other material Taxes shown to be due and payable (other than Taxes that are currently being contested in good faith by appropriate proceedings which stay the enforcement of any Lien resulting from the non-payment thereof and with respect to which adequate reserves have been set aside for the payment thereof in conformity with GAAP). No Tax Lien has been filed (other than Permitted Liens) in respect of any Loan Party or any of their Subsidiaries. To the knowledge of each Loan Party after reasonable inquiry, no claim is currently being asserted against it or any of its Subsidiaries with respect to any Tax.</w:t>
      </w:r>
    </w:p>
    <w:p>
      <w:pPr>
        <w:spacing w:after="0" w:line="17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3.9 Margin Stock</w:t>
      </w:r>
      <w:r>
        <w:rPr>
          <w:rFonts w:ascii="Arial" w:cs="Arial" w:eastAsia="Arial" w:hAnsi="Arial"/>
          <w:sz w:val="18"/>
          <w:szCs w:val="18"/>
          <w:color w:val="auto"/>
        </w:rPr>
        <w:t>. No Loan Party is engaged and will not engage, principally or as one of its important activities, in the business of purchasing or</w:t>
      </w:r>
      <w:r>
        <w:rPr>
          <w:rFonts w:ascii="Arial" w:cs="Arial" w:eastAsia="Arial" w:hAnsi="Arial"/>
          <w:sz w:val="18"/>
          <w:szCs w:val="18"/>
          <w:b w:val="1"/>
          <w:bCs w:val="1"/>
          <w:color w:val="auto"/>
        </w:rPr>
        <w:t xml:space="preserve"> </w:t>
      </w:r>
      <w:r>
        <w:rPr>
          <w:rFonts w:ascii="Arial" w:cs="Arial" w:eastAsia="Arial" w:hAnsi="Arial"/>
          <w:sz w:val="18"/>
          <w:szCs w:val="18"/>
          <w:color w:val="auto"/>
        </w:rPr>
        <w:t>carrying Margin Stock, or extending credit for the purpose of purchasing or carrying Margin Stock, and no part of the proceeds of any Term Loan, and no other extensions of credit hereunder, will be used for “buying” or “carrying” any Margin Stock for any purpose that violates the provisions of the Regulations T, U, X or any other regulations of the Board.</w:t>
      </w:r>
    </w:p>
    <w:p>
      <w:pPr>
        <w:spacing w:after="0" w:line="18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color w:val="auto"/>
        </w:rPr>
        <w:t>3.10 ERISA</w:t>
      </w:r>
      <w:r>
        <w:rPr>
          <w:rFonts w:ascii="Arial" w:cs="Arial" w:eastAsia="Arial" w:hAnsi="Arial"/>
          <w:sz w:val="17"/>
          <w:szCs w:val="17"/>
          <w:color w:val="auto"/>
        </w:rPr>
        <w:t>. None of Borrower, nor any other Loan Party, nor any of their respective ERISA Affiliates has established or maintains or contributes</w:t>
      </w:r>
      <w:r>
        <w:rPr>
          <w:rFonts w:ascii="Arial" w:cs="Arial" w:eastAsia="Arial" w:hAnsi="Arial"/>
          <w:sz w:val="17"/>
          <w:szCs w:val="17"/>
          <w:b w:val="1"/>
          <w:bCs w:val="1"/>
          <w:color w:val="auto"/>
        </w:rPr>
        <w:t xml:space="preserve"> </w:t>
      </w:r>
      <w:r>
        <w:rPr>
          <w:rFonts w:ascii="Arial" w:cs="Arial" w:eastAsia="Arial" w:hAnsi="Arial"/>
          <w:sz w:val="17"/>
          <w:szCs w:val="17"/>
          <w:color w:val="auto"/>
        </w:rPr>
        <w:t>(or has an obligation to contribute) to, or otherwise has any liability, contingent or otherwise with respect to (a) any “employee benefit plan” (within the meaning of Section 3(3) of ERISA, whether or not subject to ERISA) that is covered by Title IV of ERISA or Section 412 of the Code or (b) any “employee benefit plan” providing for post-employment medical or other welfare benefits, except as required by applicable Requirements of Law and at the sole expense of the plan participants. Each “employee benefit plan” that is or has been sponsored, contributed to or required to be contributed to by the Borrower, Parent or their respective ERISA Affiliates has been maintained in compliance with its terms, ERISA, the Code and all other applicable Requirements of Law in all material respects. None of the Loan Parties nor any of their Affiliates is a Plan and none of the assets of the Loan Parties not any of their Affiliates constitutes “plan assets” (within the meaning of 29 CFR § 2510.3-101, as modified by Section 3(42) of ERISA). The entering into this Agreement, the transactions contemplated hereby, the performance by the Loan Parties of its obligations hereunder or under any other Loan Document, do not and will not violate any provisions of ERISA.</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20" w:type="dxa"/>
            <w:vAlign w:val="bottom"/>
            <w:tcBorders>
              <w:bottom w:val="single" w:sz="8" w:color="auto"/>
            </w:tcBorders>
          </w:tcPr>
          <w:p>
            <w:pPr>
              <w:jc w:val="right"/>
              <w:ind w:right="5350"/>
              <w:spacing w:after="0"/>
              <w:rPr>
                <w:sz w:val="20"/>
                <w:szCs w:val="20"/>
                <w:color w:val="auto"/>
              </w:rPr>
            </w:pPr>
            <w:r>
              <w:rPr>
                <w:rFonts w:ascii="Arial" w:cs="Arial" w:eastAsia="Arial" w:hAnsi="Arial"/>
                <w:sz w:val="18"/>
                <w:szCs w:val="18"/>
                <w:color w:val="auto"/>
              </w:rPr>
              <w:t>41</w:t>
            </w:r>
          </w:p>
        </w:tc>
      </w:tr>
    </w:tbl>
    <w:p>
      <w:pPr>
        <w:sectPr>
          <w:pgSz w:w="11900" w:h="16838" w:orient="portrait"/>
          <w:cols w:equalWidth="0" w:num="1">
            <w:col w:w="11240"/>
          </w:cols>
          <w:pgMar w:left="320" w:top="904" w:right="339" w:bottom="1440" w:gutter="0" w:footer="0" w:header="0"/>
        </w:sectPr>
      </w:pPr>
    </w:p>
    <w:bookmarkStart w:id="118" w:name="page119"/>
    <w:bookmarkEnd w:id="118"/>
    <w:p>
      <w:pPr>
        <w:jc w:val="both"/>
        <w:ind w:firstLine="648"/>
        <w:spacing w:after="0" w:line="261" w:lineRule="auto"/>
        <w:rPr>
          <w:sz w:val="20"/>
          <w:szCs w:val="20"/>
          <w:color w:val="auto"/>
        </w:rPr>
      </w:pPr>
      <w:r>
        <w:rPr>
          <w:rFonts w:ascii="Arial" w:cs="Arial" w:eastAsia="Arial" w:hAnsi="Arial"/>
          <w:sz w:val="18"/>
          <w:szCs w:val="18"/>
          <w:b w:val="1"/>
          <w:bCs w:val="1"/>
          <w:color w:val="auto"/>
        </w:rPr>
        <w:t>3.11 Investment Company Act</w:t>
      </w:r>
      <w:r>
        <w:rPr>
          <w:rFonts w:ascii="Arial" w:cs="Arial" w:eastAsia="Arial" w:hAnsi="Arial"/>
          <w:sz w:val="18"/>
          <w:szCs w:val="18"/>
          <w:color w:val="auto"/>
        </w:rPr>
        <w:t>. No Loan Party nor any of its Subsidiaries is an “investment company,” or a company “controlled” by an</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 company,” within the meaning of the Investment Company Act of 1940, as amended. No Loan Party is subject to regulation under the Federal Power Act or under any other federal or state statute or regulation which may limit its ability to incur Indebtedness or which may otherwise render all or any portion of the Obligations unenforceable.</w:t>
      </w:r>
    </w:p>
    <w:p>
      <w:pPr>
        <w:spacing w:after="0" w:line="18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3.12 Use of Proceeds</w:t>
      </w:r>
      <w:r>
        <w:rPr>
          <w:rFonts w:ascii="Arial" w:cs="Arial" w:eastAsia="Arial" w:hAnsi="Arial"/>
          <w:sz w:val="18"/>
          <w:szCs w:val="18"/>
          <w:color w:val="auto"/>
        </w:rPr>
        <w:t>. The proceeds of the Initial Term Loan shall be used by Borrower solely (i) refinance the Prior Debt, (ii) to pay fees, costs</w:t>
      </w:r>
      <w:r>
        <w:rPr>
          <w:rFonts w:ascii="Arial" w:cs="Arial" w:eastAsia="Arial" w:hAnsi="Arial"/>
          <w:sz w:val="18"/>
          <w:szCs w:val="18"/>
          <w:b w:val="1"/>
          <w:bCs w:val="1"/>
          <w:color w:val="auto"/>
        </w:rPr>
        <w:t xml:space="preserve"> </w:t>
      </w:r>
      <w:r>
        <w:rPr>
          <w:rFonts w:ascii="Arial" w:cs="Arial" w:eastAsia="Arial" w:hAnsi="Arial"/>
          <w:sz w:val="18"/>
          <w:szCs w:val="18"/>
          <w:color w:val="auto"/>
        </w:rPr>
        <w:t>and expenses incurred by Agent, Lenders and the Loan Parties in connection with the transactions contemplated hereby or in connection herewith, and (iii) otherwise for working capital and general corporate purposes. The proceeds of the Third Amendment Term Loans shall be used by Borrower for working capital and general corporate purposes.</w:t>
      </w:r>
    </w:p>
    <w:p>
      <w:pPr>
        <w:spacing w:after="0" w:line="1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3.13 Environmental Matters</w:t>
      </w:r>
      <w:r>
        <w:rPr>
          <w:rFonts w:ascii="Arial" w:cs="Arial" w:eastAsia="Arial" w:hAnsi="Arial"/>
          <w:sz w:val="18"/>
          <w:szCs w:val="18"/>
          <w:color w:val="auto"/>
        </w:rPr>
        <w:t>. None of the Loan Parties’ properties or assets has been used by a Loan Party or, to the best of such Loan Party’s</w:t>
      </w:r>
      <w:r>
        <w:rPr>
          <w:rFonts w:ascii="Arial" w:cs="Arial" w:eastAsia="Arial" w:hAnsi="Arial"/>
          <w:sz w:val="18"/>
          <w:szCs w:val="18"/>
          <w:b w:val="1"/>
          <w:bCs w:val="1"/>
          <w:color w:val="auto"/>
        </w:rPr>
        <w:t xml:space="preserve"> </w:t>
      </w:r>
      <w:r>
        <w:rPr>
          <w:rFonts w:ascii="Arial" w:cs="Arial" w:eastAsia="Arial" w:hAnsi="Arial"/>
          <w:sz w:val="18"/>
          <w:szCs w:val="18"/>
          <w:color w:val="auto"/>
        </w:rPr>
        <w:t>knowledge after reasonable inquiry, by previous Persons, in disposing, producing, storing, treating, or transporting any hazardous substance other than in compliance with any applicable Environmental Law.</w:t>
      </w:r>
    </w:p>
    <w:p>
      <w:pPr>
        <w:spacing w:after="0" w:line="17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color w:val="auto"/>
        </w:rPr>
        <w:t xml:space="preserve">3.14 Accuracy of Information, etc. </w:t>
      </w:r>
      <w:r>
        <w:rPr>
          <w:rFonts w:ascii="Arial" w:cs="Arial" w:eastAsia="Arial" w:hAnsi="Arial"/>
          <w:sz w:val="16"/>
          <w:szCs w:val="16"/>
          <w:color w:val="auto"/>
        </w:rPr>
        <w:t>No statement or information contained in this Agreement, any other Loan Document or any other document,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certificate or statement furnished by or on behalf of any Loan Party to Agent or any Lender for use in connection with the transactions contemplated by this Agreement or the other Loan Documents, contained as of the date such statement, information, document or certificate was so furnished, any untrue statement of a material fact or omitted to state a material fact necessary to make the statements contained herein or therein not misleading; it being understood that any projections and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financial information provided is based upon good faith estimates and assumptions believed by management of the Loan Parties to be reasonable at the time made, it being recognized by the Agent and the Lenders that such financial information as it relates to future events is not to be viewed as fact and that actual results during the period or periods covered by such financial information may differ from the projected results set forth therein by a material amount. There is no fact known to any Loan Party that could reasonably be expected to have a Material Adverse Effect that has not been expressly disclosed herein, in the other Loan Documents or in any other documents, certificates and statements furnished to Agent and Lenders for use in connection with the transactions contemplated hereby and by the other Loan Documents.</w:t>
      </w:r>
    </w:p>
    <w:p>
      <w:pPr>
        <w:spacing w:after="0" w:line="16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7"/>
          <w:szCs w:val="17"/>
          <w:b w:val="1"/>
          <w:bCs w:val="1"/>
          <w:color w:val="auto"/>
        </w:rPr>
        <w:t>3.15 Security Documents</w:t>
      </w:r>
      <w:r>
        <w:rPr>
          <w:rFonts w:ascii="Arial" w:cs="Arial" w:eastAsia="Arial" w:hAnsi="Arial"/>
          <w:sz w:val="17"/>
          <w:szCs w:val="17"/>
          <w:color w:val="auto"/>
        </w:rPr>
        <w:t>. The Security Documents are effective to create in favor of the Agent, for the benefit of itself and the Lenders, a legal,</w:t>
      </w:r>
      <w:r>
        <w:rPr>
          <w:rFonts w:ascii="Arial" w:cs="Arial" w:eastAsia="Arial" w:hAnsi="Arial"/>
          <w:sz w:val="17"/>
          <w:szCs w:val="17"/>
          <w:b w:val="1"/>
          <w:bCs w:val="1"/>
          <w:color w:val="auto"/>
        </w:rPr>
        <w:t xml:space="preserve"> </w:t>
      </w:r>
      <w:r>
        <w:rPr>
          <w:rFonts w:ascii="Arial" w:cs="Arial" w:eastAsia="Arial" w:hAnsi="Arial"/>
          <w:sz w:val="17"/>
          <w:szCs w:val="17"/>
          <w:color w:val="auto"/>
        </w:rPr>
        <w:t>valid and enforceable first-priority security interest (subject to Permitted Liens) in the Collateral described therein and proceeds thereof.</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20" w:type="dxa"/>
            <w:vAlign w:val="bottom"/>
            <w:tcBorders>
              <w:bottom w:val="single" w:sz="8" w:color="auto"/>
            </w:tcBorders>
          </w:tcPr>
          <w:p>
            <w:pPr>
              <w:jc w:val="right"/>
              <w:ind w:right="5350"/>
              <w:spacing w:after="0"/>
              <w:rPr>
                <w:sz w:val="20"/>
                <w:szCs w:val="20"/>
                <w:color w:val="auto"/>
              </w:rPr>
            </w:pPr>
            <w:r>
              <w:rPr>
                <w:rFonts w:ascii="Arial" w:cs="Arial" w:eastAsia="Arial" w:hAnsi="Arial"/>
                <w:sz w:val="18"/>
                <w:szCs w:val="18"/>
                <w:color w:val="auto"/>
              </w:rPr>
              <w:t>42</w:t>
            </w:r>
          </w:p>
        </w:tc>
      </w:tr>
    </w:tbl>
    <w:p>
      <w:pPr>
        <w:sectPr>
          <w:pgSz w:w="11900" w:h="16838" w:orient="portrait"/>
          <w:cols w:equalWidth="0" w:num="1">
            <w:col w:w="11240"/>
          </w:cols>
          <w:pgMar w:left="320" w:top="904" w:right="339" w:bottom="1440" w:gutter="0" w:footer="0" w:header="0"/>
        </w:sectPr>
      </w:pPr>
    </w:p>
    <w:bookmarkStart w:id="119" w:name="page120"/>
    <w:bookmarkEnd w:id="119"/>
    <w:p>
      <w:pPr>
        <w:jc w:val="both"/>
        <w:ind w:right="20" w:firstLine="648"/>
        <w:spacing w:after="0" w:line="282" w:lineRule="auto"/>
        <w:rPr>
          <w:sz w:val="20"/>
          <w:szCs w:val="20"/>
          <w:color w:val="auto"/>
        </w:rPr>
      </w:pPr>
      <w:r>
        <w:rPr>
          <w:rFonts w:ascii="Arial" w:cs="Arial" w:eastAsia="Arial" w:hAnsi="Arial"/>
          <w:sz w:val="18"/>
          <w:szCs w:val="18"/>
          <w:b w:val="1"/>
          <w:bCs w:val="1"/>
          <w:color w:val="auto"/>
        </w:rPr>
        <w:t>3.16 Solvency</w:t>
      </w:r>
      <w:r>
        <w:rPr>
          <w:rFonts w:ascii="Arial" w:cs="Arial" w:eastAsia="Arial" w:hAnsi="Arial"/>
          <w:sz w:val="18"/>
          <w:szCs w:val="18"/>
          <w:color w:val="auto"/>
        </w:rPr>
        <w:t>. The Loan Parties taken as a whole are, and after giving effect to the incurrence of all Indebtedness and obligations being incurred</w:t>
      </w:r>
      <w:r>
        <w:rPr>
          <w:rFonts w:ascii="Arial" w:cs="Arial" w:eastAsia="Arial" w:hAnsi="Arial"/>
          <w:sz w:val="18"/>
          <w:szCs w:val="18"/>
          <w:b w:val="1"/>
          <w:bCs w:val="1"/>
          <w:color w:val="auto"/>
        </w:rPr>
        <w:t xml:space="preserve"> </w:t>
      </w:r>
      <w:r>
        <w:rPr>
          <w:rFonts w:ascii="Arial" w:cs="Arial" w:eastAsia="Arial" w:hAnsi="Arial"/>
          <w:sz w:val="18"/>
          <w:szCs w:val="18"/>
          <w:color w:val="auto"/>
        </w:rPr>
        <w:t>in connection herewith, will be, Solvent.</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3.17 Insurance</w:t>
      </w:r>
      <w:r>
        <w:rPr>
          <w:rFonts w:ascii="Arial" w:cs="Arial" w:eastAsia="Arial" w:hAnsi="Arial"/>
          <w:sz w:val="18"/>
          <w:szCs w:val="18"/>
          <w:color w:val="auto"/>
        </w:rPr>
        <w:t>. All insurance maintained by the Loan Parties is in full force and effect, all premiums have been duly paid, no Loan Party has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received notice of violation or cancellation thereof, and there exists no default under any requirement of such insurance. Each Loan Party maintains insurance with financially sound and reputable insurance companies, on all its property and against at least such risks and, in any case, in at least such amounts as reasonably required by the Agent and as otherwise may be required pursuant to </w:t>
      </w:r>
      <w:r>
        <w:rPr>
          <w:rFonts w:ascii="Arial" w:cs="Arial" w:eastAsia="Arial" w:hAnsi="Arial"/>
          <w:sz w:val="18"/>
          <w:szCs w:val="18"/>
          <w:u w:val="single" w:color="auto"/>
          <w:color w:val="auto"/>
        </w:rPr>
        <w:t>Section 5.5</w:t>
      </w:r>
      <w:r>
        <w:rPr>
          <w:rFonts w:ascii="Arial" w:cs="Arial" w:eastAsia="Arial" w:hAnsi="Arial"/>
          <w:sz w:val="18"/>
          <w:szCs w:val="18"/>
          <w:color w:val="auto"/>
        </w:rPr>
        <w:t>.</w:t>
      </w:r>
    </w:p>
    <w:p>
      <w:pPr>
        <w:spacing w:after="0" w:line="1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3.18 Title</w:t>
      </w:r>
      <w:r>
        <w:rPr>
          <w:rFonts w:ascii="Arial" w:cs="Arial" w:eastAsia="Arial" w:hAnsi="Arial"/>
          <w:sz w:val="18"/>
          <w:szCs w:val="18"/>
          <w:color w:val="auto"/>
        </w:rPr>
        <w:t>. Each Loan Party is the lawful owner of, and has good title to, all of the Collateral pledged hereunder or any other Loan Document, in</w:t>
      </w:r>
      <w:r>
        <w:rPr>
          <w:rFonts w:ascii="Arial" w:cs="Arial" w:eastAsia="Arial" w:hAnsi="Arial"/>
          <w:sz w:val="18"/>
          <w:szCs w:val="18"/>
          <w:b w:val="1"/>
          <w:bCs w:val="1"/>
          <w:color w:val="auto"/>
        </w:rPr>
        <w:t xml:space="preserve"> </w:t>
      </w:r>
      <w:r>
        <w:rPr>
          <w:rFonts w:ascii="Arial" w:cs="Arial" w:eastAsia="Arial" w:hAnsi="Arial"/>
          <w:sz w:val="18"/>
          <w:szCs w:val="18"/>
          <w:color w:val="auto"/>
        </w:rPr>
        <w:t>each case, free and clear of any Liens (other than the Lien of the Agent and any Permitted Liens). The Collateral represents all assets that are necessary for the conduct of Loan Parties’ business as currently conducted.</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3.19 Subsidiaries</w:t>
      </w:r>
      <w:r>
        <w:rPr>
          <w:rFonts w:ascii="Arial" w:cs="Arial" w:eastAsia="Arial" w:hAnsi="Arial"/>
          <w:sz w:val="18"/>
          <w:szCs w:val="18"/>
          <w:color w:val="auto"/>
        </w:rPr>
        <w:t>. As of the Third Amendment Effective Date, each Subsidiary of a Loan Party is set forth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3.19</w:t>
      </w:r>
      <w:r>
        <w:rPr>
          <w:rFonts w:ascii="Arial" w:cs="Arial" w:eastAsia="Arial" w:hAnsi="Arial"/>
          <w:sz w:val="18"/>
          <w:szCs w:val="18"/>
          <w:b w:val="1"/>
          <w:bCs w:val="1"/>
          <w:color w:val="auto"/>
        </w:rPr>
        <w:t xml:space="preserve"> </w:t>
      </w:r>
      <w:r>
        <w:rPr>
          <w:rFonts w:ascii="Arial" w:cs="Arial" w:eastAsia="Arial" w:hAnsi="Arial"/>
          <w:sz w:val="18"/>
          <w:szCs w:val="18"/>
          <w:color w:val="auto"/>
        </w:rPr>
        <w:t>hereof. As of 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date following the Closing Date, the Loan Parties have no Subsidiaries other than those set forth on </w:t>
      </w:r>
      <w:r>
        <w:rPr>
          <w:rFonts w:ascii="Arial" w:cs="Arial" w:eastAsia="Arial" w:hAnsi="Arial"/>
          <w:sz w:val="18"/>
          <w:szCs w:val="18"/>
          <w:u w:val="single" w:color="auto"/>
          <w:color w:val="auto"/>
        </w:rPr>
        <w:t>Schedule 3.19</w:t>
      </w:r>
      <w:r>
        <w:rPr>
          <w:rFonts w:ascii="Arial" w:cs="Arial" w:eastAsia="Arial" w:hAnsi="Arial"/>
          <w:sz w:val="18"/>
          <w:szCs w:val="18"/>
          <w:color w:val="auto"/>
        </w:rPr>
        <w:t xml:space="preserve"> hereof and those permitted pursuant to </w:t>
      </w:r>
      <w:r>
        <w:rPr>
          <w:rFonts w:ascii="Arial" w:cs="Arial" w:eastAsia="Arial" w:hAnsi="Arial"/>
          <w:sz w:val="18"/>
          <w:szCs w:val="18"/>
          <w:u w:val="single" w:color="auto"/>
          <w:color w:val="auto"/>
        </w:rPr>
        <w:t>Section 6.11</w:t>
      </w:r>
      <w:r>
        <w:rPr>
          <w:rFonts w:ascii="Arial" w:cs="Arial" w:eastAsia="Arial" w:hAnsi="Arial"/>
          <w:sz w:val="18"/>
          <w:szCs w:val="18"/>
          <w:color w:val="auto"/>
        </w:rPr>
        <w:t xml:space="preserve"> hereof.</w:t>
      </w:r>
    </w:p>
    <w:p>
      <w:pPr>
        <w:spacing w:after="0" w:line="17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color w:val="auto"/>
        </w:rPr>
        <w:t>3.20 Employees</w:t>
      </w:r>
      <w:r>
        <w:rPr>
          <w:rFonts w:ascii="Arial" w:cs="Arial" w:eastAsia="Arial" w:hAnsi="Arial"/>
          <w:sz w:val="18"/>
          <w:szCs w:val="18"/>
          <w:color w:val="auto"/>
        </w:rPr>
        <w:t>. No Loan Party is party to or bound by any collective bargaining agreement or similar labor agreement and there is, and during</w:t>
      </w:r>
      <w:r>
        <w:rPr>
          <w:rFonts w:ascii="Arial" w:cs="Arial" w:eastAsia="Arial" w:hAnsi="Arial"/>
          <w:sz w:val="18"/>
          <w:szCs w:val="18"/>
          <w:b w:val="1"/>
          <w:bCs w:val="1"/>
          <w:color w:val="auto"/>
        </w:rPr>
        <w:t xml:space="preserve"> </w:t>
      </w:r>
      <w:r>
        <w:rPr>
          <w:rFonts w:ascii="Arial" w:cs="Arial" w:eastAsia="Arial" w:hAnsi="Arial"/>
          <w:sz w:val="18"/>
          <w:szCs w:val="18"/>
          <w:color w:val="auto"/>
        </w:rPr>
        <w:t>the five (5) year period immediately preceding the Third Amendment Effective Date, has been, no labor organizing activity involving employees of any Loan Party. There are no strikes, lockouts, work stoppages, slowdowns or other labor disputes against any Loan Party pending or, to the Knowledge of any Loan Party, threatened and the Loan Parties have complied in all material respects with the Fair Labor Standards Act of 1938, as amended, and all other applicable federal, state, local or foreign labor and employment Laws. None of the Loan Parties has incurred any material liability or obligation under the Worker Adjustment and Retraining Notification Act or similar state law that remains unpaid or unsatisfied. All material payments due from any of the Loan Parties on account of wages and employee health and welfare insurance and other benefits have been paid or accrued as a liability on the books of the Loan Parties.</w:t>
      </w:r>
    </w:p>
    <w:p>
      <w:pPr>
        <w:spacing w:after="0" w:line="19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color w:val="auto"/>
        </w:rPr>
        <w:t>3.21 Collateral</w:t>
      </w:r>
      <w:r>
        <w:rPr>
          <w:rFonts w:ascii="Arial" w:cs="Arial" w:eastAsia="Arial" w:hAnsi="Arial"/>
          <w:sz w:val="17"/>
          <w:szCs w:val="17"/>
          <w:color w:val="auto"/>
        </w:rPr>
        <w:t>. All statements made and all information appearing in all invoices, instruments and other documents evidencing the account</w:t>
      </w:r>
      <w:r>
        <w:rPr>
          <w:rFonts w:ascii="Arial" w:cs="Arial" w:eastAsia="Arial" w:hAnsi="Arial"/>
          <w:sz w:val="17"/>
          <w:szCs w:val="17"/>
          <w:b w:val="1"/>
          <w:bCs w:val="1"/>
          <w:color w:val="auto"/>
        </w:rPr>
        <w:t xml:space="preserve"> </w:t>
      </w:r>
      <w:r>
        <w:rPr>
          <w:rFonts w:ascii="Arial" w:cs="Arial" w:eastAsia="Arial" w:hAnsi="Arial"/>
          <w:sz w:val="17"/>
          <w:szCs w:val="17"/>
          <w:color w:val="auto"/>
        </w:rPr>
        <w:t>receivables of any Loan Party, and the operations of such Loan Party with respect to such account receivables are and shall be true and correct in all material respects and all such invoices, instruments and other documents, and all of such Loan Party’s books and records are genuine and in all respects what they purport to be. All account receivables of the Loan Parties and all operations of the Loan Parties with respect to such account receivables comply in all material respects with all applicable Requirements of Law. To such Loan Party’s knowledge after reasonable inquiry, all signatures and endorsements on all documents, instruments, and agreements relating to the account receivables of such Loan Party are genuine, and all such documents, instruments and agreements are legally enforceable in accordance with their terms. Each account receivables of a Loan Party is, and will remain at all times, free and clear of Liens other than the Lien of Agent and Permitted Liens. The Loan Parties have not, and will not, transfer or assign any partial interest in any account receivables other than in the ordinary course of business.</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20" w:type="dxa"/>
            <w:vAlign w:val="bottom"/>
            <w:tcBorders>
              <w:bottom w:val="single" w:sz="8" w:color="auto"/>
            </w:tcBorders>
          </w:tcPr>
          <w:p>
            <w:pPr>
              <w:jc w:val="right"/>
              <w:ind w:right="5350"/>
              <w:spacing w:after="0"/>
              <w:rPr>
                <w:sz w:val="20"/>
                <w:szCs w:val="20"/>
                <w:color w:val="auto"/>
              </w:rPr>
            </w:pPr>
            <w:r>
              <w:rPr>
                <w:rFonts w:ascii="Arial" w:cs="Arial" w:eastAsia="Arial" w:hAnsi="Arial"/>
                <w:sz w:val="18"/>
                <w:szCs w:val="18"/>
                <w:color w:val="auto"/>
              </w:rPr>
              <w:t>43</w:t>
            </w:r>
          </w:p>
        </w:tc>
      </w:tr>
    </w:tbl>
    <w:p>
      <w:pPr>
        <w:sectPr>
          <w:pgSz w:w="11900" w:h="16838" w:orient="portrait"/>
          <w:cols w:equalWidth="0" w:num="1">
            <w:col w:w="11240"/>
          </w:cols>
          <w:pgMar w:left="320" w:top="904" w:right="339" w:bottom="1440" w:gutter="0" w:footer="0" w:header="0"/>
        </w:sectPr>
      </w:pPr>
    </w:p>
    <w:bookmarkStart w:id="120" w:name="page121"/>
    <w:bookmarkEnd w:id="120"/>
    <w:p>
      <w:pPr>
        <w:jc w:val="both"/>
        <w:ind w:firstLine="648"/>
        <w:spacing w:after="0" w:line="261" w:lineRule="auto"/>
        <w:rPr>
          <w:sz w:val="20"/>
          <w:szCs w:val="20"/>
          <w:color w:val="auto"/>
        </w:rPr>
      </w:pPr>
      <w:r>
        <w:rPr>
          <w:rFonts w:ascii="Arial" w:cs="Arial" w:eastAsia="Arial" w:hAnsi="Arial"/>
          <w:sz w:val="18"/>
          <w:szCs w:val="18"/>
          <w:b w:val="1"/>
          <w:bCs w:val="1"/>
          <w:color w:val="auto"/>
        </w:rPr>
        <w:t>3.22 Intellectual Property</w:t>
      </w:r>
      <w:r>
        <w:rPr>
          <w:rFonts w:ascii="Arial" w:cs="Arial" w:eastAsia="Arial" w:hAnsi="Arial"/>
          <w:sz w:val="18"/>
          <w:szCs w:val="18"/>
          <w:color w:val="auto"/>
        </w:rPr>
        <w:t>. The Borrower owns, or is licensed to use, all Intellectual Property necessary for the conduct of its business as</w:t>
      </w:r>
      <w:r>
        <w:rPr>
          <w:rFonts w:ascii="Arial" w:cs="Arial" w:eastAsia="Arial" w:hAnsi="Arial"/>
          <w:sz w:val="18"/>
          <w:szCs w:val="18"/>
          <w:b w:val="1"/>
          <w:bCs w:val="1"/>
          <w:color w:val="auto"/>
        </w:rPr>
        <w:t xml:space="preserve"> </w:t>
      </w:r>
      <w:r>
        <w:rPr>
          <w:rFonts w:ascii="Arial" w:cs="Arial" w:eastAsia="Arial" w:hAnsi="Arial"/>
          <w:sz w:val="18"/>
          <w:szCs w:val="18"/>
          <w:color w:val="auto"/>
        </w:rPr>
        <w:t>currently conducted. No claim has been asserted and is pending by any Person challenging or questioning the use of any Intellectual Property or the validity or effectiveness of any Intellectual Property, in each case so as to result in a Material Adverse Effect. The use of Intellectual Property by each Loan Party does not infringe on the rights of any Person in any material respect.</w:t>
      </w:r>
    </w:p>
    <w:p>
      <w:pPr>
        <w:spacing w:after="0" w:line="18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auto"/>
        </w:rPr>
        <w:t>3.23 Capitalization</w:t>
      </w:r>
      <w:r>
        <w:rPr>
          <w:rFonts w:ascii="Arial" w:cs="Arial" w:eastAsia="Arial" w:hAnsi="Arial"/>
          <w:sz w:val="17"/>
          <w:szCs w:val="17"/>
          <w:color w:val="auto"/>
        </w:rPr>
        <w:t>. The Equity Interests of each Loan Party has been duly authorized and validly issued and are fully paid and non-assessable.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Except as set forth on </w:t>
      </w:r>
      <w:r>
        <w:rPr>
          <w:rFonts w:ascii="Arial" w:cs="Arial" w:eastAsia="Arial" w:hAnsi="Arial"/>
          <w:sz w:val="17"/>
          <w:szCs w:val="17"/>
          <w:u w:val="single" w:color="auto"/>
          <w:color w:val="auto"/>
        </w:rPr>
        <w:t>Schedule 3.23</w:t>
      </w:r>
      <w:r>
        <w:rPr>
          <w:rFonts w:ascii="Arial" w:cs="Arial" w:eastAsia="Arial" w:hAnsi="Arial"/>
          <w:sz w:val="17"/>
          <w:szCs w:val="17"/>
          <w:color w:val="auto"/>
        </w:rPr>
        <w:t xml:space="preserve">, as of the date hereof, there is no existing option, warrant, call, right, commitment or other agreement to which a Loan Party is a party requiring, and there is no membership interest or other Equity Interest of a Loan Party outstanding and undisclosed to Agent and Lenders which upon conversion or exchange would require, the issuance by such Loan Party of any additional membership interests or other Equity Interests or other securities convertible into, exchangeable for or evidencing the right to subscribe for or purchase, a membership interest or other Equity Interests of such Loan Party. </w:t>
      </w:r>
      <w:r>
        <w:rPr>
          <w:rFonts w:ascii="Arial" w:cs="Arial" w:eastAsia="Arial" w:hAnsi="Arial"/>
          <w:sz w:val="17"/>
          <w:szCs w:val="17"/>
          <w:u w:val="single" w:color="auto"/>
          <w:color w:val="auto"/>
        </w:rPr>
        <w:t>Schedule 3.23</w:t>
      </w:r>
      <w:r>
        <w:rPr>
          <w:rFonts w:ascii="Arial" w:cs="Arial" w:eastAsia="Arial" w:hAnsi="Arial"/>
          <w:sz w:val="17"/>
          <w:szCs w:val="17"/>
          <w:color w:val="auto"/>
        </w:rPr>
        <w:t xml:space="preserve"> correctly sets forth the ownership interest of each Loan Party in its respective Subsidiaries as of the Closing Date both before and after giving effect to the transactions contemplated hereby.</w:t>
      </w:r>
    </w:p>
    <w:p>
      <w:pPr>
        <w:spacing w:after="0" w:line="17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i w:val="1"/>
          <w:iCs w:val="1"/>
          <w:color w:val="auto"/>
        </w:rPr>
        <w:t>3.24 Transactions with Affiliates</w:t>
      </w:r>
      <w:r>
        <w:rPr>
          <w:rFonts w:ascii="Arial" w:cs="Arial" w:eastAsia="Arial" w:hAnsi="Arial"/>
          <w:sz w:val="17"/>
          <w:szCs w:val="17"/>
          <w:color w:val="auto"/>
        </w:rPr>
        <w:t>. Except as set forth on</w:t>
      </w:r>
      <w:r>
        <w:rPr>
          <w:rFonts w:ascii="Arial" w:cs="Arial" w:eastAsia="Arial" w:hAnsi="Arial"/>
          <w:sz w:val="17"/>
          <w:szCs w:val="17"/>
          <w:b w:val="1"/>
          <w:bCs w:val="1"/>
          <w:i w:val="1"/>
          <w:iCs w:val="1"/>
          <w:color w:val="auto"/>
        </w:rPr>
        <w:t xml:space="preserve"> </w:t>
      </w:r>
      <w:r>
        <w:rPr>
          <w:rFonts w:ascii="Arial" w:cs="Arial" w:eastAsia="Arial" w:hAnsi="Arial"/>
          <w:sz w:val="17"/>
          <w:szCs w:val="17"/>
          <w:u w:val="single" w:color="auto"/>
          <w:color w:val="auto"/>
        </w:rPr>
        <w:t>Schedule 3.24</w:t>
      </w:r>
      <w:r>
        <w:rPr>
          <w:rFonts w:ascii="Arial" w:cs="Arial" w:eastAsia="Arial" w:hAnsi="Arial"/>
          <w:sz w:val="17"/>
          <w:szCs w:val="17"/>
          <w:color w:val="auto"/>
        </w:rPr>
        <w:t>, no Loan Party is party to any transaction, including any purchase, sale,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lease or exchange of property, the rendering of any service or the payment of any management, advisory or similar fees, with any Affiliate unless such transaction is (a) otherwise permitted under this Agreement, (b) in the ordinary course of business of such Loan Party and is upon fair and reasonable terms no less favorable to such Loan Party, as determined by Agent in Agent’s Permitted Discretion, than it would obtain in a comparable arm’s length transaction with a Person that is not an Affiliate, (c) employment arrangements and employee benefit plans entered into in the ordinary course of business or (d) transactions solely among the Loan Parties, not involving other Affiliates.</w:t>
      </w:r>
    </w:p>
    <w:p>
      <w:pPr>
        <w:spacing w:after="0" w:line="174"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b w:val="1"/>
          <w:bCs w:val="1"/>
          <w:color w:val="auto"/>
        </w:rPr>
        <w:t>3.25 No Burdensome Restrictions</w:t>
      </w:r>
      <w:r>
        <w:rPr>
          <w:rFonts w:ascii="Arial" w:cs="Arial" w:eastAsia="Arial" w:hAnsi="Arial"/>
          <w:sz w:val="16"/>
          <w:szCs w:val="16"/>
          <w:color w:val="auto"/>
        </w:rPr>
        <w:t>. No encumbrance or restriction of any kind exists which materially and adversely affects the ability of (a) any</w:t>
      </w:r>
      <w:r>
        <w:rPr>
          <w:rFonts w:ascii="Arial" w:cs="Arial" w:eastAsia="Arial" w:hAnsi="Arial"/>
          <w:sz w:val="16"/>
          <w:szCs w:val="16"/>
          <w:b w:val="1"/>
          <w:bCs w:val="1"/>
          <w:color w:val="auto"/>
        </w:rPr>
        <w:t xml:space="preserve"> </w:t>
      </w:r>
      <w:r>
        <w:rPr>
          <w:rFonts w:ascii="Arial" w:cs="Arial" w:eastAsia="Arial" w:hAnsi="Arial"/>
          <w:sz w:val="16"/>
          <w:szCs w:val="16"/>
          <w:color w:val="auto"/>
        </w:rPr>
        <w:t>Subsidiary of any Loan Party (i) to pay dividends or to make any other distribution on its Equity Interests owned by its parent, (ii) to pay or prepay any Indebtedness owed to any Loan Party, (iii) to make loans or advances to any Loan Party, or (iv) to transfer any of its property or assets to any Loan Party, or (b) any Loan Party to grant Liens on the Collateral to Agent, in each case except for restrictions and conditions imposed by applicable law.</w:t>
      </w:r>
    </w:p>
    <w:p>
      <w:pPr>
        <w:spacing w:after="0" w:line="151"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18"/>
          <w:szCs w:val="18"/>
          <w:b w:val="1"/>
          <w:bCs w:val="1"/>
          <w:color w:val="auto"/>
        </w:rPr>
        <w:t>3.26 Patriot Act</w:t>
      </w:r>
      <w:r>
        <w:rPr>
          <w:rFonts w:ascii="Arial" w:cs="Arial" w:eastAsia="Arial" w:hAnsi="Arial"/>
          <w:sz w:val="18"/>
          <w:szCs w:val="18"/>
          <w:color w:val="auto"/>
        </w:rPr>
        <w:t>. To the extent applicable, each Loan Party is in compliance, in all material respects, with the (a) Trading with the Enemy Act, as</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and each of the foreign assets control regulations of the United States Treasury Department (31 C.F.R., Subtitle B, Chapter V, as amended) and any other enabling legislation or executive order relating thereto and (b) Patriot Act.</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20" w:type="dxa"/>
            <w:vAlign w:val="bottom"/>
            <w:tcBorders>
              <w:bottom w:val="single" w:sz="8" w:color="auto"/>
            </w:tcBorders>
          </w:tcPr>
          <w:p>
            <w:pPr>
              <w:jc w:val="right"/>
              <w:ind w:right="5350"/>
              <w:spacing w:after="0"/>
              <w:rPr>
                <w:sz w:val="20"/>
                <w:szCs w:val="20"/>
                <w:color w:val="auto"/>
              </w:rPr>
            </w:pPr>
            <w:r>
              <w:rPr>
                <w:rFonts w:ascii="Arial" w:cs="Arial" w:eastAsia="Arial" w:hAnsi="Arial"/>
                <w:sz w:val="18"/>
                <w:szCs w:val="18"/>
                <w:color w:val="auto"/>
              </w:rPr>
              <w:t>44</w:t>
            </w:r>
          </w:p>
        </w:tc>
      </w:tr>
    </w:tbl>
    <w:p>
      <w:pPr>
        <w:sectPr>
          <w:pgSz w:w="11900" w:h="16838" w:orient="portrait"/>
          <w:cols w:equalWidth="0" w:num="1">
            <w:col w:w="11240"/>
          </w:cols>
          <w:pgMar w:left="320" w:top="904" w:right="339" w:bottom="1440" w:gutter="0" w:footer="0" w:header="0"/>
        </w:sectPr>
      </w:pPr>
    </w:p>
    <w:bookmarkStart w:id="121" w:name="page122"/>
    <w:bookmarkEnd w:id="121"/>
    <w:p>
      <w:pPr>
        <w:ind w:left="660"/>
        <w:spacing w:after="0"/>
        <w:rPr>
          <w:sz w:val="20"/>
          <w:szCs w:val="20"/>
          <w:color w:val="auto"/>
        </w:rPr>
      </w:pPr>
      <w:r>
        <w:rPr>
          <w:rFonts w:ascii="Arial" w:cs="Arial" w:eastAsia="Arial" w:hAnsi="Arial"/>
          <w:sz w:val="18"/>
          <w:szCs w:val="18"/>
          <w:b w:val="1"/>
          <w:bCs w:val="1"/>
          <w:color w:val="auto"/>
        </w:rPr>
        <w:t>3.27 Foreign Assets Control Regulations and Anti-Money Laundering</w:t>
      </w:r>
      <w:r>
        <w:rPr>
          <w:rFonts w:ascii="Arial" w:cs="Arial" w:eastAsia="Arial" w:hAnsi="Arial"/>
          <w:sz w:val="18"/>
          <w:szCs w:val="18"/>
          <w:color w:val="auto"/>
        </w:rPr>
        <w:t>.</w:t>
      </w:r>
    </w:p>
    <w:p>
      <w:pPr>
        <w:spacing w:after="0" w:line="229" w:lineRule="exact"/>
        <w:rPr>
          <w:sz w:val="20"/>
          <w:szCs w:val="20"/>
          <w:color w:val="auto"/>
        </w:rPr>
      </w:pPr>
    </w:p>
    <w:p>
      <w:pPr>
        <w:jc w:val="both"/>
        <w:ind w:firstLine="656"/>
        <w:spacing w:after="0" w:line="272" w:lineRule="auto"/>
        <w:tabs>
          <w:tab w:leader="none" w:pos="906" w:val="left"/>
        </w:tabs>
        <w:numPr>
          <w:ilvl w:val="0"/>
          <w:numId w:val="96"/>
        </w:numPr>
        <w:rPr>
          <w:rFonts w:ascii="Arial" w:cs="Arial" w:eastAsia="Arial" w:hAnsi="Arial"/>
          <w:sz w:val="17"/>
          <w:szCs w:val="17"/>
          <w:color w:val="auto"/>
        </w:rPr>
      </w:pPr>
      <w:r>
        <w:rPr>
          <w:rFonts w:ascii="Arial" w:cs="Arial" w:eastAsia="Arial" w:hAnsi="Arial"/>
          <w:sz w:val="17"/>
          <w:szCs w:val="17"/>
          <w:color w:val="auto"/>
        </w:rPr>
        <w:t>No Loan Party, and no director, officer, employee, agent or Affiliate of any Loan Party is a Person that is, or is owned or controlled by (including by virtue of such Person being a director or owning voting shares or interests), or acts, directly or indirectly, for or on behalf of, any Person that is (i) designated by the U.S. government on the list of the Specially Designated Nationals or Blocked Persons or with which a U.S. Person cannot deal with or otherwise engage in business transactions, (ii) the subject and/or target of any sanctions administered or enforced by the U.S. Department of the Treasury’s Office of Foreign Assets Control, the U.S. Department of State, the United Nations Security Council, the European Union, Her Majesty’s Treasury, or other relevant sanctions authority (collectively, “</w:t>
      </w:r>
      <w:r>
        <w:rPr>
          <w:rFonts w:ascii="Arial" w:cs="Arial" w:eastAsia="Arial" w:hAnsi="Arial"/>
          <w:sz w:val="17"/>
          <w:szCs w:val="17"/>
          <w:b w:val="1"/>
          <w:bCs w:val="1"/>
          <w:i w:val="1"/>
          <w:iCs w:val="1"/>
          <w:color w:val="auto"/>
        </w:rPr>
        <w:t>Sanctions</w:t>
      </w:r>
      <w:r>
        <w:rPr>
          <w:rFonts w:ascii="Arial" w:cs="Arial" w:eastAsia="Arial" w:hAnsi="Arial"/>
          <w:sz w:val="17"/>
          <w:szCs w:val="17"/>
          <w:color w:val="auto"/>
        </w:rPr>
        <w:t xml:space="preserve">”) or (iii) located, organized or resident in a country or territory that is, or whose government is, the subject of Sanctions (any Person described in clauses (i), (ii) or (iii), each a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Blocked Person</w:t>
      </w:r>
      <w:r>
        <w:rPr>
          <w:rFonts w:ascii="Arial" w:cs="Arial" w:eastAsia="Arial" w:hAnsi="Arial"/>
          <w:sz w:val="17"/>
          <w:szCs w:val="17"/>
          <w:b w:val="1"/>
          <w:bCs w:val="1"/>
          <w:color w:val="auto"/>
        </w:rPr>
        <w:t>”</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jc w:val="both"/>
        <w:ind w:firstLine="656"/>
        <w:spacing w:after="0" w:line="257" w:lineRule="auto"/>
        <w:tabs>
          <w:tab w:leader="none" w:pos="916"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Loan Parties, their Subsidiaries and their respective directors, officers, and employees, and to the knowledge of the Loan Parties after reasonable inquiry, their agents or any other person acting on behalf of any Loan Party or any of their Subsidiaries, are and will remain in compliance with all applicable Sanctions, the Foreign Corrupt Practices Act of 1977, as amended, and the rules and regulations thereunder (collectively, the “</w:t>
      </w:r>
      <w:r>
        <w:rPr>
          <w:rFonts w:ascii="Arial" w:cs="Arial" w:eastAsia="Arial" w:hAnsi="Arial"/>
          <w:sz w:val="18"/>
          <w:szCs w:val="18"/>
          <w:b w:val="1"/>
          <w:bCs w:val="1"/>
          <w:i w:val="1"/>
          <w:iCs w:val="1"/>
          <w:color w:val="auto"/>
        </w:rPr>
        <w:t>FCPA</w:t>
      </w:r>
      <w:r>
        <w:rPr>
          <w:rFonts w:ascii="Arial" w:cs="Arial" w:eastAsia="Arial" w:hAnsi="Arial"/>
          <w:sz w:val="18"/>
          <w:szCs w:val="18"/>
          <w:color w:val="auto"/>
        </w:rPr>
        <w:t>”), all applicable anti-money laundering and counter-terrorism financing provisions of the Bank Secrecy Act (31 U.S.C. Sections 5301 et seq.) and all regulations issued pursuant to it, or any other applicable anti-corruption law.</w:t>
      </w:r>
    </w:p>
    <w:p>
      <w:pPr>
        <w:spacing w:after="0" w:line="187" w:lineRule="exact"/>
        <w:rPr>
          <w:rFonts w:ascii="Arial" w:cs="Arial" w:eastAsia="Arial" w:hAnsi="Arial"/>
          <w:sz w:val="18"/>
          <w:szCs w:val="18"/>
          <w:color w:val="auto"/>
        </w:rPr>
      </w:pPr>
    </w:p>
    <w:p>
      <w:pPr>
        <w:ind w:firstLine="656"/>
        <w:spacing w:after="0" w:line="277" w:lineRule="auto"/>
        <w:tabs>
          <w:tab w:leader="none" w:pos="906"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Loan Parties and their Subsidiaries have instituted and maintain policies and procedures designed to ensure continued compliance with applicable Sanctions, the FCPA and any other applicable anti-corruption Laws.</w:t>
      </w:r>
    </w:p>
    <w:p>
      <w:pPr>
        <w:spacing w:after="0" w:line="170" w:lineRule="exact"/>
        <w:rPr>
          <w:rFonts w:ascii="Arial" w:cs="Arial" w:eastAsia="Arial" w:hAnsi="Arial"/>
          <w:sz w:val="18"/>
          <w:szCs w:val="18"/>
          <w:color w:val="auto"/>
        </w:rPr>
      </w:pPr>
    </w:p>
    <w:p>
      <w:pPr>
        <w:jc w:val="both"/>
        <w:ind w:firstLine="656"/>
        <w:spacing w:after="0" w:line="263" w:lineRule="auto"/>
        <w:tabs>
          <w:tab w:leader="none" w:pos="916" w:val="left"/>
        </w:tabs>
        <w:numPr>
          <w:ilvl w:val="0"/>
          <w:numId w:val="96"/>
        </w:numPr>
        <w:rPr>
          <w:rFonts w:ascii="Arial" w:cs="Arial" w:eastAsia="Arial" w:hAnsi="Arial"/>
          <w:sz w:val="18"/>
          <w:szCs w:val="18"/>
          <w:color w:val="auto"/>
        </w:rPr>
      </w:pPr>
      <w:r>
        <w:rPr>
          <w:rFonts w:ascii="Arial" w:cs="Arial" w:eastAsia="Arial" w:hAnsi="Arial"/>
          <w:sz w:val="18"/>
          <w:szCs w:val="18"/>
          <w:color w:val="auto"/>
        </w:rPr>
        <w:t>No part of the proceeds of the Term Loan will be used, directly or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FCPA.</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3.28 Parent</w:t>
      </w:r>
      <w:r>
        <w:rPr>
          <w:rFonts w:ascii="Arial" w:cs="Arial" w:eastAsia="Arial" w:hAnsi="Arial"/>
          <w:sz w:val="18"/>
          <w:szCs w:val="18"/>
          <w:color w:val="auto"/>
        </w:rPr>
        <w:t>. Parent does not engage in any material business activity other than the activities permitted under</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6.11</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3.29 PPP Loans</w:t>
      </w:r>
      <w:r>
        <w:rPr>
          <w:rFonts w:ascii="Arial" w:cs="Arial" w:eastAsia="Arial" w:hAnsi="Arial"/>
          <w:sz w:val="18"/>
          <w:szCs w:val="18"/>
          <w:color w:val="auto"/>
        </w:rPr>
        <w:t>. Each of the PPP Loans has been forgiven in its entirety, and neither Borrower nor any other Loan Party has any knowledge of</w:t>
      </w:r>
      <w:r>
        <w:rPr>
          <w:rFonts w:ascii="Arial" w:cs="Arial" w:eastAsia="Arial" w:hAnsi="Arial"/>
          <w:sz w:val="18"/>
          <w:szCs w:val="18"/>
          <w:b w:val="1"/>
          <w:bCs w:val="1"/>
          <w:color w:val="auto"/>
        </w:rPr>
        <w:t xml:space="preserve"> </w:t>
      </w:r>
      <w:r>
        <w:rPr>
          <w:rFonts w:ascii="Arial" w:cs="Arial" w:eastAsia="Arial" w:hAnsi="Arial"/>
          <w:sz w:val="18"/>
          <w:szCs w:val="18"/>
          <w:color w:val="auto"/>
        </w:rPr>
        <w:t>any pending or threatened investigation by the applicable lender under any PPP Loan, the U.S. Small Business Administration or any other Official Body into the incurrence, use or forgiveness of any PPP Loan or any other matter relating thereto.</w:t>
      </w:r>
    </w:p>
    <w:p>
      <w:pPr>
        <w:spacing w:after="0" w:line="17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b w:val="1"/>
          <w:bCs w:val="1"/>
          <w:color w:val="auto"/>
        </w:rPr>
        <w:t>3.30 SPAC Transaction</w:t>
      </w:r>
      <w:r>
        <w:rPr>
          <w:rFonts w:ascii="Arial" w:cs="Arial" w:eastAsia="Arial" w:hAnsi="Arial"/>
          <w:sz w:val="16"/>
          <w:szCs w:val="16"/>
          <w:color w:val="auto"/>
        </w:rPr>
        <w:t>. With respect to the SPAC Merger Agreement, each SPAC Subscription Agreement, the Sponsor Support Agreement and</w:t>
      </w:r>
      <w:r>
        <w:rPr>
          <w:rFonts w:ascii="Arial" w:cs="Arial" w:eastAsia="Arial" w:hAnsi="Arial"/>
          <w:sz w:val="16"/>
          <w:szCs w:val="16"/>
          <w:b w:val="1"/>
          <w:bCs w:val="1"/>
          <w:color w:val="auto"/>
        </w:rPr>
        <w:t xml:space="preserve"> </w:t>
      </w:r>
      <w:r>
        <w:rPr>
          <w:rFonts w:ascii="Arial" w:cs="Arial" w:eastAsia="Arial" w:hAnsi="Arial"/>
          <w:sz w:val="16"/>
          <w:szCs w:val="16"/>
          <w:color w:val="auto"/>
        </w:rPr>
        <w:t>the Stockholder Support Agreement: (a) such agreement is in full force and effect, (b) no breach or default exists or has been asserted thereunder, and Borrower is not aware of any fact or circumstance that would give rise to any breach or default thereunder, (c) no party has terminated or threatened to terminate the SPAC Merger Agreement, any SPAC Subscription Agreement, the Sponsor Support Agreement or the Stockholder Support Agreement, (d) there have been no amendments, restatements, supplements or other modifications thereto that have not been disclosed to the Agent and (e) such agreements constitute the entire agreement and understanding among the Borrower, the Parent, each counterparty thereto and their respective Affiliates concerning the SPAC Transaction. The Borrower has not received, and to the Borrower’s knowledge, the Parent has not received any notice of an adverse determination by the SEC or any other Official Body regarding the SPAC Transaction.</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20" w:type="dxa"/>
            <w:vAlign w:val="bottom"/>
            <w:tcBorders>
              <w:bottom w:val="single" w:sz="8" w:color="auto"/>
            </w:tcBorders>
          </w:tcPr>
          <w:p>
            <w:pPr>
              <w:jc w:val="right"/>
              <w:ind w:right="5350"/>
              <w:spacing w:after="0"/>
              <w:rPr>
                <w:sz w:val="20"/>
                <w:szCs w:val="20"/>
                <w:color w:val="auto"/>
              </w:rPr>
            </w:pPr>
            <w:r>
              <w:rPr>
                <w:rFonts w:ascii="Arial" w:cs="Arial" w:eastAsia="Arial" w:hAnsi="Arial"/>
                <w:sz w:val="18"/>
                <w:szCs w:val="18"/>
                <w:color w:val="auto"/>
              </w:rPr>
              <w:t>45</w:t>
            </w:r>
          </w:p>
        </w:tc>
      </w:tr>
    </w:tbl>
    <w:p>
      <w:pPr>
        <w:sectPr>
          <w:pgSz w:w="11900" w:h="16838" w:orient="portrait"/>
          <w:cols w:equalWidth="0" w:num="1">
            <w:col w:w="11240"/>
          </w:cols>
          <w:pgMar w:left="320" w:top="904" w:right="33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8"/>
          <w:szCs w:val="18"/>
          <w:color w:val="auto"/>
        </w:rPr>
        <w:t>SECTION 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CONDITIONS PRECEDENT</w:t>
      </w:r>
    </w:p>
    <w:p>
      <w:pPr>
        <w:spacing w:after="0" w:line="207"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4.1 Conditions to Closing</w:t>
      </w:r>
      <w:r>
        <w:rPr>
          <w:rFonts w:ascii="Arial" w:cs="Arial" w:eastAsia="Arial" w:hAnsi="Arial"/>
          <w:sz w:val="18"/>
          <w:szCs w:val="18"/>
          <w:color w:val="auto"/>
        </w:rPr>
        <w:t>. The effectiveness of this Agreement shall be subject to the satisfaction (or waiver, in the sole discretion of the Agent),</w:t>
      </w:r>
      <w:r>
        <w:rPr>
          <w:rFonts w:ascii="Arial" w:cs="Arial" w:eastAsia="Arial" w:hAnsi="Arial"/>
          <w:sz w:val="18"/>
          <w:szCs w:val="18"/>
          <w:b w:val="1"/>
          <w:bCs w:val="1"/>
          <w:color w:val="auto"/>
        </w:rPr>
        <w:t xml:space="preserve"> </w:t>
      </w:r>
      <w:r>
        <w:rPr>
          <w:rFonts w:ascii="Arial" w:cs="Arial" w:eastAsia="Arial" w:hAnsi="Arial"/>
          <w:sz w:val="18"/>
          <w:szCs w:val="18"/>
          <w:color w:val="auto"/>
        </w:rPr>
        <w:t>prior to or on the Closing Date, of the following conditions precedent:</w:t>
      </w:r>
    </w:p>
    <w:p>
      <w:pPr>
        <w:spacing w:after="0" w:line="162" w:lineRule="exact"/>
        <w:rPr>
          <w:sz w:val="20"/>
          <w:szCs w:val="20"/>
          <w:color w:val="auto"/>
        </w:rPr>
      </w:pPr>
    </w:p>
    <w:p>
      <w:pPr>
        <w:ind w:left="900" w:hanging="244"/>
        <w:spacing w:after="0"/>
        <w:tabs>
          <w:tab w:leader="none" w:pos="900" w:val="left"/>
        </w:tabs>
        <w:numPr>
          <w:ilvl w:val="0"/>
          <w:numId w:val="97"/>
        </w:numPr>
        <w:rPr>
          <w:rFonts w:ascii="Arial" w:cs="Arial" w:eastAsia="Arial" w:hAnsi="Arial"/>
          <w:sz w:val="17"/>
          <w:szCs w:val="17"/>
          <w:color w:val="auto"/>
        </w:rPr>
      </w:pPr>
      <w:r>
        <w:rPr>
          <w:rFonts w:ascii="Arial" w:cs="Arial" w:eastAsia="Arial" w:hAnsi="Arial"/>
          <w:sz w:val="17"/>
          <w:szCs w:val="17"/>
          <w:b w:val="1"/>
          <w:bCs w:val="1"/>
          <w:color w:val="auto"/>
        </w:rPr>
        <w:t>Loan Documents</w:t>
      </w:r>
      <w:r>
        <w:rPr>
          <w:rFonts w:ascii="Arial" w:cs="Arial" w:eastAsia="Arial" w:hAnsi="Arial"/>
          <w:sz w:val="17"/>
          <w:szCs w:val="17"/>
          <w:color w:val="auto"/>
        </w:rPr>
        <w:t>. Agent shall have received each of the following, each of which shall be in form and substance satisfactory to Agent:</w:t>
      </w:r>
    </w:p>
    <w:p>
      <w:pPr>
        <w:spacing w:after="0" w:line="240" w:lineRule="exact"/>
        <w:rPr>
          <w:rFonts w:ascii="Arial" w:cs="Arial" w:eastAsia="Arial" w:hAnsi="Arial"/>
          <w:sz w:val="17"/>
          <w:szCs w:val="17"/>
          <w:color w:val="auto"/>
        </w:rPr>
      </w:pPr>
    </w:p>
    <w:p>
      <w:pPr>
        <w:ind w:left="1520" w:hanging="216"/>
        <w:spacing w:after="0"/>
        <w:tabs>
          <w:tab w:leader="none" w:pos="1520" w:val="left"/>
        </w:tabs>
        <w:numPr>
          <w:ilvl w:val="1"/>
          <w:numId w:val="97"/>
        </w:numPr>
        <w:rPr>
          <w:rFonts w:ascii="Arial" w:cs="Arial" w:eastAsia="Arial" w:hAnsi="Arial"/>
          <w:sz w:val="18"/>
          <w:szCs w:val="18"/>
          <w:color w:val="auto"/>
        </w:rPr>
      </w:pPr>
      <w:r>
        <w:rPr>
          <w:rFonts w:ascii="Arial" w:cs="Arial" w:eastAsia="Arial" w:hAnsi="Arial"/>
          <w:sz w:val="18"/>
          <w:szCs w:val="18"/>
          <w:color w:val="auto"/>
        </w:rPr>
        <w:t>this Agreement, executed and delivered by Agent, each Lender and Borrower;</w:t>
      </w:r>
    </w:p>
    <w:p>
      <w:pPr>
        <w:spacing w:after="0" w:line="225" w:lineRule="exact"/>
        <w:rPr>
          <w:rFonts w:ascii="Arial" w:cs="Arial" w:eastAsia="Arial" w:hAnsi="Arial"/>
          <w:sz w:val="18"/>
          <w:szCs w:val="18"/>
          <w:color w:val="auto"/>
        </w:rPr>
      </w:pPr>
    </w:p>
    <w:p>
      <w:pPr>
        <w:ind w:left="1560" w:hanging="256"/>
        <w:spacing w:after="0"/>
        <w:tabs>
          <w:tab w:leader="none" w:pos="1560" w:val="left"/>
        </w:tabs>
        <w:numPr>
          <w:ilvl w:val="1"/>
          <w:numId w:val="97"/>
        </w:numPr>
        <w:rPr>
          <w:rFonts w:ascii="Arial" w:cs="Arial" w:eastAsia="Arial" w:hAnsi="Arial"/>
          <w:sz w:val="18"/>
          <w:szCs w:val="18"/>
          <w:color w:val="auto"/>
        </w:rPr>
      </w:pPr>
      <w:r>
        <w:rPr>
          <w:rFonts w:ascii="Arial" w:cs="Arial" w:eastAsia="Arial" w:hAnsi="Arial"/>
          <w:sz w:val="18"/>
          <w:szCs w:val="18"/>
          <w:color w:val="auto"/>
        </w:rPr>
        <w:t>if requested by any Lender, the applicable Note for such Lender, executed and delivered by Borrower;</w:t>
      </w:r>
    </w:p>
    <w:p>
      <w:pPr>
        <w:spacing w:after="0" w:line="225" w:lineRule="exact"/>
        <w:rPr>
          <w:rFonts w:ascii="Arial" w:cs="Arial" w:eastAsia="Arial" w:hAnsi="Arial"/>
          <w:sz w:val="18"/>
          <w:szCs w:val="18"/>
          <w:color w:val="auto"/>
        </w:rPr>
      </w:pPr>
    </w:p>
    <w:p>
      <w:pPr>
        <w:ind w:left="1620" w:hanging="316"/>
        <w:spacing w:after="0"/>
        <w:tabs>
          <w:tab w:leader="none" w:pos="1620" w:val="left"/>
        </w:tabs>
        <w:numPr>
          <w:ilvl w:val="1"/>
          <w:numId w:val="97"/>
        </w:numPr>
        <w:rPr>
          <w:rFonts w:ascii="Arial" w:cs="Arial" w:eastAsia="Arial" w:hAnsi="Arial"/>
          <w:sz w:val="18"/>
          <w:szCs w:val="18"/>
          <w:color w:val="auto"/>
        </w:rPr>
      </w:pPr>
      <w:r>
        <w:rPr>
          <w:rFonts w:ascii="Arial" w:cs="Arial" w:eastAsia="Arial" w:hAnsi="Arial"/>
          <w:sz w:val="18"/>
          <w:szCs w:val="18"/>
          <w:color w:val="auto"/>
        </w:rPr>
        <w:t>the Security Agreement, executed and delivered by the Loan Parties;</w:t>
      </w:r>
    </w:p>
    <w:p>
      <w:pPr>
        <w:spacing w:after="0" w:line="225" w:lineRule="exact"/>
        <w:rPr>
          <w:rFonts w:ascii="Arial" w:cs="Arial" w:eastAsia="Arial" w:hAnsi="Arial"/>
          <w:sz w:val="18"/>
          <w:szCs w:val="18"/>
          <w:color w:val="auto"/>
        </w:rPr>
      </w:pPr>
    </w:p>
    <w:p>
      <w:pPr>
        <w:ind w:left="1600" w:hanging="296"/>
        <w:spacing w:after="0"/>
        <w:tabs>
          <w:tab w:leader="none" w:pos="1600" w:val="left"/>
        </w:tabs>
        <w:numPr>
          <w:ilvl w:val="1"/>
          <w:numId w:val="97"/>
        </w:numPr>
        <w:rPr>
          <w:rFonts w:ascii="Arial" w:cs="Arial" w:eastAsia="Arial" w:hAnsi="Arial"/>
          <w:sz w:val="18"/>
          <w:szCs w:val="18"/>
          <w:color w:val="auto"/>
        </w:rPr>
      </w:pPr>
      <w:r>
        <w:rPr>
          <w:rFonts w:ascii="Arial" w:cs="Arial" w:eastAsia="Arial" w:hAnsi="Arial"/>
          <w:sz w:val="18"/>
          <w:szCs w:val="18"/>
          <w:color w:val="auto"/>
        </w:rPr>
        <w:t>the Warrant Subscription Agreement, executed and delivered by Parent;</w:t>
      </w:r>
    </w:p>
    <w:p>
      <w:pPr>
        <w:spacing w:after="0" w:line="225" w:lineRule="exact"/>
        <w:rPr>
          <w:rFonts w:ascii="Arial" w:cs="Arial" w:eastAsia="Arial" w:hAnsi="Arial"/>
          <w:sz w:val="18"/>
          <w:szCs w:val="18"/>
          <w:color w:val="auto"/>
        </w:rPr>
      </w:pPr>
    </w:p>
    <w:p>
      <w:pPr>
        <w:ind w:left="1560" w:hanging="256"/>
        <w:spacing w:after="0"/>
        <w:tabs>
          <w:tab w:leader="none" w:pos="1560" w:val="left"/>
        </w:tabs>
        <w:numPr>
          <w:ilvl w:val="1"/>
          <w:numId w:val="97"/>
        </w:numPr>
        <w:rPr>
          <w:rFonts w:ascii="Arial" w:cs="Arial" w:eastAsia="Arial" w:hAnsi="Arial"/>
          <w:sz w:val="18"/>
          <w:szCs w:val="18"/>
          <w:color w:val="auto"/>
        </w:rPr>
      </w:pPr>
      <w:r>
        <w:rPr>
          <w:rFonts w:ascii="Arial" w:cs="Arial" w:eastAsia="Arial" w:hAnsi="Arial"/>
          <w:sz w:val="18"/>
          <w:szCs w:val="18"/>
          <w:color w:val="auto"/>
        </w:rPr>
        <w:t>the Founder Shares Transfer Agreement, executed and delivered by the Sponsor;</w:t>
      </w:r>
    </w:p>
    <w:p>
      <w:pPr>
        <w:spacing w:after="0" w:line="225" w:lineRule="exact"/>
        <w:rPr>
          <w:rFonts w:ascii="Arial" w:cs="Arial" w:eastAsia="Arial" w:hAnsi="Arial"/>
          <w:sz w:val="18"/>
          <w:szCs w:val="18"/>
          <w:color w:val="auto"/>
        </w:rPr>
      </w:pPr>
    </w:p>
    <w:p>
      <w:pPr>
        <w:ind w:left="660" w:firstLine="644"/>
        <w:spacing w:after="0" w:line="277" w:lineRule="auto"/>
        <w:tabs>
          <w:tab w:leader="none" w:pos="1613" w:val="left"/>
        </w:tabs>
        <w:numPr>
          <w:ilvl w:val="1"/>
          <w:numId w:val="97"/>
        </w:numPr>
        <w:rPr>
          <w:rFonts w:ascii="Arial" w:cs="Arial" w:eastAsia="Arial" w:hAnsi="Arial"/>
          <w:sz w:val="18"/>
          <w:szCs w:val="18"/>
          <w:color w:val="auto"/>
        </w:rPr>
      </w:pPr>
      <w:r>
        <w:rPr>
          <w:rFonts w:ascii="Arial" w:cs="Arial" w:eastAsia="Arial" w:hAnsi="Arial"/>
          <w:sz w:val="18"/>
          <w:szCs w:val="18"/>
          <w:color w:val="auto"/>
        </w:rPr>
        <w:t>the Closing Date Registration Rights Agreement, executed and delivered by Parent, the Sponsors and the other Parent stockholders party thereto (other than Lenders);</w:t>
      </w:r>
    </w:p>
    <w:p>
      <w:pPr>
        <w:spacing w:after="0" w:line="170" w:lineRule="exact"/>
        <w:rPr>
          <w:rFonts w:ascii="Arial" w:cs="Arial" w:eastAsia="Arial" w:hAnsi="Arial"/>
          <w:sz w:val="18"/>
          <w:szCs w:val="18"/>
          <w:color w:val="auto"/>
        </w:rPr>
      </w:pPr>
    </w:p>
    <w:p>
      <w:pPr>
        <w:ind w:left="1660" w:hanging="356"/>
        <w:spacing w:after="0"/>
        <w:tabs>
          <w:tab w:leader="none" w:pos="1660" w:val="left"/>
        </w:tabs>
        <w:numPr>
          <w:ilvl w:val="1"/>
          <w:numId w:val="97"/>
        </w:numPr>
        <w:rPr>
          <w:rFonts w:ascii="Arial" w:cs="Arial" w:eastAsia="Arial" w:hAnsi="Arial"/>
          <w:sz w:val="18"/>
          <w:szCs w:val="18"/>
          <w:color w:val="auto"/>
        </w:rPr>
      </w:pPr>
      <w:r>
        <w:rPr>
          <w:rFonts w:ascii="Arial" w:cs="Arial" w:eastAsia="Arial" w:hAnsi="Arial"/>
          <w:sz w:val="18"/>
          <w:szCs w:val="18"/>
          <w:color w:val="auto"/>
        </w:rPr>
        <w:t>the Fee Letter, executed and delivered by the Loan Parties;</w:t>
      </w:r>
    </w:p>
    <w:p>
      <w:pPr>
        <w:spacing w:after="0" w:line="225" w:lineRule="exact"/>
        <w:rPr>
          <w:rFonts w:ascii="Arial" w:cs="Arial" w:eastAsia="Arial" w:hAnsi="Arial"/>
          <w:sz w:val="18"/>
          <w:szCs w:val="18"/>
          <w:color w:val="auto"/>
        </w:rPr>
      </w:pPr>
    </w:p>
    <w:p>
      <w:pPr>
        <w:ind w:left="1700" w:hanging="396"/>
        <w:spacing w:after="0"/>
        <w:tabs>
          <w:tab w:leader="none" w:pos="1700" w:val="left"/>
        </w:tabs>
        <w:numPr>
          <w:ilvl w:val="1"/>
          <w:numId w:val="97"/>
        </w:numPr>
        <w:rPr>
          <w:rFonts w:ascii="Arial" w:cs="Arial" w:eastAsia="Arial" w:hAnsi="Arial"/>
          <w:sz w:val="18"/>
          <w:szCs w:val="18"/>
          <w:color w:val="auto"/>
        </w:rPr>
      </w:pPr>
      <w:r>
        <w:rPr>
          <w:rFonts w:ascii="Arial" w:cs="Arial" w:eastAsia="Arial" w:hAnsi="Arial"/>
          <w:sz w:val="18"/>
          <w:szCs w:val="18"/>
          <w:color w:val="auto"/>
        </w:rPr>
        <w:t>a Perfection Certificate, executed and delivered by the Loan Parties; and</w:t>
      </w:r>
    </w:p>
    <w:p>
      <w:pPr>
        <w:spacing w:after="0" w:line="225" w:lineRule="exact"/>
        <w:rPr>
          <w:rFonts w:ascii="Arial" w:cs="Arial" w:eastAsia="Arial" w:hAnsi="Arial"/>
          <w:sz w:val="18"/>
          <w:szCs w:val="18"/>
          <w:color w:val="auto"/>
        </w:rPr>
      </w:pPr>
    </w:p>
    <w:p>
      <w:pPr>
        <w:ind w:left="1600" w:hanging="296"/>
        <w:spacing w:after="0"/>
        <w:tabs>
          <w:tab w:leader="none" w:pos="1600" w:val="left"/>
        </w:tabs>
        <w:numPr>
          <w:ilvl w:val="1"/>
          <w:numId w:val="97"/>
        </w:numPr>
        <w:rPr>
          <w:rFonts w:ascii="Arial" w:cs="Arial" w:eastAsia="Arial" w:hAnsi="Arial"/>
          <w:sz w:val="18"/>
          <w:szCs w:val="18"/>
          <w:color w:val="auto"/>
        </w:rPr>
      </w:pPr>
      <w:r>
        <w:rPr>
          <w:rFonts w:ascii="Arial" w:cs="Arial" w:eastAsia="Arial" w:hAnsi="Arial"/>
          <w:sz w:val="18"/>
          <w:szCs w:val="18"/>
          <w:color w:val="auto"/>
        </w:rPr>
        <w:t>each other Loan Document, executed and delivered by the applicable Loan Party thereto.</w:t>
      </w:r>
    </w:p>
    <w:p>
      <w:pPr>
        <w:spacing w:after="0" w:line="221" w:lineRule="exact"/>
        <w:rPr>
          <w:rFonts w:ascii="Arial" w:cs="Arial" w:eastAsia="Arial" w:hAnsi="Arial"/>
          <w:sz w:val="18"/>
          <w:szCs w:val="18"/>
          <w:color w:val="auto"/>
        </w:rPr>
      </w:pPr>
    </w:p>
    <w:p>
      <w:pPr>
        <w:jc w:val="both"/>
        <w:ind w:firstLine="656"/>
        <w:spacing w:after="0" w:line="266" w:lineRule="auto"/>
        <w:tabs>
          <w:tab w:leader="none" w:pos="903" w:val="left"/>
        </w:tabs>
        <w:numPr>
          <w:ilvl w:val="0"/>
          <w:numId w:val="97"/>
        </w:numPr>
        <w:rPr>
          <w:rFonts w:ascii="Arial" w:cs="Arial" w:eastAsia="Arial" w:hAnsi="Arial"/>
          <w:sz w:val="18"/>
          <w:szCs w:val="18"/>
          <w:color w:val="auto"/>
        </w:rPr>
      </w:pPr>
      <w:r>
        <w:rPr>
          <w:rFonts w:ascii="Arial" w:cs="Arial" w:eastAsia="Arial" w:hAnsi="Arial"/>
          <w:sz w:val="18"/>
          <w:szCs w:val="18"/>
          <w:b w:val="1"/>
          <w:bCs w:val="1"/>
          <w:color w:val="auto"/>
        </w:rPr>
        <w:t>Approvals</w:t>
      </w:r>
      <w:r>
        <w:rPr>
          <w:rFonts w:ascii="Arial" w:cs="Arial" w:eastAsia="Arial" w:hAnsi="Arial"/>
          <w:sz w:val="18"/>
          <w:szCs w:val="18"/>
          <w:color w:val="auto"/>
        </w:rPr>
        <w:t>. All Governmental Approvals and consents and approvals of, or notices to, any other Person (including the holders of any Equity</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Interests issued by any Loan Party) required in connection with the execution and performance of the Loan Documents and the consummation of the transactions contemplated hereby and thereby, shall have been obtained and be in full force and effect.</w:t>
      </w:r>
    </w:p>
    <w:p>
      <w:pPr>
        <w:spacing w:after="0" w:line="175" w:lineRule="exact"/>
        <w:rPr>
          <w:rFonts w:ascii="Arial" w:cs="Arial" w:eastAsia="Arial" w:hAnsi="Arial"/>
          <w:sz w:val="18"/>
          <w:szCs w:val="18"/>
          <w:color w:val="auto"/>
        </w:rPr>
      </w:pPr>
    </w:p>
    <w:p>
      <w:pPr>
        <w:jc w:val="both"/>
        <w:ind w:firstLine="656"/>
        <w:spacing w:after="0" w:line="292" w:lineRule="auto"/>
        <w:tabs>
          <w:tab w:leader="none" w:pos="919" w:val="left"/>
        </w:tabs>
        <w:numPr>
          <w:ilvl w:val="0"/>
          <w:numId w:val="97"/>
        </w:numPr>
        <w:rPr>
          <w:rFonts w:ascii="Arial" w:cs="Arial" w:eastAsia="Arial" w:hAnsi="Arial"/>
          <w:sz w:val="16"/>
          <w:szCs w:val="16"/>
          <w:color w:val="auto"/>
        </w:rPr>
      </w:pPr>
      <w:r>
        <w:rPr>
          <w:rFonts w:ascii="Arial" w:cs="Arial" w:eastAsia="Arial" w:hAnsi="Arial"/>
          <w:sz w:val="16"/>
          <w:szCs w:val="16"/>
          <w:b w:val="1"/>
          <w:bCs w:val="1"/>
          <w:color w:val="auto"/>
        </w:rPr>
        <w:t>Organizational Documents</w:t>
      </w:r>
      <w:r>
        <w:rPr>
          <w:rFonts w:ascii="Arial" w:cs="Arial" w:eastAsia="Arial" w:hAnsi="Arial"/>
          <w:sz w:val="16"/>
          <w:szCs w:val="16"/>
          <w:color w:val="auto"/>
        </w:rPr>
        <w:t>. Agent shall have received (i) a certificate of each Loan Party, dated the Closing Date and executed by a</w:t>
      </w:r>
      <w:r>
        <w:rPr>
          <w:rFonts w:ascii="Arial" w:cs="Arial" w:eastAsia="Arial" w:hAnsi="Arial"/>
          <w:sz w:val="16"/>
          <w:szCs w:val="16"/>
          <w:b w:val="1"/>
          <w:bCs w:val="1"/>
          <w:color w:val="auto"/>
        </w:rPr>
        <w:t xml:space="preserve"> </w:t>
      </w:r>
      <w:r>
        <w:rPr>
          <w:rFonts w:ascii="Arial" w:cs="Arial" w:eastAsia="Arial" w:hAnsi="Arial"/>
          <w:sz w:val="16"/>
          <w:szCs w:val="16"/>
          <w:color w:val="auto"/>
        </w:rPr>
        <w:t>Responsible Officer of such Loan Party, certifying as to and including (A) the Operating Documents of such Loan Party, (B) the relevant board or other applicable resolutions or written consents of such Loan Party adopted by such Loan Party for the purposes of authorizing such Loan Party to enter into and perform the Loan Documents to which such Loan Party is party and (C) the names, titles, and signature specimens of those representatives of such Loan Party who have been authorized by such resolutions and/or written consents to execute Loan Documents on behalf of such Loan Party, and (ii) good standing certificates for each Loan Party from its respective jurisdiction of organization and any other jurisdictions where such Loan Party is qualified to do business where the failure to be so qualified would reasonably be expected to result in a Material Adverse Effect.</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20" w:type="dxa"/>
            <w:vAlign w:val="bottom"/>
            <w:tcBorders>
              <w:bottom w:val="single" w:sz="8" w:color="auto"/>
            </w:tcBorders>
          </w:tcPr>
          <w:p>
            <w:pPr>
              <w:jc w:val="right"/>
              <w:ind w:right="5350"/>
              <w:spacing w:after="0"/>
              <w:rPr>
                <w:sz w:val="20"/>
                <w:szCs w:val="20"/>
                <w:color w:val="auto"/>
              </w:rPr>
            </w:pPr>
            <w:r>
              <w:rPr>
                <w:rFonts w:ascii="Arial" w:cs="Arial" w:eastAsia="Arial" w:hAnsi="Arial"/>
                <w:sz w:val="18"/>
                <w:szCs w:val="18"/>
                <w:color w:val="auto"/>
              </w:rPr>
              <w:t>46</w:t>
            </w:r>
          </w:p>
        </w:tc>
      </w:tr>
    </w:tbl>
    <w:p>
      <w:pPr>
        <w:sectPr>
          <w:pgSz w:w="11900" w:h="16838" w:orient="portrait"/>
          <w:cols w:equalWidth="0" w:num="1">
            <w:col w:w="11240"/>
          </w:cols>
          <w:pgMar w:left="320" w:top="935" w:right="339" w:bottom="1440" w:gutter="0" w:footer="0" w:header="0"/>
        </w:sectPr>
      </w:pPr>
    </w:p>
    <w:bookmarkStart w:id="123" w:name="page124"/>
    <w:bookmarkEnd w:id="123"/>
    <w:p>
      <w:pPr>
        <w:jc w:val="both"/>
        <w:ind w:right="20" w:firstLine="656"/>
        <w:spacing w:after="0" w:line="293" w:lineRule="auto"/>
        <w:tabs>
          <w:tab w:leader="none" w:pos="903" w:val="left"/>
        </w:tabs>
        <w:numPr>
          <w:ilvl w:val="1"/>
          <w:numId w:val="98"/>
        </w:numPr>
        <w:rPr>
          <w:rFonts w:ascii="Arial" w:cs="Arial" w:eastAsia="Arial" w:hAnsi="Arial"/>
          <w:sz w:val="16"/>
          <w:szCs w:val="16"/>
          <w:color w:val="auto"/>
        </w:rPr>
      </w:pPr>
      <w:r>
        <w:rPr>
          <w:rFonts w:ascii="Arial" w:cs="Arial" w:eastAsia="Arial" w:hAnsi="Arial"/>
          <w:sz w:val="16"/>
          <w:szCs w:val="16"/>
          <w:b w:val="1"/>
          <w:bCs w:val="1"/>
          <w:color w:val="auto"/>
        </w:rPr>
        <w:t xml:space="preserve">Responsible Officer’s Certificates. </w:t>
      </w:r>
      <w:r>
        <w:rPr>
          <w:rFonts w:ascii="Arial" w:cs="Arial" w:eastAsia="Arial" w:hAnsi="Arial"/>
          <w:sz w:val="16"/>
          <w:szCs w:val="16"/>
          <w:color w:val="auto"/>
        </w:rPr>
        <w:t>Agent shall have received a certificate signed by a Responsible Officer of Borrower, dated as of the date</w:t>
      </w:r>
      <w:r>
        <w:rPr>
          <w:rFonts w:ascii="Arial" w:cs="Arial" w:eastAsia="Arial" w:hAnsi="Arial"/>
          <w:sz w:val="16"/>
          <w:szCs w:val="16"/>
          <w:b w:val="1"/>
          <w:bCs w:val="1"/>
          <w:color w:val="auto"/>
        </w:rPr>
        <w:t xml:space="preserve"> </w:t>
      </w:r>
      <w:r>
        <w:rPr>
          <w:rFonts w:ascii="Arial" w:cs="Arial" w:eastAsia="Arial" w:hAnsi="Arial"/>
          <w:sz w:val="16"/>
          <w:szCs w:val="16"/>
          <w:color w:val="auto"/>
        </w:rPr>
        <w:t>hereof, and in form and substance reasonably satisfactory to it, certifying that the conditions specified in clauses (g), (h), (i), (j), (k), (o), (p), (q), (s), (t) and</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 xml:space="preserve">of this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have been satisfied.</w:t>
      </w:r>
    </w:p>
    <w:p>
      <w:pPr>
        <w:spacing w:after="0" w:line="206" w:lineRule="exact"/>
        <w:rPr>
          <w:rFonts w:ascii="Arial" w:cs="Arial" w:eastAsia="Arial" w:hAnsi="Arial"/>
          <w:sz w:val="18"/>
          <w:szCs w:val="18"/>
          <w:color w:val="auto"/>
        </w:rPr>
      </w:pPr>
    </w:p>
    <w:p>
      <w:pPr>
        <w:jc w:val="both"/>
        <w:ind w:firstLine="656"/>
        <w:spacing w:after="0" w:line="261" w:lineRule="auto"/>
        <w:tabs>
          <w:tab w:leader="none" w:pos="892" w:val="left"/>
        </w:tabs>
        <w:numPr>
          <w:ilvl w:val="1"/>
          <w:numId w:val="99"/>
        </w:numPr>
        <w:rPr>
          <w:rFonts w:ascii="Arial" w:cs="Arial" w:eastAsia="Arial" w:hAnsi="Arial"/>
          <w:sz w:val="18"/>
          <w:szCs w:val="18"/>
          <w:color w:val="auto"/>
        </w:rPr>
      </w:pPr>
      <w:r>
        <w:rPr>
          <w:rFonts w:ascii="Arial" w:cs="Arial" w:eastAsia="Arial" w:hAnsi="Arial"/>
          <w:sz w:val="18"/>
          <w:szCs w:val="18"/>
          <w:b w:val="1"/>
          <w:bCs w:val="1"/>
          <w:color w:val="auto"/>
        </w:rPr>
        <w:t>Patriot Act</w:t>
      </w:r>
      <w:r>
        <w:rPr>
          <w:rFonts w:ascii="Arial" w:cs="Arial" w:eastAsia="Arial" w:hAnsi="Arial"/>
          <w:sz w:val="18"/>
          <w:szCs w:val="18"/>
          <w:color w:val="auto"/>
        </w:rPr>
        <w:t>. Agent shall have received all documentation and other information required by Governmental Authorities under applicable “know</w:t>
      </w:r>
      <w:r>
        <w:rPr>
          <w:rFonts w:ascii="Arial" w:cs="Arial" w:eastAsia="Arial" w:hAnsi="Arial"/>
          <w:sz w:val="18"/>
          <w:szCs w:val="18"/>
          <w:b w:val="1"/>
          <w:bCs w:val="1"/>
          <w:color w:val="auto"/>
        </w:rPr>
        <w:t xml:space="preserve"> </w:t>
      </w:r>
      <w:r>
        <w:rPr>
          <w:rFonts w:ascii="Arial" w:cs="Arial" w:eastAsia="Arial" w:hAnsi="Arial"/>
          <w:sz w:val="18"/>
          <w:szCs w:val="18"/>
          <w:color w:val="auto"/>
        </w:rPr>
        <w:t>your customer” and anti-money- laundering rules and regulations, including the Patriot Act, and if any Borrower qualifies as a “legal entity customer” under the Beneficial Ownership Regulation, a Beneficial Ownership Certification, in each case to the extent reasonably requested in writing at least ten (10) Business Days prior to the Closing Date by Agent.</w:t>
      </w:r>
    </w:p>
    <w:p>
      <w:pPr>
        <w:spacing w:after="0" w:line="179" w:lineRule="exact"/>
        <w:rPr>
          <w:rFonts w:ascii="Arial" w:cs="Arial" w:eastAsia="Arial" w:hAnsi="Arial"/>
          <w:sz w:val="18"/>
          <w:szCs w:val="18"/>
          <w:color w:val="auto"/>
        </w:rPr>
      </w:pPr>
    </w:p>
    <w:p>
      <w:pPr>
        <w:ind w:firstLine="656"/>
        <w:spacing w:after="0" w:line="282" w:lineRule="auto"/>
        <w:tabs>
          <w:tab w:leader="none" w:pos="873" w:val="left"/>
        </w:tabs>
        <w:numPr>
          <w:ilvl w:val="1"/>
          <w:numId w:val="99"/>
        </w:numPr>
        <w:rPr>
          <w:rFonts w:ascii="Arial" w:cs="Arial" w:eastAsia="Arial" w:hAnsi="Arial"/>
          <w:sz w:val="18"/>
          <w:szCs w:val="18"/>
          <w:color w:val="auto"/>
        </w:rPr>
      </w:pPr>
      <w:r>
        <w:rPr>
          <w:rFonts w:ascii="Arial" w:cs="Arial" w:eastAsia="Arial" w:hAnsi="Arial"/>
          <w:sz w:val="18"/>
          <w:szCs w:val="18"/>
          <w:b w:val="1"/>
          <w:bCs w:val="1"/>
          <w:color w:val="auto"/>
        </w:rPr>
        <w:t>Financial Statements and Budget</w:t>
      </w:r>
      <w:r>
        <w:rPr>
          <w:rFonts w:ascii="Arial" w:cs="Arial" w:eastAsia="Arial" w:hAnsi="Arial"/>
          <w:sz w:val="18"/>
          <w:szCs w:val="18"/>
          <w:color w:val="auto"/>
        </w:rPr>
        <w:t>. Agent shall have received a proposed annual budget for the Closing Date through the end of calendar year</w:t>
      </w:r>
      <w:r>
        <w:rPr>
          <w:rFonts w:ascii="Arial" w:cs="Arial" w:eastAsia="Arial" w:hAnsi="Arial"/>
          <w:sz w:val="18"/>
          <w:szCs w:val="18"/>
          <w:b w:val="1"/>
          <w:bCs w:val="1"/>
          <w:color w:val="auto"/>
        </w:rPr>
        <w:t xml:space="preserve"> </w:t>
      </w:r>
      <w:r>
        <w:rPr>
          <w:rFonts w:ascii="Arial" w:cs="Arial" w:eastAsia="Arial" w:hAnsi="Arial"/>
          <w:sz w:val="18"/>
          <w:szCs w:val="18"/>
          <w:color w:val="auto"/>
        </w:rPr>
        <w:t>2023, which shall be in form and substance satisfactory to Agent.</w:t>
      </w:r>
    </w:p>
    <w:p>
      <w:pPr>
        <w:spacing w:after="0" w:line="161" w:lineRule="exact"/>
        <w:rPr>
          <w:rFonts w:ascii="Arial" w:cs="Arial" w:eastAsia="Arial" w:hAnsi="Arial"/>
          <w:sz w:val="18"/>
          <w:szCs w:val="18"/>
          <w:color w:val="auto"/>
        </w:rPr>
      </w:pPr>
    </w:p>
    <w:p>
      <w:pPr>
        <w:ind w:left="920" w:hanging="264"/>
        <w:spacing w:after="0"/>
        <w:tabs>
          <w:tab w:leader="none" w:pos="920" w:val="left"/>
        </w:tabs>
        <w:numPr>
          <w:ilvl w:val="1"/>
          <w:numId w:val="99"/>
        </w:numPr>
        <w:rPr>
          <w:rFonts w:ascii="Arial" w:cs="Arial" w:eastAsia="Arial" w:hAnsi="Arial"/>
          <w:sz w:val="18"/>
          <w:szCs w:val="18"/>
          <w:color w:val="auto"/>
        </w:rPr>
      </w:pPr>
      <w:r>
        <w:rPr>
          <w:rFonts w:ascii="Arial" w:cs="Arial" w:eastAsia="Arial" w:hAnsi="Arial"/>
          <w:sz w:val="18"/>
          <w:szCs w:val="18"/>
          <w:b w:val="1"/>
          <w:bCs w:val="1"/>
          <w:color w:val="auto"/>
        </w:rPr>
        <w:t>SPAC Related Documentation</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left="660" w:firstLine="644"/>
        <w:spacing w:after="0" w:line="263" w:lineRule="auto"/>
        <w:tabs>
          <w:tab w:leader="none" w:pos="1523" w:val="left"/>
        </w:tabs>
        <w:numPr>
          <w:ilvl w:val="2"/>
          <w:numId w:val="99"/>
        </w:numPr>
        <w:rPr>
          <w:rFonts w:ascii="Arial" w:cs="Arial" w:eastAsia="Arial" w:hAnsi="Arial"/>
          <w:sz w:val="18"/>
          <w:szCs w:val="18"/>
          <w:color w:val="auto"/>
        </w:rPr>
      </w:pPr>
      <w:r>
        <w:rPr>
          <w:rFonts w:ascii="Arial" w:cs="Arial" w:eastAsia="Arial" w:hAnsi="Arial"/>
          <w:sz w:val="18"/>
          <w:szCs w:val="18"/>
          <w:color w:val="auto"/>
        </w:rPr>
        <w:t>Agent shall have received true, correct and complete copies of the SPAC Merger Agreement, the SPAC Subscription Agreements, the Sponsor Support Agreement, the Stockholder Support Agreements and any other documents executed in connection with, and all other agreements with any party concerning the SPAC Transaction.</w:t>
      </w:r>
    </w:p>
    <w:p>
      <w:pPr>
        <w:spacing w:after="0" w:line="183" w:lineRule="exact"/>
        <w:rPr>
          <w:rFonts w:ascii="Arial" w:cs="Arial" w:eastAsia="Arial" w:hAnsi="Arial"/>
          <w:sz w:val="18"/>
          <w:szCs w:val="18"/>
          <w:color w:val="auto"/>
        </w:rPr>
      </w:pPr>
    </w:p>
    <w:p>
      <w:pPr>
        <w:ind w:left="660" w:right="20" w:firstLine="644"/>
        <w:spacing w:after="0" w:line="277" w:lineRule="auto"/>
        <w:tabs>
          <w:tab w:leader="none" w:pos="1600" w:val="left"/>
        </w:tabs>
        <w:numPr>
          <w:ilvl w:val="2"/>
          <w:numId w:val="99"/>
        </w:numPr>
        <w:rPr>
          <w:rFonts w:ascii="Arial" w:cs="Arial" w:eastAsia="Arial" w:hAnsi="Arial"/>
          <w:sz w:val="18"/>
          <w:szCs w:val="18"/>
          <w:color w:val="auto"/>
        </w:rPr>
      </w:pPr>
      <w:r>
        <w:rPr>
          <w:rFonts w:ascii="Arial" w:cs="Arial" w:eastAsia="Arial" w:hAnsi="Arial"/>
          <w:sz w:val="18"/>
          <w:szCs w:val="18"/>
          <w:color w:val="auto"/>
        </w:rPr>
        <w:t>Agent shall have received a true, correct and complete copy of the Warrant Agreement, executed and delivered by Parent and Continental Stock Transfer &amp; Trust Company, as Warrant Agent;</w:t>
      </w:r>
    </w:p>
    <w:p>
      <w:pPr>
        <w:spacing w:after="0" w:line="170" w:lineRule="exact"/>
        <w:rPr>
          <w:rFonts w:ascii="Arial" w:cs="Arial" w:eastAsia="Arial" w:hAnsi="Arial"/>
          <w:sz w:val="18"/>
          <w:szCs w:val="18"/>
          <w:color w:val="auto"/>
        </w:rPr>
      </w:pPr>
    </w:p>
    <w:p>
      <w:pPr>
        <w:jc w:val="both"/>
        <w:ind w:left="660" w:firstLine="644"/>
        <w:spacing w:after="0" w:line="263" w:lineRule="auto"/>
        <w:tabs>
          <w:tab w:leader="none" w:pos="1650" w:val="left"/>
        </w:tabs>
        <w:numPr>
          <w:ilvl w:val="2"/>
          <w:numId w:val="99"/>
        </w:numPr>
        <w:rPr>
          <w:rFonts w:ascii="Arial" w:cs="Arial" w:eastAsia="Arial" w:hAnsi="Arial"/>
          <w:sz w:val="18"/>
          <w:szCs w:val="18"/>
          <w:color w:val="auto"/>
        </w:rPr>
      </w:pPr>
      <w:r>
        <w:rPr>
          <w:rFonts w:ascii="Arial" w:cs="Arial" w:eastAsia="Arial" w:hAnsi="Arial"/>
          <w:sz w:val="18"/>
          <w:szCs w:val="18"/>
          <w:color w:val="auto"/>
        </w:rPr>
        <w:t>Agent shall have received true, correct and complete copies of any amendments to (or amended forms of) the SPAC Merger Agreement, the SPAC Subscription Agreements, the Warrant Agreement, the Closing Date Registration Rights Agreement, and any other documents that have been or are to be executed in connection with the SPAC Transaction prior to the Closing Date</w:t>
      </w:r>
    </w:p>
    <w:p>
      <w:pPr>
        <w:spacing w:after="0" w:line="183" w:lineRule="exact"/>
        <w:rPr>
          <w:rFonts w:ascii="Arial" w:cs="Arial" w:eastAsia="Arial" w:hAnsi="Arial"/>
          <w:sz w:val="18"/>
          <w:szCs w:val="18"/>
          <w:color w:val="auto"/>
        </w:rPr>
      </w:pPr>
    </w:p>
    <w:p>
      <w:pPr>
        <w:jc w:val="both"/>
        <w:ind w:left="660" w:firstLine="644"/>
        <w:spacing w:after="0" w:line="259" w:lineRule="auto"/>
        <w:tabs>
          <w:tab w:leader="none" w:pos="1613" w:val="left"/>
        </w:tabs>
        <w:numPr>
          <w:ilvl w:val="2"/>
          <w:numId w:val="99"/>
        </w:numPr>
        <w:rPr>
          <w:rFonts w:ascii="Arial" w:cs="Arial" w:eastAsia="Arial" w:hAnsi="Arial"/>
          <w:sz w:val="18"/>
          <w:szCs w:val="18"/>
          <w:color w:val="auto"/>
        </w:rPr>
      </w:pPr>
      <w:r>
        <w:rPr>
          <w:rFonts w:ascii="Arial" w:cs="Arial" w:eastAsia="Arial" w:hAnsi="Arial"/>
          <w:sz w:val="18"/>
          <w:szCs w:val="18"/>
          <w:color w:val="auto"/>
        </w:rPr>
        <w:t>Agent shall have received any required consents of Parent any other party to any SPAC Subscription Agreement or the SPAC Merger Agreement, and any other participant in the SPAC Transaction, in each case evidencing and consenting to the consummation of the transactions contemplated in this Agreement and the other Loan Documents and which shall each be in form and substance acceptable to Agent in its sole discretion.</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20" w:type="dxa"/>
            <w:vAlign w:val="bottom"/>
            <w:tcBorders>
              <w:bottom w:val="single" w:sz="8" w:color="auto"/>
            </w:tcBorders>
          </w:tcPr>
          <w:p>
            <w:pPr>
              <w:jc w:val="right"/>
              <w:ind w:right="5350"/>
              <w:spacing w:after="0"/>
              <w:rPr>
                <w:sz w:val="20"/>
                <w:szCs w:val="20"/>
                <w:color w:val="auto"/>
              </w:rPr>
            </w:pPr>
            <w:r>
              <w:rPr>
                <w:rFonts w:ascii="Arial" w:cs="Arial" w:eastAsia="Arial" w:hAnsi="Arial"/>
                <w:sz w:val="18"/>
                <w:szCs w:val="18"/>
                <w:color w:val="auto"/>
              </w:rPr>
              <w:t>47</w:t>
            </w:r>
          </w:p>
        </w:tc>
      </w:tr>
    </w:tbl>
    <w:p>
      <w:pPr>
        <w:sectPr>
          <w:pgSz w:w="11900" w:h="16838" w:orient="portrait"/>
          <w:cols w:equalWidth="0" w:num="1">
            <w:col w:w="11240"/>
          </w:cols>
          <w:pgMar w:left="320" w:top="904" w:right="339" w:bottom="1440" w:gutter="0" w:footer="0" w:header="0"/>
        </w:sectPr>
      </w:pPr>
    </w:p>
    <w:bookmarkStart w:id="124" w:name="page125"/>
    <w:bookmarkEnd w:id="124"/>
    <w:p>
      <w:pPr>
        <w:ind w:left="660" w:firstLine="644"/>
        <w:spacing w:after="0" w:line="342" w:lineRule="auto"/>
        <w:tabs>
          <w:tab w:leader="none" w:pos="1576" w:val="left"/>
        </w:tabs>
        <w:numPr>
          <w:ilvl w:val="1"/>
          <w:numId w:val="100"/>
        </w:numPr>
        <w:rPr>
          <w:rFonts w:ascii="Arial" w:cs="Arial" w:eastAsia="Arial" w:hAnsi="Arial"/>
          <w:sz w:val="16"/>
          <w:szCs w:val="16"/>
          <w:color w:val="auto"/>
        </w:rPr>
      </w:pPr>
      <w:r>
        <w:rPr>
          <w:rFonts w:ascii="Arial" w:cs="Arial" w:eastAsia="Arial" w:hAnsi="Arial"/>
          <w:sz w:val="16"/>
          <w:szCs w:val="16"/>
          <w:color w:val="auto"/>
        </w:rPr>
        <w:t>Each of the SPAC Merger Agreement, the SPAC Subscription Agreements, the Sponsor Support Agreement and the Stockholder Support Agreement shall be in full force and effect, and there shall not be any default or breach by any party thereto then existing.</w:t>
      </w:r>
    </w:p>
    <w:p>
      <w:pPr>
        <w:spacing w:after="0" w:line="119" w:lineRule="exact"/>
        <w:rPr>
          <w:rFonts w:ascii="Arial" w:cs="Arial" w:eastAsia="Arial" w:hAnsi="Arial"/>
          <w:sz w:val="16"/>
          <w:szCs w:val="16"/>
          <w:color w:val="auto"/>
        </w:rPr>
      </w:pPr>
    </w:p>
    <w:p>
      <w:pPr>
        <w:jc w:val="both"/>
        <w:ind w:firstLine="656"/>
        <w:spacing w:after="0" w:line="303" w:lineRule="auto"/>
        <w:tabs>
          <w:tab w:leader="none" w:pos="903" w:val="left"/>
        </w:tabs>
        <w:numPr>
          <w:ilvl w:val="0"/>
          <w:numId w:val="101"/>
        </w:numPr>
        <w:rPr>
          <w:rFonts w:ascii="Arial" w:cs="Arial" w:eastAsia="Arial" w:hAnsi="Arial"/>
          <w:sz w:val="16"/>
          <w:szCs w:val="16"/>
          <w:color w:val="auto"/>
        </w:rPr>
      </w:pPr>
      <w:r>
        <w:rPr>
          <w:rFonts w:ascii="Arial" w:cs="Arial" w:eastAsia="Arial" w:hAnsi="Arial"/>
          <w:sz w:val="16"/>
          <w:szCs w:val="16"/>
          <w:b w:val="1"/>
          <w:bCs w:val="1"/>
          <w:color w:val="auto"/>
        </w:rPr>
        <w:t>SPAC Transaction Closing</w:t>
      </w:r>
      <w:r>
        <w:rPr>
          <w:rFonts w:ascii="Arial" w:cs="Arial" w:eastAsia="Arial" w:hAnsi="Arial"/>
          <w:sz w:val="16"/>
          <w:szCs w:val="16"/>
          <w:color w:val="auto"/>
        </w:rPr>
        <w:t>. The SPAC Transaction set forth in the SPAC Merger Agreement and all conditions precedent to the closing of the</w:t>
      </w:r>
      <w:r>
        <w:rPr>
          <w:rFonts w:ascii="Arial" w:cs="Arial" w:eastAsia="Arial" w:hAnsi="Arial"/>
          <w:sz w:val="16"/>
          <w:szCs w:val="16"/>
          <w:b w:val="1"/>
          <w:bCs w:val="1"/>
          <w:color w:val="auto"/>
        </w:rPr>
        <w:t xml:space="preserve"> </w:t>
      </w:r>
      <w:r>
        <w:rPr>
          <w:rFonts w:ascii="Arial" w:cs="Arial" w:eastAsia="Arial" w:hAnsi="Arial"/>
          <w:sz w:val="16"/>
          <w:szCs w:val="16"/>
          <w:color w:val="auto"/>
        </w:rPr>
        <w:t>PIPE Transactions set forth in the SPAC Subscription Agreements have been satisfied (without any waiver by any party), and the closing of the Term Loan, the transfer of the Founder Shares pursuant to the Founder Shares Transfer Agreement and issuance of the Warrants pursuant to the Warrant Subscription Agreement shall occur concurrently with or immediately following the closing of the SPAC Transaction and the PIPE Transactions.</w:t>
      </w:r>
    </w:p>
    <w:p>
      <w:pPr>
        <w:spacing w:after="0" w:line="150" w:lineRule="exact"/>
        <w:rPr>
          <w:rFonts w:ascii="Arial" w:cs="Arial" w:eastAsia="Arial" w:hAnsi="Arial"/>
          <w:sz w:val="16"/>
          <w:szCs w:val="16"/>
          <w:color w:val="auto"/>
        </w:rPr>
      </w:pPr>
    </w:p>
    <w:p>
      <w:pPr>
        <w:ind w:firstLine="656"/>
        <w:spacing w:after="0" w:line="282" w:lineRule="auto"/>
        <w:tabs>
          <w:tab w:leader="none" w:pos="863" w:val="left"/>
        </w:tabs>
        <w:numPr>
          <w:ilvl w:val="0"/>
          <w:numId w:val="101"/>
        </w:numPr>
        <w:rPr>
          <w:rFonts w:ascii="Arial" w:cs="Arial" w:eastAsia="Arial" w:hAnsi="Arial"/>
          <w:sz w:val="18"/>
          <w:szCs w:val="18"/>
          <w:color w:val="auto"/>
        </w:rPr>
      </w:pPr>
      <w:r>
        <w:rPr>
          <w:rFonts w:ascii="Arial" w:cs="Arial" w:eastAsia="Arial" w:hAnsi="Arial"/>
          <w:sz w:val="18"/>
          <w:szCs w:val="18"/>
          <w:b w:val="1"/>
          <w:bCs w:val="1"/>
          <w:color w:val="auto"/>
        </w:rPr>
        <w:t>PIPE Investment</w:t>
      </w:r>
      <w:r>
        <w:rPr>
          <w:rFonts w:ascii="Arial" w:cs="Arial" w:eastAsia="Arial" w:hAnsi="Arial"/>
          <w:sz w:val="18"/>
          <w:szCs w:val="18"/>
          <w:color w:val="auto"/>
        </w:rPr>
        <w:t>. The closing of a PIPE Transaction by an Affiliate of Cleveland Avenue, LLC in an amount equal to at least $50,000,000, on</w:t>
      </w:r>
      <w:r>
        <w:rPr>
          <w:rFonts w:ascii="Arial" w:cs="Arial" w:eastAsia="Arial" w:hAnsi="Arial"/>
          <w:sz w:val="18"/>
          <w:szCs w:val="18"/>
          <w:b w:val="1"/>
          <w:bCs w:val="1"/>
          <w:color w:val="auto"/>
        </w:rPr>
        <w:t xml:space="preserve"> </w:t>
      </w:r>
      <w:r>
        <w:rPr>
          <w:rFonts w:ascii="Arial" w:cs="Arial" w:eastAsia="Arial" w:hAnsi="Arial"/>
          <w:sz w:val="18"/>
          <w:szCs w:val="18"/>
          <w:color w:val="auto"/>
        </w:rPr>
        <w:t>terms and conditions satisfactory to Agent in its sole discretion.</w:t>
      </w:r>
    </w:p>
    <w:p>
      <w:pPr>
        <w:spacing w:after="0" w:line="161" w:lineRule="exact"/>
        <w:rPr>
          <w:rFonts w:ascii="Arial" w:cs="Arial" w:eastAsia="Arial" w:hAnsi="Arial"/>
          <w:sz w:val="18"/>
          <w:szCs w:val="18"/>
          <w:color w:val="auto"/>
        </w:rPr>
      </w:pPr>
    </w:p>
    <w:p>
      <w:pPr>
        <w:ind w:firstLine="656"/>
        <w:spacing w:after="0" w:line="282" w:lineRule="auto"/>
        <w:tabs>
          <w:tab w:leader="none" w:pos="890" w:val="left"/>
        </w:tabs>
        <w:numPr>
          <w:ilvl w:val="0"/>
          <w:numId w:val="101"/>
        </w:numPr>
        <w:rPr>
          <w:rFonts w:ascii="Arial" w:cs="Arial" w:eastAsia="Arial" w:hAnsi="Arial"/>
          <w:sz w:val="18"/>
          <w:szCs w:val="18"/>
          <w:color w:val="auto"/>
        </w:rPr>
      </w:pPr>
      <w:r>
        <w:rPr>
          <w:rFonts w:ascii="Arial" w:cs="Arial" w:eastAsia="Arial" w:hAnsi="Arial"/>
          <w:sz w:val="18"/>
          <w:szCs w:val="18"/>
          <w:b w:val="1"/>
          <w:bCs w:val="1"/>
          <w:color w:val="auto"/>
        </w:rPr>
        <w:t>Minimum Liquidity</w:t>
      </w:r>
      <w:r>
        <w:rPr>
          <w:rFonts w:ascii="Arial" w:cs="Arial" w:eastAsia="Arial" w:hAnsi="Arial"/>
          <w:sz w:val="18"/>
          <w:szCs w:val="18"/>
          <w:color w:val="auto"/>
        </w:rPr>
        <w:t>. Parent and Borrower shall have at least $50,000,000 of Unrestricted Cash after giving effect to the transactions</w:t>
      </w:r>
      <w:r>
        <w:rPr>
          <w:rFonts w:ascii="Arial" w:cs="Arial" w:eastAsia="Arial" w:hAnsi="Arial"/>
          <w:sz w:val="18"/>
          <w:szCs w:val="18"/>
          <w:b w:val="1"/>
          <w:bCs w:val="1"/>
          <w:color w:val="auto"/>
        </w:rPr>
        <w:t xml:space="preserve"> </w:t>
      </w:r>
      <w:r>
        <w:rPr>
          <w:rFonts w:ascii="Arial" w:cs="Arial" w:eastAsia="Arial" w:hAnsi="Arial"/>
          <w:sz w:val="18"/>
          <w:szCs w:val="18"/>
          <w:color w:val="auto"/>
        </w:rPr>
        <w:t>contemplated by this Agreement.</w:t>
      </w:r>
    </w:p>
    <w:p>
      <w:pPr>
        <w:spacing w:after="0" w:line="161" w:lineRule="exact"/>
        <w:rPr>
          <w:rFonts w:ascii="Arial" w:cs="Arial" w:eastAsia="Arial" w:hAnsi="Arial"/>
          <w:sz w:val="18"/>
          <w:szCs w:val="18"/>
          <w:color w:val="auto"/>
        </w:rPr>
      </w:pPr>
    </w:p>
    <w:p>
      <w:pPr>
        <w:jc w:val="both"/>
        <w:ind w:firstLine="656"/>
        <w:spacing w:after="0" w:line="261" w:lineRule="auto"/>
        <w:tabs>
          <w:tab w:leader="none" w:pos="903" w:val="left"/>
        </w:tabs>
        <w:numPr>
          <w:ilvl w:val="0"/>
          <w:numId w:val="101"/>
        </w:numPr>
        <w:rPr>
          <w:rFonts w:ascii="Arial" w:cs="Arial" w:eastAsia="Arial" w:hAnsi="Arial"/>
          <w:sz w:val="18"/>
          <w:szCs w:val="18"/>
          <w:color w:val="auto"/>
        </w:rPr>
      </w:pPr>
      <w:r>
        <w:rPr>
          <w:rFonts w:ascii="Arial" w:cs="Arial" w:eastAsia="Arial" w:hAnsi="Arial"/>
          <w:sz w:val="18"/>
          <w:szCs w:val="18"/>
          <w:b w:val="1"/>
          <w:bCs w:val="1"/>
          <w:color w:val="auto"/>
        </w:rPr>
        <w:t>Termination of Silver Rock Subscription Agreement</w:t>
      </w:r>
      <w:r>
        <w:rPr>
          <w:rFonts w:ascii="Arial" w:cs="Arial" w:eastAsia="Arial" w:hAnsi="Arial"/>
          <w:sz w:val="18"/>
          <w:szCs w:val="18"/>
          <w:color w:val="auto"/>
        </w:rPr>
        <w:t>. The Agent shall have received written evidence, in form and substance acceptable to</w:t>
      </w:r>
      <w:r>
        <w:rPr>
          <w:rFonts w:ascii="Arial" w:cs="Arial" w:eastAsia="Arial" w:hAnsi="Arial"/>
          <w:sz w:val="18"/>
          <w:szCs w:val="18"/>
          <w:b w:val="1"/>
          <w:bCs w:val="1"/>
          <w:color w:val="auto"/>
        </w:rPr>
        <w:t xml:space="preserve"> </w:t>
      </w:r>
      <w:r>
        <w:rPr>
          <w:rFonts w:ascii="Arial" w:cs="Arial" w:eastAsia="Arial" w:hAnsi="Arial"/>
          <w:sz w:val="18"/>
          <w:szCs w:val="18"/>
          <w:color w:val="auto"/>
        </w:rPr>
        <w:t>Agent, that all obligations of Parent to both Lake Vineyard Fund LP and Silver Rock Empire Fund LP – Series 2022 under that certain Amended and Restated Subscription Agreement, dated as of July 25, 2022 (as amended, restated, supplemented or modified) by and among Holdings, Lake Vineyard Fund LP, Silver Rock Empire Fund LP – Series 2022, and Borrower, have been terminated.</w:t>
      </w:r>
    </w:p>
    <w:p>
      <w:pPr>
        <w:spacing w:after="0" w:line="179" w:lineRule="exact"/>
        <w:rPr>
          <w:rFonts w:ascii="Arial" w:cs="Arial" w:eastAsia="Arial" w:hAnsi="Arial"/>
          <w:sz w:val="18"/>
          <w:szCs w:val="18"/>
          <w:color w:val="auto"/>
        </w:rPr>
      </w:pPr>
    </w:p>
    <w:p>
      <w:pPr>
        <w:ind w:left="880" w:hanging="224"/>
        <w:spacing w:after="0"/>
        <w:tabs>
          <w:tab w:leader="none" w:pos="880" w:val="left"/>
        </w:tabs>
        <w:numPr>
          <w:ilvl w:val="0"/>
          <w:numId w:val="101"/>
        </w:numPr>
        <w:rPr>
          <w:rFonts w:ascii="Arial" w:cs="Arial" w:eastAsia="Arial" w:hAnsi="Arial"/>
          <w:sz w:val="18"/>
          <w:szCs w:val="18"/>
          <w:color w:val="auto"/>
        </w:rPr>
      </w:pPr>
      <w:r>
        <w:rPr>
          <w:rFonts w:ascii="Arial" w:cs="Arial" w:eastAsia="Arial" w:hAnsi="Arial"/>
          <w:sz w:val="18"/>
          <w:szCs w:val="18"/>
          <w:b w:val="1"/>
          <w:bCs w:val="1"/>
          <w:color w:val="auto"/>
        </w:rPr>
        <w:t>Collateral Matters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660" w:firstLine="644"/>
        <w:spacing w:after="0" w:line="342" w:lineRule="auto"/>
        <w:tabs>
          <w:tab w:leader="none" w:pos="1523" w:val="left"/>
        </w:tabs>
        <w:numPr>
          <w:ilvl w:val="1"/>
          <w:numId w:val="101"/>
        </w:numPr>
        <w:rPr>
          <w:rFonts w:ascii="Arial" w:cs="Arial" w:eastAsia="Arial" w:hAnsi="Arial"/>
          <w:sz w:val="16"/>
          <w:szCs w:val="16"/>
          <w:color w:val="auto"/>
        </w:rPr>
      </w:pPr>
      <w:r>
        <w:rPr>
          <w:rFonts w:ascii="Arial" w:cs="Arial" w:eastAsia="Arial" w:hAnsi="Arial"/>
          <w:sz w:val="16"/>
          <w:szCs w:val="16"/>
          <w:u w:val="single" w:color="auto"/>
          <w:color w:val="auto"/>
        </w:rPr>
        <w:t>Lien Searches</w:t>
      </w:r>
      <w:r>
        <w:rPr>
          <w:rFonts w:ascii="Arial" w:cs="Arial" w:eastAsia="Arial" w:hAnsi="Arial"/>
          <w:sz w:val="16"/>
          <w:szCs w:val="16"/>
          <w:color w:val="auto"/>
        </w:rPr>
        <w:t>. Agent shall have received the results of recent lien searches in each of the jurisdictions where any of the Loan Parties is formed or organized or resides, and such searches shall reveal no Liens on any of the assets of the Loan Parties other than Permitted Liens.</w:t>
      </w:r>
    </w:p>
    <w:p>
      <w:pPr>
        <w:spacing w:after="0" w:line="124" w:lineRule="exact"/>
        <w:rPr>
          <w:sz w:val="20"/>
          <w:szCs w:val="20"/>
          <w:color w:val="auto"/>
        </w:rPr>
      </w:pPr>
    </w:p>
    <w:p>
      <w:pPr>
        <w:jc w:val="both"/>
        <w:ind w:left="660" w:firstLine="644"/>
        <w:spacing w:after="0" w:line="279" w:lineRule="auto"/>
        <w:tabs>
          <w:tab w:leader="none" w:pos="1573" w:val="left"/>
        </w:tabs>
        <w:numPr>
          <w:ilvl w:val="1"/>
          <w:numId w:val="102"/>
        </w:numPr>
        <w:rPr>
          <w:rFonts w:ascii="Arial" w:cs="Arial" w:eastAsia="Arial" w:hAnsi="Arial"/>
          <w:sz w:val="17"/>
          <w:szCs w:val="17"/>
          <w:color w:val="auto"/>
        </w:rPr>
      </w:pPr>
      <w:r>
        <w:rPr>
          <w:rFonts w:ascii="Arial" w:cs="Arial" w:eastAsia="Arial" w:hAnsi="Arial"/>
          <w:sz w:val="17"/>
          <w:szCs w:val="17"/>
          <w:u w:val="single" w:color="auto"/>
          <w:color w:val="auto"/>
        </w:rPr>
        <w:t>Filings, Registrations, Recordings, Agreements, Etc</w:t>
      </w:r>
      <w:r>
        <w:rPr>
          <w:rFonts w:ascii="Arial" w:cs="Arial" w:eastAsia="Arial" w:hAnsi="Arial"/>
          <w:sz w:val="17"/>
          <w:szCs w:val="17"/>
          <w:color w:val="auto"/>
        </w:rPr>
        <w:t>. Each document required by the Security Documents or under Law or reasonably requested by Agent to be filed, registered or recorded to create in favor of Agent, a perfected first-priority Lien on the Collateral described therein, prior and superior in right and priority to any Lien in the Collateral held by any other Person (other than with respect to Permitted Liens), shall have been executed and delivered to Agent or, as applicable, be in proper form for filing, registration or recordation.</w:t>
      </w:r>
    </w:p>
    <w:p>
      <w:pPr>
        <w:spacing w:after="0" w:line="167" w:lineRule="exact"/>
        <w:rPr>
          <w:rFonts w:ascii="Arial" w:cs="Arial" w:eastAsia="Arial" w:hAnsi="Arial"/>
          <w:sz w:val="17"/>
          <w:szCs w:val="17"/>
          <w:color w:val="auto"/>
        </w:rPr>
      </w:pPr>
    </w:p>
    <w:p>
      <w:pPr>
        <w:ind w:firstLine="656"/>
        <w:spacing w:after="0" w:line="312" w:lineRule="auto"/>
        <w:tabs>
          <w:tab w:leader="none" w:pos="966" w:val="left"/>
        </w:tabs>
        <w:numPr>
          <w:ilvl w:val="0"/>
          <w:numId w:val="103"/>
        </w:numPr>
        <w:rPr>
          <w:rFonts w:ascii="Arial" w:cs="Arial" w:eastAsia="Arial" w:hAnsi="Arial"/>
          <w:sz w:val="17"/>
          <w:szCs w:val="17"/>
          <w:color w:val="auto"/>
        </w:rPr>
      </w:pPr>
      <w:r>
        <w:rPr>
          <w:rFonts w:ascii="Arial" w:cs="Arial" w:eastAsia="Arial" w:hAnsi="Arial"/>
          <w:sz w:val="17"/>
          <w:szCs w:val="17"/>
          <w:b w:val="1"/>
          <w:bCs w:val="1"/>
          <w:color w:val="auto"/>
        </w:rPr>
        <w:t>Fees</w:t>
      </w:r>
      <w:r>
        <w:rPr>
          <w:rFonts w:ascii="Arial" w:cs="Arial" w:eastAsia="Arial" w:hAnsi="Arial"/>
          <w:sz w:val="17"/>
          <w:szCs w:val="17"/>
          <w:color w:val="auto"/>
        </w:rPr>
        <w:t>. Agent, on behalf of itself and the Lenders, shall have received all fees required to be paid on or prior to the Closing Date, and all</w:t>
      </w:r>
      <w:r>
        <w:rPr>
          <w:rFonts w:ascii="Arial" w:cs="Arial" w:eastAsia="Arial" w:hAnsi="Arial"/>
          <w:sz w:val="17"/>
          <w:szCs w:val="17"/>
          <w:b w:val="1"/>
          <w:bCs w:val="1"/>
          <w:color w:val="auto"/>
        </w:rPr>
        <w:t xml:space="preserve"> </w:t>
      </w:r>
      <w:r>
        <w:rPr>
          <w:rFonts w:ascii="Arial" w:cs="Arial" w:eastAsia="Arial" w:hAnsi="Arial"/>
          <w:sz w:val="17"/>
          <w:szCs w:val="17"/>
          <w:color w:val="auto"/>
        </w:rPr>
        <w:t>reasonable and documented diligence fees and expenses for which invoices have been presented for payment on or before the Closing Date.</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20" w:type="dxa"/>
            <w:vAlign w:val="bottom"/>
            <w:tcBorders>
              <w:bottom w:val="single" w:sz="8" w:color="auto"/>
            </w:tcBorders>
          </w:tcPr>
          <w:p>
            <w:pPr>
              <w:jc w:val="right"/>
              <w:ind w:right="5350"/>
              <w:spacing w:after="0"/>
              <w:rPr>
                <w:sz w:val="20"/>
                <w:szCs w:val="20"/>
                <w:color w:val="auto"/>
              </w:rPr>
            </w:pPr>
            <w:r>
              <w:rPr>
                <w:rFonts w:ascii="Arial" w:cs="Arial" w:eastAsia="Arial" w:hAnsi="Arial"/>
                <w:sz w:val="18"/>
                <w:szCs w:val="18"/>
                <w:color w:val="auto"/>
              </w:rPr>
              <w:t>48</w:t>
            </w:r>
          </w:p>
        </w:tc>
      </w:tr>
    </w:tbl>
    <w:p>
      <w:pPr>
        <w:sectPr>
          <w:pgSz w:w="11900" w:h="16838" w:orient="portrait"/>
          <w:cols w:equalWidth="0" w:num="1">
            <w:col w:w="11240"/>
          </w:cols>
          <w:pgMar w:left="320" w:top="908" w:right="339" w:bottom="1440" w:gutter="0" w:footer="0" w:header="0"/>
        </w:sectPr>
      </w:pPr>
    </w:p>
    <w:bookmarkStart w:id="125" w:name="page126"/>
    <w:bookmarkEnd w:id="125"/>
    <w:p>
      <w:pPr>
        <w:ind w:firstLine="656"/>
        <w:spacing w:after="0" w:line="282" w:lineRule="auto"/>
        <w:tabs>
          <w:tab w:leader="none" w:pos="916" w:val="left"/>
        </w:tabs>
        <w:numPr>
          <w:ilvl w:val="0"/>
          <w:numId w:val="104"/>
        </w:numPr>
        <w:rPr>
          <w:rFonts w:ascii="Arial" w:cs="Arial" w:eastAsia="Arial" w:hAnsi="Arial"/>
          <w:sz w:val="18"/>
          <w:szCs w:val="18"/>
          <w:color w:val="auto"/>
        </w:rPr>
      </w:pPr>
      <w:r>
        <w:rPr>
          <w:rFonts w:ascii="Arial" w:cs="Arial" w:eastAsia="Arial" w:hAnsi="Arial"/>
          <w:sz w:val="18"/>
          <w:szCs w:val="18"/>
          <w:b w:val="1"/>
          <w:bCs w:val="1"/>
          <w:color w:val="auto"/>
        </w:rPr>
        <w:t>Legal Opinions</w:t>
      </w:r>
      <w:r>
        <w:rPr>
          <w:rFonts w:ascii="Arial" w:cs="Arial" w:eastAsia="Arial" w:hAnsi="Arial"/>
          <w:sz w:val="18"/>
          <w:szCs w:val="18"/>
          <w:color w:val="auto"/>
        </w:rPr>
        <w:t>. Agent shall have received the executed legal opinion of Fenwick &amp; West LLP, counsel to the Loan Parties, in form and</w:t>
      </w:r>
      <w:r>
        <w:rPr>
          <w:rFonts w:ascii="Arial" w:cs="Arial" w:eastAsia="Arial" w:hAnsi="Arial"/>
          <w:sz w:val="18"/>
          <w:szCs w:val="18"/>
          <w:b w:val="1"/>
          <w:bCs w:val="1"/>
          <w:color w:val="auto"/>
        </w:rPr>
        <w:t xml:space="preserve"> </w:t>
      </w:r>
      <w:r>
        <w:rPr>
          <w:rFonts w:ascii="Arial" w:cs="Arial" w:eastAsia="Arial" w:hAnsi="Arial"/>
          <w:sz w:val="18"/>
          <w:szCs w:val="18"/>
          <w:color w:val="auto"/>
        </w:rPr>
        <w:t>substance satisfactory to Agent.</w:t>
      </w:r>
    </w:p>
    <w:p>
      <w:pPr>
        <w:spacing w:after="0" w:line="161" w:lineRule="exact"/>
        <w:rPr>
          <w:rFonts w:ascii="Arial" w:cs="Arial" w:eastAsia="Arial" w:hAnsi="Arial"/>
          <w:sz w:val="18"/>
          <w:szCs w:val="18"/>
          <w:color w:val="auto"/>
        </w:rPr>
      </w:pPr>
    </w:p>
    <w:p>
      <w:pPr>
        <w:ind w:right="20" w:firstLine="656"/>
        <w:spacing w:after="0" w:line="282" w:lineRule="auto"/>
        <w:tabs>
          <w:tab w:leader="none" w:pos="903" w:val="left"/>
        </w:tabs>
        <w:numPr>
          <w:ilvl w:val="0"/>
          <w:numId w:val="104"/>
        </w:numPr>
        <w:rPr>
          <w:rFonts w:ascii="Arial" w:cs="Arial" w:eastAsia="Arial" w:hAnsi="Arial"/>
          <w:sz w:val="18"/>
          <w:szCs w:val="18"/>
          <w:color w:val="auto"/>
        </w:rPr>
      </w:pPr>
      <w:r>
        <w:rPr>
          <w:rFonts w:ascii="Arial" w:cs="Arial" w:eastAsia="Arial" w:hAnsi="Arial"/>
          <w:sz w:val="18"/>
          <w:szCs w:val="18"/>
          <w:b w:val="1"/>
          <w:bCs w:val="1"/>
          <w:color w:val="auto"/>
        </w:rPr>
        <w:t>No Material Adverse Effect</w:t>
      </w:r>
      <w:r>
        <w:rPr>
          <w:rFonts w:ascii="Arial" w:cs="Arial" w:eastAsia="Arial" w:hAnsi="Arial"/>
          <w:sz w:val="18"/>
          <w:szCs w:val="18"/>
          <w:color w:val="auto"/>
        </w:rPr>
        <w:t>. There shall not have occurred since June 30, 2022 any event or circumstance that has had or could be reasonably</w:t>
      </w:r>
      <w:r>
        <w:rPr>
          <w:rFonts w:ascii="Arial" w:cs="Arial" w:eastAsia="Arial" w:hAnsi="Arial"/>
          <w:sz w:val="18"/>
          <w:szCs w:val="18"/>
          <w:b w:val="1"/>
          <w:bCs w:val="1"/>
          <w:color w:val="auto"/>
        </w:rPr>
        <w:t xml:space="preserve"> </w:t>
      </w:r>
      <w:r>
        <w:rPr>
          <w:rFonts w:ascii="Arial" w:cs="Arial" w:eastAsia="Arial" w:hAnsi="Arial"/>
          <w:sz w:val="18"/>
          <w:szCs w:val="18"/>
          <w:color w:val="auto"/>
        </w:rPr>
        <w:t>expected to have, individually or in the aggregate, a Material Adverse Effect.</w:t>
      </w:r>
    </w:p>
    <w:p>
      <w:pPr>
        <w:spacing w:after="0" w:line="161" w:lineRule="exact"/>
        <w:rPr>
          <w:rFonts w:ascii="Arial" w:cs="Arial" w:eastAsia="Arial" w:hAnsi="Arial"/>
          <w:sz w:val="18"/>
          <w:szCs w:val="18"/>
          <w:color w:val="auto"/>
        </w:rPr>
      </w:pPr>
    </w:p>
    <w:p>
      <w:pPr>
        <w:ind w:firstLine="656"/>
        <w:spacing w:after="0" w:line="312" w:lineRule="auto"/>
        <w:tabs>
          <w:tab w:leader="none" w:pos="916" w:val="left"/>
        </w:tabs>
        <w:numPr>
          <w:ilvl w:val="0"/>
          <w:numId w:val="104"/>
        </w:numPr>
        <w:rPr>
          <w:rFonts w:ascii="Arial" w:cs="Arial" w:eastAsia="Arial" w:hAnsi="Arial"/>
          <w:sz w:val="17"/>
          <w:szCs w:val="17"/>
          <w:color w:val="auto"/>
        </w:rPr>
      </w:pPr>
      <w:r>
        <w:rPr>
          <w:rFonts w:ascii="Arial" w:cs="Arial" w:eastAsia="Arial" w:hAnsi="Arial"/>
          <w:sz w:val="17"/>
          <w:szCs w:val="17"/>
          <w:b w:val="1"/>
          <w:bCs w:val="1"/>
          <w:color w:val="auto"/>
        </w:rPr>
        <w:t>No Default</w:t>
      </w:r>
      <w:r>
        <w:rPr>
          <w:rFonts w:ascii="Arial" w:cs="Arial" w:eastAsia="Arial" w:hAnsi="Arial"/>
          <w:sz w:val="17"/>
          <w:szCs w:val="17"/>
          <w:color w:val="auto"/>
        </w:rPr>
        <w:t>. No Default or Event of Default shall have occurred and is continuing or would occur both before and after giving effect to the</w:t>
      </w:r>
      <w:r>
        <w:rPr>
          <w:rFonts w:ascii="Arial" w:cs="Arial" w:eastAsia="Arial" w:hAnsi="Arial"/>
          <w:sz w:val="17"/>
          <w:szCs w:val="17"/>
          <w:b w:val="1"/>
          <w:bCs w:val="1"/>
          <w:color w:val="auto"/>
        </w:rPr>
        <w:t xml:space="preserve"> </w:t>
      </w:r>
      <w:r>
        <w:rPr>
          <w:rFonts w:ascii="Arial" w:cs="Arial" w:eastAsia="Arial" w:hAnsi="Arial"/>
          <w:sz w:val="17"/>
          <w:szCs w:val="17"/>
          <w:color w:val="auto"/>
        </w:rPr>
        <w:t>execution, delivery and performance of the Loan Documents, including without limitation the borrowing of the Term Loan on the Closing Date.</w:t>
      </w:r>
    </w:p>
    <w:p>
      <w:pPr>
        <w:spacing w:after="0" w:line="139" w:lineRule="exact"/>
        <w:rPr>
          <w:rFonts w:ascii="Arial" w:cs="Arial" w:eastAsia="Arial" w:hAnsi="Arial"/>
          <w:sz w:val="17"/>
          <w:szCs w:val="17"/>
          <w:color w:val="auto"/>
        </w:rPr>
      </w:pPr>
    </w:p>
    <w:p>
      <w:pPr>
        <w:jc w:val="both"/>
        <w:ind w:firstLine="656"/>
        <w:spacing w:after="0" w:line="266" w:lineRule="auto"/>
        <w:tabs>
          <w:tab w:leader="none" w:pos="903" w:val="left"/>
        </w:tabs>
        <w:numPr>
          <w:ilvl w:val="0"/>
          <w:numId w:val="104"/>
        </w:numPr>
        <w:rPr>
          <w:rFonts w:ascii="Arial" w:cs="Arial" w:eastAsia="Arial" w:hAnsi="Arial"/>
          <w:sz w:val="18"/>
          <w:szCs w:val="18"/>
          <w:color w:val="auto"/>
        </w:rPr>
      </w:pPr>
      <w:r>
        <w:rPr>
          <w:rFonts w:ascii="Arial" w:cs="Arial" w:eastAsia="Arial" w:hAnsi="Arial"/>
          <w:sz w:val="18"/>
          <w:szCs w:val="18"/>
          <w:b w:val="1"/>
          <w:bCs w:val="1"/>
          <w:color w:val="auto"/>
        </w:rPr>
        <w:t>Representations and Warranties</w:t>
      </w:r>
      <w:r>
        <w:rPr>
          <w:rFonts w:ascii="Arial" w:cs="Arial" w:eastAsia="Arial" w:hAnsi="Arial"/>
          <w:sz w:val="18"/>
          <w:szCs w:val="18"/>
          <w:color w:val="auto"/>
        </w:rPr>
        <w:t>. After giving effect to the execution, delivery and performance of the Loan Documents, including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limitation the borrowing of the Term Loan, each of the representations and warranties made by each Loan Party in or pursuant to any Loan Document shall be true and correct in all respects.</w:t>
      </w:r>
    </w:p>
    <w:p>
      <w:pPr>
        <w:spacing w:after="0" w:line="175" w:lineRule="exact"/>
        <w:rPr>
          <w:rFonts w:ascii="Arial" w:cs="Arial" w:eastAsia="Arial" w:hAnsi="Arial"/>
          <w:sz w:val="18"/>
          <w:szCs w:val="18"/>
          <w:color w:val="auto"/>
        </w:rPr>
      </w:pPr>
    </w:p>
    <w:p>
      <w:pPr>
        <w:jc w:val="both"/>
        <w:ind w:firstLine="656"/>
        <w:spacing w:after="0" w:line="266" w:lineRule="auto"/>
        <w:tabs>
          <w:tab w:leader="none" w:pos="873" w:val="left"/>
        </w:tabs>
        <w:numPr>
          <w:ilvl w:val="0"/>
          <w:numId w:val="104"/>
        </w:numPr>
        <w:rPr>
          <w:rFonts w:ascii="Arial" w:cs="Arial" w:eastAsia="Arial" w:hAnsi="Arial"/>
          <w:sz w:val="18"/>
          <w:szCs w:val="18"/>
          <w:color w:val="auto"/>
        </w:rPr>
      </w:pPr>
      <w:r>
        <w:rPr>
          <w:rFonts w:ascii="Arial" w:cs="Arial" w:eastAsia="Arial" w:hAnsi="Arial"/>
          <w:sz w:val="18"/>
          <w:szCs w:val="18"/>
          <w:b w:val="1"/>
          <w:bCs w:val="1"/>
          <w:color w:val="auto"/>
        </w:rPr>
        <w:t>Solvency</w:t>
      </w:r>
      <w:r>
        <w:rPr>
          <w:rFonts w:ascii="Arial" w:cs="Arial" w:eastAsia="Arial" w:hAnsi="Arial"/>
          <w:sz w:val="18"/>
          <w:szCs w:val="18"/>
          <w:color w:val="auto"/>
        </w:rPr>
        <w:t>. After giving effect to the execution, delivery and performance of the Loan Documents, including without limitation the borrowing of</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 Loan on the Closing Date, the Borrower, individually, and the Loan Parties, taken as a whole, shall be Solvent and Agent shall have received a certificate evidencing the same in form and substance acceptable to Agent in its sole discretion.</w:t>
      </w:r>
    </w:p>
    <w:p>
      <w:pPr>
        <w:spacing w:after="0" w:line="175" w:lineRule="exact"/>
        <w:rPr>
          <w:rFonts w:ascii="Arial" w:cs="Arial" w:eastAsia="Arial" w:hAnsi="Arial"/>
          <w:sz w:val="18"/>
          <w:szCs w:val="18"/>
          <w:color w:val="auto"/>
        </w:rPr>
      </w:pPr>
    </w:p>
    <w:p>
      <w:pPr>
        <w:jc w:val="both"/>
        <w:ind w:firstLine="656"/>
        <w:spacing w:after="0" w:line="266" w:lineRule="auto"/>
        <w:tabs>
          <w:tab w:leader="none" w:pos="896" w:val="left"/>
        </w:tabs>
        <w:numPr>
          <w:ilvl w:val="0"/>
          <w:numId w:val="104"/>
        </w:numPr>
        <w:rPr>
          <w:rFonts w:ascii="Arial" w:cs="Arial" w:eastAsia="Arial" w:hAnsi="Arial"/>
          <w:sz w:val="18"/>
          <w:szCs w:val="18"/>
          <w:color w:val="auto"/>
        </w:rPr>
      </w:pPr>
      <w:r>
        <w:rPr>
          <w:rFonts w:ascii="Arial" w:cs="Arial" w:eastAsia="Arial" w:hAnsi="Arial"/>
          <w:sz w:val="18"/>
          <w:szCs w:val="18"/>
          <w:b w:val="1"/>
          <w:bCs w:val="1"/>
          <w:color w:val="auto"/>
        </w:rPr>
        <w:t>Material Contracts and Consents</w:t>
      </w:r>
      <w:r>
        <w:rPr>
          <w:rFonts w:ascii="Arial" w:cs="Arial" w:eastAsia="Arial" w:hAnsi="Arial"/>
          <w:sz w:val="18"/>
          <w:szCs w:val="18"/>
          <w:color w:val="auto"/>
        </w:rPr>
        <w:t>. Agent shall have received (i) true, correct and complete copies of each Material Contract of Borrower</w:t>
      </w:r>
      <w:r>
        <w:rPr>
          <w:rFonts w:ascii="Arial" w:cs="Arial" w:eastAsia="Arial" w:hAnsi="Arial"/>
          <w:sz w:val="18"/>
          <w:szCs w:val="18"/>
          <w:b w:val="1"/>
          <w:bCs w:val="1"/>
          <w:color w:val="auto"/>
        </w:rPr>
        <w:t xml:space="preserve"> </w:t>
      </w:r>
      <w:r>
        <w:rPr>
          <w:rFonts w:ascii="Arial" w:cs="Arial" w:eastAsia="Arial" w:hAnsi="Arial"/>
          <w:sz w:val="18"/>
          <w:szCs w:val="18"/>
          <w:color w:val="auto"/>
        </w:rPr>
        <w:t>requested by Agent, and any amendments or other modifications thereto, and (ii) all consents required by the Agent to be obtained, or notices required to be delivered, under each Material Contract shall have been delivered or obtained, as applicable.</w:t>
      </w:r>
    </w:p>
    <w:p>
      <w:pPr>
        <w:spacing w:after="0" w:line="175" w:lineRule="exact"/>
        <w:rPr>
          <w:rFonts w:ascii="Arial" w:cs="Arial" w:eastAsia="Arial" w:hAnsi="Arial"/>
          <w:sz w:val="18"/>
          <w:szCs w:val="18"/>
          <w:color w:val="auto"/>
        </w:rPr>
      </w:pPr>
    </w:p>
    <w:p>
      <w:pPr>
        <w:jc w:val="both"/>
        <w:ind w:firstLine="656"/>
        <w:spacing w:after="0" w:line="298" w:lineRule="auto"/>
        <w:tabs>
          <w:tab w:leader="none" w:pos="863" w:val="left"/>
        </w:tabs>
        <w:numPr>
          <w:ilvl w:val="0"/>
          <w:numId w:val="104"/>
        </w:numPr>
        <w:rPr>
          <w:rFonts w:ascii="Arial" w:cs="Arial" w:eastAsia="Arial" w:hAnsi="Arial"/>
          <w:sz w:val="16"/>
          <w:szCs w:val="16"/>
          <w:color w:val="auto"/>
        </w:rPr>
      </w:pPr>
      <w:r>
        <w:rPr>
          <w:rFonts w:ascii="Arial" w:cs="Arial" w:eastAsia="Arial" w:hAnsi="Arial"/>
          <w:sz w:val="16"/>
          <w:szCs w:val="16"/>
          <w:b w:val="1"/>
          <w:bCs w:val="1"/>
          <w:color w:val="auto"/>
        </w:rPr>
        <w:t>No Litigation</w:t>
      </w:r>
      <w:r>
        <w:rPr>
          <w:rFonts w:ascii="Arial" w:cs="Arial" w:eastAsia="Arial" w:hAnsi="Arial"/>
          <w:sz w:val="16"/>
          <w:szCs w:val="16"/>
          <w:color w:val="auto"/>
        </w:rPr>
        <w:t>. No action, suit or proceeding before any Official Body shall have been commenced or threatened in writing, no investigation by</w:t>
      </w:r>
      <w:r>
        <w:rPr>
          <w:rFonts w:ascii="Arial" w:cs="Arial" w:eastAsia="Arial" w:hAnsi="Arial"/>
          <w:sz w:val="16"/>
          <w:szCs w:val="16"/>
          <w:b w:val="1"/>
          <w:bCs w:val="1"/>
          <w:color w:val="auto"/>
        </w:rPr>
        <w:t xml:space="preserve"> </w:t>
      </w:r>
      <w:r>
        <w:rPr>
          <w:rFonts w:ascii="Arial" w:cs="Arial" w:eastAsia="Arial" w:hAnsi="Arial"/>
          <w:sz w:val="16"/>
          <w:szCs w:val="16"/>
          <w:color w:val="auto"/>
        </w:rPr>
        <w:t>any Official Body (including, without limitation, the SEC) shall have been commenced and no action, suit or proceeding by any Official Body shall have been threatened in writing against (i) any Loan Party, the Agent or any Lender seeking to restrain, prevent or change the transactions contemplated hereby or questioning the validity or legality of such transactions or (ii) any Loan Party, Parent or their respective affiliates seeking to restrain, prevent or change the SPAC Transaction (including the SPAC Business Combination or any PIPE Transaction) or questioning the validity or legality of such transaction.</w:t>
      </w:r>
    </w:p>
    <w:p>
      <w:pPr>
        <w:spacing w:after="0" w:line="153" w:lineRule="exact"/>
        <w:rPr>
          <w:rFonts w:ascii="Arial" w:cs="Arial" w:eastAsia="Arial" w:hAnsi="Arial"/>
          <w:sz w:val="16"/>
          <w:szCs w:val="16"/>
          <w:color w:val="auto"/>
        </w:rPr>
      </w:pPr>
    </w:p>
    <w:p>
      <w:pPr>
        <w:ind w:firstLine="656"/>
        <w:spacing w:after="0" w:line="282" w:lineRule="auto"/>
        <w:tabs>
          <w:tab w:leader="none" w:pos="916" w:val="left"/>
        </w:tabs>
        <w:numPr>
          <w:ilvl w:val="0"/>
          <w:numId w:val="104"/>
        </w:numPr>
        <w:rPr>
          <w:rFonts w:ascii="Arial" w:cs="Arial" w:eastAsia="Arial" w:hAnsi="Arial"/>
          <w:sz w:val="18"/>
          <w:szCs w:val="18"/>
          <w:color w:val="auto"/>
        </w:rPr>
      </w:pPr>
      <w:r>
        <w:rPr>
          <w:rFonts w:ascii="Arial" w:cs="Arial" w:eastAsia="Arial" w:hAnsi="Arial"/>
          <w:sz w:val="18"/>
          <w:szCs w:val="18"/>
          <w:b w:val="1"/>
          <w:bCs w:val="1"/>
          <w:color w:val="auto"/>
        </w:rPr>
        <w:t>Prior Debt</w:t>
      </w:r>
      <w:r>
        <w:rPr>
          <w:rFonts w:ascii="Arial" w:cs="Arial" w:eastAsia="Arial" w:hAnsi="Arial"/>
          <w:sz w:val="18"/>
          <w:szCs w:val="18"/>
          <w:color w:val="auto"/>
        </w:rPr>
        <w:t>. Agent shall have received payoff letters, financing statement terminations and other applicable lien release documentation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all Prior Debt of the Loan Parties, in form and substance acceptable to Agent.</w:t>
      </w:r>
    </w:p>
    <w:p>
      <w:pPr>
        <w:spacing w:after="0" w:line="161" w:lineRule="exact"/>
        <w:rPr>
          <w:rFonts w:ascii="Arial" w:cs="Arial" w:eastAsia="Arial" w:hAnsi="Arial"/>
          <w:sz w:val="18"/>
          <w:szCs w:val="18"/>
          <w:color w:val="auto"/>
        </w:rPr>
      </w:pPr>
    </w:p>
    <w:p>
      <w:pPr>
        <w:ind w:firstLine="656"/>
        <w:spacing w:after="0" w:line="282" w:lineRule="auto"/>
        <w:tabs>
          <w:tab w:leader="none" w:pos="903" w:val="left"/>
        </w:tabs>
        <w:numPr>
          <w:ilvl w:val="0"/>
          <w:numId w:val="104"/>
        </w:numPr>
        <w:rPr>
          <w:rFonts w:ascii="Arial" w:cs="Arial" w:eastAsia="Arial" w:hAnsi="Arial"/>
          <w:sz w:val="18"/>
          <w:szCs w:val="18"/>
          <w:color w:val="auto"/>
        </w:rPr>
      </w:pPr>
      <w:r>
        <w:rPr>
          <w:rFonts w:ascii="Arial" w:cs="Arial" w:eastAsia="Arial" w:hAnsi="Arial"/>
          <w:sz w:val="18"/>
          <w:szCs w:val="18"/>
          <w:b w:val="1"/>
          <w:bCs w:val="1"/>
          <w:color w:val="auto"/>
        </w:rPr>
        <w:t>Capitalization</w:t>
      </w:r>
      <w:r>
        <w:rPr>
          <w:rFonts w:ascii="Arial" w:cs="Arial" w:eastAsia="Arial" w:hAnsi="Arial"/>
          <w:sz w:val="18"/>
          <w:szCs w:val="18"/>
          <w:color w:val="auto"/>
        </w:rPr>
        <w:t>. The ownership, capital, corporate, tax, organizational and legal structure and ownership of the Loan Parties upon closing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satisfactory to Agent.</w:t>
      </w:r>
    </w:p>
    <w:p>
      <w:pPr>
        <w:spacing w:after="0" w:line="161" w:lineRule="exact"/>
        <w:rPr>
          <w:rFonts w:ascii="Arial" w:cs="Arial" w:eastAsia="Arial" w:hAnsi="Arial"/>
          <w:sz w:val="18"/>
          <w:szCs w:val="18"/>
          <w:color w:val="auto"/>
        </w:rPr>
      </w:pPr>
    </w:p>
    <w:p>
      <w:pPr>
        <w:ind w:left="960" w:hanging="304"/>
        <w:spacing w:after="0"/>
        <w:tabs>
          <w:tab w:leader="none" w:pos="960" w:val="left"/>
        </w:tabs>
        <w:numPr>
          <w:ilvl w:val="0"/>
          <w:numId w:val="104"/>
        </w:numPr>
        <w:rPr>
          <w:rFonts w:ascii="Arial" w:cs="Arial" w:eastAsia="Arial" w:hAnsi="Arial"/>
          <w:sz w:val="18"/>
          <w:szCs w:val="18"/>
          <w:color w:val="auto"/>
        </w:rPr>
      </w:pPr>
      <w:r>
        <w:rPr>
          <w:rFonts w:ascii="Arial" w:cs="Arial" w:eastAsia="Arial" w:hAnsi="Arial"/>
          <w:sz w:val="18"/>
          <w:szCs w:val="18"/>
          <w:b w:val="1"/>
          <w:bCs w:val="1"/>
          <w:color w:val="auto"/>
        </w:rPr>
        <w:t>Notice of Borrowing</w:t>
      </w:r>
      <w:r>
        <w:rPr>
          <w:rFonts w:ascii="Arial" w:cs="Arial" w:eastAsia="Arial" w:hAnsi="Arial"/>
          <w:sz w:val="18"/>
          <w:szCs w:val="18"/>
          <w:color w:val="auto"/>
        </w:rPr>
        <w:t>. Agent shall have received a Notice of Borrowing which complies with the requirements of this Agreement.</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20" w:type="dxa"/>
            <w:vAlign w:val="bottom"/>
            <w:tcBorders>
              <w:bottom w:val="single" w:sz="8" w:color="auto"/>
            </w:tcBorders>
          </w:tcPr>
          <w:p>
            <w:pPr>
              <w:jc w:val="right"/>
              <w:ind w:right="5350"/>
              <w:spacing w:after="0"/>
              <w:rPr>
                <w:sz w:val="20"/>
                <w:szCs w:val="20"/>
                <w:color w:val="auto"/>
              </w:rPr>
            </w:pPr>
            <w:r>
              <w:rPr>
                <w:rFonts w:ascii="Arial" w:cs="Arial" w:eastAsia="Arial" w:hAnsi="Arial"/>
                <w:sz w:val="18"/>
                <w:szCs w:val="18"/>
                <w:color w:val="auto"/>
              </w:rPr>
              <w:t>49</w:t>
            </w:r>
          </w:p>
        </w:tc>
      </w:tr>
    </w:tbl>
    <w:p>
      <w:pPr>
        <w:sectPr>
          <w:pgSz w:w="11900" w:h="16838" w:orient="portrait"/>
          <w:cols w:equalWidth="0" w:num="1">
            <w:col w:w="11240"/>
          </w:cols>
          <w:pgMar w:left="320" w:top="904" w:right="339" w:bottom="1440" w:gutter="0" w:footer="0" w:header="0"/>
        </w:sectPr>
      </w:pPr>
    </w:p>
    <w:bookmarkStart w:id="126" w:name="page127"/>
    <w:bookmarkEnd w:id="126"/>
    <w:p>
      <w:pPr>
        <w:ind w:firstLine="656"/>
        <w:spacing w:after="0" w:line="282" w:lineRule="auto"/>
        <w:tabs>
          <w:tab w:leader="none" w:pos="916" w:val="left"/>
        </w:tabs>
        <w:numPr>
          <w:ilvl w:val="0"/>
          <w:numId w:val="105"/>
        </w:numPr>
        <w:rPr>
          <w:rFonts w:ascii="Arial" w:cs="Arial" w:eastAsia="Arial" w:hAnsi="Arial"/>
          <w:sz w:val="18"/>
          <w:szCs w:val="18"/>
          <w:color w:val="auto"/>
        </w:rPr>
      </w:pPr>
      <w:r>
        <w:rPr>
          <w:rFonts w:ascii="Arial" w:cs="Arial" w:eastAsia="Arial" w:hAnsi="Arial"/>
          <w:sz w:val="18"/>
          <w:szCs w:val="18"/>
          <w:b w:val="1"/>
          <w:bCs w:val="1"/>
          <w:color w:val="auto"/>
        </w:rPr>
        <w:t>Founder Shares</w:t>
      </w:r>
      <w:r>
        <w:rPr>
          <w:rFonts w:ascii="Arial" w:cs="Arial" w:eastAsia="Arial" w:hAnsi="Arial"/>
          <w:sz w:val="18"/>
          <w:szCs w:val="18"/>
          <w:color w:val="auto"/>
        </w:rPr>
        <w:t>. The Lenders shall have received 600,000 Founder Shares in accordance with the terms of the Founder Shares Transfer</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with evidence of transfer in form and substance acceptable to Agent.</w:t>
      </w:r>
    </w:p>
    <w:p>
      <w:pPr>
        <w:spacing w:after="0" w:line="161" w:lineRule="exact"/>
        <w:rPr>
          <w:rFonts w:ascii="Arial" w:cs="Arial" w:eastAsia="Arial" w:hAnsi="Arial"/>
          <w:sz w:val="18"/>
          <w:szCs w:val="18"/>
          <w:color w:val="auto"/>
        </w:rPr>
      </w:pPr>
    </w:p>
    <w:p>
      <w:pPr>
        <w:ind w:firstLine="656"/>
        <w:spacing w:after="0" w:line="282" w:lineRule="auto"/>
        <w:tabs>
          <w:tab w:leader="none" w:pos="903" w:val="left"/>
        </w:tabs>
        <w:numPr>
          <w:ilvl w:val="0"/>
          <w:numId w:val="105"/>
        </w:numPr>
        <w:rPr>
          <w:rFonts w:ascii="Arial" w:cs="Arial" w:eastAsia="Arial" w:hAnsi="Arial"/>
          <w:sz w:val="18"/>
          <w:szCs w:val="18"/>
          <w:color w:val="auto"/>
        </w:rPr>
      </w:pPr>
      <w:r>
        <w:rPr>
          <w:rFonts w:ascii="Arial" w:cs="Arial" w:eastAsia="Arial" w:hAnsi="Arial"/>
          <w:sz w:val="18"/>
          <w:szCs w:val="18"/>
          <w:b w:val="1"/>
          <w:bCs w:val="1"/>
          <w:color w:val="auto"/>
        </w:rPr>
        <w:t>Warrants</w:t>
      </w:r>
      <w:r>
        <w:rPr>
          <w:rFonts w:ascii="Arial" w:cs="Arial" w:eastAsia="Arial" w:hAnsi="Arial"/>
          <w:sz w:val="18"/>
          <w:szCs w:val="18"/>
          <w:color w:val="auto"/>
        </w:rPr>
        <w:t>. The Lenders shall have received the 1,500,000 Warrants in accordance with the terms of the Warrant Subscription Agreement, with</w:t>
      </w:r>
      <w:r>
        <w:rPr>
          <w:rFonts w:ascii="Arial" w:cs="Arial" w:eastAsia="Arial" w:hAnsi="Arial"/>
          <w:sz w:val="18"/>
          <w:szCs w:val="18"/>
          <w:b w:val="1"/>
          <w:bCs w:val="1"/>
          <w:color w:val="auto"/>
        </w:rPr>
        <w:t xml:space="preserve"> </w:t>
      </w:r>
      <w:r>
        <w:rPr>
          <w:rFonts w:ascii="Arial" w:cs="Arial" w:eastAsia="Arial" w:hAnsi="Arial"/>
          <w:sz w:val="18"/>
          <w:szCs w:val="18"/>
          <w:color w:val="auto"/>
        </w:rPr>
        <w:t>evidence of issuance in form and substance acceptable to Agent.</w:t>
      </w:r>
    </w:p>
    <w:p>
      <w:pPr>
        <w:spacing w:after="0" w:line="161" w:lineRule="exact"/>
        <w:rPr>
          <w:rFonts w:ascii="Arial" w:cs="Arial" w:eastAsia="Arial" w:hAnsi="Arial"/>
          <w:sz w:val="18"/>
          <w:szCs w:val="18"/>
          <w:color w:val="auto"/>
        </w:rPr>
      </w:pPr>
    </w:p>
    <w:p>
      <w:pPr>
        <w:ind w:firstLine="656"/>
        <w:spacing w:after="0" w:line="282" w:lineRule="auto"/>
        <w:tabs>
          <w:tab w:leader="none" w:pos="906" w:val="left"/>
        </w:tabs>
        <w:numPr>
          <w:ilvl w:val="0"/>
          <w:numId w:val="105"/>
        </w:numPr>
        <w:rPr>
          <w:rFonts w:ascii="Arial" w:cs="Arial" w:eastAsia="Arial" w:hAnsi="Arial"/>
          <w:sz w:val="18"/>
          <w:szCs w:val="18"/>
          <w:color w:val="auto"/>
        </w:rPr>
      </w:pPr>
      <w:r>
        <w:rPr>
          <w:rFonts w:ascii="Arial" w:cs="Arial" w:eastAsia="Arial" w:hAnsi="Arial"/>
          <w:sz w:val="18"/>
          <w:szCs w:val="18"/>
          <w:b w:val="1"/>
          <w:bCs w:val="1"/>
          <w:color w:val="auto"/>
        </w:rPr>
        <w:t>Conversion of Convertible Notes</w:t>
      </w:r>
      <w:r>
        <w:rPr>
          <w:rFonts w:ascii="Arial" w:cs="Arial" w:eastAsia="Arial" w:hAnsi="Arial"/>
          <w:sz w:val="18"/>
          <w:szCs w:val="18"/>
          <w:color w:val="auto"/>
        </w:rPr>
        <w:t>. Agent shall have received evidence that all previously outstanding convertible note Indebtedness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Loan Parties has been converted to Equity Interests.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(aa) </w:t>
      </w:r>
      <w:r>
        <w:rPr>
          <w:rFonts w:ascii="Arial" w:cs="Arial" w:eastAsia="Arial" w:hAnsi="Arial"/>
          <w:sz w:val="16"/>
          <w:szCs w:val="16"/>
          <w:b w:val="1"/>
          <w:bCs w:val="1"/>
          <w:color w:val="auto"/>
        </w:rPr>
        <w:t>Additional Documents</w:t>
      </w:r>
      <w:r>
        <w:rPr>
          <w:rFonts w:ascii="Arial" w:cs="Arial" w:eastAsia="Arial" w:hAnsi="Arial"/>
          <w:sz w:val="16"/>
          <w:szCs w:val="16"/>
          <w:color w:val="auto"/>
        </w:rPr>
        <w:t>. Agent shall have received such other documents, instruments and agreements as Agent deems reasonably necessary.</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borrowing by the Borrower of the Term Loan on the Closing Date shall constitute a representation and warranty by the Borrower as of the Closing Date, that the conditions contained in this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have been satisfied.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5</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AFFIRMATIVE COVENANTS</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Each Loan Party, on its own behalf and on behalf of its Subsidiaries hereby agrees that, until the Term Loan Commitment has been terminated and the Obligations have been paid in full in cash (other than inchoate indemnification obligations for which no claim has been asserted) and unless otherwise specified:</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5.1 Financial Statements</w:t>
      </w:r>
      <w:r>
        <w:rPr>
          <w:rFonts w:ascii="Arial" w:cs="Arial" w:eastAsia="Arial" w:hAnsi="Arial"/>
          <w:sz w:val="18"/>
          <w:szCs w:val="18"/>
          <w:color w:val="auto"/>
        </w:rPr>
        <w:t>5.2. The Borrower shall:</w:t>
      </w:r>
    </w:p>
    <w:p>
      <w:pPr>
        <w:spacing w:after="0" w:line="229" w:lineRule="exact"/>
        <w:rPr>
          <w:sz w:val="20"/>
          <w:szCs w:val="20"/>
          <w:color w:val="auto"/>
        </w:rPr>
      </w:pPr>
    </w:p>
    <w:p>
      <w:pPr>
        <w:jc w:val="both"/>
        <w:ind w:firstLine="656"/>
        <w:spacing w:after="0" w:line="287" w:lineRule="auto"/>
        <w:tabs>
          <w:tab w:leader="none" w:pos="919" w:val="left"/>
        </w:tabs>
        <w:numPr>
          <w:ilvl w:val="0"/>
          <w:numId w:val="106"/>
        </w:numPr>
        <w:rPr>
          <w:rFonts w:ascii="Arial" w:cs="Arial" w:eastAsia="Arial" w:hAnsi="Arial"/>
          <w:sz w:val="16"/>
          <w:szCs w:val="16"/>
          <w:color w:val="auto"/>
        </w:rPr>
      </w:pPr>
      <w:r>
        <w:rPr>
          <w:rFonts w:ascii="Arial" w:cs="Arial" w:eastAsia="Arial" w:hAnsi="Arial"/>
          <w:sz w:val="16"/>
          <w:szCs w:val="16"/>
          <w:color w:val="auto"/>
        </w:rPr>
        <w:t>deliver to Agent (solely to the extent the Agent has delivered written notice to Borrower that it elects to receive material non-public information, and such notice has not been rescinded by Agent by written notice to the Borrower) and to each Lender (solely to the extent such Lender has delivered written notice to Borrower that such Lender elects to receive material non-public information, which notice has not been rescinded by such Lender in writing), as soon as available, but in any event, within ninety (90) days after the end of each Fiscal Year (or, for the Fiscal Year ending June 30, 2024, one hundred twenty (120) days) of the Loan Parties, beginning with the Fiscal Year ending June 30, 2023, a copy of the audited consolidated and consolidating balance sheet of the Loan Parties as at the end of such Fiscal Year and the related audited consolidated and consolidating statements of income and of cash flows for such Fiscal Year, setting forth in each case in comparative form the figures for the previous year, reported on without qualification (other than with respect to the Fiscal Year ending June 30, 2023, which may include a qualification based on the Loan Parties’ ability to continue as a going concern), and which shall state that such financial statements fairly present the financial condition of the Loan Parties as of the dates indicated and the results of their operations and cash flow for the periods indicated in conformity with GAAP, by Moss Adams or such other independent certified public accountants of nationally recognized standing approved by the Agent in its Permitted Discretion;</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20" w:type="dxa"/>
            <w:vAlign w:val="bottom"/>
            <w:tcBorders>
              <w:bottom w:val="single" w:sz="8" w:color="auto"/>
            </w:tcBorders>
          </w:tcPr>
          <w:p>
            <w:pPr>
              <w:jc w:val="right"/>
              <w:ind w:right="5350"/>
              <w:spacing w:after="0"/>
              <w:rPr>
                <w:sz w:val="20"/>
                <w:szCs w:val="20"/>
                <w:color w:val="auto"/>
              </w:rPr>
            </w:pPr>
            <w:r>
              <w:rPr>
                <w:rFonts w:ascii="Arial" w:cs="Arial" w:eastAsia="Arial" w:hAnsi="Arial"/>
                <w:sz w:val="18"/>
                <w:szCs w:val="18"/>
                <w:color w:val="auto"/>
              </w:rPr>
              <w:t>50</w:t>
            </w:r>
          </w:p>
        </w:tc>
      </w:tr>
    </w:tbl>
    <w:p>
      <w:pPr>
        <w:sectPr>
          <w:pgSz w:w="11900" w:h="16838" w:orient="portrait"/>
          <w:cols w:equalWidth="0" w:num="1">
            <w:col w:w="11240"/>
          </w:cols>
          <w:pgMar w:left="320" w:top="904" w:right="339" w:bottom="1440" w:gutter="0" w:footer="0" w:header="0"/>
        </w:sectPr>
      </w:pPr>
    </w:p>
    <w:bookmarkStart w:id="127" w:name="page128"/>
    <w:bookmarkEnd w:id="127"/>
    <w:p>
      <w:pPr>
        <w:jc w:val="both"/>
        <w:ind w:firstLine="656"/>
        <w:spacing w:after="0" w:line="259" w:lineRule="auto"/>
        <w:tabs>
          <w:tab w:leader="none" w:pos="93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On or before November 30, 2023, Agent shall have received an annual budget with forecasts approved by the board of directors (or comparable governing body) of Borrower, on a Consolidated Basis, in each case in form reasonably satisfactory to the Agent, of statements of income of Borrower and its Subsidiaries on a monthly basis for the period beginning November 30, 2023 through June 30, 2025, which shall be in form and substance satisfactory to Agent.;</w:t>
      </w:r>
    </w:p>
    <w:p>
      <w:pPr>
        <w:spacing w:after="0" w:line="186" w:lineRule="exact"/>
        <w:rPr>
          <w:rFonts w:ascii="Arial" w:cs="Arial" w:eastAsia="Arial" w:hAnsi="Arial"/>
          <w:sz w:val="18"/>
          <w:szCs w:val="18"/>
          <w:color w:val="auto"/>
        </w:rPr>
      </w:pPr>
    </w:p>
    <w:p>
      <w:pPr>
        <w:jc w:val="both"/>
        <w:ind w:firstLine="656"/>
        <w:spacing w:after="0" w:line="287" w:lineRule="auto"/>
        <w:tabs>
          <w:tab w:leader="none" w:pos="906" w:val="left"/>
        </w:tabs>
        <w:numPr>
          <w:ilvl w:val="0"/>
          <w:numId w:val="107"/>
        </w:numPr>
        <w:rPr>
          <w:rFonts w:ascii="Arial" w:cs="Arial" w:eastAsia="Arial" w:hAnsi="Arial"/>
          <w:sz w:val="16"/>
          <w:szCs w:val="16"/>
          <w:color w:val="auto"/>
        </w:rPr>
      </w:pPr>
      <w:r>
        <w:rPr>
          <w:rFonts w:ascii="Arial" w:cs="Arial" w:eastAsia="Arial" w:hAnsi="Arial"/>
          <w:sz w:val="16"/>
          <w:szCs w:val="16"/>
          <w:color w:val="auto"/>
        </w:rPr>
        <w:t>deliver to Agent and to each Lender (solely to the extent such Lender has delivered written notice to Borrower that such Lender elects to receive material non-public information, which notice has not been rescinded by such Lender in writing), as soon as available, but in any event not later than thirty (30) days after the end of each calendar month beginning with the calendar month (i) ending September 30, 2022 and each month thereafter, the general ledger for the Borrower’s balance sheet, income statement and cash flow statement, (ii) ending April 30, 2023 and each month thereafter, a detailed income statement, balance sheet, and cash flow statement and a detailed accounts receivable and accounts payable aging statement as of the last day of the applicable period, (iii) ending November 30, 2023 and each month thereafter, a report, in comparative form, setting forth the Net Adjusted Decrease in Operating Cash for the current calendar month against the budget forecast for such corresponding month pursuant to Section 5.1(f) herein, together with a description of any material variances, in form and detail acceptable to the Agent, and (iv) ending December 31, 2023 and each month thereafter, a report setting forth in comparative form the corresponding figures for the budget together with a description of any material variances, delivered pursuant to Section 5.1(b) herein, for the most recently ended calendar month delivered to the Agent, all in reasonable detail and consistent in all material respects with the manner of presentation as set forth in the budget, in form and detail acceptable to the Agent.</w:t>
      </w:r>
    </w:p>
    <w:p>
      <w:pPr>
        <w:spacing w:after="0" w:line="171" w:lineRule="exact"/>
        <w:rPr>
          <w:rFonts w:ascii="Arial" w:cs="Arial" w:eastAsia="Arial" w:hAnsi="Arial"/>
          <w:sz w:val="16"/>
          <w:szCs w:val="16"/>
          <w:color w:val="auto"/>
        </w:rPr>
      </w:pPr>
    </w:p>
    <w:p>
      <w:pPr>
        <w:jc w:val="both"/>
        <w:ind w:firstLine="656"/>
        <w:spacing w:after="0" w:line="269" w:lineRule="auto"/>
        <w:tabs>
          <w:tab w:leader="none" w:pos="903" w:val="left"/>
        </w:tabs>
        <w:numPr>
          <w:ilvl w:val="0"/>
          <w:numId w:val="107"/>
        </w:numPr>
        <w:rPr>
          <w:rFonts w:ascii="Arial" w:cs="Arial" w:eastAsia="Arial" w:hAnsi="Arial"/>
          <w:sz w:val="17"/>
          <w:szCs w:val="17"/>
          <w:color w:val="auto"/>
        </w:rPr>
      </w:pPr>
      <w:r>
        <w:rPr>
          <w:rFonts w:ascii="Arial" w:cs="Arial" w:eastAsia="Arial" w:hAnsi="Arial"/>
          <w:sz w:val="17"/>
          <w:szCs w:val="17"/>
          <w:color w:val="auto"/>
        </w:rPr>
        <w:t xml:space="preserve">deliver to Agent and the Lenders, at any time that any Loan Party shall be required to file reports with the SEC pursuant to Section 13(a) or 15(d) of the Exchange Act, promptly upon its becoming available, one copy of each financial statement, report, notice or proxy statement sent by any such Person to stockholders generally, and, a copy of each annual, periodic or current report filed by any such Person with the SEC pursuant to such Sections, and any registration statement, or prospectus in respect thereof, filed by any such Person with any securities exchange or with federal or state securities and exchange commissions or any successor agency;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however, that nothing in this </w:t>
      </w:r>
      <w:r>
        <w:rPr>
          <w:rFonts w:ascii="Arial" w:cs="Arial" w:eastAsia="Arial" w:hAnsi="Arial"/>
          <w:sz w:val="17"/>
          <w:szCs w:val="17"/>
          <w:u w:val="single" w:color="auto"/>
          <w:color w:val="auto"/>
        </w:rPr>
        <w:t>Section 5.1(d)</w:t>
      </w:r>
      <w:r>
        <w:rPr>
          <w:rFonts w:ascii="Arial" w:cs="Arial" w:eastAsia="Arial" w:hAnsi="Arial"/>
          <w:sz w:val="17"/>
          <w:szCs w:val="17"/>
          <w:color w:val="auto"/>
        </w:rPr>
        <w:t xml:space="preserve"> shall require the Borrower or any of its Subsidiaries to make any filing under the Securities Act or the Exchange Act which the Borrower or its Subsidiaries are not otherwise obligated to make; provided further that any financial statements required to be delivered pursuant to this </w:t>
      </w:r>
      <w:r>
        <w:rPr>
          <w:rFonts w:ascii="Arial" w:cs="Arial" w:eastAsia="Arial" w:hAnsi="Arial"/>
          <w:sz w:val="17"/>
          <w:szCs w:val="17"/>
          <w:u w:val="single" w:color="auto"/>
          <w:color w:val="auto"/>
        </w:rPr>
        <w:t>Section 5.1(d)</w:t>
      </w:r>
      <w:r>
        <w:rPr>
          <w:rFonts w:ascii="Arial" w:cs="Arial" w:eastAsia="Arial" w:hAnsi="Arial"/>
          <w:sz w:val="17"/>
          <w:szCs w:val="17"/>
          <w:color w:val="auto"/>
        </w:rPr>
        <w:t xml:space="preserve"> or (to the extent any such documents are included in materials otherwise filed with the SEC) may be delivered electronically and if so delivered, shall be deemed to have been delivered on the date (x) on which the Borrower posts such documents, or provides a link thereto on the Borrower’s website; or (y) on which such documents are posted on the Borrower’s behalf on an Internet or intranet website, if any, to which each Lender has access (whether a commercial, third-party website or whether sponsored by the Agent); and</w:t>
      </w:r>
    </w:p>
    <w:p>
      <w:pPr>
        <w:spacing w:after="0" w:line="181" w:lineRule="exact"/>
        <w:rPr>
          <w:rFonts w:ascii="Arial" w:cs="Arial" w:eastAsia="Arial" w:hAnsi="Arial"/>
          <w:sz w:val="17"/>
          <w:szCs w:val="17"/>
          <w:color w:val="auto"/>
        </w:rPr>
      </w:pPr>
    </w:p>
    <w:p>
      <w:pPr>
        <w:jc w:val="both"/>
        <w:ind w:firstLine="656"/>
        <w:spacing w:after="0" w:line="263" w:lineRule="auto"/>
        <w:tabs>
          <w:tab w:leader="none" w:pos="906" w:val="left"/>
        </w:tabs>
        <w:numPr>
          <w:ilvl w:val="0"/>
          <w:numId w:val="107"/>
        </w:numPr>
        <w:rPr>
          <w:rFonts w:ascii="Arial" w:cs="Arial" w:eastAsia="Arial" w:hAnsi="Arial"/>
          <w:sz w:val="18"/>
          <w:szCs w:val="18"/>
          <w:color w:val="auto"/>
        </w:rPr>
      </w:pPr>
      <w:r>
        <w:rPr>
          <w:rFonts w:ascii="Arial" w:cs="Arial" w:eastAsia="Arial" w:hAnsi="Arial"/>
          <w:sz w:val="18"/>
          <w:szCs w:val="18"/>
          <w:color w:val="auto"/>
        </w:rPr>
        <w:t>deliver to Agent and to each Lender (solely to the extent such Lender has delivered written notice to Borrower that such Lender elects to receive material non-public information, which notice has not been rescinded by such Lender in writing), promptly, such additional information concerning Borrower, its business or its operations as Agent may from time to time reasonably request.</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20" w:type="dxa"/>
            <w:vAlign w:val="bottom"/>
            <w:tcBorders>
              <w:bottom w:val="single" w:sz="8" w:color="auto"/>
            </w:tcBorders>
          </w:tcPr>
          <w:p>
            <w:pPr>
              <w:jc w:val="right"/>
              <w:ind w:right="5350"/>
              <w:spacing w:after="0"/>
              <w:rPr>
                <w:sz w:val="20"/>
                <w:szCs w:val="20"/>
                <w:color w:val="auto"/>
              </w:rPr>
            </w:pPr>
            <w:r>
              <w:rPr>
                <w:rFonts w:ascii="Arial" w:cs="Arial" w:eastAsia="Arial" w:hAnsi="Arial"/>
                <w:sz w:val="18"/>
                <w:szCs w:val="18"/>
                <w:color w:val="auto"/>
              </w:rPr>
              <w:t>51</w:t>
            </w:r>
          </w:p>
        </w:tc>
      </w:tr>
    </w:tbl>
    <w:p>
      <w:pPr>
        <w:sectPr>
          <w:pgSz w:w="11900" w:h="16838" w:orient="portrait"/>
          <w:cols w:equalWidth="0" w:num="1">
            <w:col w:w="11240"/>
          </w:cols>
          <w:pgMar w:left="320" w:top="908" w:right="339" w:bottom="1440" w:gutter="0" w:footer="0" w:header="0"/>
        </w:sectPr>
      </w:pPr>
    </w:p>
    <w:bookmarkStart w:id="128" w:name="page129"/>
    <w:bookmarkEnd w:id="128"/>
    <w:p>
      <w:pPr>
        <w:jc w:val="both"/>
        <w:ind w:firstLine="656"/>
        <w:spacing w:after="0" w:line="263" w:lineRule="auto"/>
        <w:tabs>
          <w:tab w:leader="none" w:pos="886" w:val="left"/>
        </w:tabs>
        <w:numPr>
          <w:ilvl w:val="0"/>
          <w:numId w:val="108"/>
        </w:numPr>
        <w:rPr>
          <w:rFonts w:ascii="Arial" w:cs="Arial" w:eastAsia="Arial" w:hAnsi="Arial"/>
          <w:sz w:val="18"/>
          <w:szCs w:val="18"/>
          <w:color w:val="auto"/>
        </w:rPr>
      </w:pPr>
      <w:r>
        <w:rPr>
          <w:rFonts w:ascii="Arial" w:cs="Arial" w:eastAsia="Arial" w:hAnsi="Arial"/>
          <w:sz w:val="18"/>
          <w:szCs w:val="18"/>
          <w:color w:val="auto"/>
        </w:rPr>
        <w:t>Deliver to Agent as soon as available, but in any event before the end of each calendar month beginning with the calendar month ending October 31, 2023 and each month thereafter, a budget forecasting the Net Adjusted Decrease in Operating Cash for the immediately succeeding twelve consecutive month period beginning on the first day of the immediately succeeding calendar month.</w:t>
      </w:r>
    </w:p>
    <w:p>
      <w:pPr>
        <w:spacing w:after="0" w:line="183" w:lineRule="exact"/>
        <w:rPr>
          <w:rFonts w:ascii="Arial" w:cs="Arial" w:eastAsia="Arial" w:hAnsi="Arial"/>
          <w:sz w:val="18"/>
          <w:szCs w:val="18"/>
          <w:color w:val="auto"/>
        </w:rPr>
      </w:pPr>
    </w:p>
    <w:p>
      <w:pPr>
        <w:ind w:left="920" w:hanging="264"/>
        <w:spacing w:after="0"/>
        <w:tabs>
          <w:tab w:leader="none" w:pos="92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Borrower shall deliver each weekly progress report delivered to the Loan Parties by the Advisory Firm within one (1) Business Day of receipt.</w:t>
      </w:r>
    </w:p>
    <w:p>
      <w:pPr>
        <w:spacing w:after="0" w:line="248" w:lineRule="exact"/>
        <w:rPr>
          <w:rFonts w:ascii="Arial" w:cs="Arial" w:eastAsia="Arial" w:hAnsi="Arial"/>
          <w:sz w:val="16"/>
          <w:szCs w:val="16"/>
          <w:color w:val="auto"/>
        </w:rPr>
      </w:pPr>
    </w:p>
    <w:p>
      <w:pPr>
        <w:ind w:firstLine="656"/>
        <w:spacing w:after="0" w:line="277" w:lineRule="auto"/>
        <w:tabs>
          <w:tab w:leader="none" w:pos="93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Borrower shall deliver, by no later than Friday of each week, a report in form and detail reasonably acceptable to Agent, setting forth Borrower’s results in key performance metrics as reasonably requested by Agent from time to time.</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All financial statements delivered pursuant to this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shall be complete and correct in all material respects and shall be prepared in reasonable detail and in accordance with GAAP applied (except as approved by such accountants or officer, as the case may be, and disclosed in reasonable detail therein) consistently throughout the periods reflected therein and with prior periods.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5.2 Certificates; Reports; Other Information</w:t>
      </w:r>
      <w:r>
        <w:rPr>
          <w:rFonts w:ascii="Arial" w:cs="Arial" w:eastAsia="Arial" w:hAnsi="Arial"/>
          <w:sz w:val="18"/>
          <w:szCs w:val="18"/>
          <w:color w:val="auto"/>
        </w:rPr>
        <w:t>.</w:t>
      </w:r>
    </w:p>
    <w:p>
      <w:pPr>
        <w:spacing w:after="0" w:line="229" w:lineRule="exact"/>
        <w:rPr>
          <w:sz w:val="20"/>
          <w:szCs w:val="20"/>
          <w:color w:val="auto"/>
        </w:rPr>
      </w:pPr>
    </w:p>
    <w:p>
      <w:pPr>
        <w:jc w:val="both"/>
        <w:ind w:firstLine="656"/>
        <w:spacing w:after="0" w:line="301" w:lineRule="auto"/>
        <w:tabs>
          <w:tab w:leader="none" w:pos="894" w:val="left"/>
        </w:tabs>
        <w:numPr>
          <w:ilvl w:val="0"/>
          <w:numId w:val="109"/>
        </w:numPr>
        <w:rPr>
          <w:rFonts w:ascii="Arial" w:cs="Arial" w:eastAsia="Arial" w:hAnsi="Arial"/>
          <w:sz w:val="16"/>
          <w:szCs w:val="16"/>
          <w:color w:val="auto"/>
        </w:rPr>
      </w:pPr>
      <w:r>
        <w:rPr>
          <w:rFonts w:ascii="Arial" w:cs="Arial" w:eastAsia="Arial" w:hAnsi="Arial"/>
          <w:sz w:val="16"/>
          <w:szCs w:val="16"/>
          <w:color w:val="auto"/>
        </w:rPr>
        <w:t xml:space="preserve">Borrower shall deliver to Agent and to each Lender (solely to the extent such Lender has delivered written notice to Borrower that such Lender elects to receive material non-public information, which notice has not been rescinded by such Lender in writing), concurrently with the delivery of any financial statements pursuant to </w:t>
      </w:r>
      <w:r>
        <w:rPr>
          <w:rFonts w:ascii="Arial" w:cs="Arial" w:eastAsia="Arial" w:hAnsi="Arial"/>
          <w:sz w:val="16"/>
          <w:szCs w:val="16"/>
          <w:u w:val="single" w:color="auto"/>
          <w:color w:val="auto"/>
        </w:rPr>
        <w:t>Section 5.1</w:t>
      </w:r>
      <w:r>
        <w:rPr>
          <w:rFonts w:ascii="Arial" w:cs="Arial" w:eastAsia="Arial" w:hAnsi="Arial"/>
          <w:sz w:val="16"/>
          <w:szCs w:val="16"/>
          <w:color w:val="auto"/>
        </w:rPr>
        <w:t>, a Compliance Certificate, with detailed backup calculations reasonably acceptable to Agent, executed by a Responsible Officer of each Loan Party for the period ending as of the last day of the calendar month or Fiscal Year of the Loan Parties, as the case may be;</w:t>
      </w:r>
    </w:p>
    <w:p>
      <w:pPr>
        <w:spacing w:after="0" w:line="157" w:lineRule="exact"/>
        <w:rPr>
          <w:rFonts w:ascii="Arial" w:cs="Arial" w:eastAsia="Arial" w:hAnsi="Arial"/>
          <w:sz w:val="16"/>
          <w:szCs w:val="16"/>
          <w:color w:val="auto"/>
        </w:rPr>
      </w:pPr>
    </w:p>
    <w:p>
      <w:pPr>
        <w:jc w:val="both"/>
        <w:ind w:firstLine="656"/>
        <w:spacing w:after="0" w:line="263" w:lineRule="auto"/>
        <w:tabs>
          <w:tab w:leader="none" w:pos="93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Agent shall be provided, so long as the Agent has delivered written notice to Borrower that it elects to receive material non-public information, and such notice has not been rescinded by Agent by written notice to the Borrower, access and monitoring rights with respect to each Deposit Account (including, without limitation, for the avoidance of doubt, each Excluded Deposit Account) of a Loan Party;</w:t>
      </w:r>
    </w:p>
    <w:p>
      <w:pPr>
        <w:spacing w:after="0" w:line="183" w:lineRule="exact"/>
        <w:rPr>
          <w:rFonts w:ascii="Arial" w:cs="Arial" w:eastAsia="Arial" w:hAnsi="Arial"/>
          <w:sz w:val="18"/>
          <w:szCs w:val="18"/>
          <w:color w:val="auto"/>
        </w:rPr>
      </w:pPr>
    </w:p>
    <w:p>
      <w:pPr>
        <w:jc w:val="both"/>
        <w:ind w:firstLine="656"/>
        <w:spacing w:after="0" w:line="275" w:lineRule="auto"/>
        <w:tabs>
          <w:tab w:leader="none" w:pos="892" w:val="left"/>
        </w:tabs>
        <w:numPr>
          <w:ilvl w:val="0"/>
          <w:numId w:val="109"/>
        </w:numPr>
        <w:rPr>
          <w:rFonts w:ascii="Arial" w:cs="Arial" w:eastAsia="Arial" w:hAnsi="Arial"/>
          <w:sz w:val="17"/>
          <w:szCs w:val="17"/>
          <w:color w:val="auto"/>
        </w:rPr>
      </w:pPr>
      <w:r>
        <w:rPr>
          <w:rFonts w:ascii="Arial" w:cs="Arial" w:eastAsia="Arial" w:hAnsi="Arial"/>
          <w:sz w:val="17"/>
          <w:szCs w:val="17"/>
          <w:color w:val="auto"/>
        </w:rPr>
        <w:t>The Loan Parties shall promptly (and in any event within three (3) Business Days following receipt thereof), deliver to Agent (so long as the Agent has delivered written notice to Borrower that it elects to receive material non-public information, and such notice has not been rescinded by Agent by written notice to the Borrower) and to each Lender (solely to the extent such Lender has delivered written notice to Borrower that such Lender elects to receive material non-public information, which notice has not been rescinded by such Lender in writing), copies of all notices and other material communications from or with the SEC or any other Official Body with respect to the SPAC Transaction;</w:t>
      </w:r>
    </w:p>
    <w:p>
      <w:pPr>
        <w:spacing w:after="0" w:line="176" w:lineRule="exact"/>
        <w:rPr>
          <w:rFonts w:ascii="Arial" w:cs="Arial" w:eastAsia="Arial" w:hAnsi="Arial"/>
          <w:sz w:val="17"/>
          <w:szCs w:val="17"/>
          <w:color w:val="auto"/>
        </w:rPr>
      </w:pPr>
    </w:p>
    <w:p>
      <w:pPr>
        <w:jc w:val="both"/>
        <w:ind w:firstLine="656"/>
        <w:spacing w:after="0" w:line="254" w:lineRule="auto"/>
        <w:tabs>
          <w:tab w:leader="none" w:pos="932"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Loan Parties shall promptly upon receipt or delivery thereof deliver to Agent (so long as the Agent has delivered written notice to Borrower that it elects to receive material non-public information, and such notice has not been rescinded by Agent by written notice to the Borrower) and to each Lender (solely to the extent such Lender has delivered written notice to Borrower that such Lender elects to receive material non-public information, which notice has not been rescinded by such Lender in writing), copies of any correspondence with the lender of any PPP Loan, the U.S. Small Business Administration or any other applicable Official Body with respect to such PPP Loan (including any notices of defaults thereunder, any requirement of Loan Party or any affiliate or any shareholder, member or partner of any of the foregoing to make any payment on such PPP Loan and the forgiveness of all or any portion of such PPP Loan, any notice of investigation, request for information or similar communication regarding such PPP Loan, including the incurrence, use, forgiveness thereof);</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20" w:type="dxa"/>
            <w:vAlign w:val="bottom"/>
            <w:tcBorders>
              <w:bottom w:val="single" w:sz="8" w:color="auto"/>
            </w:tcBorders>
          </w:tcPr>
          <w:p>
            <w:pPr>
              <w:jc w:val="right"/>
              <w:ind w:right="5350"/>
              <w:spacing w:after="0"/>
              <w:rPr>
                <w:sz w:val="20"/>
                <w:szCs w:val="20"/>
                <w:color w:val="auto"/>
              </w:rPr>
            </w:pPr>
            <w:r>
              <w:rPr>
                <w:rFonts w:ascii="Arial" w:cs="Arial" w:eastAsia="Arial" w:hAnsi="Arial"/>
                <w:sz w:val="18"/>
                <w:szCs w:val="18"/>
                <w:color w:val="auto"/>
              </w:rPr>
              <w:t>52</w:t>
            </w:r>
          </w:p>
        </w:tc>
      </w:tr>
    </w:tbl>
    <w:p>
      <w:pPr>
        <w:sectPr>
          <w:pgSz w:w="11900" w:h="16838" w:orient="portrait"/>
          <w:cols w:equalWidth="0" w:num="1">
            <w:col w:w="11240"/>
          </w:cols>
          <w:pgMar w:left="320" w:top="908" w:right="339" w:bottom="1440" w:gutter="0" w:footer="0" w:header="0"/>
        </w:sectPr>
      </w:pPr>
    </w:p>
    <w:bookmarkStart w:id="129" w:name="page130"/>
    <w:bookmarkEnd w:id="129"/>
    <w:p>
      <w:pPr>
        <w:ind w:left="900" w:hanging="244"/>
        <w:spacing w:after="0"/>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right="20" w:firstLine="656"/>
        <w:spacing w:after="0" w:line="277" w:lineRule="auto"/>
        <w:tabs>
          <w:tab w:leader="none" w:pos="886" w:val="left"/>
        </w:tabs>
        <w:numPr>
          <w:ilvl w:val="0"/>
          <w:numId w:val="110"/>
        </w:numPr>
        <w:rPr>
          <w:rFonts w:ascii="Arial" w:cs="Arial" w:eastAsia="Arial" w:hAnsi="Arial"/>
          <w:sz w:val="18"/>
          <w:szCs w:val="18"/>
          <w:color w:val="auto"/>
        </w:rPr>
      </w:pPr>
      <w:r>
        <w:rPr>
          <w:rFonts w:ascii="Arial" w:cs="Arial" w:eastAsia="Arial" w:hAnsi="Arial"/>
          <w:sz w:val="18"/>
          <w:szCs w:val="18"/>
          <w:color w:val="auto"/>
        </w:rPr>
        <w:t>Borrower shall make key members of management available to Agent upon Agent’s reasonable written request (which, for the avoidance of doubt, may be by electronic mail) to discuss the financial status and performance of Borrower’s business; and</w:t>
      </w:r>
    </w:p>
    <w:p>
      <w:pPr>
        <w:spacing w:after="0" w:line="170" w:lineRule="exact"/>
        <w:rPr>
          <w:rFonts w:ascii="Arial" w:cs="Arial" w:eastAsia="Arial" w:hAnsi="Arial"/>
          <w:sz w:val="18"/>
          <w:szCs w:val="18"/>
          <w:color w:val="auto"/>
        </w:rPr>
      </w:pPr>
    </w:p>
    <w:p>
      <w:pPr>
        <w:jc w:val="both"/>
        <w:ind w:firstLine="656"/>
        <w:spacing w:after="0" w:line="286" w:lineRule="auto"/>
        <w:tabs>
          <w:tab w:leader="none" w:pos="903" w:val="left"/>
        </w:tabs>
        <w:numPr>
          <w:ilvl w:val="0"/>
          <w:numId w:val="110"/>
        </w:numPr>
        <w:rPr>
          <w:rFonts w:ascii="Arial" w:cs="Arial" w:eastAsia="Arial" w:hAnsi="Arial"/>
          <w:sz w:val="17"/>
          <w:szCs w:val="17"/>
          <w:color w:val="auto"/>
        </w:rPr>
      </w:pPr>
      <w:r>
        <w:rPr>
          <w:rFonts w:ascii="Arial" w:cs="Arial" w:eastAsia="Arial" w:hAnsi="Arial"/>
          <w:sz w:val="17"/>
          <w:szCs w:val="17"/>
          <w:color w:val="auto"/>
        </w:rPr>
        <w:t>The Loan Parties shall promptly deliver to Agent and to each Lender (solely to the extent such Lender has delivered written notice to Borrower that such Lender elects to receive material non-public information, which notice has not been rescinded by such Lender in writing), such additional information concerning any Loan Party, its business or its operations as Agent may from time to time reasonably request</w:t>
      </w:r>
    </w:p>
    <w:p>
      <w:pPr>
        <w:spacing w:after="0" w:line="161"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b w:val="1"/>
          <w:bCs w:val="1"/>
          <w:color w:val="auto"/>
        </w:rPr>
        <w:t>5.3 Payment of Obligations</w:t>
      </w:r>
      <w:r>
        <w:rPr>
          <w:rFonts w:ascii="Arial" w:cs="Arial" w:eastAsia="Arial" w:hAnsi="Arial"/>
          <w:sz w:val="16"/>
          <w:szCs w:val="16"/>
          <w:color w:val="auto"/>
        </w:rPr>
        <w:t>. Each Loan Party shall pay, discharge or otherwise satisfy at or before maturity or before they become delinquent, as</w:t>
      </w:r>
      <w:r>
        <w:rPr>
          <w:rFonts w:ascii="Arial" w:cs="Arial" w:eastAsia="Arial" w:hAnsi="Arial"/>
          <w:sz w:val="16"/>
          <w:szCs w:val="16"/>
          <w:b w:val="1"/>
          <w:bCs w:val="1"/>
          <w:color w:val="auto"/>
        </w:rPr>
        <w:t xml:space="preserve"> </w:t>
      </w:r>
      <w:r>
        <w:rPr>
          <w:rFonts w:ascii="Arial" w:cs="Arial" w:eastAsia="Arial" w:hAnsi="Arial"/>
          <w:sz w:val="16"/>
          <w:szCs w:val="16"/>
          <w:color w:val="auto"/>
        </w:rPr>
        <w:t>the case may be, all its material obligations of whatever nature, except where the amount or validity thereof is currently being contested in good faith by appropriate proceedings and reserves in conformity with GAAP with respect thereto have been provided on the books of Borrower.</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5.4 Maintenance of Existence; Compliance with Requirements of Law</w:t>
      </w:r>
      <w:r>
        <w:rPr>
          <w:rFonts w:ascii="Arial" w:cs="Arial" w:eastAsia="Arial" w:hAnsi="Arial"/>
          <w:sz w:val="18"/>
          <w:szCs w:val="18"/>
          <w:color w:val="auto"/>
        </w:rPr>
        <w:t>. Each Loan Party shall:</w:t>
      </w:r>
    </w:p>
    <w:p>
      <w:pPr>
        <w:spacing w:after="0" w:line="229" w:lineRule="exact"/>
        <w:rPr>
          <w:sz w:val="20"/>
          <w:szCs w:val="20"/>
          <w:color w:val="auto"/>
        </w:rPr>
      </w:pPr>
    </w:p>
    <w:p>
      <w:pPr>
        <w:jc w:val="both"/>
        <w:ind w:firstLine="656"/>
        <w:spacing w:after="0" w:line="263" w:lineRule="auto"/>
        <w:tabs>
          <w:tab w:leader="none" w:pos="906"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 Preserve, renew and keep in full force and effect its organizational existence and (ii) take all reasonable action to maintain or obtain all Governmental Approvals and all other rights, privileges and franchises necessary or desirable in the normal conduct of its business, except, in the case of clause (ii) above, to the extent that failure to do so could not reasonably be expected to have a Material Adverse Effect.</w:t>
      </w:r>
    </w:p>
    <w:p>
      <w:pPr>
        <w:spacing w:after="0" w:line="183" w:lineRule="exact"/>
        <w:rPr>
          <w:rFonts w:ascii="Arial" w:cs="Arial" w:eastAsia="Arial" w:hAnsi="Arial"/>
          <w:sz w:val="18"/>
          <w:szCs w:val="18"/>
          <w:color w:val="auto"/>
        </w:rPr>
      </w:pPr>
    </w:p>
    <w:p>
      <w:pPr>
        <w:ind w:firstLine="656"/>
        <w:spacing w:after="0" w:line="277" w:lineRule="auto"/>
        <w:tabs>
          <w:tab w:leader="none" w:pos="903" w:val="left"/>
        </w:tabs>
        <w:numPr>
          <w:ilvl w:val="0"/>
          <w:numId w:val="111"/>
        </w:numPr>
        <w:rPr>
          <w:rFonts w:ascii="Arial" w:cs="Arial" w:eastAsia="Arial" w:hAnsi="Arial"/>
          <w:sz w:val="18"/>
          <w:szCs w:val="18"/>
          <w:color w:val="auto"/>
        </w:rPr>
      </w:pPr>
      <w:r>
        <w:rPr>
          <w:rFonts w:ascii="Arial" w:cs="Arial" w:eastAsia="Arial" w:hAnsi="Arial"/>
          <w:sz w:val="18"/>
          <w:szCs w:val="18"/>
          <w:color w:val="auto"/>
        </w:rPr>
        <w:t>Comply with all Requirements of Law in all material respects and all Contractual Obligations except as would not be expected to result in a Material Adverse Effect.</w:t>
      </w:r>
    </w:p>
    <w:p>
      <w:pPr>
        <w:spacing w:after="0" w:line="170" w:lineRule="exact"/>
        <w:rPr>
          <w:rFonts w:ascii="Arial" w:cs="Arial" w:eastAsia="Arial" w:hAnsi="Arial"/>
          <w:sz w:val="18"/>
          <w:szCs w:val="18"/>
          <w:color w:val="auto"/>
        </w:rPr>
      </w:pPr>
    </w:p>
    <w:p>
      <w:pPr>
        <w:jc w:val="both"/>
        <w:ind w:firstLine="656"/>
        <w:spacing w:after="0" w:line="259" w:lineRule="auto"/>
        <w:tabs>
          <w:tab w:leader="none" w:pos="906" w:val="left"/>
        </w:tabs>
        <w:numPr>
          <w:ilvl w:val="0"/>
          <w:numId w:val="111"/>
        </w:numPr>
        <w:rPr>
          <w:rFonts w:ascii="Arial" w:cs="Arial" w:eastAsia="Arial" w:hAnsi="Arial"/>
          <w:sz w:val="18"/>
          <w:szCs w:val="18"/>
          <w:color w:val="auto"/>
        </w:rPr>
      </w:pPr>
      <w:r>
        <w:rPr>
          <w:rFonts w:ascii="Arial" w:cs="Arial" w:eastAsia="Arial" w:hAnsi="Arial"/>
          <w:sz w:val="18"/>
          <w:szCs w:val="18"/>
          <w:color w:val="auto"/>
        </w:rPr>
        <w:t>Pay all amounts necessary to fund all present pension, profit sharing and deferred compensation plans in accordance with their terms and maintain each “employee benefit plan” (within the meaning of Section 3(3) of ERISA, whether or not subject to ERISA) that is sponsored, contributed to or required to be contributed to by the Borrower, Parent or their respective ERISA Affiliates in compliance in all material respects with the applicable provisions of ERISA, the Code or other Federal or state law.</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20" w:type="dxa"/>
            <w:vAlign w:val="bottom"/>
            <w:tcBorders>
              <w:bottom w:val="single" w:sz="8" w:color="auto"/>
            </w:tcBorders>
          </w:tcPr>
          <w:p>
            <w:pPr>
              <w:jc w:val="right"/>
              <w:ind w:right="5350"/>
              <w:spacing w:after="0"/>
              <w:rPr>
                <w:sz w:val="20"/>
                <w:szCs w:val="20"/>
                <w:color w:val="auto"/>
              </w:rPr>
            </w:pPr>
            <w:r>
              <w:rPr>
                <w:rFonts w:ascii="Arial" w:cs="Arial" w:eastAsia="Arial" w:hAnsi="Arial"/>
                <w:sz w:val="18"/>
                <w:szCs w:val="18"/>
                <w:color w:val="auto"/>
              </w:rPr>
              <w:t>53</w:t>
            </w:r>
          </w:p>
        </w:tc>
      </w:tr>
    </w:tbl>
    <w:p>
      <w:pPr>
        <w:sectPr>
          <w:pgSz w:w="11900" w:h="16838" w:orient="portrait"/>
          <w:cols w:equalWidth="0" w:num="1">
            <w:col w:w="11240"/>
          </w:cols>
          <w:pgMar w:left="320" w:top="908" w:right="339" w:bottom="1440" w:gutter="0" w:footer="0" w:header="0"/>
        </w:sectPr>
      </w:pPr>
    </w:p>
    <w:bookmarkStart w:id="130" w:name="page131"/>
    <w:bookmarkEnd w:id="130"/>
    <w:p>
      <w:pPr>
        <w:ind w:left="660"/>
        <w:spacing w:after="0"/>
        <w:rPr>
          <w:sz w:val="20"/>
          <w:szCs w:val="20"/>
          <w:color w:val="auto"/>
        </w:rPr>
      </w:pPr>
      <w:r>
        <w:rPr>
          <w:rFonts w:ascii="Arial" w:cs="Arial" w:eastAsia="Arial" w:hAnsi="Arial"/>
          <w:sz w:val="18"/>
          <w:szCs w:val="18"/>
          <w:b w:val="1"/>
          <w:bCs w:val="1"/>
          <w:color w:val="auto"/>
        </w:rPr>
        <w:t>5.5 Maintenance of Property; Insurance</w:t>
      </w:r>
      <w:r>
        <w:rPr>
          <w:rFonts w:ascii="Arial" w:cs="Arial" w:eastAsia="Arial" w:hAnsi="Arial"/>
          <w:sz w:val="18"/>
          <w:szCs w:val="18"/>
          <w:color w:val="auto"/>
        </w:rPr>
        <w:t>.</w:t>
      </w:r>
    </w:p>
    <w:p>
      <w:pPr>
        <w:spacing w:after="0" w:line="229" w:lineRule="exact"/>
        <w:rPr>
          <w:sz w:val="20"/>
          <w:szCs w:val="20"/>
          <w:color w:val="auto"/>
        </w:rPr>
      </w:pPr>
    </w:p>
    <w:p>
      <w:pPr>
        <w:ind w:left="920" w:hanging="264"/>
        <w:spacing w:after="0"/>
        <w:tabs>
          <w:tab w:leader="none" w:pos="92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Each Loan Party shall keep all property useful and necessary in its business in good working order and condition, ordinary wear and tear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excepted,</w:t>
      </w:r>
    </w:p>
    <w:p>
      <w:pPr>
        <w:spacing w:after="0" w:line="210" w:lineRule="exact"/>
        <w:rPr>
          <w:rFonts w:ascii="Arial" w:cs="Arial" w:eastAsia="Arial" w:hAnsi="Arial"/>
          <w:sz w:val="17"/>
          <w:szCs w:val="17"/>
          <w:color w:val="auto"/>
        </w:rPr>
      </w:pPr>
    </w:p>
    <w:p>
      <w:pPr>
        <w:jc w:val="both"/>
        <w:ind w:firstLine="656"/>
        <w:spacing w:after="0" w:line="286" w:lineRule="auto"/>
        <w:tabs>
          <w:tab w:leader="none" w:pos="903" w:val="left"/>
        </w:tabs>
        <w:numPr>
          <w:ilvl w:val="0"/>
          <w:numId w:val="112"/>
        </w:numPr>
        <w:rPr>
          <w:rFonts w:ascii="Arial" w:cs="Arial" w:eastAsia="Arial" w:hAnsi="Arial"/>
          <w:sz w:val="16"/>
          <w:szCs w:val="16"/>
          <w:color w:val="auto"/>
        </w:rPr>
      </w:pPr>
      <w:r>
        <w:rPr>
          <w:rFonts w:ascii="Arial" w:cs="Arial" w:eastAsia="Arial" w:hAnsi="Arial"/>
          <w:sz w:val="16"/>
          <w:szCs w:val="16"/>
          <w:color w:val="auto"/>
        </w:rPr>
        <w:t xml:space="preserve">Each Loan Party shall (i) maintain with financially sound and reputable insurance companies insurance on all its property and against at least such risks and, in any case, in at least such amounts as are usually insured against by companies engaged in the same or a similar business as determined by Agent from time to time in its Permitted Discretion, and (ii) subject to </w:t>
      </w:r>
      <w:r>
        <w:rPr>
          <w:rFonts w:ascii="Arial" w:cs="Arial" w:eastAsia="Arial" w:hAnsi="Arial"/>
          <w:sz w:val="16"/>
          <w:szCs w:val="16"/>
          <w:u w:val="single" w:color="auto"/>
          <w:color w:val="auto"/>
        </w:rPr>
        <w:t>Section 5.13</w:t>
      </w:r>
      <w:r>
        <w:rPr>
          <w:rFonts w:ascii="Arial" w:cs="Arial" w:eastAsia="Arial" w:hAnsi="Arial"/>
          <w:sz w:val="16"/>
          <w:szCs w:val="16"/>
          <w:color w:val="auto"/>
        </w:rPr>
        <w:t xml:space="preserve">, cause each issuer of any insurance policy to list each Loan Party and its Subsidiaries as primary insured and provide Agent with an endorsement (x) showing Agent as “lender loss payee” or “Lender loss payable” with respect to each policy of property or casualty insurance and naming Agent as “additional insured” with respect to each policy of liability insurance, as applicable, as its interests may appear, and (y) containing (A) a clause requiring the insurer to give not less than ten (10) days’ prior written notice to Agent, as applicable, in the event of cancellation of the policy for nonpayment of premium and not less than thirty (30) days’ prior written notice to Agent in the event of cancellation of the policy for any other reason whatsoever and (B) a clause specifying that the interest of Agent, as applicable, shall not be impaired or invalidated by any act or neglect of any Loan Party, any of their Subsidiaries or the owner of any property or by the occupation of the premises for purposes more hazardous than are permitted by such policy and (z) reasonably acceptable in all other respects to Agent. All proceeds of business interruption insurance (if any) of the Loan Parties shall be remitted to Agent for application to the outstanding balance of the Term Loan, subject to </w:t>
      </w:r>
      <w:r>
        <w:rPr>
          <w:rFonts w:ascii="Arial" w:cs="Arial" w:eastAsia="Arial" w:hAnsi="Arial"/>
          <w:sz w:val="16"/>
          <w:szCs w:val="16"/>
          <w:u w:val="single" w:color="auto"/>
          <w:color w:val="auto"/>
        </w:rPr>
        <w:t>Section 2.1(c)</w:t>
      </w:r>
      <w:r>
        <w:rPr>
          <w:rFonts w:ascii="Arial" w:cs="Arial" w:eastAsia="Arial" w:hAnsi="Arial"/>
          <w:sz w:val="16"/>
          <w:szCs w:val="16"/>
          <w:color w:val="auto"/>
        </w:rPr>
        <w:t>. If any improvements located upon any property are located in an area identified by the Federal Emergency Management Agency as an area having special flood hazards and in which flood insurance has been made available under the National Flood Insurance Act of 1968 (or any amendment or successor act thereto), then the applicable Loan Party shall maintain, or cause to be maintained, with a financially sound and reputable insurer, flood insurance in an amount sufficient to comply with all applicable rules and regulations promulgated pursuant to such Act.</w:t>
      </w:r>
    </w:p>
    <w:p>
      <w:pPr>
        <w:spacing w:after="0" w:line="167" w:lineRule="exact"/>
        <w:rPr>
          <w:rFonts w:ascii="Arial" w:cs="Arial" w:eastAsia="Arial" w:hAnsi="Arial"/>
          <w:sz w:val="16"/>
          <w:szCs w:val="16"/>
          <w:color w:val="auto"/>
        </w:rPr>
      </w:pPr>
    </w:p>
    <w:p>
      <w:pPr>
        <w:ind w:firstLine="656"/>
        <w:spacing w:after="0" w:line="277" w:lineRule="auto"/>
        <w:tabs>
          <w:tab w:leader="none" w:pos="892" w:val="left"/>
        </w:tabs>
        <w:numPr>
          <w:ilvl w:val="0"/>
          <w:numId w:val="112"/>
        </w:numPr>
        <w:rPr>
          <w:rFonts w:ascii="Arial" w:cs="Arial" w:eastAsia="Arial" w:hAnsi="Arial"/>
          <w:sz w:val="18"/>
          <w:szCs w:val="18"/>
          <w:color w:val="auto"/>
        </w:rPr>
      </w:pPr>
      <w:r>
        <w:rPr>
          <w:rFonts w:ascii="Arial" w:cs="Arial" w:eastAsia="Arial" w:hAnsi="Arial"/>
          <w:sz w:val="18"/>
          <w:szCs w:val="18"/>
          <w:color w:val="auto"/>
        </w:rPr>
        <w:t xml:space="preserve">In addition to the foregoing clause (b), Borrower shall satisfy any other insurance requirements as Agent may reasonably require pursuant to any insurance diligence report delivered pursuant to </w:t>
      </w:r>
      <w:r>
        <w:rPr>
          <w:rFonts w:ascii="Arial" w:cs="Arial" w:eastAsia="Arial" w:hAnsi="Arial"/>
          <w:sz w:val="18"/>
          <w:szCs w:val="18"/>
          <w:u w:val="single" w:color="auto"/>
          <w:color w:val="auto"/>
        </w:rPr>
        <w:t>Section 5.5(d)</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firstLine="656"/>
        <w:spacing w:after="0" w:line="259" w:lineRule="auto"/>
        <w:tabs>
          <w:tab w:leader="none" w:pos="916"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At reasonable times and upon reasonable notice (provided that no notice is required if an Event of Default has occurred and is continuing), Agent or its agents, shall have the right to conduct a review of the Borrowers’ insurance coverage at the Loan Parties’ expense; provided that, so long as an Event of Default has not occurred and is continuing, in any Fiscal Year, the Loan Parties only shall be responsible for the costs and expenses of one (1) review.</w:t>
      </w:r>
    </w:p>
    <w:p>
      <w:pPr>
        <w:spacing w:after="0" w:line="186" w:lineRule="exact"/>
        <w:rPr>
          <w:rFonts w:ascii="Arial" w:cs="Arial" w:eastAsia="Arial" w:hAnsi="Arial"/>
          <w:sz w:val="18"/>
          <w:szCs w:val="18"/>
          <w:color w:val="auto"/>
        </w:rPr>
      </w:pPr>
    </w:p>
    <w:p>
      <w:pPr>
        <w:jc w:val="both"/>
        <w:ind w:firstLine="656"/>
        <w:spacing w:after="0" w:line="255" w:lineRule="auto"/>
        <w:tabs>
          <w:tab w:leader="none" w:pos="906" w:val="left"/>
        </w:tabs>
        <w:numPr>
          <w:ilvl w:val="0"/>
          <w:numId w:val="112"/>
        </w:numPr>
        <w:rPr>
          <w:rFonts w:ascii="Arial" w:cs="Arial" w:eastAsia="Arial" w:hAnsi="Arial"/>
          <w:sz w:val="18"/>
          <w:szCs w:val="18"/>
          <w:color w:val="auto"/>
        </w:rPr>
      </w:pPr>
      <w:r>
        <w:rPr>
          <w:rFonts w:ascii="Arial" w:cs="Arial" w:eastAsia="Arial" w:hAnsi="Arial"/>
          <w:sz w:val="18"/>
          <w:szCs w:val="18"/>
          <w:color w:val="auto"/>
        </w:rPr>
        <w:t xml:space="preserve">Notwithstanding anything in this Agreement to the contrary, if at any time Agent is not in receipt of written evidence that all policies of insurance required under this </w:t>
      </w:r>
      <w:r>
        <w:rPr>
          <w:rFonts w:ascii="Arial" w:cs="Arial" w:eastAsia="Arial" w:hAnsi="Arial"/>
          <w:sz w:val="18"/>
          <w:szCs w:val="18"/>
          <w:u w:val="single" w:color="auto"/>
          <w:color w:val="auto"/>
        </w:rPr>
        <w:t>Section 5.5</w:t>
      </w:r>
      <w:r>
        <w:rPr>
          <w:rFonts w:ascii="Arial" w:cs="Arial" w:eastAsia="Arial" w:hAnsi="Arial"/>
          <w:sz w:val="18"/>
          <w:szCs w:val="18"/>
          <w:color w:val="auto"/>
        </w:rPr>
        <w:t xml:space="preserve"> are in full force and effect, Agent shall have the right, without written notice to Borrower, to take such action as Agent deems necessary to protect its interest in the Collateral, including the obtaining of such insurance coverage as Agent in its reasonable discretion deems appropriate; all premiums incurred by Agent in connection with such action or in obtaining such insurance and keeping it in effect shall be paid by Borrower to Agent upon demand and, until paid, shall constitute “Obligations” hereunder, shall be secured by the Security Documents and shall bear interest at the Interest Rate plus the Default Rate.</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20" w:type="dxa"/>
            <w:vAlign w:val="bottom"/>
            <w:tcBorders>
              <w:bottom w:val="single" w:sz="8" w:color="auto"/>
            </w:tcBorders>
          </w:tcPr>
          <w:p>
            <w:pPr>
              <w:jc w:val="right"/>
              <w:ind w:right="5350"/>
              <w:spacing w:after="0"/>
              <w:rPr>
                <w:sz w:val="20"/>
                <w:szCs w:val="20"/>
                <w:color w:val="auto"/>
              </w:rPr>
            </w:pPr>
            <w:r>
              <w:rPr>
                <w:rFonts w:ascii="Arial" w:cs="Arial" w:eastAsia="Arial" w:hAnsi="Arial"/>
                <w:sz w:val="18"/>
                <w:szCs w:val="18"/>
                <w:color w:val="auto"/>
              </w:rPr>
              <w:t>54</w:t>
            </w:r>
          </w:p>
        </w:tc>
      </w:tr>
    </w:tbl>
    <w:p>
      <w:pPr>
        <w:sectPr>
          <w:pgSz w:w="11900" w:h="16838" w:orient="portrait"/>
          <w:cols w:equalWidth="0" w:num="1">
            <w:col w:w="11240"/>
          </w:cols>
          <w:pgMar w:left="320" w:top="904" w:right="339" w:bottom="1440" w:gutter="0" w:footer="0" w:header="0"/>
        </w:sectPr>
      </w:pPr>
    </w:p>
    <w:bookmarkStart w:id="131" w:name="page132"/>
    <w:bookmarkEnd w:id="131"/>
    <w:p>
      <w:pPr>
        <w:jc w:val="both"/>
        <w:ind w:firstLine="648"/>
        <w:spacing w:after="0" w:line="273" w:lineRule="auto"/>
        <w:rPr>
          <w:sz w:val="20"/>
          <w:szCs w:val="20"/>
          <w:color w:val="auto"/>
        </w:rPr>
      </w:pPr>
      <w:r>
        <w:rPr>
          <w:rFonts w:ascii="Arial" w:cs="Arial" w:eastAsia="Arial" w:hAnsi="Arial"/>
          <w:sz w:val="17"/>
          <w:szCs w:val="17"/>
          <w:b w:val="1"/>
          <w:bCs w:val="1"/>
          <w:color w:val="auto"/>
        </w:rPr>
        <w:t>5.6 Inspection of Property; Books and Records; Discussions</w:t>
      </w:r>
      <w:r>
        <w:rPr>
          <w:rFonts w:ascii="Arial" w:cs="Arial" w:eastAsia="Arial" w:hAnsi="Arial"/>
          <w:sz w:val="17"/>
          <w:szCs w:val="17"/>
          <w:color w:val="auto"/>
        </w:rPr>
        <w:t>. Each Loan Party shall (a) keep proper books of records and account in which full,</w:t>
      </w:r>
      <w:r>
        <w:rPr>
          <w:rFonts w:ascii="Arial" w:cs="Arial" w:eastAsia="Arial" w:hAnsi="Arial"/>
          <w:sz w:val="17"/>
          <w:szCs w:val="17"/>
          <w:b w:val="1"/>
          <w:bCs w:val="1"/>
          <w:color w:val="auto"/>
        </w:rPr>
        <w:t xml:space="preserve"> </w:t>
      </w:r>
      <w:r>
        <w:rPr>
          <w:rFonts w:ascii="Arial" w:cs="Arial" w:eastAsia="Arial" w:hAnsi="Arial"/>
          <w:sz w:val="17"/>
          <w:szCs w:val="17"/>
          <w:color w:val="auto"/>
        </w:rPr>
        <w:t>true and correct entries in conformity with GAAP and all Requirements of Law shall be made of all dealings and transactions in relation to its business and activities and (b) permit representatives and independent contractors of Agent and any Lender to visit, inspect and audit any of its properties and examine and make abstracts from any of its books and records at any reasonable time and as often as may reasonably be desired and to discuss the business, operations, properties and financial and other condition of the Loan Parties with officers, directors and employees of Loan Parties and with its independent certified public accountants; provided, so long as an Event of Default has not occurred and is continuing, the Loan Parties shall not be responsible for the costs and expenses of more than two (2) inspections or audits in any Fiscal Year.</w:t>
      </w:r>
    </w:p>
    <w:p>
      <w:pPr>
        <w:spacing w:after="0" w:line="17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5.7 Notices</w:t>
      </w:r>
      <w:r>
        <w:rPr>
          <w:rFonts w:ascii="Arial" w:cs="Arial" w:eastAsia="Arial" w:hAnsi="Arial"/>
          <w:sz w:val="18"/>
          <w:szCs w:val="18"/>
          <w:color w:val="auto"/>
        </w:rPr>
        <w:t>. Each Loan Party shall give prompt written notice (and in no event later than five (5) Business Days (or with respect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Sections 5.7(a)</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w:t>
      </w:r>
      <w:r>
        <w:rPr>
          <w:rFonts w:ascii="Arial" w:cs="Arial" w:eastAsia="Arial" w:hAnsi="Arial"/>
          <w:sz w:val="18"/>
          <w:szCs w:val="18"/>
          <w:u w:val="single" w:color="auto"/>
          <w:color w:val="auto"/>
        </w:rPr>
        <w:t>(h)</w:t>
      </w:r>
      <w:r>
        <w:rPr>
          <w:rFonts w:ascii="Arial" w:cs="Arial" w:eastAsia="Arial" w:hAnsi="Arial"/>
          <w:sz w:val="18"/>
          <w:szCs w:val="18"/>
          <w:color w:val="auto"/>
        </w:rPr>
        <w:t xml:space="preserve"> below, two (2) Business Days) after such Loan Party knows or should have known of such events) to Agent and to each Lender (solely to the extent such Lender has delivered written notice to Borrower that such Lender elects to receive material non-public information, which notice has not been rescinded by such Lender in writing) of:</w:t>
      </w:r>
    </w:p>
    <w:p>
      <w:pPr>
        <w:spacing w:after="0" w:line="184" w:lineRule="exact"/>
        <w:rPr>
          <w:sz w:val="20"/>
          <w:szCs w:val="20"/>
          <w:color w:val="auto"/>
        </w:rPr>
      </w:pPr>
    </w:p>
    <w:p>
      <w:pPr>
        <w:ind w:right="20" w:firstLine="656"/>
        <w:spacing w:after="0" w:line="277" w:lineRule="auto"/>
        <w:tabs>
          <w:tab w:leader="none" w:pos="892"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occurrence of any Default or Event of Default together with a written statement of a Responsible Officer of such Loan Party setting forth the details of such event and the action the Loan Parties propose to take with respect thereto;</w:t>
      </w:r>
    </w:p>
    <w:p>
      <w:pPr>
        <w:spacing w:after="0" w:line="170" w:lineRule="exact"/>
        <w:rPr>
          <w:rFonts w:ascii="Arial" w:cs="Arial" w:eastAsia="Arial" w:hAnsi="Arial"/>
          <w:sz w:val="18"/>
          <w:szCs w:val="18"/>
          <w:color w:val="auto"/>
        </w:rPr>
      </w:pPr>
    </w:p>
    <w:p>
      <w:pPr>
        <w:jc w:val="both"/>
        <w:ind w:firstLine="656"/>
        <w:spacing w:after="0" w:line="301" w:lineRule="auto"/>
        <w:tabs>
          <w:tab w:leader="none" w:pos="916" w:val="left"/>
        </w:tabs>
        <w:numPr>
          <w:ilvl w:val="0"/>
          <w:numId w:val="113"/>
        </w:numPr>
        <w:rPr>
          <w:rFonts w:ascii="Arial" w:cs="Arial" w:eastAsia="Arial" w:hAnsi="Arial"/>
          <w:sz w:val="16"/>
          <w:szCs w:val="16"/>
          <w:color w:val="auto"/>
        </w:rPr>
      </w:pPr>
      <w:r>
        <w:rPr>
          <w:rFonts w:ascii="Arial" w:cs="Arial" w:eastAsia="Arial" w:hAnsi="Arial"/>
          <w:sz w:val="16"/>
          <w:szCs w:val="16"/>
          <w:color w:val="auto"/>
        </w:rPr>
        <w:t>any (i) default or event of default under any Material Contract, the Nirvana Debt, or any Subordinated Indebtedness, (ii) any notice of non-renewal under any Material Contract, (iii) any material change to the terms of any Material Contract that are reasonably expected to result in a decrease of ten percent (10%) or more in revenue to the Loan Parties from such Material Contract, (iv) the impending expiration of any Material Contract within the next thirty (30) days and (v) entry into any contract with an aggregate value or imposing potential liabilities on the Loan Parties in excess of $500,000;</w:t>
      </w:r>
    </w:p>
    <w:p>
      <w:pPr>
        <w:spacing w:after="0" w:line="157" w:lineRule="exact"/>
        <w:rPr>
          <w:rFonts w:ascii="Arial" w:cs="Arial" w:eastAsia="Arial" w:hAnsi="Arial"/>
          <w:sz w:val="16"/>
          <w:szCs w:val="16"/>
          <w:color w:val="auto"/>
        </w:rPr>
      </w:pPr>
    </w:p>
    <w:p>
      <w:pPr>
        <w:jc w:val="both"/>
        <w:ind w:firstLine="656"/>
        <w:spacing w:after="0" w:line="259" w:lineRule="auto"/>
        <w:tabs>
          <w:tab w:leader="none" w:pos="933"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any (i) pending or threatened legal action, litigation, suit, investigation, arbitration, dispute resolution proceeding, or administrative or regulatory proceeding that may exist at any time between any Loan Party and any Governmental Authority, or (ii) litigation or proceeding affecting any Loan Party (including any such litigation in which a Loan Party is the plaintiff) in which the amount involved is $1,000,000 or more or which relates to any Loan Document;</w:t>
      </w:r>
    </w:p>
    <w:p>
      <w:pPr>
        <w:spacing w:after="0" w:line="186" w:lineRule="exact"/>
        <w:rPr>
          <w:rFonts w:ascii="Arial" w:cs="Arial" w:eastAsia="Arial" w:hAnsi="Arial"/>
          <w:sz w:val="18"/>
          <w:szCs w:val="18"/>
          <w:color w:val="auto"/>
        </w:rPr>
      </w:pPr>
    </w:p>
    <w:p>
      <w:pPr>
        <w:ind w:left="920" w:hanging="264"/>
        <w:spacing w:after="0"/>
        <w:tabs>
          <w:tab w:leader="none" w:pos="92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 xml:space="preserve">any material change in accounting policies or financial reporting practices by any Loan Party (other than as permitted by </w:t>
      </w:r>
      <w:r>
        <w:rPr>
          <w:rFonts w:ascii="Arial" w:cs="Arial" w:eastAsia="Arial" w:hAnsi="Arial"/>
          <w:sz w:val="17"/>
          <w:szCs w:val="17"/>
          <w:u w:val="single" w:color="auto"/>
          <w:color w:val="auto"/>
        </w:rPr>
        <w:t>Section 1.2(e)</w:t>
      </w:r>
      <w:r>
        <w:rPr>
          <w:rFonts w:ascii="Arial" w:cs="Arial" w:eastAsia="Arial" w:hAnsi="Arial"/>
          <w:sz w:val="17"/>
          <w:szCs w:val="17"/>
          <w:color w:val="auto"/>
        </w:rPr>
        <w:t>);</w:t>
      </w:r>
    </w:p>
    <w:p>
      <w:pPr>
        <w:spacing w:after="0" w:line="236" w:lineRule="exact"/>
        <w:rPr>
          <w:rFonts w:ascii="Arial" w:cs="Arial" w:eastAsia="Arial" w:hAnsi="Arial"/>
          <w:sz w:val="17"/>
          <w:szCs w:val="17"/>
          <w:color w:val="auto"/>
        </w:rPr>
      </w:pPr>
    </w:p>
    <w:p>
      <w:pPr>
        <w:ind w:firstLine="656"/>
        <w:spacing w:after="0" w:line="277" w:lineRule="auto"/>
        <w:tabs>
          <w:tab w:leader="none" w:pos="919" w:val="left"/>
        </w:tabs>
        <w:numPr>
          <w:ilvl w:val="0"/>
          <w:numId w:val="113"/>
        </w:numPr>
        <w:rPr>
          <w:rFonts w:ascii="Arial" w:cs="Arial" w:eastAsia="Arial" w:hAnsi="Arial"/>
          <w:sz w:val="18"/>
          <w:szCs w:val="18"/>
          <w:color w:val="auto"/>
        </w:rPr>
      </w:pPr>
      <w:r>
        <w:rPr>
          <w:rFonts w:ascii="Arial" w:cs="Arial" w:eastAsia="Arial" w:hAnsi="Arial"/>
          <w:sz w:val="18"/>
          <w:szCs w:val="18"/>
          <w:color w:val="auto"/>
        </w:rPr>
        <w:t>upon the occurrence of any ERISA Event that, alone or together with any other ERISA Events that have occurred, could reasonably be expected to result in liability of the Loan Parties in an aggregate amount in excess of $500,000;</w:t>
      </w:r>
    </w:p>
    <w:p>
      <w:pPr>
        <w:spacing w:after="0" w:line="170" w:lineRule="exact"/>
        <w:rPr>
          <w:rFonts w:ascii="Arial" w:cs="Arial" w:eastAsia="Arial" w:hAnsi="Arial"/>
          <w:sz w:val="18"/>
          <w:szCs w:val="18"/>
          <w:color w:val="auto"/>
        </w:rPr>
      </w:pPr>
    </w:p>
    <w:p>
      <w:pPr>
        <w:ind w:right="20" w:firstLine="656"/>
        <w:spacing w:after="0" w:line="277" w:lineRule="auto"/>
        <w:tabs>
          <w:tab w:leader="none" w:pos="886"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any amendment to the organizational documents of any Loan Party, provided that Loan Parties shall provide at least twenty (20) day’s prior written notice of any change to its name, identity, structure, or state of formation, incorporation or organization;</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20" w:type="dxa"/>
            <w:vAlign w:val="bottom"/>
            <w:tcBorders>
              <w:bottom w:val="single" w:sz="8" w:color="auto"/>
            </w:tcBorders>
          </w:tcPr>
          <w:p>
            <w:pPr>
              <w:jc w:val="right"/>
              <w:ind w:right="5350"/>
              <w:spacing w:after="0"/>
              <w:rPr>
                <w:sz w:val="20"/>
                <w:szCs w:val="20"/>
                <w:color w:val="auto"/>
              </w:rPr>
            </w:pPr>
            <w:r>
              <w:rPr>
                <w:rFonts w:ascii="Arial" w:cs="Arial" w:eastAsia="Arial" w:hAnsi="Arial"/>
                <w:sz w:val="18"/>
                <w:szCs w:val="18"/>
                <w:color w:val="auto"/>
              </w:rPr>
              <w:t>55</w:t>
            </w:r>
          </w:p>
        </w:tc>
      </w:tr>
    </w:tbl>
    <w:p>
      <w:pPr>
        <w:sectPr>
          <w:pgSz w:w="11900" w:h="16838" w:orient="portrait"/>
          <w:cols w:equalWidth="0" w:num="1">
            <w:col w:w="11240"/>
          </w:cols>
          <w:pgMar w:left="320" w:top="904" w:right="339" w:bottom="1440" w:gutter="0" w:footer="0" w:header="0"/>
        </w:sectPr>
      </w:pPr>
    </w:p>
    <w:bookmarkStart w:id="132" w:name="page133"/>
    <w:bookmarkEnd w:id="132"/>
    <w:p>
      <w:pPr>
        <w:jc w:val="both"/>
        <w:ind w:right="20" w:firstLine="656"/>
        <w:spacing w:after="0" w:line="263" w:lineRule="auto"/>
        <w:tabs>
          <w:tab w:leader="none" w:pos="903"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in the event that any Loan Party or their accountants conclude or advise that any previously issued financial statement, audit report or interim review should no longer be relied upon in any material respect or that disclosure should be made or action should be taken to prevent future reliance thereon;</w:t>
      </w:r>
    </w:p>
    <w:p>
      <w:pPr>
        <w:spacing w:after="0" w:line="183" w:lineRule="exact"/>
        <w:rPr>
          <w:rFonts w:ascii="Arial" w:cs="Arial" w:eastAsia="Arial" w:hAnsi="Arial"/>
          <w:sz w:val="18"/>
          <w:szCs w:val="18"/>
          <w:color w:val="auto"/>
        </w:rPr>
      </w:pPr>
    </w:p>
    <w:p>
      <w:pPr>
        <w:jc w:val="both"/>
        <w:ind w:firstLine="656"/>
        <w:spacing w:after="0" w:line="263" w:lineRule="auto"/>
        <w:tabs>
          <w:tab w:leader="none" w:pos="903"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any (i) amendment or proposed amendment to, (ii) any breach or default under, (iii) any termination or threatened termination of or (iv) any litigation or proceeding commenced or threated by any Person, in each case, with respect to the SPAC Merger Agreement, any SPAC Subscription Agreement or any other instrument, document or agreement executed in connection with the SPAC Transaction; and</w:t>
      </w:r>
    </w:p>
    <w:p>
      <w:pPr>
        <w:spacing w:after="0" w:line="183" w:lineRule="exact"/>
        <w:rPr>
          <w:rFonts w:ascii="Arial" w:cs="Arial" w:eastAsia="Arial" w:hAnsi="Arial"/>
          <w:sz w:val="18"/>
          <w:szCs w:val="18"/>
          <w:color w:val="auto"/>
        </w:rPr>
      </w:pPr>
    </w:p>
    <w:p>
      <w:pPr>
        <w:ind w:left="880" w:hanging="224"/>
        <w:spacing w:after="0"/>
        <w:tabs>
          <w:tab w:leader="none" w:pos="8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any development or event that has had or could reasonably be expected to have a Material Adverse Effect.</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Each notice pursuant to this </w:t>
      </w:r>
      <w:r>
        <w:rPr>
          <w:rFonts w:ascii="Arial" w:cs="Arial" w:eastAsia="Arial" w:hAnsi="Arial"/>
          <w:sz w:val="18"/>
          <w:szCs w:val="18"/>
          <w:u w:val="single" w:color="auto"/>
          <w:color w:val="auto"/>
        </w:rPr>
        <w:t>Section 5.7</w:t>
      </w:r>
      <w:r>
        <w:rPr>
          <w:rFonts w:ascii="Arial" w:cs="Arial" w:eastAsia="Arial" w:hAnsi="Arial"/>
          <w:sz w:val="18"/>
          <w:szCs w:val="18"/>
          <w:color w:val="auto"/>
        </w:rPr>
        <w:t xml:space="preserve"> shall be accompanied by a statement of a Responsible Officer setting forth details of the occurrence referred to therein and stating what action such Loan Party proposes to take with respect thereto.</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5.8 Compliance with Laws</w:t>
      </w:r>
      <w:r>
        <w:rPr>
          <w:rFonts w:ascii="Arial" w:cs="Arial" w:eastAsia="Arial" w:hAnsi="Arial"/>
          <w:sz w:val="18"/>
          <w:szCs w:val="18"/>
          <w:color w:val="auto"/>
        </w:rPr>
        <w:t>.</w:t>
      </w:r>
    </w:p>
    <w:p>
      <w:pPr>
        <w:spacing w:after="0" w:line="229" w:lineRule="exact"/>
        <w:rPr>
          <w:sz w:val="20"/>
          <w:szCs w:val="20"/>
          <w:color w:val="auto"/>
        </w:rPr>
      </w:pPr>
    </w:p>
    <w:p>
      <w:pPr>
        <w:ind w:right="20" w:firstLine="656"/>
        <w:spacing w:after="0" w:line="277" w:lineRule="auto"/>
        <w:tabs>
          <w:tab w:leader="none" w:pos="919"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Generally</w:t>
      </w:r>
      <w:r>
        <w:rPr>
          <w:rFonts w:ascii="Arial" w:cs="Arial" w:eastAsia="Arial" w:hAnsi="Arial"/>
          <w:sz w:val="18"/>
          <w:szCs w:val="18"/>
          <w:color w:val="auto"/>
        </w:rPr>
        <w:t>. Each Loan Party shall comply in all material respects with the Requirements of Law applicable to it and all orders, writs, injunctions and decrees applicable to it or to its business or property.</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Environmental Laws</w:t>
      </w:r>
      <w:r>
        <w:rPr>
          <w:rFonts w:ascii="Arial" w:cs="Arial" w:eastAsia="Arial" w:hAnsi="Arial"/>
          <w:sz w:val="18"/>
          <w:szCs w:val="18"/>
          <w:color w:val="auto"/>
        </w:rPr>
        <w:t>. Each Loan Party shall:</w:t>
      </w:r>
    </w:p>
    <w:p>
      <w:pPr>
        <w:spacing w:after="0" w:line="225" w:lineRule="exact"/>
        <w:rPr>
          <w:rFonts w:ascii="Arial" w:cs="Arial" w:eastAsia="Arial" w:hAnsi="Arial"/>
          <w:sz w:val="18"/>
          <w:szCs w:val="18"/>
          <w:color w:val="auto"/>
        </w:rPr>
      </w:pPr>
    </w:p>
    <w:p>
      <w:pPr>
        <w:jc w:val="both"/>
        <w:ind w:left="660" w:firstLine="644"/>
        <w:spacing w:after="0" w:line="259" w:lineRule="auto"/>
        <w:tabs>
          <w:tab w:leader="none" w:pos="1536" w:val="left"/>
        </w:tabs>
        <w:numPr>
          <w:ilvl w:val="1"/>
          <w:numId w:val="115"/>
        </w:numPr>
        <w:rPr>
          <w:rFonts w:ascii="Arial" w:cs="Arial" w:eastAsia="Arial" w:hAnsi="Arial"/>
          <w:sz w:val="18"/>
          <w:szCs w:val="18"/>
          <w:color w:val="auto"/>
        </w:rPr>
      </w:pPr>
      <w:r>
        <w:rPr>
          <w:rFonts w:ascii="Arial" w:cs="Arial" w:eastAsia="Arial" w:hAnsi="Arial"/>
          <w:sz w:val="18"/>
          <w:szCs w:val="18"/>
          <w:color w:val="auto"/>
        </w:rPr>
        <w:t>Comply in all material respects with, and ensure compliance in all material respects by all tenants and subtenants, if any, with, all applicable Environmental Laws, and obtain and comply in all material respects with and maintain, and ensure that all tenants and subtenants obtain and comply in all material respects with and maintain, any and all licenses, approvals, notifications, registrations or permits required by applicable Environmental Laws.</w:t>
      </w:r>
    </w:p>
    <w:p>
      <w:pPr>
        <w:spacing w:after="0" w:line="186" w:lineRule="exact"/>
        <w:rPr>
          <w:rFonts w:ascii="Arial" w:cs="Arial" w:eastAsia="Arial" w:hAnsi="Arial"/>
          <w:sz w:val="18"/>
          <w:szCs w:val="18"/>
          <w:color w:val="auto"/>
        </w:rPr>
      </w:pPr>
    </w:p>
    <w:p>
      <w:pPr>
        <w:jc w:val="both"/>
        <w:ind w:left="660" w:firstLine="644"/>
        <w:spacing w:after="0" w:line="263" w:lineRule="auto"/>
        <w:tabs>
          <w:tab w:leader="none" w:pos="1586" w:val="left"/>
        </w:tabs>
        <w:numPr>
          <w:ilvl w:val="1"/>
          <w:numId w:val="115"/>
        </w:numPr>
        <w:rPr>
          <w:rFonts w:ascii="Arial" w:cs="Arial" w:eastAsia="Arial" w:hAnsi="Arial"/>
          <w:sz w:val="18"/>
          <w:szCs w:val="18"/>
          <w:color w:val="auto"/>
        </w:rPr>
      </w:pPr>
      <w:r>
        <w:rPr>
          <w:rFonts w:ascii="Arial" w:cs="Arial" w:eastAsia="Arial" w:hAnsi="Arial"/>
          <w:sz w:val="18"/>
          <w:szCs w:val="18"/>
          <w:color w:val="auto"/>
        </w:rPr>
        <w:t>Conduct and complete all investigations, studies, sampling and testing, and all remedial, removal and other actions required under Environmental Laws and promptly comply in all material respects with all lawful orders and directives of all Governmental Authorities regarding Environmental Laws; and</w:t>
      </w:r>
    </w:p>
    <w:p>
      <w:pPr>
        <w:spacing w:after="0" w:line="183" w:lineRule="exact"/>
        <w:rPr>
          <w:rFonts w:ascii="Arial" w:cs="Arial" w:eastAsia="Arial" w:hAnsi="Arial"/>
          <w:sz w:val="18"/>
          <w:szCs w:val="18"/>
          <w:color w:val="auto"/>
        </w:rPr>
      </w:pPr>
    </w:p>
    <w:p>
      <w:pPr>
        <w:ind w:left="1620" w:hanging="316"/>
        <w:spacing w:after="0"/>
        <w:tabs>
          <w:tab w:leader="none" w:pos="162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Remediate any notices of non-compliance from any Governmental Authority with respect to any Environmental Law.</w:t>
      </w:r>
    </w:p>
    <w:p>
      <w:pPr>
        <w:spacing w:after="0" w:line="221"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b w:val="1"/>
          <w:bCs w:val="1"/>
          <w:color w:val="auto"/>
        </w:rPr>
        <w:t>5.9 Audits</w:t>
      </w:r>
      <w:r>
        <w:rPr>
          <w:rFonts w:ascii="Arial" w:cs="Arial" w:eastAsia="Arial" w:hAnsi="Arial"/>
          <w:sz w:val="16"/>
          <w:szCs w:val="16"/>
          <w:color w:val="auto"/>
        </w:rPr>
        <w:t>. At reasonable times and upon reasonable notice (</w:t>
      </w:r>
      <w:r>
        <w:rPr>
          <w:rFonts w:ascii="Arial" w:cs="Arial" w:eastAsia="Arial" w:hAnsi="Arial"/>
          <w:sz w:val="16"/>
          <w:szCs w:val="16"/>
          <w:u w:val="single" w:color="auto"/>
          <w:color w:val="auto"/>
        </w:rPr>
        <w:t>provided</w:t>
      </w:r>
      <w:r>
        <w:rPr>
          <w:rFonts w:ascii="Arial" w:cs="Arial" w:eastAsia="Arial" w:hAnsi="Arial"/>
          <w:sz w:val="16"/>
          <w:szCs w:val="16"/>
          <w:b w:val="1"/>
          <w:bCs w:val="1"/>
          <w:color w:val="auto"/>
        </w:rPr>
        <w:t xml:space="preserve"> </w:t>
      </w:r>
      <w:r>
        <w:rPr>
          <w:rFonts w:ascii="Arial" w:cs="Arial" w:eastAsia="Arial" w:hAnsi="Arial"/>
          <w:sz w:val="16"/>
          <w:szCs w:val="16"/>
          <w:color w:val="auto"/>
        </w:rPr>
        <w:t>that no notice is required if an Event of Default has occurred and is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continuing), Lender or its agents, shall have the right, during normal business hours, to inspect the Collateral and the right to audit and copy (subject to applicable data security and privacy Laws) any and all of any Loan Party’s books and records including ledgers, federal and state Tax returns, records regarding assets or liabilities, the Collateral, business operations or financial condition, and all computer programs or storage or any equipment containing such information. The foregoing inspections and audits shall be at the Borrower’s expense; </w:t>
      </w:r>
      <w:r>
        <w:rPr>
          <w:rFonts w:ascii="Arial" w:cs="Arial" w:eastAsia="Arial" w:hAnsi="Arial"/>
          <w:sz w:val="16"/>
          <w:szCs w:val="16"/>
          <w:u w:val="single" w:color="auto"/>
          <w:color w:val="auto"/>
        </w:rPr>
        <w:t>provided</w:t>
      </w:r>
      <w:r>
        <w:rPr>
          <w:rFonts w:ascii="Arial" w:cs="Arial" w:eastAsia="Arial" w:hAnsi="Arial"/>
          <w:sz w:val="16"/>
          <w:szCs w:val="16"/>
          <w:color w:val="auto"/>
        </w:rPr>
        <w:t>, so long as an Event of Default has not occurred and is continuing, the Loan Parties shall not be responsible for the costs and expenses of more than two (2) inspections or audits in any Fiscal Year.</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20" w:type="dxa"/>
            <w:vAlign w:val="bottom"/>
            <w:tcBorders>
              <w:bottom w:val="single" w:sz="8" w:color="auto"/>
            </w:tcBorders>
          </w:tcPr>
          <w:p>
            <w:pPr>
              <w:jc w:val="right"/>
              <w:ind w:right="5350"/>
              <w:spacing w:after="0"/>
              <w:rPr>
                <w:sz w:val="20"/>
                <w:szCs w:val="20"/>
                <w:color w:val="auto"/>
              </w:rPr>
            </w:pPr>
            <w:r>
              <w:rPr>
                <w:rFonts w:ascii="Arial" w:cs="Arial" w:eastAsia="Arial" w:hAnsi="Arial"/>
                <w:sz w:val="18"/>
                <w:szCs w:val="18"/>
                <w:color w:val="auto"/>
              </w:rPr>
              <w:t>56</w:t>
            </w:r>
          </w:p>
        </w:tc>
      </w:tr>
    </w:tbl>
    <w:p>
      <w:pPr>
        <w:sectPr>
          <w:pgSz w:w="11900" w:h="16838" w:orient="portrait"/>
          <w:cols w:equalWidth="0" w:num="1">
            <w:col w:w="11240"/>
          </w:cols>
          <w:pgMar w:left="320" w:top="908" w:right="339" w:bottom="1440" w:gutter="0" w:footer="0" w:header="0"/>
        </w:sectPr>
      </w:pPr>
    </w:p>
    <w:bookmarkStart w:id="133" w:name="page134"/>
    <w:bookmarkEnd w:id="133"/>
    <w:p>
      <w:pPr>
        <w:jc w:val="both"/>
        <w:ind w:firstLine="648"/>
        <w:spacing w:after="0" w:line="277" w:lineRule="auto"/>
        <w:rPr>
          <w:sz w:val="20"/>
          <w:szCs w:val="20"/>
          <w:color w:val="auto"/>
        </w:rPr>
      </w:pPr>
      <w:r>
        <w:rPr>
          <w:rFonts w:ascii="Arial" w:cs="Arial" w:eastAsia="Arial" w:hAnsi="Arial"/>
          <w:sz w:val="17"/>
          <w:szCs w:val="17"/>
          <w:b w:val="1"/>
          <w:bCs w:val="1"/>
          <w:color w:val="auto"/>
        </w:rPr>
        <w:t>5.10 Further Assurances</w:t>
      </w:r>
      <w:r>
        <w:rPr>
          <w:rFonts w:ascii="Arial" w:cs="Arial" w:eastAsia="Arial" w:hAnsi="Arial"/>
          <w:sz w:val="17"/>
          <w:szCs w:val="17"/>
          <w:color w:val="auto"/>
        </w:rPr>
        <w:t>. Each Loan Party shall execute and deliver to Agent and Lenders such amendments to the Loan Documents, Security</w:t>
      </w:r>
      <w:r>
        <w:rPr>
          <w:rFonts w:ascii="Arial" w:cs="Arial" w:eastAsia="Arial" w:hAnsi="Arial"/>
          <w:sz w:val="17"/>
          <w:szCs w:val="17"/>
          <w:b w:val="1"/>
          <w:bCs w:val="1"/>
          <w:color w:val="auto"/>
        </w:rPr>
        <w:t xml:space="preserve"> </w:t>
      </w:r>
      <w:r>
        <w:rPr>
          <w:rFonts w:ascii="Arial" w:cs="Arial" w:eastAsia="Arial" w:hAnsi="Arial"/>
          <w:sz w:val="17"/>
          <w:szCs w:val="17"/>
          <w:color w:val="auto"/>
        </w:rPr>
        <w:t>Documents or such other documents as Agent deems necessary and take all actions necessary or advisable in the opinion of Agent (in its Permitted Discretion) to effectuate the terms of the Loan Documents and protect Agent’s and Lenders’ interests in the Collateral, and shall do such other acts and things as Agent in its Permitted Discretion may deem necessary or advisable from time to time in order to preserve, perfect and protect the Liens granted under the Loan Documents and to exercise and enforce its rights and remedies thereunder with respect to the Collateral.</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5.11 Use of Proceeds</w:t>
      </w:r>
      <w:r>
        <w:rPr>
          <w:rFonts w:ascii="Arial" w:cs="Arial" w:eastAsia="Arial" w:hAnsi="Arial"/>
          <w:sz w:val="18"/>
          <w:szCs w:val="18"/>
          <w:color w:val="auto"/>
        </w:rPr>
        <w:t>. Borrower shall use the proceeds of each Term Loan only for the purposes specified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3.12</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5.12 Taxes</w:t>
      </w:r>
      <w:r>
        <w:rPr>
          <w:rFonts w:ascii="Arial" w:cs="Arial" w:eastAsia="Arial" w:hAnsi="Arial"/>
          <w:sz w:val="18"/>
          <w:szCs w:val="18"/>
          <w:color w:val="auto"/>
        </w:rPr>
        <w:t>. Each Loan Party shall file or cause to be filed (and shall cause its Subsidiaries to file or cause to be filed) all federal, state and other</w:t>
      </w:r>
      <w:r>
        <w:rPr>
          <w:rFonts w:ascii="Arial" w:cs="Arial" w:eastAsia="Arial" w:hAnsi="Arial"/>
          <w:sz w:val="18"/>
          <w:szCs w:val="18"/>
          <w:b w:val="1"/>
          <w:bCs w:val="1"/>
          <w:color w:val="auto"/>
        </w:rPr>
        <w:t xml:space="preserve"> </w:t>
      </w:r>
      <w:r>
        <w:rPr>
          <w:rFonts w:ascii="Arial" w:cs="Arial" w:eastAsia="Arial" w:hAnsi="Arial"/>
          <w:sz w:val="18"/>
          <w:szCs w:val="18"/>
          <w:color w:val="auto"/>
        </w:rPr>
        <w:t>material Tax returns and reports that are required to be filed by such Loan Party or any of its Subsidiaries and pay all federal, state and other material Taxes due and payable by it (whether or not shown to be due and payable on any Tax returns and reports) or on any assessments made against such Loan Party or any of its Subsidiaries or any of their assets (other than Taxes that are currently being contested in good faith by appropriate proceedings which stay the enforcement of any Lien resulting from the non-payment thereof and with respect to which adequate reserves have been set aside by the Loan Parties for the payment thereof in conformity with GAAP).</w:t>
      </w:r>
    </w:p>
    <w:p>
      <w:pPr>
        <w:spacing w:after="0" w:line="18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5.13 Post-Closing Obligations</w:t>
      </w:r>
      <w:r>
        <w:rPr>
          <w:rFonts w:ascii="Arial" w:cs="Arial" w:eastAsia="Arial" w:hAnsi="Arial"/>
          <w:sz w:val="18"/>
          <w:szCs w:val="18"/>
          <w:color w:val="auto"/>
        </w:rPr>
        <w:t>. On or before the date set forth below for each covenant (or such longer period as approved by Agent in its sole</w:t>
      </w:r>
      <w:r>
        <w:rPr>
          <w:rFonts w:ascii="Arial" w:cs="Arial" w:eastAsia="Arial" w:hAnsi="Arial"/>
          <w:sz w:val="18"/>
          <w:szCs w:val="18"/>
          <w:b w:val="1"/>
          <w:bCs w:val="1"/>
          <w:color w:val="auto"/>
        </w:rPr>
        <w:t xml:space="preserve"> </w:t>
      </w:r>
      <w:r>
        <w:rPr>
          <w:rFonts w:ascii="Arial" w:cs="Arial" w:eastAsia="Arial" w:hAnsi="Arial"/>
          <w:sz w:val="18"/>
          <w:szCs w:val="18"/>
          <w:color w:val="auto"/>
        </w:rPr>
        <w:t>discretion), the Borrower shall cause the following to occur:</w:t>
      </w:r>
    </w:p>
    <w:p>
      <w:pPr>
        <w:spacing w:after="0" w:line="166" w:lineRule="exact"/>
        <w:rPr>
          <w:sz w:val="20"/>
          <w:szCs w:val="20"/>
          <w:color w:val="auto"/>
        </w:rPr>
      </w:pPr>
    </w:p>
    <w:p>
      <w:pPr>
        <w:jc w:val="both"/>
        <w:ind w:firstLine="656"/>
        <w:spacing w:after="0" w:line="263" w:lineRule="auto"/>
        <w:tabs>
          <w:tab w:leader="none" w:pos="892" w:val="left"/>
        </w:tabs>
        <w:numPr>
          <w:ilvl w:val="0"/>
          <w:numId w:val="116"/>
        </w:numPr>
        <w:rPr>
          <w:rFonts w:ascii="Arial" w:cs="Arial" w:eastAsia="Arial" w:hAnsi="Arial"/>
          <w:sz w:val="18"/>
          <w:szCs w:val="18"/>
          <w:color w:val="auto"/>
        </w:rPr>
      </w:pPr>
      <w:r>
        <w:rPr>
          <w:rFonts w:ascii="Arial" w:cs="Arial" w:eastAsia="Arial" w:hAnsi="Arial"/>
          <w:sz w:val="18"/>
          <w:szCs w:val="18"/>
          <w:color w:val="auto"/>
        </w:rPr>
        <w:t>Within forty-five (45) days after the Closing Date, the Loan Parties shall have delivered insurance endorsements to Agent with respect to each general liability insurance policy and each property insurance policy, including, in each case, sub-policies thereunder, of each Loan Party, endorsing Agent, as additional insured and lender loss payee, respectively, under such policies as its interests appear;</w:t>
      </w:r>
    </w:p>
    <w:p>
      <w:pPr>
        <w:spacing w:after="0" w:line="183" w:lineRule="exact"/>
        <w:rPr>
          <w:rFonts w:ascii="Arial" w:cs="Arial" w:eastAsia="Arial" w:hAnsi="Arial"/>
          <w:sz w:val="18"/>
          <w:szCs w:val="18"/>
          <w:color w:val="auto"/>
        </w:rPr>
      </w:pPr>
    </w:p>
    <w:p>
      <w:pPr>
        <w:ind w:right="20" w:firstLine="656"/>
        <w:spacing w:after="0" w:line="277" w:lineRule="auto"/>
        <w:tabs>
          <w:tab w:leader="none" w:pos="903"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xml:space="preserve">Within forty-five (45) days of the Closing Date, deliver Control Agreements, executed and delivered by the applicable Loan Party, Lender and the applicable depository institution with respect to each Deposit Account set forth on </w:t>
      </w:r>
      <w:r>
        <w:rPr>
          <w:rFonts w:ascii="Arial" w:cs="Arial" w:eastAsia="Arial" w:hAnsi="Arial"/>
          <w:sz w:val="18"/>
          <w:szCs w:val="18"/>
          <w:u w:val="single" w:color="auto"/>
          <w:color w:val="auto"/>
        </w:rPr>
        <w:t>Schedule 1.1(b)</w:t>
      </w:r>
      <w:r>
        <w:rPr>
          <w:rFonts w:ascii="Arial" w:cs="Arial" w:eastAsia="Arial" w:hAnsi="Arial"/>
          <w:sz w:val="18"/>
          <w:szCs w:val="18"/>
          <w:color w:val="auto"/>
        </w:rPr>
        <w:t xml:space="preserve"> hereto;</w:t>
      </w:r>
    </w:p>
    <w:p>
      <w:pPr>
        <w:spacing w:after="0" w:line="170" w:lineRule="exact"/>
        <w:rPr>
          <w:rFonts w:ascii="Arial" w:cs="Arial" w:eastAsia="Arial" w:hAnsi="Arial"/>
          <w:sz w:val="18"/>
          <w:szCs w:val="18"/>
          <w:color w:val="auto"/>
        </w:rPr>
      </w:pPr>
    </w:p>
    <w:p>
      <w:pPr>
        <w:jc w:val="both"/>
        <w:ind w:firstLine="656"/>
        <w:spacing w:after="0" w:line="263" w:lineRule="auto"/>
        <w:tabs>
          <w:tab w:leader="none" w:pos="892" w:val="left"/>
        </w:tabs>
        <w:numPr>
          <w:ilvl w:val="0"/>
          <w:numId w:val="116"/>
        </w:numPr>
        <w:rPr>
          <w:rFonts w:ascii="Arial" w:cs="Arial" w:eastAsia="Arial" w:hAnsi="Arial"/>
          <w:sz w:val="18"/>
          <w:szCs w:val="18"/>
          <w:color w:val="auto"/>
        </w:rPr>
      </w:pPr>
      <w:r>
        <w:rPr>
          <w:rFonts w:ascii="Arial" w:cs="Arial" w:eastAsia="Arial" w:hAnsi="Arial"/>
          <w:sz w:val="18"/>
          <w:szCs w:val="18"/>
          <w:color w:val="auto"/>
        </w:rPr>
        <w:t>Within thirty (30) days of the Closing Date, Agent shall receive all certificates evidencing the outstanding Equity Interests and other Collateral evidenced by certificates owned by Borrower, together with duly executed stock powers or other transfer powers in form and substance reasonably satisfactory to Agent;</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20" w:type="dxa"/>
            <w:vAlign w:val="bottom"/>
            <w:tcBorders>
              <w:bottom w:val="single" w:sz="8" w:color="auto"/>
            </w:tcBorders>
          </w:tcPr>
          <w:p>
            <w:pPr>
              <w:jc w:val="right"/>
              <w:ind w:right="5350"/>
              <w:spacing w:after="0"/>
              <w:rPr>
                <w:sz w:val="20"/>
                <w:szCs w:val="20"/>
                <w:color w:val="auto"/>
              </w:rPr>
            </w:pPr>
            <w:r>
              <w:rPr>
                <w:rFonts w:ascii="Arial" w:cs="Arial" w:eastAsia="Arial" w:hAnsi="Arial"/>
                <w:sz w:val="18"/>
                <w:szCs w:val="18"/>
                <w:color w:val="auto"/>
              </w:rPr>
              <w:t>57</w:t>
            </w:r>
          </w:p>
        </w:tc>
      </w:tr>
    </w:tbl>
    <w:p>
      <w:pPr>
        <w:sectPr>
          <w:pgSz w:w="11900" w:h="16838" w:orient="portrait"/>
          <w:cols w:equalWidth="0" w:num="1">
            <w:col w:w="11240"/>
          </w:cols>
          <w:pgMar w:left="320" w:top="904" w:right="339" w:bottom="1440" w:gutter="0" w:footer="0" w:header="0"/>
        </w:sectPr>
      </w:pPr>
    </w:p>
    <w:bookmarkStart w:id="134" w:name="page135"/>
    <w:bookmarkEnd w:id="134"/>
    <w:p>
      <w:pPr>
        <w:ind w:right="20" w:firstLine="656"/>
        <w:spacing w:after="0" w:line="277" w:lineRule="auto"/>
        <w:tabs>
          <w:tab w:leader="none" w:pos="903"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Borrower shall use commercially reasonable efforts to cause UCC-3 termination statements to be authorized and filed in respect of each of the following existing UCC filings within sixty (60) days of the Closing Date:</w:t>
      </w:r>
    </w:p>
    <w:p>
      <w:pPr>
        <w:spacing w:after="0" w:line="170" w:lineRule="exact"/>
        <w:rPr>
          <w:rFonts w:ascii="Arial" w:cs="Arial" w:eastAsia="Arial" w:hAnsi="Arial"/>
          <w:sz w:val="18"/>
          <w:szCs w:val="18"/>
          <w:color w:val="auto"/>
        </w:rPr>
      </w:pPr>
    </w:p>
    <w:p>
      <w:pPr>
        <w:ind w:left="660" w:firstLine="644"/>
        <w:spacing w:after="0" w:line="277" w:lineRule="auto"/>
        <w:tabs>
          <w:tab w:leader="none" w:pos="154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that certain UCC Financing Statement # 20170704249 filed with the Delaware Secretary of State on or about October 25, 2017 by Innovative Energy Solutions;</w:t>
      </w:r>
    </w:p>
    <w:p>
      <w:pPr>
        <w:spacing w:after="0" w:line="170" w:lineRule="exact"/>
        <w:rPr>
          <w:rFonts w:ascii="Arial" w:cs="Arial" w:eastAsia="Arial" w:hAnsi="Arial"/>
          <w:sz w:val="18"/>
          <w:szCs w:val="18"/>
          <w:color w:val="auto"/>
        </w:rPr>
      </w:pPr>
    </w:p>
    <w:p>
      <w:pPr>
        <w:ind w:left="660" w:firstLine="644"/>
        <w:spacing w:after="0" w:line="277" w:lineRule="auto"/>
        <w:tabs>
          <w:tab w:leader="none" w:pos="1586" w:val="left"/>
        </w:tabs>
        <w:numPr>
          <w:ilvl w:val="1"/>
          <w:numId w:val="117"/>
        </w:numPr>
        <w:rPr>
          <w:rFonts w:ascii="Arial" w:cs="Arial" w:eastAsia="Arial" w:hAnsi="Arial"/>
          <w:sz w:val="18"/>
          <w:szCs w:val="18"/>
          <w:color w:val="auto"/>
        </w:rPr>
      </w:pPr>
      <w:r>
        <w:rPr>
          <w:rFonts w:ascii="Arial" w:cs="Arial" w:eastAsia="Arial" w:hAnsi="Arial"/>
          <w:sz w:val="18"/>
          <w:szCs w:val="18"/>
          <w:color w:val="auto"/>
        </w:rPr>
        <w:t>that certain UCC Financing Statement # 20185345810 filed with the Delaware Secretary of State on or about August 3, 2018 by Corporation Service Company, as Representative and identified as relating to Secured Party CIT Bank N.A.;</w:t>
      </w:r>
    </w:p>
    <w:p>
      <w:pPr>
        <w:spacing w:after="0" w:line="170" w:lineRule="exact"/>
        <w:rPr>
          <w:rFonts w:ascii="Arial" w:cs="Arial" w:eastAsia="Arial" w:hAnsi="Arial"/>
          <w:sz w:val="18"/>
          <w:szCs w:val="18"/>
          <w:color w:val="auto"/>
        </w:rPr>
      </w:pPr>
    </w:p>
    <w:p>
      <w:pPr>
        <w:ind w:left="660" w:firstLine="644"/>
        <w:spacing w:after="0" w:line="277" w:lineRule="auto"/>
        <w:tabs>
          <w:tab w:leader="none" w:pos="1636" w:val="left"/>
        </w:tabs>
        <w:numPr>
          <w:ilvl w:val="1"/>
          <w:numId w:val="117"/>
        </w:numPr>
        <w:rPr>
          <w:rFonts w:ascii="Arial" w:cs="Arial" w:eastAsia="Arial" w:hAnsi="Arial"/>
          <w:sz w:val="18"/>
          <w:szCs w:val="18"/>
          <w:color w:val="auto"/>
        </w:rPr>
      </w:pPr>
      <w:r>
        <w:rPr>
          <w:rFonts w:ascii="Arial" w:cs="Arial" w:eastAsia="Arial" w:hAnsi="Arial"/>
          <w:sz w:val="18"/>
          <w:szCs w:val="18"/>
          <w:color w:val="auto"/>
        </w:rPr>
        <w:t>that certain county tax lien # 2021-157199 filed on or about 11/10/2021 in the Records of the San Mateo County Assessor, Clerk, Recorder by the Yolo County Department of Financial Services in the amount of $146.48; and</w:t>
      </w:r>
    </w:p>
    <w:p>
      <w:pPr>
        <w:spacing w:after="0" w:line="170" w:lineRule="exact"/>
        <w:rPr>
          <w:rFonts w:ascii="Arial" w:cs="Arial" w:eastAsia="Arial" w:hAnsi="Arial"/>
          <w:sz w:val="18"/>
          <w:szCs w:val="18"/>
          <w:color w:val="auto"/>
        </w:rPr>
      </w:pPr>
    </w:p>
    <w:p>
      <w:pPr>
        <w:ind w:left="660" w:firstLine="644"/>
        <w:spacing w:after="0" w:line="277" w:lineRule="auto"/>
        <w:tabs>
          <w:tab w:leader="none" w:pos="1626" w:val="left"/>
        </w:tabs>
        <w:numPr>
          <w:ilvl w:val="1"/>
          <w:numId w:val="117"/>
        </w:numPr>
        <w:rPr>
          <w:rFonts w:ascii="Arial" w:cs="Arial" w:eastAsia="Arial" w:hAnsi="Arial"/>
          <w:sz w:val="18"/>
          <w:szCs w:val="18"/>
          <w:color w:val="auto"/>
        </w:rPr>
      </w:pPr>
      <w:r>
        <w:rPr>
          <w:rFonts w:ascii="Arial" w:cs="Arial" w:eastAsia="Arial" w:hAnsi="Arial"/>
          <w:sz w:val="18"/>
          <w:szCs w:val="18"/>
          <w:color w:val="auto"/>
        </w:rPr>
        <w:t>that certain judgment lien # 2021-173224 filed on or about December 17, 2021 in the Records of the San Mateo County Assessor, Clerk, Recorder by Banc of America Leasing &amp; Capital, LLC in the amount of $321,509.09.</w:t>
      </w:r>
    </w:p>
    <w:p>
      <w:pPr>
        <w:spacing w:after="0" w:line="170" w:lineRule="exact"/>
        <w:rPr>
          <w:rFonts w:ascii="Arial" w:cs="Arial" w:eastAsia="Arial" w:hAnsi="Arial"/>
          <w:sz w:val="18"/>
          <w:szCs w:val="18"/>
          <w:color w:val="auto"/>
        </w:rPr>
      </w:pPr>
    </w:p>
    <w:p>
      <w:pPr>
        <w:ind w:right="20" w:firstLine="656"/>
        <w:spacing w:after="0" w:line="277" w:lineRule="auto"/>
        <w:tabs>
          <w:tab w:leader="none" w:pos="892"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Borrower shall use commercially reasonable efforts to cause each landlord that is party to a lease with Borrower to execute and deliver a landlord consent, in form and substance reasonably satisfactory to Agent, within thirty (30) days of the Closing Date;</w:t>
      </w:r>
    </w:p>
    <w:p>
      <w:pPr>
        <w:spacing w:after="0" w:line="170" w:lineRule="exact"/>
        <w:rPr>
          <w:rFonts w:ascii="Arial" w:cs="Arial" w:eastAsia="Arial" w:hAnsi="Arial"/>
          <w:sz w:val="18"/>
          <w:szCs w:val="18"/>
          <w:color w:val="auto"/>
        </w:rPr>
      </w:pPr>
    </w:p>
    <w:p>
      <w:pPr>
        <w:ind w:firstLine="656"/>
        <w:spacing w:after="0" w:line="277" w:lineRule="auto"/>
        <w:tabs>
          <w:tab w:leader="none" w:pos="873"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Parent shall cause the Founder Shares to be registered on the same registration statement as the PIPE Transactions pursuant to the terms of the Closing Date Registration Rights Agreement; and</w:t>
      </w:r>
    </w:p>
    <w:p>
      <w:pPr>
        <w:spacing w:after="0" w:line="170" w:lineRule="exact"/>
        <w:rPr>
          <w:rFonts w:ascii="Arial" w:cs="Arial" w:eastAsia="Arial" w:hAnsi="Arial"/>
          <w:sz w:val="18"/>
          <w:szCs w:val="18"/>
          <w:color w:val="auto"/>
        </w:rPr>
      </w:pPr>
    </w:p>
    <w:p>
      <w:pPr>
        <w:jc w:val="both"/>
        <w:ind w:firstLine="656"/>
        <w:spacing w:after="0" w:line="263" w:lineRule="auto"/>
        <w:tabs>
          <w:tab w:leader="none" w:pos="93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Within forty-five (45) days of the First Amendment Effective Date Agent shall receive all certificates evidencing the outstanding Equity Interests and other Collateral evidenced by certificates owned by Loan Parties, including any such Collateral obtained after the Closing Date, together with duly executed stock powers or other transfer powers in form and substance reasonably satisfactory to Agent;</w:t>
      </w:r>
    </w:p>
    <w:p>
      <w:pPr>
        <w:spacing w:after="0" w:line="183" w:lineRule="exact"/>
        <w:rPr>
          <w:rFonts w:ascii="Arial" w:cs="Arial" w:eastAsia="Arial" w:hAnsi="Arial"/>
          <w:sz w:val="18"/>
          <w:szCs w:val="18"/>
          <w:color w:val="auto"/>
        </w:rPr>
      </w:pPr>
    </w:p>
    <w:p>
      <w:pPr>
        <w:jc w:val="both"/>
        <w:ind w:firstLine="656"/>
        <w:spacing w:after="0" w:line="286" w:lineRule="auto"/>
        <w:tabs>
          <w:tab w:leader="none" w:pos="916" w:val="left"/>
        </w:tabs>
        <w:numPr>
          <w:ilvl w:val="0"/>
          <w:numId w:val="117"/>
        </w:numPr>
        <w:rPr>
          <w:rFonts w:ascii="Arial" w:cs="Arial" w:eastAsia="Arial" w:hAnsi="Arial"/>
          <w:sz w:val="17"/>
          <w:szCs w:val="17"/>
          <w:color w:val="auto"/>
        </w:rPr>
      </w:pPr>
      <w:r>
        <w:rPr>
          <w:rFonts w:ascii="Arial" w:cs="Arial" w:eastAsia="Arial" w:hAnsi="Arial"/>
          <w:sz w:val="17"/>
          <w:szCs w:val="17"/>
          <w:color w:val="auto"/>
        </w:rPr>
        <w:t>Within thirty (30) days of the Second Amendment Effective Date, the Loan Parties shall have delivered updated insurance endorsements to Agent with respect to each general liability insurance policy and each property insurance policy, including, in each case, sub-policies thereunder, of each Loan Party, endorsing Agent, as additional insured and lender loss payee, respectively, under such policies as its interests appear;</w:t>
      </w:r>
    </w:p>
    <w:p>
      <w:pPr>
        <w:spacing w:after="0" w:line="165" w:lineRule="exact"/>
        <w:rPr>
          <w:rFonts w:ascii="Arial" w:cs="Arial" w:eastAsia="Arial" w:hAnsi="Arial"/>
          <w:sz w:val="17"/>
          <w:szCs w:val="17"/>
          <w:color w:val="auto"/>
        </w:rPr>
      </w:pPr>
    </w:p>
    <w:p>
      <w:pPr>
        <w:jc w:val="both"/>
        <w:ind w:right="20" w:firstLine="656"/>
        <w:spacing w:after="0" w:line="263" w:lineRule="auto"/>
        <w:tabs>
          <w:tab w:leader="none" w:pos="863" w:val="left"/>
        </w:tabs>
        <w:numPr>
          <w:ilvl w:val="0"/>
          <w:numId w:val="117"/>
        </w:numPr>
        <w:rPr>
          <w:rFonts w:ascii="Arial" w:cs="Arial" w:eastAsia="Arial" w:hAnsi="Arial"/>
          <w:sz w:val="18"/>
          <w:szCs w:val="18"/>
          <w:color w:val="auto"/>
        </w:rPr>
      </w:pPr>
      <w:r>
        <w:rPr>
          <w:rFonts w:ascii="Arial" w:cs="Arial" w:eastAsia="Arial" w:hAnsi="Arial"/>
          <w:sz w:val="18"/>
          <w:szCs w:val="18"/>
          <w:color w:val="auto"/>
        </w:rPr>
        <w:t xml:space="preserve">Within thirty (30) days of the Second Amendment Effective Date the Loan Parties shall have delivered Control Agreements, executed by the applicable Loan Party, Lender and the applicable depository institution with respect to any Deposit Account opened after the Closing Date, together with an updated </w:t>
      </w:r>
      <w:r>
        <w:rPr>
          <w:rFonts w:ascii="Arial" w:cs="Arial" w:eastAsia="Arial" w:hAnsi="Arial"/>
          <w:sz w:val="18"/>
          <w:szCs w:val="18"/>
          <w:u w:val="single" w:color="auto"/>
          <w:color w:val="auto"/>
        </w:rPr>
        <w:t>Schedule 1.1(b)</w:t>
      </w:r>
      <w:r>
        <w:rPr>
          <w:rFonts w:ascii="Arial" w:cs="Arial" w:eastAsia="Arial" w:hAnsi="Arial"/>
          <w:sz w:val="18"/>
          <w:szCs w:val="18"/>
          <w:color w:val="auto"/>
        </w:rPr>
        <w:t xml:space="preserve"> to this Agreement; and</w:t>
      </w:r>
    </w:p>
    <w:p>
      <w:pPr>
        <w:spacing w:after="0" w:line="183" w:lineRule="exact"/>
        <w:rPr>
          <w:rFonts w:ascii="Arial" w:cs="Arial" w:eastAsia="Arial" w:hAnsi="Arial"/>
          <w:sz w:val="18"/>
          <w:szCs w:val="18"/>
          <w:color w:val="auto"/>
        </w:rPr>
      </w:pPr>
    </w:p>
    <w:p>
      <w:pPr>
        <w:ind w:firstLine="656"/>
        <w:spacing w:after="0" w:line="277" w:lineRule="auto"/>
        <w:tabs>
          <w:tab w:leader="none" w:pos="876" w:val="left"/>
        </w:tabs>
        <w:numPr>
          <w:ilvl w:val="0"/>
          <w:numId w:val="117"/>
        </w:numPr>
        <w:rPr>
          <w:rFonts w:ascii="Arial" w:cs="Arial" w:eastAsia="Arial" w:hAnsi="Arial"/>
          <w:sz w:val="18"/>
          <w:szCs w:val="18"/>
          <w:color w:val="auto"/>
        </w:rPr>
      </w:pPr>
      <w:r>
        <w:rPr>
          <w:rFonts w:ascii="Arial" w:cs="Arial" w:eastAsia="Arial" w:hAnsi="Arial"/>
          <w:sz w:val="18"/>
          <w:szCs w:val="18"/>
          <w:color w:val="auto"/>
        </w:rPr>
        <w:t>Within thirty (30) days of the Second Amendment Effective Date Borrower shall have established a Cash Collateral Account and deposited $10,000,000 into such account.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5.14 Location of Assets</w:t>
      </w:r>
      <w:r>
        <w:rPr>
          <w:rFonts w:ascii="Arial" w:cs="Arial" w:eastAsia="Arial" w:hAnsi="Arial"/>
          <w:sz w:val="18"/>
          <w:szCs w:val="18"/>
          <w:color w:val="auto"/>
        </w:rPr>
        <w:t>. The Loan Parties shall maintain all Collateral at the Specified Locations.</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20" w:type="dxa"/>
            <w:vAlign w:val="bottom"/>
            <w:tcBorders>
              <w:bottom w:val="single" w:sz="8" w:color="auto"/>
            </w:tcBorders>
          </w:tcPr>
          <w:p>
            <w:pPr>
              <w:jc w:val="right"/>
              <w:ind w:right="5350"/>
              <w:spacing w:after="0"/>
              <w:rPr>
                <w:sz w:val="20"/>
                <w:szCs w:val="20"/>
                <w:color w:val="auto"/>
              </w:rPr>
            </w:pPr>
            <w:r>
              <w:rPr>
                <w:rFonts w:ascii="Arial" w:cs="Arial" w:eastAsia="Arial" w:hAnsi="Arial"/>
                <w:sz w:val="18"/>
                <w:szCs w:val="18"/>
                <w:color w:val="auto"/>
              </w:rPr>
              <w:t>58</w:t>
            </w:r>
          </w:p>
        </w:tc>
      </w:tr>
    </w:tbl>
    <w:p>
      <w:pPr>
        <w:sectPr>
          <w:pgSz w:w="11900" w:h="16838" w:orient="portrait"/>
          <w:cols w:equalWidth="0" w:num="1">
            <w:col w:w="11240"/>
          </w:cols>
          <w:pgMar w:left="320" w:top="908" w:right="339" w:bottom="1440" w:gutter="0" w:footer="0" w:header="0"/>
        </w:sectPr>
      </w:pPr>
    </w:p>
    <w:bookmarkStart w:id="135" w:name="page136"/>
    <w:bookmarkEnd w:id="135"/>
    <w:p>
      <w:pPr>
        <w:jc w:val="both"/>
        <w:ind w:firstLine="648"/>
        <w:spacing w:after="0" w:line="289" w:lineRule="auto"/>
        <w:rPr>
          <w:sz w:val="20"/>
          <w:szCs w:val="20"/>
          <w:color w:val="auto"/>
        </w:rPr>
      </w:pPr>
      <w:r>
        <w:rPr>
          <w:rFonts w:ascii="Arial" w:cs="Arial" w:eastAsia="Arial" w:hAnsi="Arial"/>
          <w:sz w:val="16"/>
          <w:szCs w:val="16"/>
          <w:b w:val="1"/>
          <w:bCs w:val="1"/>
          <w:color w:val="auto"/>
        </w:rPr>
        <w:t xml:space="preserve">5.15 Additional Subsidiaries. </w:t>
      </w:r>
      <w:r>
        <w:rPr>
          <w:rFonts w:ascii="Arial" w:cs="Arial" w:eastAsia="Arial" w:hAnsi="Arial"/>
          <w:sz w:val="16"/>
          <w:szCs w:val="16"/>
          <w:color w:val="auto"/>
        </w:rPr>
        <w:t>In the event that any Person becomes a Domestic Subsidiary of a Loan Party, such Loan Party shall concurrently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with such Person becoming a Domestic Subsidiary, cause such Person to (i) become a Guarantor and a grantor under the Security Agreement by executing and delivering to Agent a joinder in form and substance acceptable to Agent, (ii) take all such other action as shall be necessary or reasonably appropriate to establish, create, preserve, protect and perfect a first priority Lien (subject only to Permitted Liens) in favor of Agent for the benefit of the Lenders on substantially all assets, both real and personal, in which such Domestic Subsidiary has or may thereafter acquire any interest, to the extent required by this Agreement, the Security Agreement, or any other Loan Document, including the execution and delivery of all such documents, instruments, agreements, and certificates as are similar to those delivered by the other Loan Parties as described in </w:t>
      </w:r>
      <w:r>
        <w:rPr>
          <w:rFonts w:ascii="Arial" w:cs="Arial" w:eastAsia="Arial" w:hAnsi="Arial"/>
          <w:sz w:val="16"/>
          <w:szCs w:val="16"/>
          <w:u w:val="single" w:color="auto"/>
          <w:color w:val="auto"/>
        </w:rPr>
        <w:t>Section 4.1</w:t>
      </w:r>
      <w:r>
        <w:rPr>
          <w:rFonts w:ascii="Arial" w:cs="Arial" w:eastAsia="Arial" w:hAnsi="Arial"/>
          <w:sz w:val="16"/>
          <w:szCs w:val="16"/>
          <w:color w:val="auto"/>
        </w:rPr>
        <w:t>, and (iii) promptly send to Agent written notice setting forth with respect to such Domestic Subsidiary, the date on which such Person became a Domestic Subsidiary of a Loan Party, updated Schedules to this Agreement and each other applicable Loan Document, and a Perfection Certificate, in each case with respect to such Person.</w:t>
      </w:r>
    </w:p>
    <w:p>
      <w:pPr>
        <w:spacing w:after="0" w:line="166"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b w:val="1"/>
          <w:bCs w:val="1"/>
          <w:color w:val="auto"/>
        </w:rPr>
        <w:t>5.16 Board Observation Rights</w:t>
      </w:r>
      <w:r>
        <w:rPr>
          <w:rFonts w:ascii="Arial" w:cs="Arial" w:eastAsia="Arial" w:hAnsi="Arial"/>
          <w:sz w:val="16"/>
          <w:szCs w:val="16"/>
          <w:color w:val="auto"/>
        </w:rPr>
        <w:t>. For so long as the Obligations remain outstanding Agent shall have the right to designate one (1) representative</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i w:val="1"/>
          <w:iCs w:val="1"/>
          <w:color w:val="auto"/>
        </w:rPr>
        <w:t>Representative</w:t>
      </w:r>
      <w:r>
        <w:rPr>
          <w:rFonts w:ascii="Arial" w:cs="Arial" w:eastAsia="Arial" w:hAnsi="Arial"/>
          <w:sz w:val="16"/>
          <w:szCs w:val="16"/>
          <w:color w:val="auto"/>
        </w:rPr>
        <w:t>”) which Representative shall either be (i) a person employed by Agent or one of its Affiliates or (ii) any other person designated by the Agent and reasonably acceptable to the Borrower, who shall: (a) solely to the extent the Agent has delivered written notice to Borrower that it elects to receive material non-public information, and such notice has not been rescinded by Agent by written notice to the Borrower, receive prior notice of all meetings (both regular and special) of the board of directors or similar governing body (the “</w:t>
      </w:r>
      <w:r>
        <w:rPr>
          <w:rFonts w:ascii="Arial" w:cs="Arial" w:eastAsia="Arial" w:hAnsi="Arial"/>
          <w:sz w:val="16"/>
          <w:szCs w:val="16"/>
          <w:b w:val="1"/>
          <w:bCs w:val="1"/>
          <w:i w:val="1"/>
          <w:iCs w:val="1"/>
          <w:color w:val="auto"/>
        </w:rPr>
        <w:t>Governing Body</w:t>
      </w:r>
      <w:r>
        <w:rPr>
          <w:rFonts w:ascii="Arial" w:cs="Arial" w:eastAsia="Arial" w:hAnsi="Arial"/>
          <w:sz w:val="16"/>
          <w:szCs w:val="16"/>
          <w:color w:val="auto"/>
        </w:rPr>
        <w:t xml:space="preserve">”) and/or the holders of the Equity Interests of and of each committee of any such Governing Body of (i) each Loan Party, (ii) each of any Loan Party’s Subsidiaries, and (iii) each direct or indirect parent of any Loan Party; (b) solely to the extent the Agent has delivered written notice to Borrower that it elects to receive material non-public information, and such notice has not been rescinded by Agent by written notice to the Borrower, be entitled to attend (or, at the option of such Representative, monitor by telephone) all such meetings; (c) solely to the extent the Agent has delivered written notice to Borrower that it elects to receive material non-public information, and such notice has not been rescinded by Agent by written notice to the Borrower, receive all notices, information, reports and minutes of meetings, which are furnished (or made available) to the members of any such Governing Body and/or committee and/or holders of Equity Interests at or around the same time and in the same (in all material respects) manner as the same is furnished (or made available) to such members; and (d) solely to the extent the Agent has delivered written notice to Borrower that it elects to receive material non-public information, and such notice has not been rescinded by Agent by written notice to the Borrower, be entitled to participate in all discussions conducted at such meetings. Solely to the extent the Agent has delivered written notice to Borrower that it elects to receive material non-public information, and such notice has not been rescinded by Agent by written notice to the Borrower, if any action is proposed to be taken by any such Governing Body and/or committee by written consent in lieu of a meeting, the Loan Parties shall give, or shall cause to be given, written notice thereof to each Representative, which notice shall describe in reasonable detail the nature and substance of such proposed action before any such action is taken and in any event not materially later than the date upon which any member of any such board of directors (or similar governing body) and/or committee receives the same. Solely to the extent the Agent has delivered written notice to Borrower that it elects to receive material non-public information, and such notice has not been rescinded by Agent by written notice to the Borrower, the Loan Parties shall furnish, or shall cause to be furnished, to each Representative with a copy of each such written consent at or around the same time, and in the same (in all material respects) manner as the same is furnished (or made available) to such members. The Loan Parties shall be required to reimburse Agent for its reasonable and documented out-of-pocket costs and expenses under this </w:t>
      </w:r>
      <w:r>
        <w:rPr>
          <w:rFonts w:ascii="Arial" w:cs="Arial" w:eastAsia="Arial" w:hAnsi="Arial"/>
          <w:sz w:val="16"/>
          <w:szCs w:val="16"/>
          <w:u w:val="single" w:color="auto"/>
          <w:color w:val="auto"/>
        </w:rPr>
        <w:t>Section 5.16</w:t>
      </w:r>
      <w:r>
        <w:rPr>
          <w:rFonts w:ascii="Arial" w:cs="Arial" w:eastAsia="Arial" w:hAnsi="Arial"/>
          <w:sz w:val="16"/>
          <w:szCs w:val="16"/>
          <w:color w:val="auto"/>
        </w:rPr>
        <w:t xml:space="preserve"> with respect to attending such board or committee meetings, which costs and expenses shall be reimbursed promptly upon submission of customary expense reports and documentation. For the avoidance of doubt, each Representative (x) shall not constitute a director and/or member of a board committee; (y) shall not be entitled to vote or consent on any matters presented by meetings of the Governing Body and/or committee or actions taken in lieu of a meeting; and (z) shall not be entitled to any rights other than those provided by this </w:t>
      </w:r>
      <w:r>
        <w:rPr>
          <w:rFonts w:ascii="Arial" w:cs="Arial" w:eastAsia="Arial" w:hAnsi="Arial"/>
          <w:sz w:val="16"/>
          <w:szCs w:val="16"/>
          <w:u w:val="single" w:color="auto"/>
          <w:color w:val="auto"/>
        </w:rPr>
        <w:t>Section 5.16</w:t>
      </w:r>
      <w:r>
        <w:rPr>
          <w:rFonts w:ascii="Arial" w:cs="Arial" w:eastAsia="Arial" w:hAnsi="Arial"/>
          <w:sz w:val="16"/>
          <w:szCs w:val="16"/>
          <w:color w:val="auto"/>
        </w:rPr>
        <w:t xml:space="preserve">. The parties hereto agree that the Representative does not have a fiduciary duty or any other duties or responsibilities to the Loan Parties or any of their respective Affiliates. Subject to the first sentence of this </w:t>
      </w:r>
      <w:r>
        <w:rPr>
          <w:rFonts w:ascii="Arial" w:cs="Arial" w:eastAsia="Arial" w:hAnsi="Arial"/>
          <w:sz w:val="16"/>
          <w:szCs w:val="16"/>
          <w:u w:val="single" w:color="auto"/>
          <w:color w:val="auto"/>
        </w:rPr>
        <w:t>Section 5.16</w:t>
      </w:r>
      <w:r>
        <w:rPr>
          <w:rFonts w:ascii="Arial" w:cs="Arial" w:eastAsia="Arial" w:hAnsi="Arial"/>
          <w:sz w:val="16"/>
          <w:szCs w:val="16"/>
          <w:color w:val="auto"/>
        </w:rPr>
        <w:t>, Agent may designate a new individual to serve as the Representative at any time and at its sole discretion. Notwithstanding the foregoing, the Representative shall not be entitled to receive materials relating to, or be in attendance for any discussions relating to, topics which, based upon the advice of counsel (i) the Representative’s access to such information or attendance for such discussion would reasonably be expected to terminate the attorney client privilege between any Loan Party or its Subsidiaries and its counsel, or (ii) concern the Loan Parties’ strategy or negotiations with respect to the Loan Documents or otherwise would present a conflict of interest for such Representative or the Agent or the Lenders.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20" w:type="dxa"/>
            <w:vAlign w:val="bottom"/>
            <w:tcBorders>
              <w:bottom w:val="single" w:sz="8" w:color="auto"/>
            </w:tcBorders>
          </w:tcPr>
          <w:p>
            <w:pPr>
              <w:jc w:val="right"/>
              <w:ind w:right="5350"/>
              <w:spacing w:after="0"/>
              <w:rPr>
                <w:sz w:val="20"/>
                <w:szCs w:val="20"/>
                <w:color w:val="auto"/>
              </w:rPr>
            </w:pPr>
            <w:r>
              <w:rPr>
                <w:rFonts w:ascii="Arial" w:cs="Arial" w:eastAsia="Arial" w:hAnsi="Arial"/>
                <w:sz w:val="18"/>
                <w:szCs w:val="18"/>
                <w:color w:val="auto"/>
              </w:rPr>
              <w:t>59</w:t>
            </w:r>
          </w:p>
        </w:tc>
      </w:tr>
    </w:tbl>
    <w:p>
      <w:pPr>
        <w:sectPr>
          <w:pgSz w:w="11900" w:h="16838" w:orient="portrait"/>
          <w:cols w:equalWidth="0" w:num="1">
            <w:col w:w="11240"/>
          </w:cols>
          <w:pgMar w:left="320" w:top="904" w:right="339" w:bottom="1440" w:gutter="0" w:footer="0" w:header="0"/>
        </w:sectPr>
      </w:pPr>
    </w:p>
    <w:bookmarkStart w:id="136" w:name="page137"/>
    <w:bookmarkEnd w:id="136"/>
    <w:p>
      <w:pPr>
        <w:ind w:left="660"/>
        <w:spacing w:after="0"/>
        <w:rPr>
          <w:sz w:val="20"/>
          <w:szCs w:val="20"/>
          <w:color w:val="auto"/>
        </w:rPr>
      </w:pPr>
      <w:r>
        <w:rPr>
          <w:rFonts w:ascii="Arial" w:cs="Arial" w:eastAsia="Arial" w:hAnsi="Arial"/>
          <w:sz w:val="18"/>
          <w:szCs w:val="18"/>
          <w:b w:val="1"/>
          <w:bCs w:val="1"/>
          <w:color w:val="auto"/>
        </w:rPr>
        <w:t>5.17 MNPI</w:t>
      </w:r>
      <w:r>
        <w:rPr>
          <w:rFonts w:ascii="Arial" w:cs="Arial" w:eastAsia="Arial" w:hAnsi="Arial"/>
          <w:sz w:val="18"/>
          <w:szCs w:val="18"/>
          <w:color w:val="auto"/>
        </w:rPr>
        <w:t>.</w:t>
      </w:r>
    </w:p>
    <w:p>
      <w:pPr>
        <w:spacing w:after="0" w:line="229" w:lineRule="exact"/>
        <w:rPr>
          <w:sz w:val="20"/>
          <w:szCs w:val="20"/>
          <w:color w:val="auto"/>
        </w:rPr>
      </w:pPr>
    </w:p>
    <w:p>
      <w:pPr>
        <w:jc w:val="both"/>
        <w:ind w:firstLine="656"/>
        <w:spacing w:after="0" w:line="271" w:lineRule="auto"/>
        <w:tabs>
          <w:tab w:leader="none" w:pos="906" w:val="left"/>
        </w:tabs>
        <w:numPr>
          <w:ilvl w:val="0"/>
          <w:numId w:val="118"/>
        </w:numPr>
        <w:rPr>
          <w:rFonts w:ascii="Arial" w:cs="Arial" w:eastAsia="Arial" w:hAnsi="Arial"/>
          <w:sz w:val="17"/>
          <w:szCs w:val="17"/>
          <w:color w:val="auto"/>
        </w:rPr>
      </w:pPr>
      <w:r>
        <w:rPr>
          <w:rFonts w:ascii="Arial" w:cs="Arial" w:eastAsia="Arial" w:hAnsi="Arial"/>
          <w:sz w:val="17"/>
          <w:szCs w:val="17"/>
          <w:color w:val="auto"/>
        </w:rPr>
        <w:t>The Loan Parties shall not, and each Loan Party shall cause each of its Subsidiaries and each of its and their respective officers, directors, employees and agents not to, provide the Agent or any Lender with any material, non-public information regarding the Loan Parties or any of their Subsidiaries from and after the date hereof unless the Agent or such Lender, as applicable has delivered written notice to the Borrower that it elects to receive material non-public information regarding the Loan Parties (which election may be made in each of the Agent’s or such Lender’s, as applicable, sole discretion) and in such case shall only deliver such material, non-public information to the Agent or such Lender, as applicable, that has made such election and only so long as the Agent or such Lender, as applicable has not rescinded such election by written notice to the Borrower (collectively, “</w:t>
      </w:r>
      <w:r>
        <w:rPr>
          <w:rFonts w:ascii="Arial" w:cs="Arial" w:eastAsia="Arial" w:hAnsi="Arial"/>
          <w:sz w:val="17"/>
          <w:szCs w:val="17"/>
          <w:b w:val="1"/>
          <w:bCs w:val="1"/>
          <w:i w:val="1"/>
          <w:iCs w:val="1"/>
          <w:color w:val="auto"/>
        </w:rPr>
        <w:t>Requested Information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nothing herein shall restrict the Loan Parties from providing the information to the Agent as required pursuant to </w:t>
      </w:r>
      <w:r>
        <w:rPr>
          <w:rFonts w:ascii="Arial" w:cs="Arial" w:eastAsia="Arial" w:hAnsi="Arial"/>
          <w:sz w:val="17"/>
          <w:szCs w:val="17"/>
          <w:u w:val="single" w:color="auto"/>
          <w:color w:val="auto"/>
        </w:rPr>
        <w:t>Section 5.1(c)</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5.2(a)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5.7</w:t>
      </w:r>
      <w:r>
        <w:rPr>
          <w:rFonts w:ascii="Arial" w:cs="Arial" w:eastAsia="Arial" w:hAnsi="Arial"/>
          <w:sz w:val="17"/>
          <w:szCs w:val="17"/>
          <w:color w:val="auto"/>
        </w:rPr>
        <w:t xml:space="preserve"> (together with the Requested Information, the “</w:t>
      </w:r>
      <w:r>
        <w:rPr>
          <w:rFonts w:ascii="Arial" w:cs="Arial" w:eastAsia="Arial" w:hAnsi="Arial"/>
          <w:sz w:val="17"/>
          <w:szCs w:val="17"/>
          <w:b w:val="1"/>
          <w:bCs w:val="1"/>
          <w:i w:val="1"/>
          <w:iCs w:val="1"/>
          <w:color w:val="auto"/>
        </w:rPr>
        <w:t>Permitted Information</w:t>
      </w:r>
      <w:r>
        <w:rPr>
          <w:rFonts w:ascii="Arial" w:cs="Arial" w:eastAsia="Arial" w:hAnsi="Arial"/>
          <w:sz w:val="17"/>
          <w:szCs w:val="17"/>
          <w:color w:val="auto"/>
        </w:rPr>
        <w:t>”).</w:t>
      </w:r>
    </w:p>
    <w:p>
      <w:pPr>
        <w:spacing w:after="0" w:line="178" w:lineRule="exact"/>
        <w:rPr>
          <w:rFonts w:ascii="Arial" w:cs="Arial" w:eastAsia="Arial" w:hAnsi="Arial"/>
          <w:sz w:val="17"/>
          <w:szCs w:val="17"/>
          <w:color w:val="auto"/>
        </w:rPr>
      </w:pPr>
    </w:p>
    <w:p>
      <w:pPr>
        <w:jc w:val="both"/>
        <w:ind w:firstLine="656"/>
        <w:spacing w:after="0" w:line="263" w:lineRule="auto"/>
        <w:tabs>
          <w:tab w:leader="none" w:pos="916"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Agent and each Lender acknowledges that Permitted Information may include material, non-public information concerning the Loan Parties and their Affiliates or their respective securities, and confirms that it will handle such material, non-public information in accordance with applicable law, including Federal and state securities laws.</w:t>
      </w:r>
    </w:p>
    <w:p>
      <w:pPr>
        <w:spacing w:after="0" w:line="183" w:lineRule="exact"/>
        <w:rPr>
          <w:rFonts w:ascii="Arial" w:cs="Arial" w:eastAsia="Arial" w:hAnsi="Arial"/>
          <w:sz w:val="18"/>
          <w:szCs w:val="18"/>
          <w:color w:val="auto"/>
        </w:rPr>
      </w:pPr>
    </w:p>
    <w:p>
      <w:pPr>
        <w:jc w:val="both"/>
        <w:ind w:firstLine="656"/>
        <w:spacing w:after="0" w:line="259" w:lineRule="auto"/>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To the extent that Borrower delivers material, non-public information (as determined by Agent or the applicable Lender, acting reasonably, in consultation with the Borrower) regarding any of the Loan Parties or any of their Subsidiaries to the Agent or the Lender, in each case, other than any Permitted Information, then promptly (but in any event within three Business Days) following written request from the Agent or the applicable Lender, the Parent shall make a public disclosure with respect to such material, non-public information.</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20" w:type="dxa"/>
            <w:vAlign w:val="bottom"/>
            <w:tcBorders>
              <w:bottom w:val="single" w:sz="8" w:color="auto"/>
            </w:tcBorders>
          </w:tcPr>
          <w:p>
            <w:pPr>
              <w:jc w:val="right"/>
              <w:ind w:right="5350"/>
              <w:spacing w:after="0"/>
              <w:rPr>
                <w:sz w:val="20"/>
                <w:szCs w:val="20"/>
                <w:color w:val="auto"/>
              </w:rPr>
            </w:pPr>
            <w:r>
              <w:rPr>
                <w:rFonts w:ascii="Arial" w:cs="Arial" w:eastAsia="Arial" w:hAnsi="Arial"/>
                <w:sz w:val="18"/>
                <w:szCs w:val="18"/>
                <w:color w:val="auto"/>
              </w:rPr>
              <w:t>60</w:t>
            </w:r>
          </w:p>
        </w:tc>
      </w:tr>
    </w:tbl>
    <w:p>
      <w:pPr>
        <w:sectPr>
          <w:pgSz w:w="11900" w:h="16838" w:orient="portrait"/>
          <w:cols w:equalWidth="0" w:num="1">
            <w:col w:w="11240"/>
          </w:cols>
          <w:pgMar w:left="320" w:top="904" w:right="339" w:bottom="1440" w:gutter="0" w:footer="0" w:header="0"/>
        </w:sectPr>
      </w:pPr>
    </w:p>
    <w:bookmarkStart w:id="137" w:name="page138"/>
    <w:bookmarkEnd w:id="137"/>
    <w:p>
      <w:pPr>
        <w:jc w:val="both"/>
        <w:ind w:firstLine="656"/>
        <w:spacing w:after="0" w:line="272" w:lineRule="auto"/>
        <w:tabs>
          <w:tab w:leader="none" w:pos="903" w:val="left"/>
        </w:tabs>
        <w:numPr>
          <w:ilvl w:val="0"/>
          <w:numId w:val="119"/>
        </w:numPr>
        <w:rPr>
          <w:rFonts w:ascii="Arial" w:cs="Arial" w:eastAsia="Arial" w:hAnsi="Arial"/>
          <w:sz w:val="17"/>
          <w:szCs w:val="17"/>
          <w:color w:val="auto"/>
        </w:rPr>
      </w:pPr>
      <w:r>
        <w:rPr>
          <w:rFonts w:ascii="Arial" w:cs="Arial" w:eastAsia="Arial" w:hAnsi="Arial"/>
          <w:sz w:val="17"/>
          <w:szCs w:val="17"/>
          <w:color w:val="auto"/>
        </w:rPr>
        <w:t xml:space="preserve">In the event of a breach of any of </w:t>
      </w:r>
      <w:r>
        <w:rPr>
          <w:rFonts w:ascii="Arial" w:cs="Arial" w:eastAsia="Arial" w:hAnsi="Arial"/>
          <w:sz w:val="17"/>
          <w:szCs w:val="17"/>
          <w:u w:val="single" w:color="auto"/>
          <w:color w:val="auto"/>
        </w:rPr>
        <w:t>Section 5.17(c)</w:t>
      </w:r>
      <w:r>
        <w:rPr>
          <w:rFonts w:ascii="Arial" w:cs="Arial" w:eastAsia="Arial" w:hAnsi="Arial"/>
          <w:sz w:val="17"/>
          <w:szCs w:val="17"/>
          <w:color w:val="auto"/>
        </w:rPr>
        <w:t>, in addition to any other remedy provided herein or in the Loan Documents, the Agent shall have the right to make a public disclosure, in the form of a press release or otherwise, of such material, non-public information (other than any Permitted Information), as applicable, without the prior approval by the Loan Party, any of its Subsidiaries, or any of its or their respective officers, directors, employees or agents. The Agent shall not have any liability to the Loan Parties, any of their Subsidiaries, or any of its or their respective officers, directors, employees, affiliates, stockholders or agents, for any such disclosure. To the extent that any Loan Party delivers any material, non-public information to the Agent or a Lender (other than Permitted Information), each Loan Party hereby covenants and agrees that the Agent or such Lender, as applicable, shall not have any duty of confidentiality with respect to, or such material, non-public information.</w:t>
      </w:r>
    </w:p>
    <w:p>
      <w:pPr>
        <w:spacing w:after="0" w:line="173"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5.18 Cash Collateral Account.</w:t>
      </w:r>
      <w:r>
        <w:rPr>
          <w:rFonts w:ascii="Arial" w:cs="Arial" w:eastAsia="Arial" w:hAnsi="Arial"/>
          <w:sz w:val="18"/>
          <w:szCs w:val="18"/>
          <w:color w:val="auto"/>
        </w:rPr>
        <w:t>(a) Subject to the time periods set forth in Section 5.13(j), from and after the Second Amendment Effective Date,</w:t>
      </w:r>
      <w:r>
        <w:rPr>
          <w:rFonts w:ascii="Arial" w:cs="Arial" w:eastAsia="Arial" w:hAnsi="Arial"/>
          <w:sz w:val="18"/>
          <w:szCs w:val="18"/>
          <w:b w:val="1"/>
          <w:bCs w:val="1"/>
          <w:color w:val="auto"/>
        </w:rPr>
        <w:t xml:space="preserve"> </w:t>
      </w:r>
      <w:r>
        <w:rPr>
          <w:rFonts w:ascii="Arial" w:cs="Arial" w:eastAsia="Arial" w:hAnsi="Arial"/>
          <w:sz w:val="18"/>
          <w:szCs w:val="18"/>
          <w:color w:val="auto"/>
        </w:rPr>
        <w:t>the Borrower shall at all times maintain the Cash Collateral Account with a balance of no less than $10,000,000.</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5.19 Capital Markets Advisory; Future Capital Raises</w:t>
      </w:r>
      <w:r>
        <w:rPr>
          <w:rFonts w:ascii="Arial" w:cs="Arial" w:eastAsia="Arial" w:hAnsi="Arial"/>
          <w:sz w:val="18"/>
          <w:szCs w:val="18"/>
          <w:color w:val="auto"/>
        </w:rPr>
        <w:t>.</w:t>
      </w:r>
    </w:p>
    <w:p>
      <w:pPr>
        <w:spacing w:after="0" w:line="229" w:lineRule="exact"/>
        <w:rPr>
          <w:sz w:val="20"/>
          <w:szCs w:val="20"/>
          <w:color w:val="auto"/>
        </w:rPr>
      </w:pPr>
    </w:p>
    <w:p>
      <w:pPr>
        <w:ind w:right="20" w:firstLine="656"/>
        <w:spacing w:after="0" w:line="277" w:lineRule="auto"/>
        <w:tabs>
          <w:tab w:leader="none" w:pos="906"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At all times from and after the Third Amendment Effective Date, the Loan Parties shall retain a strategic commercial advisor reasonably acceptable to the Agent (the “</w:t>
      </w:r>
      <w:r>
        <w:rPr>
          <w:rFonts w:ascii="Arial" w:cs="Arial" w:eastAsia="Arial" w:hAnsi="Arial"/>
          <w:sz w:val="18"/>
          <w:szCs w:val="18"/>
          <w:u w:val="single" w:color="auto"/>
          <w:color w:val="auto"/>
        </w:rPr>
        <w:t>Advisory Firm</w:t>
      </w:r>
      <w:r>
        <w:rPr>
          <w:rFonts w:ascii="Arial" w:cs="Arial" w:eastAsia="Arial" w:hAnsi="Arial"/>
          <w:sz w:val="18"/>
          <w:szCs w:val="18"/>
          <w:color w:val="auto"/>
        </w:rPr>
        <w:t>”), on financial terms reasonably acceptable to Agent.</w:t>
      </w:r>
    </w:p>
    <w:p>
      <w:pPr>
        <w:spacing w:after="0" w:line="170" w:lineRule="exact"/>
        <w:rPr>
          <w:rFonts w:ascii="Arial" w:cs="Arial" w:eastAsia="Arial" w:hAnsi="Arial"/>
          <w:sz w:val="18"/>
          <w:szCs w:val="18"/>
          <w:color w:val="auto"/>
        </w:rPr>
      </w:pPr>
    </w:p>
    <w:p>
      <w:pPr>
        <w:ind w:right="20" w:firstLine="656"/>
        <w:spacing w:after="0" w:line="277" w:lineRule="auto"/>
        <w:tabs>
          <w:tab w:leader="none" w:pos="916"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In connection with each fundraising by the Loan Parties, the Loan Parties shall engage and retain an investment bank or banks reasonably acceptable to the Agent (each, an “</w:t>
      </w:r>
      <w:r>
        <w:rPr>
          <w:rFonts w:ascii="Arial" w:cs="Arial" w:eastAsia="Arial" w:hAnsi="Arial"/>
          <w:sz w:val="18"/>
          <w:szCs w:val="18"/>
          <w:u w:val="single" w:color="auto"/>
          <w:color w:val="auto"/>
        </w:rPr>
        <w:t>Investment Banker</w:t>
      </w:r>
      <w:r>
        <w:rPr>
          <w:rFonts w:ascii="Arial" w:cs="Arial" w:eastAsia="Arial" w:hAnsi="Arial"/>
          <w:sz w:val="18"/>
          <w:szCs w:val="18"/>
          <w:color w:val="auto"/>
        </w:rPr>
        <w:t>”), on financial terms reasonably acceptable to the Agent.</w:t>
      </w:r>
    </w:p>
    <w:p>
      <w:pPr>
        <w:spacing w:after="0" w:line="170" w:lineRule="exact"/>
        <w:rPr>
          <w:rFonts w:ascii="Arial" w:cs="Arial" w:eastAsia="Arial" w:hAnsi="Arial"/>
          <w:sz w:val="18"/>
          <w:szCs w:val="18"/>
          <w:color w:val="auto"/>
        </w:rPr>
      </w:pPr>
    </w:p>
    <w:p>
      <w:pPr>
        <w:jc w:val="both"/>
        <w:ind w:firstLine="656"/>
        <w:spacing w:after="0" w:line="254" w:lineRule="auto"/>
        <w:tabs>
          <w:tab w:leader="none" w:pos="892"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At any time during which the Agent has elected to receive material non-public information, the Loan Parties shall provide (i) the Agent with direct, reasonable access to the Advisory Firm and each Investment Banker (which may include involvement of management representative(s) of the Loan Parties), as reasonably requested by the Agent, and (ii) provide reports or work product developed by the Advisory Firm or any Investment Banker reasonably requested by the Agent, in each case except (x) to the extent disclosure of such information to the Agent would, upon advice of counsel, result in a breach by any Loan Party of a confidentiality agreement binding on such Loan Party that was not entered into by such Loan Party with the intent to prevent the disclosure of the relevant information to the Agent (provided, that such Loan Party shall use its best efforts to obtain a waiver with respect to such confidentiality agreement to permit such disclosure) and (ii) material which a Loan Party may not disclose, upon advice of counsel, without violation of any law.</w:t>
      </w:r>
    </w:p>
    <w:p>
      <w:pPr>
        <w:spacing w:after="0" w:line="18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5.20 Touch Business Plan</w:t>
      </w:r>
      <w:r>
        <w:rPr>
          <w:rFonts w:ascii="Arial" w:cs="Arial" w:eastAsia="Arial" w:hAnsi="Arial"/>
          <w:sz w:val="18"/>
          <w:szCs w:val="18"/>
          <w:color w:val="auto"/>
        </w:rPr>
        <w:t>. On or prior to December 31, 2023, the Loan Parties shall deliver to the Agent either (i) fully executed MSAs for all</w:t>
      </w:r>
      <w:r>
        <w:rPr>
          <w:rFonts w:ascii="Arial" w:cs="Arial" w:eastAsia="Arial" w:hAnsi="Arial"/>
          <w:sz w:val="18"/>
          <w:szCs w:val="18"/>
          <w:b w:val="1"/>
          <w:bCs w:val="1"/>
          <w:color w:val="auto"/>
        </w:rPr>
        <w:t xml:space="preserve"> </w:t>
      </w:r>
      <w:r>
        <w:rPr>
          <w:rFonts w:ascii="Arial" w:cs="Arial" w:eastAsia="Arial" w:hAnsi="Arial"/>
          <w:sz w:val="18"/>
          <w:szCs w:val="18"/>
          <w:color w:val="auto"/>
        </w:rPr>
        <w:t>existing customers, implementing an upgrade to the Next Generation Technology or (ii) a Touch Business Plan that has been approved by the Agent, acting reasonably. In the event that a Touch Business Plan is delivered pursuant to this Section 5.20, (A) the Loan Parties shall effectuate and adhere to such Touch Business Plan in all material respects, and (B) any changes or modifications to the Touch Business Plan must be approved in advance, in writing, by Agent, in its sole discretion.</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20" w:type="dxa"/>
            <w:vAlign w:val="bottom"/>
            <w:tcBorders>
              <w:bottom w:val="single" w:sz="8" w:color="auto"/>
            </w:tcBorders>
          </w:tcPr>
          <w:p>
            <w:pPr>
              <w:jc w:val="right"/>
              <w:ind w:right="5350"/>
              <w:spacing w:after="0"/>
              <w:rPr>
                <w:sz w:val="20"/>
                <w:szCs w:val="20"/>
                <w:color w:val="auto"/>
              </w:rPr>
            </w:pPr>
            <w:r>
              <w:rPr>
                <w:rFonts w:ascii="Arial" w:cs="Arial" w:eastAsia="Arial" w:hAnsi="Arial"/>
                <w:sz w:val="18"/>
                <w:szCs w:val="18"/>
                <w:color w:val="auto"/>
              </w:rPr>
              <w:t>61</w:t>
            </w:r>
          </w:p>
        </w:tc>
      </w:tr>
    </w:tbl>
    <w:p>
      <w:pPr>
        <w:sectPr>
          <w:pgSz w:w="11900" w:h="16838" w:orient="portrait"/>
          <w:cols w:equalWidth="0" w:num="1">
            <w:col w:w="11240"/>
          </w:cols>
          <w:pgMar w:left="320" w:top="908" w:right="339" w:bottom="1440" w:gutter="0" w:footer="0" w:header="0"/>
        </w:sectPr>
      </w:pPr>
    </w:p>
    <w:bookmarkStart w:id="138" w:name="page139"/>
    <w:bookmarkEnd w:id="138"/>
    <w:p>
      <w:pPr>
        <w:jc w:val="center"/>
        <w:spacing w:after="0"/>
        <w:rPr>
          <w:sz w:val="20"/>
          <w:szCs w:val="20"/>
          <w:color w:val="auto"/>
        </w:rPr>
      </w:pPr>
      <w:r>
        <w:rPr>
          <w:rFonts w:ascii="Arial" w:cs="Arial" w:eastAsia="Arial" w:hAnsi="Arial"/>
          <w:sz w:val="18"/>
          <w:szCs w:val="18"/>
          <w:color w:val="auto"/>
        </w:rPr>
        <w:t>SECTION 6</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NEGATIVE COVENANTS</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Each Loan Party, on its own behalf and on behalf of its Subsidiaries, hereby agrees that, until the Term Loan Commitment has been terminated and the Obligations have been paid in full (other than inchoate indemnification obligations):</w:t>
      </w:r>
    </w:p>
    <w:p>
      <w:pPr>
        <w:spacing w:after="0" w:line="16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6.1 Indebtedness</w:t>
      </w:r>
      <w:r>
        <w:rPr>
          <w:rFonts w:ascii="Arial" w:cs="Arial" w:eastAsia="Arial" w:hAnsi="Arial"/>
          <w:sz w:val="18"/>
          <w:szCs w:val="18"/>
          <w:color w:val="auto"/>
        </w:rPr>
        <w:t>. No Loan Party shall, and shall not permit any Subsidiary to, create, issue, incur, assume, become liable in respect of or suffer to</w:t>
      </w:r>
      <w:r>
        <w:rPr>
          <w:rFonts w:ascii="Arial" w:cs="Arial" w:eastAsia="Arial" w:hAnsi="Arial"/>
          <w:sz w:val="18"/>
          <w:szCs w:val="18"/>
          <w:b w:val="1"/>
          <w:bCs w:val="1"/>
          <w:color w:val="auto"/>
        </w:rPr>
        <w:t xml:space="preserve"> </w:t>
      </w:r>
      <w:r>
        <w:rPr>
          <w:rFonts w:ascii="Arial" w:cs="Arial" w:eastAsia="Arial" w:hAnsi="Arial"/>
          <w:sz w:val="18"/>
          <w:szCs w:val="18"/>
          <w:color w:val="auto"/>
        </w:rPr>
        <w:t>exist any Indebtedness, except Indebtedness pursuant to the Loan Documents and Permitted Indebtedness.</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6.2 Liens</w:t>
      </w:r>
      <w:r>
        <w:rPr>
          <w:rFonts w:ascii="Arial" w:cs="Arial" w:eastAsia="Arial" w:hAnsi="Arial"/>
          <w:sz w:val="18"/>
          <w:szCs w:val="18"/>
          <w:color w:val="auto"/>
        </w:rPr>
        <w:t>. No Loan Party shall, and shall not permit any Subsidiary to, create, incur, assume or suffer to exist any Lien upon any of its property,</w:t>
      </w:r>
      <w:r>
        <w:rPr>
          <w:rFonts w:ascii="Arial" w:cs="Arial" w:eastAsia="Arial" w:hAnsi="Arial"/>
          <w:sz w:val="18"/>
          <w:szCs w:val="18"/>
          <w:b w:val="1"/>
          <w:bCs w:val="1"/>
          <w:color w:val="auto"/>
        </w:rPr>
        <w:t xml:space="preserve"> </w:t>
      </w:r>
      <w:r>
        <w:rPr>
          <w:rFonts w:ascii="Arial" w:cs="Arial" w:eastAsia="Arial" w:hAnsi="Arial"/>
          <w:sz w:val="18"/>
          <w:szCs w:val="18"/>
          <w:color w:val="auto"/>
        </w:rPr>
        <w:t>whether now owned or hereafter acquired, except Permitted Liens.</w:t>
      </w:r>
    </w:p>
    <w:p>
      <w:pPr>
        <w:spacing w:after="0" w:line="16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color w:val="auto"/>
        </w:rPr>
        <w:t>6.3 Fundamental Changes</w:t>
      </w:r>
      <w:r>
        <w:rPr>
          <w:rFonts w:ascii="Arial" w:cs="Arial" w:eastAsia="Arial" w:hAnsi="Arial"/>
          <w:sz w:val="17"/>
          <w:szCs w:val="17"/>
          <w:color w:val="auto"/>
        </w:rPr>
        <w:t>. No Loan Party shall, and shall not permit any Subsidiary to, enter into any merger, consolidation or amalgamation</w:t>
      </w:r>
      <w:r>
        <w:rPr>
          <w:rFonts w:ascii="Arial" w:cs="Arial" w:eastAsia="Arial" w:hAnsi="Arial"/>
          <w:sz w:val="17"/>
          <w:szCs w:val="17"/>
          <w:b w:val="1"/>
          <w:bCs w:val="1"/>
          <w:color w:val="auto"/>
        </w:rPr>
        <w:t xml:space="preserve"> </w:t>
      </w:r>
      <w:r>
        <w:rPr>
          <w:rFonts w:ascii="Arial" w:cs="Arial" w:eastAsia="Arial" w:hAnsi="Arial"/>
          <w:sz w:val="17"/>
          <w:szCs w:val="17"/>
          <w:color w:val="auto"/>
        </w:rPr>
        <w:t>(other than the SPAC Transaction on the Closing Date or any Permitted Acquisition), or sale of substantially all of its assets, or liquidate, wind up or dissolve itself (or suffer any liquidation or dissolution) or permit any Division/Series Transaction; provided, that: (a) any Subsidiary of a Loan Party may merge, consolidate or otherwise combine with any Loan Party other than Parent; provided, that (i) such Loan Party is the surviving entity, and (ii) no Domestic Subsidiary may merge, consolidate or combine with or into a Foreign Subsidiary unless a Domestic Subsidiary is the surviving entity; and (b) any Subsidiary of a Loan Party that is not a Loan Party may merge, consolidate or otherwise combine with and into any other Subsidiary of a Loan Party that is not a Loan Party, in each case, so long as, (A) no Default or Event of Default exists or would be caused thereby, (B) Borrower provides Agent with at least ten (10) Business Days’ prior written notice thereof, and (C) the Loan Parties deliver all documents necessary or reasonably requested to preserve, protect and perfect Agent’s Lien on all Collateral that is the subject thereof.</w:t>
      </w:r>
    </w:p>
    <w:p>
      <w:pPr>
        <w:spacing w:after="0" w:line="17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6.4 Disposition of Property</w:t>
      </w:r>
      <w:r>
        <w:rPr>
          <w:rFonts w:ascii="Arial" w:cs="Arial" w:eastAsia="Arial" w:hAnsi="Arial"/>
          <w:sz w:val="18"/>
          <w:szCs w:val="18"/>
          <w:color w:val="auto"/>
        </w:rPr>
        <w:t>. No Loan Party shall, and shall not permit any Subsidiary to, Dispose, assign or otherwise transfer any of its rights,</w:t>
      </w:r>
      <w:r>
        <w:rPr>
          <w:rFonts w:ascii="Arial" w:cs="Arial" w:eastAsia="Arial" w:hAnsi="Arial"/>
          <w:sz w:val="18"/>
          <w:szCs w:val="18"/>
          <w:b w:val="1"/>
          <w:bCs w:val="1"/>
          <w:color w:val="auto"/>
        </w:rPr>
        <w:t xml:space="preserve"> </w:t>
      </w:r>
      <w:r>
        <w:rPr>
          <w:rFonts w:ascii="Arial" w:cs="Arial" w:eastAsia="Arial" w:hAnsi="Arial"/>
          <w:sz w:val="18"/>
          <w:szCs w:val="18"/>
          <w:color w:val="auto"/>
        </w:rPr>
        <w:t>title and interest in and to any of the Collateral other than:</w:t>
      </w:r>
    </w:p>
    <w:p>
      <w:pPr>
        <w:spacing w:after="0" w:line="166" w:lineRule="exact"/>
        <w:rPr>
          <w:sz w:val="20"/>
          <w:szCs w:val="20"/>
          <w:color w:val="auto"/>
        </w:rPr>
      </w:pPr>
    </w:p>
    <w:p>
      <w:pPr>
        <w:ind w:left="900" w:hanging="244"/>
        <w:spacing w:after="0"/>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Dispositions of cash and inventory in the ordinary course of business;</w:t>
      </w:r>
    </w:p>
    <w:p>
      <w:pPr>
        <w:spacing w:after="0" w:line="225" w:lineRule="exact"/>
        <w:rPr>
          <w:rFonts w:ascii="Arial" w:cs="Arial" w:eastAsia="Arial" w:hAnsi="Arial"/>
          <w:sz w:val="18"/>
          <w:szCs w:val="18"/>
          <w:color w:val="auto"/>
        </w:rPr>
      </w:pPr>
    </w:p>
    <w:p>
      <w:pPr>
        <w:ind w:firstLine="656"/>
        <w:spacing w:after="0" w:line="277" w:lineRule="auto"/>
        <w:tabs>
          <w:tab w:leader="none" w:pos="903" w:val="left"/>
        </w:tabs>
        <w:numPr>
          <w:ilvl w:val="0"/>
          <w:numId w:val="121"/>
        </w:numPr>
        <w:rPr>
          <w:rFonts w:ascii="Arial" w:cs="Arial" w:eastAsia="Arial" w:hAnsi="Arial"/>
          <w:sz w:val="18"/>
          <w:szCs w:val="18"/>
          <w:color w:val="auto"/>
        </w:rPr>
      </w:pPr>
      <w:r>
        <w:rPr>
          <w:rFonts w:ascii="Arial" w:cs="Arial" w:eastAsia="Arial" w:hAnsi="Arial"/>
          <w:sz w:val="18"/>
          <w:szCs w:val="18"/>
          <w:color w:val="auto"/>
        </w:rPr>
        <w:t>Dispositions of obsolete, damaged or worn out property or property no longer useful or useable in the conduct of any Loan Party’s business made in the ordinary course of business;</w:t>
      </w:r>
    </w:p>
    <w:p>
      <w:pPr>
        <w:spacing w:after="0" w:line="170" w:lineRule="exact"/>
        <w:rPr>
          <w:rFonts w:ascii="Arial" w:cs="Arial" w:eastAsia="Arial" w:hAnsi="Arial"/>
          <w:sz w:val="18"/>
          <w:szCs w:val="18"/>
          <w:color w:val="auto"/>
        </w:rPr>
      </w:pPr>
    </w:p>
    <w:p>
      <w:pPr>
        <w:ind w:left="900" w:hanging="244"/>
        <w:spacing w:after="0"/>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non-exclusive licenses of Intellectual Property in the ordinary course of business;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20" w:type="dxa"/>
            <w:vAlign w:val="bottom"/>
            <w:tcBorders>
              <w:bottom w:val="single" w:sz="8" w:color="auto"/>
            </w:tcBorders>
          </w:tcPr>
          <w:p>
            <w:pPr>
              <w:jc w:val="right"/>
              <w:ind w:right="5350"/>
              <w:spacing w:after="0"/>
              <w:rPr>
                <w:sz w:val="20"/>
                <w:szCs w:val="20"/>
                <w:color w:val="auto"/>
              </w:rPr>
            </w:pPr>
            <w:r>
              <w:rPr>
                <w:rFonts w:ascii="Arial" w:cs="Arial" w:eastAsia="Arial" w:hAnsi="Arial"/>
                <w:sz w:val="18"/>
                <w:szCs w:val="18"/>
                <w:color w:val="auto"/>
              </w:rPr>
              <w:t>62</w:t>
            </w:r>
          </w:p>
        </w:tc>
      </w:tr>
    </w:tbl>
    <w:p>
      <w:pPr>
        <w:sectPr>
          <w:pgSz w:w="11900" w:h="16838" w:orient="portrait"/>
          <w:cols w:equalWidth="0" w:num="1">
            <w:col w:w="11240"/>
          </w:cols>
          <w:pgMar w:left="320" w:top="908" w:right="339" w:bottom="1440" w:gutter="0" w:footer="0" w:header="0"/>
        </w:sectPr>
      </w:pPr>
    </w:p>
    <w:bookmarkStart w:id="139" w:name="page140"/>
    <w:bookmarkEnd w:id="139"/>
    <w:p>
      <w:pPr>
        <w:ind w:right="20" w:firstLine="656"/>
        <w:spacing w:after="0" w:line="277" w:lineRule="auto"/>
        <w:tabs>
          <w:tab w:leader="none" w:pos="903" w:val="left"/>
        </w:tabs>
        <w:numPr>
          <w:ilvl w:val="0"/>
          <w:numId w:val="122"/>
        </w:numPr>
        <w:rPr>
          <w:rFonts w:ascii="Arial" w:cs="Arial" w:eastAsia="Arial" w:hAnsi="Arial"/>
          <w:sz w:val="18"/>
          <w:szCs w:val="18"/>
          <w:color w:val="auto"/>
        </w:rPr>
      </w:pPr>
      <w:r>
        <w:rPr>
          <w:rFonts w:ascii="Arial" w:cs="Arial" w:eastAsia="Arial" w:hAnsi="Arial"/>
          <w:sz w:val="18"/>
          <w:szCs w:val="18"/>
          <w:color w:val="auto"/>
        </w:rPr>
        <w:t>so long as no Default exists, Dispositions of other property for its reasonable fair market value to non-Affiliates not to exceed Five Hundred Thousand Dollars ($500,000) in any calendar year;</w:t>
      </w:r>
    </w:p>
    <w:p>
      <w:pPr>
        <w:spacing w:after="0" w:line="170" w:lineRule="exact"/>
        <w:rPr>
          <w:rFonts w:ascii="Arial" w:cs="Arial" w:eastAsia="Arial" w:hAnsi="Arial"/>
          <w:sz w:val="18"/>
          <w:szCs w:val="18"/>
          <w:color w:val="auto"/>
        </w:rPr>
      </w:pPr>
    </w:p>
    <w:p>
      <w:pPr>
        <w:ind w:left="900" w:hanging="244"/>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subleases and assignments of real property lease interests not otherwise prohibited under this Agreement;</w:t>
      </w:r>
    </w:p>
    <w:p>
      <w:pPr>
        <w:spacing w:after="0" w:line="225" w:lineRule="exact"/>
        <w:rPr>
          <w:rFonts w:ascii="Arial" w:cs="Arial" w:eastAsia="Arial" w:hAnsi="Arial"/>
          <w:sz w:val="18"/>
          <w:szCs w:val="18"/>
          <w:color w:val="auto"/>
        </w:rPr>
      </w:pPr>
    </w:p>
    <w:p>
      <w:pPr>
        <w:ind w:left="880" w:hanging="224"/>
        <w:spacing w:after="0"/>
        <w:tabs>
          <w:tab w:leader="none" w:pos="8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Dispositions permitted under the definition of Permitted Liens with respect to Collateral; and</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other Dispositions approved in writing by Agent in its sole discretion.</w:t>
      </w:r>
    </w:p>
    <w:p>
      <w:pPr>
        <w:spacing w:after="0" w:line="22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color w:val="auto"/>
        </w:rPr>
        <w:t>6.5 Restricted Payments</w:t>
      </w:r>
      <w:r>
        <w:rPr>
          <w:rFonts w:ascii="Arial" w:cs="Arial" w:eastAsia="Arial" w:hAnsi="Arial"/>
          <w:sz w:val="16"/>
          <w:szCs w:val="16"/>
          <w:color w:val="auto"/>
        </w:rPr>
        <w:t>. No Loan Party shall, and shall not permit any Subsidiary to, (a) declare or pay any dividend (other than dividends</w:t>
      </w:r>
      <w:r>
        <w:rPr>
          <w:rFonts w:ascii="Arial" w:cs="Arial" w:eastAsia="Arial" w:hAnsi="Arial"/>
          <w:sz w:val="16"/>
          <w:szCs w:val="16"/>
          <w:b w:val="1"/>
          <w:bCs w:val="1"/>
          <w:color w:val="auto"/>
        </w:rPr>
        <w:t xml:space="preserve"> </w:t>
      </w:r>
      <w:r>
        <w:rPr>
          <w:rFonts w:ascii="Arial" w:cs="Arial" w:eastAsia="Arial" w:hAnsi="Arial"/>
          <w:sz w:val="16"/>
          <w:szCs w:val="16"/>
          <w:color w:val="auto"/>
        </w:rPr>
        <w:t>payable solely in common stock of the Person making such dividend) on, or make any payment on account of, or set apart assets for a sinking or other analogous fund for, the purchase, redemption, defeasance, retirement, cancellation, termination or other acquisition of, any Equity Interests (including, without limitation, any Disqualified Equity Interests) of any Loan Party, whether now or hereafter outstanding, or (b) make any other distribution (or payment of Indebtedness owed to an Affiliate) in respect thereof, either directly or indirectly, whether in cash or property or in obligations of Loan Party,</w:t>
      </w:r>
    </w:p>
    <w:p>
      <w:pPr>
        <w:spacing w:after="0" w:line="2" w:lineRule="exact"/>
        <w:rPr>
          <w:sz w:val="20"/>
          <w:szCs w:val="20"/>
          <w:color w:val="auto"/>
        </w:rPr>
      </w:pPr>
    </w:p>
    <w:p>
      <w:pPr>
        <w:ind w:firstLine="8"/>
        <w:spacing w:after="0" w:line="260" w:lineRule="auto"/>
        <w:tabs>
          <w:tab w:leader="none" w:pos="24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make any distribution to Parent for the purposes of making such dividend or payment, or (d) any payment, loan contribution or other transfer of funds of other property to any holder of Equity Interests of such Loan Party (collectively, “</w:t>
      </w:r>
      <w:r>
        <w:rPr>
          <w:rFonts w:ascii="Arial" w:cs="Arial" w:eastAsia="Arial" w:hAnsi="Arial"/>
          <w:sz w:val="18"/>
          <w:szCs w:val="18"/>
          <w:b w:val="1"/>
          <w:bCs w:val="1"/>
          <w:i w:val="1"/>
          <w:iCs w:val="1"/>
          <w:color w:val="auto"/>
        </w:rPr>
        <w:t>Restricted Payments</w:t>
      </w:r>
      <w:r>
        <w:rPr>
          <w:rFonts w:ascii="Arial" w:cs="Arial" w:eastAsia="Arial" w:hAnsi="Arial"/>
          <w:sz w:val="18"/>
          <w:szCs w:val="18"/>
          <w:color w:val="auto"/>
        </w:rPr>
        <w:t>”) other than:</w:t>
      </w:r>
    </w:p>
    <w:p>
      <w:pPr>
        <w:spacing w:after="0" w:line="185" w:lineRule="exact"/>
        <w:rPr>
          <w:rFonts w:ascii="Arial" w:cs="Arial" w:eastAsia="Arial" w:hAnsi="Arial"/>
          <w:sz w:val="18"/>
          <w:szCs w:val="18"/>
          <w:color w:val="auto"/>
        </w:rPr>
      </w:pPr>
    </w:p>
    <w:p>
      <w:pPr>
        <w:jc w:val="both"/>
        <w:ind w:firstLine="656"/>
        <w:spacing w:after="0" w:line="291" w:lineRule="auto"/>
        <w:tabs>
          <w:tab w:leader="none" w:pos="919" w:val="left"/>
        </w:tabs>
        <w:numPr>
          <w:ilvl w:val="1"/>
          <w:numId w:val="123"/>
        </w:numPr>
        <w:rPr>
          <w:rFonts w:ascii="Arial" w:cs="Arial" w:eastAsia="Arial" w:hAnsi="Arial"/>
          <w:sz w:val="16"/>
          <w:szCs w:val="16"/>
          <w:color w:val="auto"/>
        </w:rPr>
      </w:pPr>
      <w:r>
        <w:rPr>
          <w:rFonts w:ascii="Arial" w:cs="Arial" w:eastAsia="Arial" w:hAnsi="Arial"/>
          <w:sz w:val="16"/>
          <w:szCs w:val="16"/>
          <w:color w:val="auto"/>
        </w:rPr>
        <w:t>the Loan Parties and their Subsidiaries shall be permitted to repurchase Equity Interests (i) from former employees, officers, directors, consultants or other persons who performed services for the Loan Parties or any of their Subsidiaries in connection with the cessation of such employment or service, (ii) pursuant to the terms of employee stock plans, employee restricted stock agreements or similar arrangements by the cancellation of Indebtedness, (iii) upon the exercise of stock options or warrants if such transaction is non-cash and such repurchased Equity Interests represent a portion of the exercise price of such options or warrants, and (iv) upon withholding of a portion of the Equity Interests granted or awarded to a current or former director, officer, employee or consultant to pay for the taxes payable by such Person upon such grant or award (or upon vesting thereof); provided that all repurchases pursuant to the foregoing clauses (i) or (ii) do not exceed an aggregate of $1,000,000 per Fiscal Year for all such payments; and</w:t>
      </w:r>
    </w:p>
    <w:p>
      <w:pPr>
        <w:spacing w:after="0" w:line="166" w:lineRule="exact"/>
        <w:rPr>
          <w:rFonts w:ascii="Arial" w:cs="Arial" w:eastAsia="Arial" w:hAnsi="Arial"/>
          <w:sz w:val="16"/>
          <w:szCs w:val="16"/>
          <w:color w:val="auto"/>
        </w:rPr>
      </w:pPr>
    </w:p>
    <w:p>
      <w:pPr>
        <w:ind w:left="920" w:hanging="264"/>
        <w:spacing w:after="0"/>
        <w:tabs>
          <w:tab w:leader="none" w:pos="920" w:val="left"/>
        </w:tabs>
        <w:numPr>
          <w:ilvl w:val="1"/>
          <w:numId w:val="123"/>
        </w:numPr>
        <w:rPr>
          <w:rFonts w:ascii="Arial" w:cs="Arial" w:eastAsia="Arial" w:hAnsi="Arial"/>
          <w:sz w:val="17"/>
          <w:szCs w:val="17"/>
          <w:color w:val="auto"/>
        </w:rPr>
      </w:pPr>
      <w:r>
        <w:rPr>
          <w:rFonts w:ascii="Arial" w:cs="Arial" w:eastAsia="Arial" w:hAnsi="Arial"/>
          <w:sz w:val="17"/>
          <w:szCs w:val="17"/>
          <w:color w:val="auto"/>
        </w:rPr>
        <w:t>so long as no Default or Event of Default has occurred and is continuing or would result therefrom, Borrower may make Tax Distributions.</w:t>
      </w:r>
    </w:p>
    <w:p>
      <w:pPr>
        <w:spacing w:after="0" w:line="23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6.6 Investments</w:t>
      </w:r>
      <w:r>
        <w:rPr>
          <w:rFonts w:ascii="Arial" w:cs="Arial" w:eastAsia="Arial" w:hAnsi="Arial"/>
          <w:sz w:val="18"/>
          <w:szCs w:val="18"/>
          <w:color w:val="auto"/>
        </w:rPr>
        <w:t>. No Loan Party shall, and shall not permit any Subsidiary to, make any advance, loan, extension of credit (by way of guarantee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or capital contribution to, or purchase any Equity Interests, bonds, notes, debentures or other debt securities of, or any assets constituting all or substantially all of the assets of any Person, or a business unit of any Person, or make any other investment in, any Person (all of the foregoing, “</w:t>
      </w:r>
      <w:r>
        <w:rPr>
          <w:rFonts w:ascii="Arial" w:cs="Arial" w:eastAsia="Arial" w:hAnsi="Arial"/>
          <w:sz w:val="18"/>
          <w:szCs w:val="18"/>
          <w:b w:val="1"/>
          <w:bCs w:val="1"/>
          <w:i w:val="1"/>
          <w:iCs w:val="1"/>
          <w:color w:val="auto"/>
        </w:rPr>
        <w:t>Investments</w:t>
      </w:r>
      <w:r>
        <w:rPr>
          <w:rFonts w:ascii="Arial" w:cs="Arial" w:eastAsia="Arial" w:hAnsi="Arial"/>
          <w:sz w:val="18"/>
          <w:szCs w:val="18"/>
          <w:color w:val="auto"/>
        </w:rPr>
        <w:t>”), except: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Investments in cash and Cash Equivalents;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20" w:type="dxa"/>
            <w:vAlign w:val="bottom"/>
            <w:tcBorders>
              <w:bottom w:val="single" w:sz="8" w:color="auto"/>
            </w:tcBorders>
          </w:tcPr>
          <w:p>
            <w:pPr>
              <w:jc w:val="right"/>
              <w:ind w:right="5350"/>
              <w:spacing w:after="0"/>
              <w:rPr>
                <w:sz w:val="20"/>
                <w:szCs w:val="20"/>
                <w:color w:val="auto"/>
              </w:rPr>
            </w:pPr>
            <w:r>
              <w:rPr>
                <w:rFonts w:ascii="Arial" w:cs="Arial" w:eastAsia="Arial" w:hAnsi="Arial"/>
                <w:sz w:val="18"/>
                <w:szCs w:val="18"/>
                <w:color w:val="auto"/>
              </w:rPr>
              <w:t>63</w:t>
            </w:r>
          </w:p>
        </w:tc>
      </w:tr>
    </w:tbl>
    <w:p>
      <w:pPr>
        <w:sectPr>
          <w:pgSz w:w="11900" w:h="16838" w:orient="portrait"/>
          <w:cols w:equalWidth="0" w:num="1">
            <w:col w:w="11240"/>
          </w:cols>
          <w:pgMar w:left="320" w:top="908" w:right="339" w:bottom="1440" w:gutter="0" w:footer="0" w:header="0"/>
        </w:sectPr>
      </w:pPr>
    </w:p>
    <w:bookmarkStart w:id="140" w:name="page141"/>
    <w:bookmarkEnd w:id="140"/>
    <w:p>
      <w:pPr>
        <w:ind w:left="920" w:hanging="264"/>
        <w:spacing w:after="0"/>
        <w:tabs>
          <w:tab w:leader="none" w:pos="9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Investments by one Loan Party in any other Loan Party (other than Parent);</w:t>
      </w:r>
    </w:p>
    <w:p>
      <w:pPr>
        <w:spacing w:after="0" w:line="225" w:lineRule="exact"/>
        <w:rPr>
          <w:rFonts w:ascii="Arial" w:cs="Arial" w:eastAsia="Arial" w:hAnsi="Arial"/>
          <w:sz w:val="18"/>
          <w:szCs w:val="18"/>
          <w:color w:val="auto"/>
        </w:rPr>
      </w:pPr>
    </w:p>
    <w:p>
      <w:pPr>
        <w:ind w:firstLine="656"/>
        <w:spacing w:after="0" w:line="308" w:lineRule="auto"/>
        <w:tabs>
          <w:tab w:leader="none" w:pos="906" w:val="left"/>
        </w:tabs>
        <w:numPr>
          <w:ilvl w:val="0"/>
          <w:numId w:val="124"/>
        </w:numPr>
        <w:rPr>
          <w:rFonts w:ascii="Arial" w:cs="Arial" w:eastAsia="Arial" w:hAnsi="Arial"/>
          <w:sz w:val="17"/>
          <w:szCs w:val="17"/>
          <w:color w:val="auto"/>
        </w:rPr>
      </w:pPr>
      <w:r>
        <w:rPr>
          <w:rFonts w:ascii="Arial" w:cs="Arial" w:eastAsia="Arial" w:hAnsi="Arial"/>
          <w:sz w:val="17"/>
          <w:szCs w:val="17"/>
          <w:color w:val="auto"/>
        </w:rPr>
        <w:t>Investments by any Loan Party in any Subsidiary provided that the aggregate amount of such Investments do not exceed $250,000 in the aggregate in any fiscal year; and Investments by any Subsidiary that is not a Loan Party in any other Subsidiary or Loan Party;</w:t>
      </w:r>
    </w:p>
    <w:p>
      <w:pPr>
        <w:spacing w:after="0" w:line="146" w:lineRule="exact"/>
        <w:rPr>
          <w:rFonts w:ascii="Arial" w:cs="Arial" w:eastAsia="Arial" w:hAnsi="Arial"/>
          <w:sz w:val="17"/>
          <w:szCs w:val="17"/>
          <w:color w:val="auto"/>
        </w:rPr>
      </w:pPr>
    </w:p>
    <w:p>
      <w:pPr>
        <w:ind w:left="920" w:hanging="264"/>
        <w:spacing w:after="0"/>
        <w:tabs>
          <w:tab w:leader="none" w:pos="9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Investments in the ordinary course of business consisting of endorsements of negotiable instruments for collection or deposit;</w:t>
      </w:r>
    </w:p>
    <w:p>
      <w:pPr>
        <w:spacing w:after="0" w:line="225" w:lineRule="exact"/>
        <w:rPr>
          <w:rFonts w:ascii="Arial" w:cs="Arial" w:eastAsia="Arial" w:hAnsi="Arial"/>
          <w:sz w:val="18"/>
          <w:szCs w:val="18"/>
          <w:color w:val="auto"/>
        </w:rPr>
      </w:pPr>
    </w:p>
    <w:p>
      <w:pPr>
        <w:jc w:val="both"/>
        <w:ind w:firstLine="656"/>
        <w:spacing w:after="0" w:line="263" w:lineRule="auto"/>
        <w:tabs>
          <w:tab w:leader="none" w:pos="906"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Investments received in settlement of amounts due to Borrower effected in the ordinary course of business or owing to any Loan Party as a result of insolvency proceedings or upon the foreclosure or enforcement of any Lien in favor of a Loan Party or otherwise in settlement of delinquent obligations of, and other disputes with, customers or suppliers arising in the ordinary course of Borrower’s business;</w:t>
      </w:r>
    </w:p>
    <w:p>
      <w:pPr>
        <w:spacing w:after="0" w:line="183" w:lineRule="exact"/>
        <w:rPr>
          <w:rFonts w:ascii="Arial" w:cs="Arial" w:eastAsia="Arial" w:hAnsi="Arial"/>
          <w:sz w:val="18"/>
          <w:szCs w:val="18"/>
          <w:color w:val="auto"/>
        </w:rPr>
      </w:pPr>
    </w:p>
    <w:p>
      <w:pPr>
        <w:ind w:left="880" w:hanging="224"/>
        <w:spacing w:after="0"/>
        <w:tabs>
          <w:tab w:leader="none" w:pos="8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 xml:space="preserve">Investments set forth on </w:t>
      </w:r>
      <w:r>
        <w:rPr>
          <w:rFonts w:ascii="Arial" w:cs="Arial" w:eastAsia="Arial" w:hAnsi="Arial"/>
          <w:sz w:val="18"/>
          <w:szCs w:val="18"/>
          <w:u w:val="single" w:color="auto"/>
          <w:color w:val="auto"/>
        </w:rPr>
        <w:t>Schedule 6.6</w:t>
      </w:r>
      <w:r>
        <w:rPr>
          <w:rFonts w:ascii="Arial" w:cs="Arial" w:eastAsia="Arial" w:hAnsi="Arial"/>
          <w:sz w:val="18"/>
          <w:szCs w:val="18"/>
          <w:color w:val="auto"/>
        </w:rPr>
        <w:t xml:space="preserve"> existing as of the Closing Date;</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advances (including to trade creditors) made in connection with the purchases of goods or services in the ordinary course of business;</w:t>
      </w:r>
    </w:p>
    <w:p>
      <w:pPr>
        <w:spacing w:after="0" w:line="236" w:lineRule="exact"/>
        <w:rPr>
          <w:rFonts w:ascii="Arial" w:cs="Arial" w:eastAsia="Arial" w:hAnsi="Arial"/>
          <w:sz w:val="17"/>
          <w:szCs w:val="17"/>
          <w:color w:val="auto"/>
        </w:rPr>
      </w:pPr>
    </w:p>
    <w:p>
      <w:pPr>
        <w:ind w:left="920" w:hanging="264"/>
        <w:spacing w:after="0"/>
        <w:tabs>
          <w:tab w:leader="none" w:pos="9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extensions of trade credit in the ordinary course of business;</w:t>
      </w:r>
    </w:p>
    <w:p>
      <w:pPr>
        <w:spacing w:after="0" w:line="225" w:lineRule="exact"/>
        <w:rPr>
          <w:rFonts w:ascii="Arial" w:cs="Arial" w:eastAsia="Arial" w:hAnsi="Arial"/>
          <w:sz w:val="18"/>
          <w:szCs w:val="18"/>
          <w:color w:val="auto"/>
        </w:rPr>
      </w:pPr>
    </w:p>
    <w:p>
      <w:pPr>
        <w:ind w:left="880" w:hanging="224"/>
        <w:spacing w:after="0"/>
        <w:tabs>
          <w:tab w:leader="none" w:pos="8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guarantees permitted under the definition of Permitted Indebtedness;</w:t>
      </w:r>
    </w:p>
    <w:p>
      <w:pPr>
        <w:spacing w:after="0" w:line="225" w:lineRule="exact"/>
        <w:rPr>
          <w:rFonts w:ascii="Arial" w:cs="Arial" w:eastAsia="Arial" w:hAnsi="Arial"/>
          <w:sz w:val="18"/>
          <w:szCs w:val="18"/>
          <w:color w:val="auto"/>
        </w:rPr>
      </w:pPr>
    </w:p>
    <w:p>
      <w:pPr>
        <w:ind w:left="880" w:hanging="224"/>
        <w:spacing w:after="0"/>
        <w:tabs>
          <w:tab w:leader="none" w:pos="8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 xml:space="preserve">Investments accepted in connection with any transaction permitted pursuant to </w:t>
      </w:r>
      <w:r>
        <w:rPr>
          <w:rFonts w:ascii="Arial" w:cs="Arial" w:eastAsia="Arial" w:hAnsi="Arial"/>
          <w:sz w:val="18"/>
          <w:szCs w:val="18"/>
          <w:u w:val="single" w:color="auto"/>
          <w:color w:val="auto"/>
        </w:rPr>
        <w:t>Section 6.4</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656"/>
        <w:spacing w:after="0" w:line="308" w:lineRule="auto"/>
        <w:tabs>
          <w:tab w:leader="none" w:pos="916" w:val="left"/>
        </w:tabs>
        <w:numPr>
          <w:ilvl w:val="0"/>
          <w:numId w:val="124"/>
        </w:numPr>
        <w:rPr>
          <w:rFonts w:ascii="Arial" w:cs="Arial" w:eastAsia="Arial" w:hAnsi="Arial"/>
          <w:sz w:val="17"/>
          <w:szCs w:val="17"/>
          <w:color w:val="auto"/>
        </w:rPr>
      </w:pPr>
      <w:r>
        <w:rPr>
          <w:rFonts w:ascii="Arial" w:cs="Arial" w:eastAsia="Arial" w:hAnsi="Arial"/>
          <w:sz w:val="17"/>
          <w:szCs w:val="17"/>
          <w:color w:val="auto"/>
        </w:rPr>
        <w:t>Investments in the form of non-cash loans and advances to employees, officers, and directors of Borrower or any of its Subsidiaries for the purpose of purchasing stock in Borrower so long as the proceeds of such loans are used in their entirety to purchase such stock in Borrower;</w:t>
      </w:r>
    </w:p>
    <w:p>
      <w:pPr>
        <w:spacing w:after="0" w:line="146" w:lineRule="exact"/>
        <w:rPr>
          <w:rFonts w:ascii="Arial" w:cs="Arial" w:eastAsia="Arial" w:hAnsi="Arial"/>
          <w:sz w:val="17"/>
          <w:szCs w:val="17"/>
          <w:color w:val="auto"/>
        </w:rPr>
      </w:pPr>
    </w:p>
    <w:p>
      <w:pPr>
        <w:jc w:val="both"/>
        <w:ind w:firstLine="656"/>
        <w:spacing w:after="0" w:line="263" w:lineRule="auto"/>
        <w:tabs>
          <w:tab w:leader="none" w:pos="863" w:val="left"/>
        </w:tabs>
        <w:numPr>
          <w:ilvl w:val="0"/>
          <w:numId w:val="124"/>
        </w:numPr>
        <w:rPr>
          <w:rFonts w:ascii="Arial" w:cs="Arial" w:eastAsia="Arial" w:hAnsi="Arial"/>
          <w:sz w:val="18"/>
          <w:szCs w:val="18"/>
          <w:color w:val="auto"/>
        </w:rPr>
      </w:pPr>
      <w:r>
        <w:rPr>
          <w:rFonts w:ascii="Arial" w:cs="Arial" w:eastAsia="Arial" w:hAnsi="Arial"/>
          <w:sz w:val="18"/>
          <w:szCs w:val="18"/>
          <w:color w:val="auto"/>
        </w:rPr>
        <w:t>loans and advances to employees, directors and officers of Borrower or any of its Subsidiaries in the ordinary course of business (including for travel, entertainment and relocation expenses) in an aggregate amount for Borrower and its Subsidiaries on a consolidated basis not to exceed $500,000 at any time outstanding;</w:t>
      </w:r>
    </w:p>
    <w:p>
      <w:pPr>
        <w:spacing w:after="0" w:line="183" w:lineRule="exact"/>
        <w:rPr>
          <w:rFonts w:ascii="Arial" w:cs="Arial" w:eastAsia="Arial" w:hAnsi="Arial"/>
          <w:sz w:val="18"/>
          <w:szCs w:val="18"/>
          <w:color w:val="auto"/>
        </w:rPr>
      </w:pPr>
    </w:p>
    <w:p>
      <w:pPr>
        <w:ind w:firstLine="656"/>
        <w:spacing w:after="0" w:line="308" w:lineRule="auto"/>
        <w:tabs>
          <w:tab w:leader="none" w:pos="98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Investments consisting of notes receivable of, or prepaid royalties and other credit extensions, to customers and suppliers who are not Affiliates, in the ordinary course of business, provided that this subparagraph (n) shall not apply to Investments of Borrower in any Subsidiary;</w:t>
      </w:r>
    </w:p>
    <w:p>
      <w:pPr>
        <w:spacing w:after="0" w:line="146" w:lineRule="exact"/>
        <w:rPr>
          <w:rFonts w:ascii="Arial" w:cs="Arial" w:eastAsia="Arial" w:hAnsi="Arial"/>
          <w:sz w:val="17"/>
          <w:szCs w:val="17"/>
          <w:color w:val="auto"/>
        </w:rPr>
      </w:pPr>
    </w:p>
    <w:p>
      <w:pPr>
        <w:jc w:val="both"/>
        <w:ind w:firstLine="656"/>
        <w:spacing w:after="0" w:line="263" w:lineRule="auto"/>
        <w:tabs>
          <w:tab w:leader="none" w:pos="903" w:val="left"/>
        </w:tabs>
        <w:numPr>
          <w:ilvl w:val="0"/>
          <w:numId w:val="124"/>
        </w:numPr>
        <w:rPr>
          <w:rFonts w:ascii="Arial" w:cs="Arial" w:eastAsia="Arial" w:hAnsi="Arial"/>
          <w:sz w:val="18"/>
          <w:szCs w:val="18"/>
          <w:color w:val="auto"/>
        </w:rPr>
      </w:pPr>
      <w:r>
        <w:rPr>
          <w:rFonts w:ascii="Arial" w:cs="Arial" w:eastAsia="Arial" w:hAnsi="Arial"/>
          <w:sz w:val="18"/>
          <w:szCs w:val="18"/>
          <w:color w:val="auto"/>
        </w:rPr>
        <w:t>strategic alliances in the ordinary course of Borrower’s business consisting of the non-exclusive licensing of technology, the development of technology or the providing of technical support, provided that any cash Investments by Borrower do not exceed $250,000 in the aggregate in any fiscal year;</w:t>
      </w:r>
    </w:p>
    <w:p>
      <w:pPr>
        <w:spacing w:after="0" w:line="183" w:lineRule="exact"/>
        <w:rPr>
          <w:rFonts w:ascii="Arial" w:cs="Arial" w:eastAsia="Arial" w:hAnsi="Arial"/>
          <w:sz w:val="18"/>
          <w:szCs w:val="18"/>
          <w:color w:val="auto"/>
        </w:rPr>
      </w:pPr>
    </w:p>
    <w:p>
      <w:pPr>
        <w:ind w:left="920" w:hanging="264"/>
        <w:spacing w:after="0"/>
        <w:tabs>
          <w:tab w:leader="none" w:pos="9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other Investments aggregating not in excess of $250,000 at any time;</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Permitted Acquisitions; and</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20" w:type="dxa"/>
            <w:vAlign w:val="bottom"/>
            <w:tcBorders>
              <w:bottom w:val="single" w:sz="8" w:color="auto"/>
            </w:tcBorders>
          </w:tcPr>
          <w:p>
            <w:pPr>
              <w:jc w:val="right"/>
              <w:ind w:right="5350"/>
              <w:spacing w:after="0"/>
              <w:rPr>
                <w:sz w:val="20"/>
                <w:szCs w:val="20"/>
                <w:color w:val="auto"/>
              </w:rPr>
            </w:pPr>
            <w:r>
              <w:rPr>
                <w:rFonts w:ascii="Arial" w:cs="Arial" w:eastAsia="Arial" w:hAnsi="Arial"/>
                <w:sz w:val="18"/>
                <w:szCs w:val="18"/>
                <w:color w:val="auto"/>
              </w:rPr>
              <w:t>64</w:t>
            </w:r>
          </w:p>
        </w:tc>
      </w:tr>
    </w:tbl>
    <w:p>
      <w:pPr>
        <w:sectPr>
          <w:pgSz w:w="11900" w:h="16838" w:orient="portrait"/>
          <w:cols w:equalWidth="0" w:num="1">
            <w:col w:w="11240"/>
          </w:cols>
          <w:pgMar w:left="320" w:top="908" w:right="339" w:bottom="1440" w:gutter="0" w:footer="0" w:header="0"/>
        </w:sectPr>
      </w:pPr>
    </w:p>
    <w:bookmarkStart w:id="141" w:name="page142"/>
    <w:bookmarkEnd w:id="141"/>
    <w:p>
      <w:pPr>
        <w:ind w:left="660"/>
        <w:spacing w:after="0"/>
        <w:rPr>
          <w:sz w:val="20"/>
          <w:szCs w:val="20"/>
          <w:color w:val="auto"/>
        </w:rPr>
      </w:pPr>
      <w:r>
        <w:rPr>
          <w:rFonts w:ascii="Arial" w:cs="Arial" w:eastAsia="Arial" w:hAnsi="Arial"/>
          <w:sz w:val="18"/>
          <w:szCs w:val="18"/>
          <w:color w:val="auto"/>
        </w:rPr>
        <w:t>(q) Investments approved by Agent in its sole discretion.</w:t>
      </w:r>
    </w:p>
    <w:p>
      <w:pPr>
        <w:spacing w:after="0" w:line="22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6.7 ERISA</w:t>
      </w:r>
      <w:r>
        <w:rPr>
          <w:rFonts w:ascii="Arial" w:cs="Arial" w:eastAsia="Arial" w:hAnsi="Arial"/>
          <w:sz w:val="18"/>
          <w:szCs w:val="18"/>
          <w:color w:val="auto"/>
        </w:rPr>
        <w:t>. No Loan Party shall, and shall not permit any Subsidiary to, nor shall permit it’s ERISA Affiliates to, establish, maintain, contribute</w:t>
      </w:r>
      <w:r>
        <w:rPr>
          <w:rFonts w:ascii="Arial" w:cs="Arial" w:eastAsia="Arial" w:hAnsi="Arial"/>
          <w:sz w:val="18"/>
          <w:szCs w:val="18"/>
          <w:b w:val="1"/>
          <w:bCs w:val="1"/>
          <w:color w:val="auto"/>
        </w:rPr>
        <w:t xml:space="preserve"> </w:t>
      </w:r>
      <w:r>
        <w:rPr>
          <w:rFonts w:ascii="Arial" w:cs="Arial" w:eastAsia="Arial" w:hAnsi="Arial"/>
          <w:sz w:val="18"/>
          <w:szCs w:val="18"/>
          <w:color w:val="auto"/>
        </w:rPr>
        <w:t>or agree to contribute to, or otherwise incur any liability, contingent or otherwise, with respect to any “employee benefit plan” that (a) is covered by Title IV of ERISA or Section 412 of the Code or (b) provides for post-employment medical or other welfare benefits, except as required by applicable Requirements of Law and at the sole expense of the plan participants.</w:t>
      </w:r>
    </w:p>
    <w:p>
      <w:pPr>
        <w:spacing w:after="0" w:line="180" w:lineRule="exact"/>
        <w:rPr>
          <w:sz w:val="20"/>
          <w:szCs w:val="20"/>
          <w:color w:val="auto"/>
        </w:rPr>
      </w:pPr>
    </w:p>
    <w:p>
      <w:pPr>
        <w:jc w:val="both"/>
        <w:ind w:right="20" w:firstLine="648"/>
        <w:spacing w:after="0" w:line="347" w:lineRule="auto"/>
        <w:rPr>
          <w:sz w:val="20"/>
          <w:szCs w:val="20"/>
          <w:color w:val="auto"/>
        </w:rPr>
      </w:pPr>
      <w:r>
        <w:rPr>
          <w:rFonts w:ascii="Arial" w:cs="Arial" w:eastAsia="Arial" w:hAnsi="Arial"/>
          <w:sz w:val="16"/>
          <w:szCs w:val="16"/>
          <w:b w:val="1"/>
          <w:bCs w:val="1"/>
          <w:color w:val="auto"/>
        </w:rPr>
        <w:t>6.8 Transactions with Affiliates</w:t>
      </w:r>
      <w:r>
        <w:rPr>
          <w:rFonts w:ascii="Arial" w:cs="Arial" w:eastAsia="Arial" w:hAnsi="Arial"/>
          <w:sz w:val="16"/>
          <w:szCs w:val="16"/>
          <w:color w:val="auto"/>
        </w:rPr>
        <w:t>. No Loan Party shall, and shall not permit any Subsidiary to, enter into any transaction, including any purchase,</w:t>
      </w:r>
      <w:r>
        <w:rPr>
          <w:rFonts w:ascii="Arial" w:cs="Arial" w:eastAsia="Arial" w:hAnsi="Arial"/>
          <w:sz w:val="16"/>
          <w:szCs w:val="16"/>
          <w:b w:val="1"/>
          <w:bCs w:val="1"/>
          <w:color w:val="auto"/>
        </w:rPr>
        <w:t xml:space="preserve"> </w:t>
      </w:r>
      <w:r>
        <w:rPr>
          <w:rFonts w:ascii="Arial" w:cs="Arial" w:eastAsia="Arial" w:hAnsi="Arial"/>
          <w:sz w:val="16"/>
          <w:szCs w:val="16"/>
          <w:color w:val="auto"/>
        </w:rPr>
        <w:t>sale, lease or exchange of property, the rendering of any service or the payment of any management, advisory or similar fees, with any Affiliate, other than:</w:t>
      </w:r>
    </w:p>
    <w:p>
      <w:pPr>
        <w:spacing w:after="0" w:line="120" w:lineRule="exact"/>
        <w:rPr>
          <w:sz w:val="20"/>
          <w:szCs w:val="20"/>
          <w:color w:val="auto"/>
        </w:rPr>
      </w:pPr>
    </w:p>
    <w:p>
      <w:pPr>
        <w:ind w:left="900" w:hanging="244"/>
        <w:spacing w:after="0"/>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such transactions that are otherwise permitted under this Agreement;</w:t>
      </w:r>
    </w:p>
    <w:p>
      <w:pPr>
        <w:spacing w:after="0" w:line="225" w:lineRule="exact"/>
        <w:rPr>
          <w:rFonts w:ascii="Arial" w:cs="Arial" w:eastAsia="Arial" w:hAnsi="Arial"/>
          <w:sz w:val="18"/>
          <w:szCs w:val="18"/>
          <w:color w:val="auto"/>
        </w:rPr>
      </w:pPr>
    </w:p>
    <w:p>
      <w:pPr>
        <w:jc w:val="both"/>
        <w:ind w:firstLine="656"/>
        <w:spacing w:after="0" w:line="263" w:lineRule="auto"/>
        <w:tabs>
          <w:tab w:leader="none" w:pos="916" w:val="left"/>
        </w:tabs>
        <w:numPr>
          <w:ilvl w:val="0"/>
          <w:numId w:val="125"/>
        </w:numPr>
        <w:rPr>
          <w:rFonts w:ascii="Arial" w:cs="Arial" w:eastAsia="Arial" w:hAnsi="Arial"/>
          <w:sz w:val="18"/>
          <w:szCs w:val="18"/>
          <w:color w:val="auto"/>
        </w:rPr>
      </w:pPr>
      <w:r>
        <w:rPr>
          <w:rFonts w:ascii="Arial" w:cs="Arial" w:eastAsia="Arial" w:hAnsi="Arial"/>
          <w:sz w:val="18"/>
          <w:szCs w:val="18"/>
          <w:color w:val="auto"/>
        </w:rPr>
        <w:t>such transactions that are in the ordinary course of business of such Loan Party and are upon fair and reasonable terms no less favorable to such Loan Party, as determined by Agent in Agent’s Permitted Discretion, than it would obtain in a comparable arm’s length transaction with a Person that is not an Affiliate;</w:t>
      </w:r>
    </w:p>
    <w:p>
      <w:pPr>
        <w:spacing w:after="0" w:line="183" w:lineRule="exact"/>
        <w:rPr>
          <w:rFonts w:ascii="Arial" w:cs="Arial" w:eastAsia="Arial" w:hAnsi="Arial"/>
          <w:sz w:val="18"/>
          <w:szCs w:val="18"/>
          <w:color w:val="auto"/>
        </w:rPr>
      </w:pPr>
    </w:p>
    <w:p>
      <w:pPr>
        <w:jc w:val="both"/>
        <w:ind w:firstLine="656"/>
        <w:spacing w:after="0" w:line="263" w:lineRule="auto"/>
        <w:tabs>
          <w:tab w:leader="none" w:pos="906" w:val="left"/>
        </w:tabs>
        <w:numPr>
          <w:ilvl w:val="0"/>
          <w:numId w:val="125"/>
        </w:numPr>
        <w:rPr>
          <w:rFonts w:ascii="Arial" w:cs="Arial" w:eastAsia="Arial" w:hAnsi="Arial"/>
          <w:sz w:val="18"/>
          <w:szCs w:val="18"/>
          <w:color w:val="auto"/>
        </w:rPr>
      </w:pPr>
      <w:r>
        <w:rPr>
          <w:rFonts w:ascii="Arial" w:cs="Arial" w:eastAsia="Arial" w:hAnsi="Arial"/>
          <w:sz w:val="18"/>
          <w:szCs w:val="18"/>
          <w:color w:val="auto"/>
        </w:rPr>
        <w:t>employment arrangements and employee benefit plan, director compensation (including bonuses), and other director and employee benefits (including retirement, health, stock option and other benefit plans) and indemnification arrangements, in each case entered into in the ordinary course of business;</w:t>
      </w:r>
    </w:p>
    <w:p>
      <w:pPr>
        <w:spacing w:after="0" w:line="183" w:lineRule="exact"/>
        <w:rPr>
          <w:rFonts w:ascii="Arial" w:cs="Arial" w:eastAsia="Arial" w:hAnsi="Arial"/>
          <w:sz w:val="18"/>
          <w:szCs w:val="18"/>
          <w:color w:val="auto"/>
        </w:rPr>
      </w:pPr>
    </w:p>
    <w:p>
      <w:pPr>
        <w:ind w:firstLine="656"/>
        <w:spacing w:after="0" w:line="277" w:lineRule="auto"/>
        <w:tabs>
          <w:tab w:leader="none" w:pos="903" w:val="left"/>
        </w:tabs>
        <w:numPr>
          <w:ilvl w:val="0"/>
          <w:numId w:val="125"/>
        </w:numPr>
        <w:rPr>
          <w:rFonts w:ascii="Arial" w:cs="Arial" w:eastAsia="Arial" w:hAnsi="Arial"/>
          <w:sz w:val="18"/>
          <w:szCs w:val="18"/>
          <w:color w:val="auto"/>
        </w:rPr>
      </w:pPr>
      <w:r>
        <w:rPr>
          <w:rFonts w:ascii="Arial" w:cs="Arial" w:eastAsia="Arial" w:hAnsi="Arial"/>
          <w:sz w:val="18"/>
          <w:szCs w:val="18"/>
          <w:color w:val="auto"/>
        </w:rPr>
        <w:t>payments on account of indemnification claims made by directors or officers of Borrower or its Subsidiaries or attributable to the operations of the Borrower or its Subsidiaries;</w:t>
      </w:r>
    </w:p>
    <w:p>
      <w:pPr>
        <w:spacing w:after="0" w:line="170" w:lineRule="exact"/>
        <w:rPr>
          <w:rFonts w:ascii="Arial" w:cs="Arial" w:eastAsia="Arial" w:hAnsi="Arial"/>
          <w:sz w:val="18"/>
          <w:szCs w:val="18"/>
          <w:color w:val="auto"/>
        </w:rPr>
      </w:pPr>
    </w:p>
    <w:p>
      <w:pPr>
        <w:ind w:firstLine="656"/>
        <w:spacing w:after="0" w:line="277" w:lineRule="auto"/>
        <w:tabs>
          <w:tab w:leader="none" w:pos="892"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transactions among the Borrower and its Subsidiaries in respect of transfer pricing arrangements, cost plus arrangements, reseller arrangement and similar transactions; and</w:t>
      </w:r>
    </w:p>
    <w:p>
      <w:pPr>
        <w:spacing w:after="0" w:line="170" w:lineRule="exact"/>
        <w:rPr>
          <w:rFonts w:ascii="Arial" w:cs="Arial" w:eastAsia="Arial" w:hAnsi="Arial"/>
          <w:sz w:val="18"/>
          <w:szCs w:val="18"/>
          <w:color w:val="auto"/>
        </w:rPr>
      </w:pPr>
    </w:p>
    <w:p>
      <w:pPr>
        <w:ind w:left="880" w:hanging="224"/>
        <w:spacing w:after="0"/>
        <w:tabs>
          <w:tab w:leader="none" w:pos="8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transactions solely among the Loan Parties, not involving other Affiliates.</w:t>
      </w:r>
    </w:p>
    <w:p>
      <w:pPr>
        <w:spacing w:after="0" w:line="22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6.9 Accounting Changes</w:t>
      </w:r>
      <w:r>
        <w:rPr>
          <w:rFonts w:ascii="Arial" w:cs="Arial" w:eastAsia="Arial" w:hAnsi="Arial"/>
          <w:sz w:val="18"/>
          <w:szCs w:val="18"/>
          <w:color w:val="auto"/>
        </w:rPr>
        <w:t>. No Loan Party shall, and shall not permit any Subsidiary to, make any change in its (a) accounting policies or reporting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practices, except as required by GAAP or pursuant to </w:t>
      </w:r>
      <w:r>
        <w:rPr>
          <w:rFonts w:ascii="Arial" w:cs="Arial" w:eastAsia="Arial" w:hAnsi="Arial"/>
          <w:sz w:val="18"/>
          <w:szCs w:val="18"/>
          <w:u w:val="single" w:color="auto"/>
          <w:color w:val="auto"/>
        </w:rPr>
        <w:t>Section 1.2(e)</w:t>
      </w:r>
      <w:r>
        <w:rPr>
          <w:rFonts w:ascii="Arial" w:cs="Arial" w:eastAsia="Arial" w:hAnsi="Arial"/>
          <w:sz w:val="18"/>
          <w:szCs w:val="18"/>
          <w:color w:val="auto"/>
        </w:rPr>
        <w:t>, or (b) Fiscal Year.</w:t>
      </w:r>
    </w:p>
    <w:p>
      <w:pPr>
        <w:spacing w:after="0" w:line="16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6.10 Negative Pledge Clauses</w:t>
      </w:r>
      <w:r>
        <w:rPr>
          <w:rFonts w:ascii="Arial" w:cs="Arial" w:eastAsia="Arial" w:hAnsi="Arial"/>
          <w:sz w:val="18"/>
          <w:szCs w:val="18"/>
          <w:color w:val="auto"/>
        </w:rPr>
        <w:t>. No Loan Party shall, and shall not permit any Subsidiary to, enter into or suffer to exist or become effective 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agreement that prohibits or limits the ability of any Loan Party to create, incur, assume or suffer to exist any Lien upon any of its property or revenues, whether now owned or hereafter acquired, to secure its Obligations under the Loan Documents to which it is a party, other than (i) this Agreement and the other Loan Document, (ii) restrictions and conditions applicable to property or assets being sold pursuant to </w:t>
      </w:r>
      <w:r>
        <w:rPr>
          <w:rFonts w:ascii="Arial" w:cs="Arial" w:eastAsia="Arial" w:hAnsi="Arial"/>
          <w:sz w:val="18"/>
          <w:szCs w:val="18"/>
          <w:u w:val="single" w:color="auto"/>
          <w:color w:val="auto"/>
        </w:rPr>
        <w:t>Section 6.4</w:t>
      </w:r>
      <w:r>
        <w:rPr>
          <w:rFonts w:ascii="Arial" w:cs="Arial" w:eastAsia="Arial" w:hAnsi="Arial"/>
          <w:sz w:val="18"/>
          <w:szCs w:val="18"/>
          <w:color w:val="auto"/>
        </w:rPr>
        <w:t>, (iii) restrictions or conditions imposed by any agreement evidencing a Permitted Lien, and (iv) customary restrictions and conditions in real property leases, equipment leases and in-bound licenses of Intellectual Property.</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20" w:type="dxa"/>
            <w:vAlign w:val="bottom"/>
            <w:tcBorders>
              <w:bottom w:val="single" w:sz="8" w:color="auto"/>
            </w:tcBorders>
          </w:tcPr>
          <w:p>
            <w:pPr>
              <w:jc w:val="right"/>
              <w:ind w:right="5350"/>
              <w:spacing w:after="0"/>
              <w:rPr>
                <w:sz w:val="20"/>
                <w:szCs w:val="20"/>
                <w:color w:val="auto"/>
              </w:rPr>
            </w:pPr>
            <w:r>
              <w:rPr>
                <w:rFonts w:ascii="Arial" w:cs="Arial" w:eastAsia="Arial" w:hAnsi="Arial"/>
                <w:sz w:val="18"/>
                <w:szCs w:val="18"/>
                <w:color w:val="auto"/>
              </w:rPr>
              <w:t>65</w:t>
            </w:r>
          </w:p>
        </w:tc>
      </w:tr>
    </w:tbl>
    <w:p>
      <w:pPr>
        <w:sectPr>
          <w:pgSz w:w="11900" w:h="16838" w:orient="portrait"/>
          <w:cols w:equalWidth="0" w:num="1">
            <w:col w:w="11240"/>
          </w:cols>
          <w:pgMar w:left="320" w:top="908" w:right="339" w:bottom="1440" w:gutter="0" w:footer="0" w:header="0"/>
        </w:sectPr>
      </w:pPr>
    </w:p>
    <w:bookmarkStart w:id="142" w:name="page143"/>
    <w:bookmarkEnd w:id="142"/>
    <w:p>
      <w:pPr>
        <w:ind w:left="660"/>
        <w:spacing w:after="0"/>
        <w:rPr>
          <w:sz w:val="20"/>
          <w:szCs w:val="20"/>
          <w:color w:val="auto"/>
        </w:rPr>
      </w:pPr>
      <w:r>
        <w:rPr>
          <w:rFonts w:ascii="Arial" w:cs="Arial" w:eastAsia="Arial" w:hAnsi="Arial"/>
          <w:sz w:val="18"/>
          <w:szCs w:val="18"/>
          <w:b w:val="1"/>
          <w:bCs w:val="1"/>
          <w:color w:val="auto"/>
        </w:rPr>
        <w:t>6.11 Lines of Business; Subsidiaries</w:t>
      </w:r>
      <w:r>
        <w:rPr>
          <w:rFonts w:ascii="Arial" w:cs="Arial" w:eastAsia="Arial" w:hAnsi="Arial"/>
          <w:sz w:val="18"/>
          <w:szCs w:val="18"/>
          <w:color w:val="auto"/>
        </w:rPr>
        <w:t>.</w:t>
      </w:r>
    </w:p>
    <w:p>
      <w:pPr>
        <w:spacing w:after="0" w:line="229" w:lineRule="exact"/>
        <w:rPr>
          <w:sz w:val="20"/>
          <w:szCs w:val="20"/>
          <w:color w:val="auto"/>
        </w:rPr>
      </w:pPr>
    </w:p>
    <w:p>
      <w:pPr>
        <w:ind w:firstLine="656"/>
        <w:spacing w:after="0" w:line="277" w:lineRule="auto"/>
        <w:tabs>
          <w:tab w:leader="none" w:pos="892" w:val="left"/>
        </w:tabs>
        <w:numPr>
          <w:ilvl w:val="0"/>
          <w:numId w:val="126"/>
        </w:numPr>
        <w:rPr>
          <w:rFonts w:ascii="Arial" w:cs="Arial" w:eastAsia="Arial" w:hAnsi="Arial"/>
          <w:sz w:val="18"/>
          <w:szCs w:val="18"/>
          <w:color w:val="auto"/>
        </w:rPr>
      </w:pPr>
      <w:r>
        <w:rPr>
          <w:rFonts w:ascii="Arial" w:cs="Arial" w:eastAsia="Arial" w:hAnsi="Arial"/>
          <w:sz w:val="18"/>
          <w:szCs w:val="18"/>
          <w:color w:val="auto"/>
        </w:rPr>
        <w:t>No Loan Party shall, and shall not permit any Subsidiary to (i) enter into any business except for the business in which Borrower and the other Loan Parties are engaged on the Closing Date; or (ii) form or acquire any Subsidiaries.</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Parent shall not:</w:t>
      </w:r>
    </w:p>
    <w:p>
      <w:pPr>
        <w:spacing w:after="0" w:line="225" w:lineRule="exact"/>
        <w:rPr>
          <w:rFonts w:ascii="Arial" w:cs="Arial" w:eastAsia="Arial" w:hAnsi="Arial"/>
          <w:sz w:val="18"/>
          <w:szCs w:val="18"/>
          <w:color w:val="auto"/>
        </w:rPr>
      </w:pPr>
    </w:p>
    <w:p>
      <w:pPr>
        <w:jc w:val="both"/>
        <w:ind w:left="660" w:firstLine="644"/>
        <w:spacing w:after="0" w:line="263" w:lineRule="auto"/>
        <w:tabs>
          <w:tab w:leader="none" w:pos="1532" w:val="left"/>
        </w:tabs>
        <w:numPr>
          <w:ilvl w:val="1"/>
          <w:numId w:val="126"/>
        </w:numPr>
        <w:rPr>
          <w:rFonts w:ascii="Arial" w:cs="Arial" w:eastAsia="Arial" w:hAnsi="Arial"/>
          <w:sz w:val="18"/>
          <w:szCs w:val="18"/>
          <w:color w:val="auto"/>
        </w:rPr>
      </w:pPr>
      <w:r>
        <w:rPr>
          <w:rFonts w:ascii="Arial" w:cs="Arial" w:eastAsia="Arial" w:hAnsi="Arial"/>
          <w:sz w:val="18"/>
          <w:szCs w:val="18"/>
          <w:color w:val="auto"/>
        </w:rPr>
        <w:t>hold any assets other than (A) the Equity Interests of Borrower, (B) agreements relating to the issuance sale, purchase, repurchase or registration of the Equity Interests of Parent, (C) minute books and other corporate books and records of Parent, and (D) other miscellaneous non-material assets;</w:t>
      </w:r>
    </w:p>
    <w:p>
      <w:pPr>
        <w:spacing w:after="0" w:line="183" w:lineRule="exact"/>
        <w:rPr>
          <w:rFonts w:ascii="Arial" w:cs="Arial" w:eastAsia="Arial" w:hAnsi="Arial"/>
          <w:sz w:val="18"/>
          <w:szCs w:val="18"/>
          <w:color w:val="auto"/>
        </w:rPr>
      </w:pPr>
    </w:p>
    <w:p>
      <w:pPr>
        <w:jc w:val="both"/>
        <w:ind w:left="660" w:firstLine="644"/>
        <w:spacing w:after="0" w:line="263" w:lineRule="auto"/>
        <w:tabs>
          <w:tab w:leader="none" w:pos="1583" w:val="left"/>
        </w:tabs>
        <w:numPr>
          <w:ilvl w:val="1"/>
          <w:numId w:val="126"/>
        </w:numPr>
        <w:rPr>
          <w:rFonts w:ascii="Arial" w:cs="Arial" w:eastAsia="Arial" w:hAnsi="Arial"/>
          <w:sz w:val="18"/>
          <w:szCs w:val="18"/>
          <w:color w:val="auto"/>
        </w:rPr>
      </w:pPr>
      <w:r>
        <w:rPr>
          <w:rFonts w:ascii="Arial" w:cs="Arial" w:eastAsia="Arial" w:hAnsi="Arial"/>
          <w:sz w:val="18"/>
          <w:szCs w:val="18"/>
          <w:color w:val="auto"/>
        </w:rPr>
        <w:t>have any liabilities other than (A) the liabilities under the Loan Documents, (B) guarantees of any refinancing of the foregoing, (C) tax liabilities arising in the ordinary course of business, (D) corporate, administrative and operating expenses in the ordinary course of business and (E) liabilities under any contracts or agreements described in clause (i)(B) above;</w:t>
      </w:r>
    </w:p>
    <w:p>
      <w:pPr>
        <w:spacing w:after="0" w:line="183" w:lineRule="exact"/>
        <w:rPr>
          <w:rFonts w:ascii="Arial" w:cs="Arial" w:eastAsia="Arial" w:hAnsi="Arial"/>
          <w:sz w:val="18"/>
          <w:szCs w:val="18"/>
          <w:color w:val="auto"/>
        </w:rPr>
      </w:pPr>
    </w:p>
    <w:p>
      <w:pPr>
        <w:jc w:val="both"/>
        <w:ind w:left="660" w:firstLine="644"/>
        <w:spacing w:after="0" w:line="311" w:lineRule="auto"/>
        <w:tabs>
          <w:tab w:leader="none" w:pos="1626" w:val="left"/>
        </w:tabs>
        <w:numPr>
          <w:ilvl w:val="1"/>
          <w:numId w:val="126"/>
        </w:numPr>
        <w:rPr>
          <w:rFonts w:ascii="Arial" w:cs="Arial" w:eastAsia="Arial" w:hAnsi="Arial"/>
          <w:sz w:val="16"/>
          <w:szCs w:val="16"/>
          <w:color w:val="auto"/>
        </w:rPr>
      </w:pPr>
      <w:r>
        <w:rPr>
          <w:rFonts w:ascii="Arial" w:cs="Arial" w:eastAsia="Arial" w:hAnsi="Arial"/>
          <w:sz w:val="16"/>
          <w:szCs w:val="16"/>
          <w:color w:val="auto"/>
        </w:rPr>
        <w:t xml:space="preserve">engage in any activities or business other than (A) issuing shares of its own Equity Interests, (B) holding the assets and incurring the liabilities described in this </w:t>
      </w:r>
      <w:r>
        <w:rPr>
          <w:rFonts w:ascii="Arial" w:cs="Arial" w:eastAsia="Arial" w:hAnsi="Arial"/>
          <w:sz w:val="16"/>
          <w:szCs w:val="16"/>
          <w:u w:val="single" w:color="auto"/>
          <w:color w:val="auto"/>
        </w:rPr>
        <w:t>Section 6.11</w:t>
      </w:r>
      <w:r>
        <w:rPr>
          <w:rFonts w:ascii="Arial" w:cs="Arial" w:eastAsia="Arial" w:hAnsi="Arial"/>
          <w:sz w:val="16"/>
          <w:szCs w:val="16"/>
          <w:color w:val="auto"/>
        </w:rPr>
        <w:t xml:space="preserve"> and activities incidental and related thereto, (C) making payments, dividends, distributions, issuances or other activities otherwise permitted pursuant to this Agreement; and (D) activities and business incidental to its existence as a holding company; or</w:t>
      </w:r>
    </w:p>
    <w:p>
      <w:pPr>
        <w:spacing w:after="0" w:line="148" w:lineRule="exact"/>
        <w:rPr>
          <w:rFonts w:ascii="Arial" w:cs="Arial" w:eastAsia="Arial" w:hAnsi="Arial"/>
          <w:sz w:val="16"/>
          <w:szCs w:val="16"/>
          <w:color w:val="auto"/>
        </w:rPr>
      </w:pPr>
    </w:p>
    <w:p>
      <w:pPr>
        <w:jc w:val="both"/>
        <w:ind w:left="660" w:firstLine="644"/>
        <w:spacing w:after="0" w:line="279" w:lineRule="auto"/>
        <w:tabs>
          <w:tab w:leader="none" w:pos="1633" w:val="left"/>
        </w:tabs>
        <w:numPr>
          <w:ilvl w:val="1"/>
          <w:numId w:val="126"/>
        </w:numPr>
        <w:rPr>
          <w:rFonts w:ascii="Arial" w:cs="Arial" w:eastAsia="Arial" w:hAnsi="Arial"/>
          <w:sz w:val="17"/>
          <w:szCs w:val="17"/>
          <w:color w:val="auto"/>
        </w:rPr>
      </w:pPr>
      <w:r>
        <w:rPr>
          <w:rFonts w:ascii="Arial" w:cs="Arial" w:eastAsia="Arial" w:hAnsi="Arial"/>
          <w:sz w:val="17"/>
          <w:szCs w:val="17"/>
          <w:color w:val="auto"/>
        </w:rPr>
        <w:t>(A) create, incur, assume or suffer to exist, any Lien on the Equity Interests of any Loan Party, whether now owned or hereafter acquired by Parent other than the Lien securing the Obligations, or (B) enter into, assume or be subject to any agreement prohibiting or otherwise restricting the creation of any Lien on the Equity Interests of any Loan Party, whether now owned or hereafter acquired by Parent, to secure the Obligations or requiring the grant of a Lien on the Equity Interests of the Borrower to secure any other obligation.</w:t>
      </w:r>
    </w:p>
    <w:p>
      <w:pPr>
        <w:spacing w:after="0" w:line="167"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6.12 Payment of Nirvana Debt and Subordinated Indebtedness; Amendments to Organizational Agreements; Material Contracts; Employment Agreements</w:t>
      </w:r>
      <w:r>
        <w:rPr>
          <w:rFonts w:ascii="Arial" w:cs="Arial" w:eastAsia="Arial" w:hAnsi="Arial"/>
          <w:sz w:val="18"/>
          <w:szCs w:val="18"/>
          <w:color w:val="auto"/>
        </w:rPr>
        <w:t>. No Loan Party shall, and shall not permit any Subsidiary to:</w:t>
      </w:r>
    </w:p>
    <w:p>
      <w:pPr>
        <w:spacing w:after="0" w:line="166" w:lineRule="exact"/>
        <w:rPr>
          <w:sz w:val="20"/>
          <w:szCs w:val="20"/>
          <w:color w:val="auto"/>
        </w:rPr>
      </w:pPr>
    </w:p>
    <w:p>
      <w:pPr>
        <w:jc w:val="both"/>
        <w:ind w:firstLine="656"/>
        <w:spacing w:after="0" w:line="257" w:lineRule="auto"/>
        <w:tabs>
          <w:tab w:leader="none" w:pos="892" w:val="left"/>
        </w:tabs>
        <w:numPr>
          <w:ilvl w:val="0"/>
          <w:numId w:val="127"/>
        </w:numPr>
        <w:rPr>
          <w:rFonts w:ascii="Arial" w:cs="Arial" w:eastAsia="Arial" w:hAnsi="Arial"/>
          <w:sz w:val="18"/>
          <w:szCs w:val="18"/>
          <w:color w:val="auto"/>
        </w:rPr>
      </w:pPr>
      <w:r>
        <w:rPr>
          <w:rFonts w:ascii="Arial" w:cs="Arial" w:eastAsia="Arial" w:hAnsi="Arial"/>
          <w:sz w:val="18"/>
          <w:szCs w:val="18"/>
          <w:color w:val="auto"/>
        </w:rPr>
        <w:t xml:space="preserve">(i) voluntarily prepay, redeem, purchase, repurchase, defease or otherwise satisfy prior to the scheduled maturity thereof the Nirvana Debt, (ii) make any payments with respect to the Nirvana Debt, unless at the time of such payment, (A) no Default or Event of Default has occurred or is continuing or would result therefrom, and (B) after giving effect to such payment, Loan Parties will be in compliance with the financial covenants set forth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6.17</w:t>
      </w:r>
      <w:r>
        <w:rPr>
          <w:rFonts w:ascii="Arial" w:cs="Arial" w:eastAsia="Arial" w:hAnsi="Arial"/>
          <w:sz w:val="18"/>
          <w:szCs w:val="18"/>
          <w:color w:val="auto"/>
        </w:rPr>
        <w:t>, or (iii) amend, modify or change in any manner any term or condition of the documents entered into in respect of Nirvana Debt in a manner that would be adverse to any Loan Party;</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20" w:type="dxa"/>
            <w:vAlign w:val="bottom"/>
            <w:tcBorders>
              <w:bottom w:val="single" w:sz="8" w:color="auto"/>
            </w:tcBorders>
          </w:tcPr>
          <w:p>
            <w:pPr>
              <w:jc w:val="right"/>
              <w:ind w:right="5350"/>
              <w:spacing w:after="0"/>
              <w:rPr>
                <w:sz w:val="20"/>
                <w:szCs w:val="20"/>
                <w:color w:val="auto"/>
              </w:rPr>
            </w:pPr>
            <w:r>
              <w:rPr>
                <w:rFonts w:ascii="Arial" w:cs="Arial" w:eastAsia="Arial" w:hAnsi="Arial"/>
                <w:sz w:val="18"/>
                <w:szCs w:val="18"/>
                <w:color w:val="auto"/>
              </w:rPr>
              <w:t>66</w:t>
            </w:r>
          </w:p>
        </w:tc>
      </w:tr>
    </w:tbl>
    <w:p>
      <w:pPr>
        <w:sectPr>
          <w:pgSz w:w="11900" w:h="16838" w:orient="portrait"/>
          <w:cols w:equalWidth="0" w:num="1">
            <w:col w:w="11240"/>
          </w:cols>
          <w:pgMar w:left="320" w:top="904" w:right="339" w:bottom="1440" w:gutter="0" w:footer="0" w:header="0"/>
        </w:sectPr>
      </w:pPr>
    </w:p>
    <w:bookmarkStart w:id="143" w:name="page144"/>
    <w:bookmarkEnd w:id="143"/>
    <w:p>
      <w:pPr>
        <w:ind w:firstLine="656"/>
        <w:spacing w:after="0" w:line="277" w:lineRule="auto"/>
        <w:tabs>
          <w:tab w:leader="none" w:pos="903"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amend or permit any amendments to any Loan Party’s organizational documents to the extent any such amendment would be adverse to the Lenders in their capacity as a holder of secured debt of the Borrower;</w:t>
      </w:r>
    </w:p>
    <w:p>
      <w:pPr>
        <w:spacing w:after="0" w:line="170" w:lineRule="exact"/>
        <w:rPr>
          <w:rFonts w:ascii="Arial" w:cs="Arial" w:eastAsia="Arial" w:hAnsi="Arial"/>
          <w:sz w:val="18"/>
          <w:szCs w:val="18"/>
          <w:color w:val="auto"/>
        </w:rPr>
      </w:pPr>
    </w:p>
    <w:p>
      <w:pPr>
        <w:jc w:val="both"/>
        <w:ind w:firstLine="656"/>
        <w:spacing w:after="0" w:line="263" w:lineRule="auto"/>
        <w:tabs>
          <w:tab w:leader="none" w:pos="919" w:val="left"/>
        </w:tabs>
        <w:numPr>
          <w:ilvl w:val="0"/>
          <w:numId w:val="128"/>
        </w:numPr>
        <w:rPr>
          <w:rFonts w:ascii="Arial" w:cs="Arial" w:eastAsia="Arial" w:hAnsi="Arial"/>
          <w:sz w:val="18"/>
          <w:szCs w:val="18"/>
          <w:color w:val="auto"/>
        </w:rPr>
      </w:pPr>
      <w:r>
        <w:rPr>
          <w:rFonts w:ascii="Arial" w:cs="Arial" w:eastAsia="Arial" w:hAnsi="Arial"/>
          <w:sz w:val="18"/>
          <w:szCs w:val="18"/>
          <w:color w:val="auto"/>
        </w:rPr>
        <w:t>voluntarily prepay, redeem, purchase, repurchase, defease or otherwise satisfy prior to the scheduled maturity thereof any Subordinated Indebtedness or make any payment at any time in violation of any subordination terms thereof or amend, modify or change in any manner any term or condition of the documents entered into in respect of such Subordinated Indebtedness;</w:t>
      </w:r>
    </w:p>
    <w:p>
      <w:pPr>
        <w:spacing w:after="0" w:line="183" w:lineRule="exact"/>
        <w:rPr>
          <w:rFonts w:ascii="Arial" w:cs="Arial" w:eastAsia="Arial" w:hAnsi="Arial"/>
          <w:sz w:val="18"/>
          <w:szCs w:val="18"/>
          <w:color w:val="auto"/>
        </w:rPr>
      </w:pPr>
    </w:p>
    <w:p>
      <w:pPr>
        <w:ind w:left="920" w:hanging="264"/>
        <w:spacing w:after="0"/>
        <w:tabs>
          <w:tab w:leader="none" w:pos="9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firstLine="656"/>
        <w:spacing w:after="0" w:line="277" w:lineRule="auto"/>
        <w:tabs>
          <w:tab w:leader="none" w:pos="906"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amend, modify or change in any manner any term or condition of Disqualified Equity Interests to the extent any such amendment would be adverse to the Agent or any Lenders in their capacity as a holder of secured debt of the Borrower; or</w:t>
      </w:r>
    </w:p>
    <w:p>
      <w:pPr>
        <w:spacing w:after="0" w:line="170" w:lineRule="exact"/>
        <w:rPr>
          <w:rFonts w:ascii="Arial" w:cs="Arial" w:eastAsia="Arial" w:hAnsi="Arial"/>
          <w:sz w:val="18"/>
          <w:szCs w:val="18"/>
          <w:color w:val="auto"/>
        </w:rPr>
      </w:pPr>
    </w:p>
    <w:p>
      <w:pPr>
        <w:jc w:val="both"/>
        <w:ind w:firstLine="656"/>
        <w:spacing w:after="0" w:line="311" w:lineRule="auto"/>
        <w:tabs>
          <w:tab w:leader="none" w:pos="873" w:val="left"/>
        </w:tabs>
        <w:numPr>
          <w:ilvl w:val="0"/>
          <w:numId w:val="128"/>
        </w:numPr>
        <w:rPr>
          <w:rFonts w:ascii="Arial" w:cs="Arial" w:eastAsia="Arial" w:hAnsi="Arial"/>
          <w:sz w:val="16"/>
          <w:szCs w:val="16"/>
          <w:color w:val="auto"/>
        </w:rPr>
      </w:pPr>
      <w:r>
        <w:rPr>
          <w:rFonts w:ascii="Arial" w:cs="Arial" w:eastAsia="Arial" w:hAnsi="Arial"/>
          <w:sz w:val="16"/>
          <w:szCs w:val="16"/>
          <w:color w:val="auto"/>
        </w:rPr>
        <w:t>amend or permit any amendments to, or terminate or waive any provision of the SPAC Merger Agreement, any SPAC Subscription Agreement, the Sponsor Support Agreement, the Stockholder Support Agreement or any other agreement in connection with the SPAC Transaction, in each case, to the extent any such amendment would be adverse to the Agent or any Lender in their capacity as a holder of secured debt of the Loan Parties.</w:t>
      </w:r>
    </w:p>
    <w:p>
      <w:pPr>
        <w:spacing w:after="0" w:line="14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6.13 Use of Proceeds</w:t>
      </w:r>
      <w:r>
        <w:rPr>
          <w:rFonts w:ascii="Arial" w:cs="Arial" w:eastAsia="Arial" w:hAnsi="Arial"/>
          <w:sz w:val="18"/>
          <w:szCs w:val="18"/>
          <w:color w:val="auto"/>
        </w:rPr>
        <w:t>. No Loan Party shall, and shall not permit any Subsidiary to, use the proceeds of the Term Loan, whether directly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indirectly, and whether immediately, incidentally or ultimately, (a) to purchase or carry margin stock (within the meaning of Regulation U of the Board) or to extend credit to others for the purpose of purchasing or carrying margin stock or to refund indebtedness originally incurred for such purpose, in each case in violation of, or for a purpose which violates, or would be inconsistent with, Regulation T, U or X of the Board, (b) to finance a hostile acquisition or (c) for any purposes other than as specified in </w:t>
      </w:r>
      <w:r>
        <w:rPr>
          <w:rFonts w:ascii="Arial" w:cs="Arial" w:eastAsia="Arial" w:hAnsi="Arial"/>
          <w:sz w:val="18"/>
          <w:szCs w:val="18"/>
          <w:u w:val="single" w:color="auto"/>
          <w:color w:val="auto"/>
        </w:rPr>
        <w:t>Section 3.12</w:t>
      </w:r>
      <w:r>
        <w:rPr>
          <w:rFonts w:ascii="Arial" w:cs="Arial" w:eastAsia="Arial" w:hAnsi="Arial"/>
          <w:sz w:val="18"/>
          <w:szCs w:val="18"/>
          <w:color w:val="auto"/>
        </w:rPr>
        <w:t>.</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6.14 Sale Leaseback Transactions</w:t>
      </w:r>
      <w:r>
        <w:rPr>
          <w:rFonts w:ascii="Arial" w:cs="Arial" w:eastAsia="Arial" w:hAnsi="Arial"/>
          <w:sz w:val="17"/>
          <w:szCs w:val="17"/>
          <w:color w:val="auto"/>
        </w:rPr>
        <w:t>. No Loan Party shall, and shall not permit any Subsidiary to, enter into any sale-leaseback transaction.</w:t>
      </w:r>
    </w:p>
    <w:p>
      <w:pPr>
        <w:spacing w:after="0" w:line="23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6.15 Guaranty</w:t>
      </w:r>
      <w:r>
        <w:rPr>
          <w:rFonts w:ascii="Arial" w:cs="Arial" w:eastAsia="Arial" w:hAnsi="Arial"/>
          <w:sz w:val="17"/>
          <w:szCs w:val="17"/>
          <w:color w:val="auto"/>
        </w:rPr>
        <w:t>. No Loan Party shall, and shall not permit any Subsidiary to, guaranty or otherwise, in any way, become liable with respect to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obligations or liabilities of any Person other than other Loan Parties to the extent permitted by </w:t>
      </w:r>
      <w:r>
        <w:rPr>
          <w:rFonts w:ascii="Arial" w:cs="Arial" w:eastAsia="Arial" w:hAnsi="Arial"/>
          <w:sz w:val="17"/>
          <w:szCs w:val="17"/>
          <w:u w:val="single" w:color="auto"/>
          <w:color w:val="auto"/>
        </w:rPr>
        <w:t>Section 6.1</w:t>
      </w:r>
      <w:r>
        <w:rPr>
          <w:rFonts w:ascii="Arial" w:cs="Arial" w:eastAsia="Arial" w:hAnsi="Arial"/>
          <w:sz w:val="17"/>
          <w:szCs w:val="17"/>
          <w:color w:val="auto"/>
        </w:rPr>
        <w:t>, except by endorsement of instruments or items of payment for deposit to the general account of a Loan Party or for delivery to Agent on account of the Obligations.</w:t>
      </w:r>
    </w:p>
    <w:p>
      <w:pPr>
        <w:spacing w:after="0" w:line="158"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b w:val="1"/>
          <w:bCs w:val="1"/>
          <w:color w:val="auto"/>
        </w:rPr>
        <w:t>6.16 No Burdensome Restrictions</w:t>
      </w:r>
      <w:r>
        <w:rPr>
          <w:rFonts w:ascii="Arial" w:cs="Arial" w:eastAsia="Arial" w:hAnsi="Arial"/>
          <w:sz w:val="16"/>
          <w:szCs w:val="16"/>
          <w:color w:val="auto"/>
        </w:rPr>
        <w:t>. No Loan Party shall, and shall not permit any Subsidiary to, create or otherwise cause, incur, assume, suffer</w:t>
      </w:r>
      <w:r>
        <w:rPr>
          <w:rFonts w:ascii="Arial" w:cs="Arial" w:eastAsia="Arial" w:hAnsi="Arial"/>
          <w:sz w:val="16"/>
          <w:szCs w:val="16"/>
          <w:b w:val="1"/>
          <w:bCs w:val="1"/>
          <w:color w:val="auto"/>
        </w:rPr>
        <w:t xml:space="preserve"> </w:t>
      </w:r>
      <w:r>
        <w:rPr>
          <w:rFonts w:ascii="Arial" w:cs="Arial" w:eastAsia="Arial" w:hAnsi="Arial"/>
          <w:sz w:val="16"/>
          <w:szCs w:val="16"/>
          <w:color w:val="auto"/>
        </w:rPr>
        <w:t>or permit to exist or become effective any encumbrance or restriction of any kind exists which materially and adversely affects the ability of (a) any Subsidiary of any Loan Party (i) to pay dividends or to make any other distribution on its Equity Interests owned by its parent, (ii) to pay or prepay any Indebtedness owed to any Loan Party, (iii) to make loans or advances to any Loan Party, or (iv) to transfer any of its property or assets to any Loan Party, or (b) any Loan Party to grant Liens on the Collateral to Agent, in each case except for restrictions and conditions imposed by applicable law.</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20" w:type="dxa"/>
            <w:vAlign w:val="bottom"/>
            <w:tcBorders>
              <w:bottom w:val="single" w:sz="8" w:color="auto"/>
            </w:tcBorders>
          </w:tcPr>
          <w:p>
            <w:pPr>
              <w:jc w:val="right"/>
              <w:ind w:right="5350"/>
              <w:spacing w:after="0"/>
              <w:rPr>
                <w:sz w:val="20"/>
                <w:szCs w:val="20"/>
                <w:color w:val="auto"/>
              </w:rPr>
            </w:pPr>
            <w:r>
              <w:rPr>
                <w:rFonts w:ascii="Arial" w:cs="Arial" w:eastAsia="Arial" w:hAnsi="Arial"/>
                <w:sz w:val="18"/>
                <w:szCs w:val="18"/>
                <w:color w:val="auto"/>
              </w:rPr>
              <w:t>67</w:t>
            </w:r>
          </w:p>
        </w:tc>
      </w:tr>
    </w:tbl>
    <w:p>
      <w:pPr>
        <w:sectPr>
          <w:pgSz w:w="11900" w:h="16838" w:orient="portrait"/>
          <w:cols w:equalWidth="0" w:num="1">
            <w:col w:w="11240"/>
          </w:cols>
          <w:pgMar w:left="320" w:top="908" w:right="339" w:bottom="1440" w:gutter="0" w:footer="0" w:header="0"/>
        </w:sectPr>
      </w:pPr>
    </w:p>
    <w:bookmarkStart w:id="144" w:name="page145"/>
    <w:bookmarkEnd w:id="144"/>
    <w:p>
      <w:pPr>
        <w:ind w:left="660"/>
        <w:spacing w:after="0"/>
        <w:rPr>
          <w:sz w:val="20"/>
          <w:szCs w:val="20"/>
          <w:color w:val="auto"/>
        </w:rPr>
      </w:pPr>
      <w:r>
        <w:rPr>
          <w:rFonts w:ascii="Arial" w:cs="Arial" w:eastAsia="Arial" w:hAnsi="Arial"/>
          <w:sz w:val="18"/>
          <w:szCs w:val="18"/>
          <w:b w:val="1"/>
          <w:bCs w:val="1"/>
          <w:color w:val="auto"/>
        </w:rPr>
        <w:t>6.17 Financial Covenants</w:t>
      </w:r>
      <w:r>
        <w:rPr>
          <w:rFonts w:ascii="Arial" w:cs="Arial" w:eastAsia="Arial" w:hAnsi="Arial"/>
          <w:sz w:val="18"/>
          <w:szCs w:val="18"/>
          <w:color w:val="auto"/>
        </w:rPr>
        <w:t>.</w:t>
      </w:r>
    </w:p>
    <w:p>
      <w:pPr>
        <w:spacing w:after="0" w:line="229" w:lineRule="exact"/>
        <w:rPr>
          <w:sz w:val="20"/>
          <w:szCs w:val="20"/>
          <w:color w:val="auto"/>
        </w:rPr>
      </w:pPr>
    </w:p>
    <w:p>
      <w:pPr>
        <w:jc w:val="both"/>
        <w:ind w:firstLine="656"/>
        <w:spacing w:after="0" w:line="269" w:lineRule="auto"/>
        <w:tabs>
          <w:tab w:leader="none" w:pos="902" w:val="left"/>
        </w:tabs>
        <w:numPr>
          <w:ilvl w:val="0"/>
          <w:numId w:val="129"/>
        </w:numPr>
        <w:rPr>
          <w:rFonts w:ascii="Arial" w:cs="Arial" w:eastAsia="Arial" w:hAnsi="Arial"/>
          <w:sz w:val="17"/>
          <w:szCs w:val="17"/>
          <w:color w:val="auto"/>
        </w:rPr>
      </w:pPr>
      <w:r>
        <w:rPr>
          <w:rFonts w:ascii="Arial" w:cs="Arial" w:eastAsia="Arial" w:hAnsi="Arial"/>
          <w:sz w:val="17"/>
          <w:szCs w:val="17"/>
          <w:color w:val="auto"/>
        </w:rPr>
        <w:t xml:space="preserve">Borrower shall not permit Unrestricted Cash, (i) measured as of September 30, 2022 and as of the last day of each calendar month thereafter until March 31, 2023, except for the months ending February 28, 2023 and March 31, 2023, and calculated in a manner consistent with the calculation shown on </w:t>
      </w:r>
      <w:r>
        <w:rPr>
          <w:rFonts w:ascii="Arial" w:cs="Arial" w:eastAsia="Arial" w:hAnsi="Arial"/>
          <w:sz w:val="17"/>
          <w:szCs w:val="17"/>
          <w:u w:val="single" w:color="auto"/>
          <w:color w:val="auto"/>
        </w:rPr>
        <w:t>Exhibit E</w:t>
      </w:r>
      <w:r>
        <w:rPr>
          <w:rFonts w:ascii="Arial" w:cs="Arial" w:eastAsia="Arial" w:hAnsi="Arial"/>
          <w:sz w:val="17"/>
          <w:szCs w:val="17"/>
          <w:color w:val="auto"/>
        </w:rPr>
        <w:t xml:space="preserve">, to be less than the Minimum Unrestricted Cash Amount as of such date of determination;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aggregate amount of Annual Platform Revenue, determined as of such date, exceeds $50,000,000, then the Minimum Unrestricted Cash Amount shall be deemed to be $10,000,000 and (ii) measured as of April 30, 2023, and as of the last day of each calendar month thereafter, to be less than the Minimum Unrestricted Cash Amount as of such date of determination;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for purposes of calculating compliance with this </w:t>
      </w:r>
      <w:r>
        <w:rPr>
          <w:rFonts w:ascii="Arial" w:cs="Arial" w:eastAsia="Arial" w:hAnsi="Arial"/>
          <w:sz w:val="17"/>
          <w:szCs w:val="17"/>
          <w:u w:val="single" w:color="auto"/>
          <w:color w:val="auto"/>
        </w:rPr>
        <w:t>Section 6.17(a)</w:t>
      </w:r>
      <w:r>
        <w:rPr>
          <w:rFonts w:ascii="Arial" w:cs="Arial" w:eastAsia="Arial" w:hAnsi="Arial"/>
          <w:sz w:val="17"/>
          <w:szCs w:val="17"/>
          <w:color w:val="auto"/>
        </w:rPr>
        <w:t xml:space="preserve">, to the extent that as of any date of determination a Compliance Certificate and/or any financial statements required to be delivered pursuant to </w:t>
      </w:r>
      <w:r>
        <w:rPr>
          <w:rFonts w:ascii="Arial" w:cs="Arial" w:eastAsia="Arial" w:hAnsi="Arial"/>
          <w:sz w:val="17"/>
          <w:szCs w:val="17"/>
          <w:u w:val="single" w:color="auto"/>
          <w:color w:val="auto"/>
        </w:rPr>
        <w:t>Section 5.1</w:t>
      </w:r>
      <w:r>
        <w:rPr>
          <w:rFonts w:ascii="Arial" w:cs="Arial" w:eastAsia="Arial" w:hAnsi="Arial"/>
          <w:sz w:val="17"/>
          <w:szCs w:val="17"/>
          <w:color w:val="auto"/>
        </w:rPr>
        <w:t xml:space="preserve"> for the period ending as of the applicable date of determination has not been delivered as and when required hereunder, the Borrower’s Unrestricted Cash shall be deemed to be $0 for the applicable period until such time as the applicable Compliance Certificate and related financial statements complying with </w:t>
      </w:r>
      <w:r>
        <w:rPr>
          <w:rFonts w:ascii="Arial" w:cs="Arial" w:eastAsia="Arial" w:hAnsi="Arial"/>
          <w:sz w:val="17"/>
          <w:szCs w:val="17"/>
          <w:u w:val="single" w:color="auto"/>
          <w:color w:val="auto"/>
        </w:rPr>
        <w:t>Section 5.1</w:t>
      </w:r>
      <w:r>
        <w:rPr>
          <w:rFonts w:ascii="Arial" w:cs="Arial" w:eastAsia="Arial" w:hAnsi="Arial"/>
          <w:sz w:val="17"/>
          <w:szCs w:val="17"/>
          <w:color w:val="auto"/>
        </w:rPr>
        <w:t xml:space="preserve"> are delivered demonstrating the Borrower’s Unrestricted Cash.</w:t>
      </w:r>
    </w:p>
    <w:p>
      <w:pPr>
        <w:spacing w:after="0" w:line="185" w:lineRule="exact"/>
        <w:rPr>
          <w:rFonts w:ascii="Arial" w:cs="Arial" w:eastAsia="Arial" w:hAnsi="Arial"/>
          <w:sz w:val="17"/>
          <w:szCs w:val="17"/>
          <w:color w:val="auto"/>
        </w:rPr>
      </w:pPr>
    </w:p>
    <w:p>
      <w:pPr>
        <w:ind w:left="920" w:hanging="264"/>
        <w:spacing w:after="0"/>
        <w:tabs>
          <w:tab w:leader="none" w:pos="9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firstLine="656"/>
        <w:spacing w:after="0" w:line="273" w:lineRule="auto"/>
        <w:tabs>
          <w:tab w:leader="none" w:pos="919" w:val="left"/>
        </w:tabs>
        <w:numPr>
          <w:ilvl w:val="0"/>
          <w:numId w:val="129"/>
        </w:numPr>
        <w:rPr>
          <w:rFonts w:ascii="Arial" w:cs="Arial" w:eastAsia="Arial" w:hAnsi="Arial"/>
          <w:sz w:val="17"/>
          <w:szCs w:val="17"/>
          <w:color w:val="auto"/>
        </w:rPr>
      </w:pPr>
      <w:r>
        <w:rPr>
          <w:rFonts w:ascii="Arial" w:cs="Arial" w:eastAsia="Arial" w:hAnsi="Arial"/>
          <w:sz w:val="17"/>
          <w:szCs w:val="17"/>
          <w:color w:val="auto"/>
        </w:rPr>
        <w:t xml:space="preserve">As of the last day of each calendar month, beginning with the month ending June 30, 2023, Borrower shall not permit its Net Adjusted Decrease in Operating Cash for the consecutive three-month period ending as of the last day of the applicable month (expressed as a positive number) to exceed (i) for each period ending on or prior to September 30, 2023, $10,000,000,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(A) for the month ending June 30, 2023 the Net Adjusted Decrease in Operating Cash shall be calculated for the one-month period then ended times three, and (B) for the month ending July 31, 2023 the Net Adjusted Decrease in Operating Cash shall be calculated for the two consecutive month period then ended, times three, divided by two, and (ii) for each period ending on or after October 31, 2023, the amount for such month set forth below:</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color w:val="auto"/>
                <w:w w:val="93"/>
              </w:rPr>
              <w:t>Net Adjusted</w:t>
            </w:r>
          </w:p>
        </w:tc>
      </w:tr>
      <w:tr>
        <w:trPr>
          <w:trHeight w:val="216"/>
        </w:trPr>
        <w:tc>
          <w:tcPr>
            <w:tcW w:w="372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Decrease in</w:t>
            </w:r>
          </w:p>
        </w:tc>
      </w:tr>
      <w:tr>
        <w:trPr>
          <w:trHeight w:val="216"/>
        </w:trPr>
        <w:tc>
          <w:tcPr>
            <w:tcW w:w="372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Operating</w:t>
            </w:r>
          </w:p>
        </w:tc>
      </w:tr>
      <w:tr>
        <w:trPr>
          <w:trHeight w:val="237"/>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Month Ending</w:t>
            </w:r>
          </w:p>
        </w:tc>
        <w:tc>
          <w:tcPr>
            <w:tcW w:w="618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5"/>
              </w:rPr>
              <w:t>Cash</w:t>
            </w:r>
          </w:p>
        </w:tc>
        <w:tc>
          <w:tcPr>
            <w:tcW w:w="100" w:type="dxa"/>
            <w:vAlign w:val="bottom"/>
            <w:tcBorders>
              <w:bottom w:val="single" w:sz="8" w:color="CCEEFF"/>
            </w:tcBorders>
          </w:tcPr>
          <w:p>
            <w:pPr>
              <w:spacing w:after="0"/>
              <w:rPr>
                <w:sz w:val="20"/>
                <w:szCs w:val="20"/>
                <w:color w:val="auto"/>
              </w:rPr>
            </w:pPr>
          </w:p>
        </w:tc>
      </w:tr>
      <w:tr>
        <w:trPr>
          <w:trHeight w:val="243"/>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October 31, 2023</w:t>
            </w:r>
          </w:p>
        </w:tc>
        <w:tc>
          <w:tcPr>
            <w:tcW w:w="6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10,700,000</w:t>
            </w:r>
          </w:p>
        </w:tc>
      </w:tr>
      <w:tr>
        <w:trPr>
          <w:trHeight w:val="243"/>
        </w:trPr>
        <w:tc>
          <w:tcPr>
            <w:tcW w:w="3720" w:type="dxa"/>
            <w:vAlign w:val="bottom"/>
          </w:tcPr>
          <w:p>
            <w:pPr>
              <w:spacing w:after="0"/>
              <w:rPr>
                <w:sz w:val="20"/>
                <w:szCs w:val="20"/>
                <w:color w:val="auto"/>
              </w:rPr>
            </w:pPr>
            <w:r>
              <w:rPr>
                <w:rFonts w:ascii="Arial" w:cs="Arial" w:eastAsia="Arial" w:hAnsi="Arial"/>
                <w:sz w:val="18"/>
                <w:szCs w:val="18"/>
                <w:color w:val="auto"/>
              </w:rPr>
              <w:t>November 30, 2023</w:t>
            </w:r>
          </w:p>
        </w:tc>
        <w:tc>
          <w:tcPr>
            <w:tcW w:w="6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11,400,000</w:t>
            </w:r>
          </w:p>
        </w:tc>
      </w:tr>
      <w:tr>
        <w:trPr>
          <w:trHeight w:val="243"/>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2023</w:t>
            </w:r>
          </w:p>
        </w:tc>
        <w:tc>
          <w:tcPr>
            <w:tcW w:w="6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10,300,000</w:t>
            </w:r>
          </w:p>
        </w:tc>
      </w:tr>
      <w:tr>
        <w:trPr>
          <w:trHeight w:val="243"/>
        </w:trPr>
        <w:tc>
          <w:tcPr>
            <w:tcW w:w="3720" w:type="dxa"/>
            <w:vAlign w:val="bottom"/>
          </w:tcPr>
          <w:p>
            <w:pPr>
              <w:spacing w:after="0"/>
              <w:rPr>
                <w:sz w:val="20"/>
                <w:szCs w:val="20"/>
                <w:color w:val="auto"/>
              </w:rPr>
            </w:pPr>
            <w:r>
              <w:rPr>
                <w:rFonts w:ascii="Arial" w:cs="Arial" w:eastAsia="Arial" w:hAnsi="Arial"/>
                <w:sz w:val="18"/>
                <w:szCs w:val="18"/>
                <w:color w:val="auto"/>
              </w:rPr>
              <w:t>January 31, 2024</w:t>
            </w:r>
          </w:p>
        </w:tc>
        <w:tc>
          <w:tcPr>
            <w:tcW w:w="6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8,750,000</w:t>
            </w:r>
          </w:p>
        </w:tc>
      </w:tr>
      <w:tr>
        <w:trPr>
          <w:trHeight w:val="243"/>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February 29, 2024</w:t>
            </w:r>
          </w:p>
        </w:tc>
        <w:tc>
          <w:tcPr>
            <w:tcW w:w="6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7,300,000</w:t>
            </w:r>
          </w:p>
        </w:tc>
      </w:tr>
      <w:tr>
        <w:trPr>
          <w:trHeight w:val="243"/>
        </w:trPr>
        <w:tc>
          <w:tcPr>
            <w:tcW w:w="3720" w:type="dxa"/>
            <w:vAlign w:val="bottom"/>
          </w:tcPr>
          <w:p>
            <w:pPr>
              <w:spacing w:after="0"/>
              <w:rPr>
                <w:sz w:val="20"/>
                <w:szCs w:val="20"/>
                <w:color w:val="auto"/>
              </w:rPr>
            </w:pPr>
            <w:r>
              <w:rPr>
                <w:rFonts w:ascii="Arial" w:cs="Arial" w:eastAsia="Arial" w:hAnsi="Arial"/>
                <w:sz w:val="18"/>
                <w:szCs w:val="18"/>
                <w:color w:val="auto"/>
              </w:rPr>
              <w:t>March 31, 2024</w:t>
            </w:r>
          </w:p>
        </w:tc>
        <w:tc>
          <w:tcPr>
            <w:tcW w:w="6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6,550,000</w:t>
            </w:r>
          </w:p>
        </w:tc>
      </w:tr>
      <w:tr>
        <w:trPr>
          <w:trHeight w:val="243"/>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April 30, 2024</w:t>
            </w:r>
          </w:p>
        </w:tc>
        <w:tc>
          <w:tcPr>
            <w:tcW w:w="6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6,300,000</w:t>
            </w:r>
          </w:p>
        </w:tc>
      </w:tr>
      <w:tr>
        <w:trPr>
          <w:trHeight w:val="243"/>
        </w:trPr>
        <w:tc>
          <w:tcPr>
            <w:tcW w:w="3720" w:type="dxa"/>
            <w:vAlign w:val="bottom"/>
          </w:tcPr>
          <w:p>
            <w:pPr>
              <w:spacing w:after="0"/>
              <w:rPr>
                <w:sz w:val="20"/>
                <w:szCs w:val="20"/>
                <w:color w:val="auto"/>
              </w:rPr>
            </w:pPr>
            <w:r>
              <w:rPr>
                <w:rFonts w:ascii="Arial" w:cs="Arial" w:eastAsia="Arial" w:hAnsi="Arial"/>
                <w:sz w:val="18"/>
                <w:szCs w:val="18"/>
                <w:color w:val="auto"/>
              </w:rPr>
              <w:t>May 31, 2024</w:t>
            </w:r>
          </w:p>
        </w:tc>
        <w:tc>
          <w:tcPr>
            <w:tcW w:w="6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6,500,000</w:t>
            </w:r>
          </w:p>
        </w:tc>
      </w:tr>
      <w:tr>
        <w:trPr>
          <w:trHeight w:val="243"/>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June 30, 2024</w:t>
            </w:r>
          </w:p>
        </w:tc>
        <w:tc>
          <w:tcPr>
            <w:tcW w:w="6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6,300,000</w:t>
            </w:r>
          </w:p>
        </w:tc>
      </w:tr>
      <w:tr>
        <w:trPr>
          <w:trHeight w:val="243"/>
        </w:trPr>
        <w:tc>
          <w:tcPr>
            <w:tcW w:w="3720" w:type="dxa"/>
            <w:vAlign w:val="bottom"/>
          </w:tcPr>
          <w:p>
            <w:pPr>
              <w:spacing w:after="0"/>
              <w:rPr>
                <w:sz w:val="20"/>
                <w:szCs w:val="20"/>
                <w:color w:val="auto"/>
              </w:rPr>
            </w:pPr>
            <w:r>
              <w:rPr>
                <w:rFonts w:ascii="Arial" w:cs="Arial" w:eastAsia="Arial" w:hAnsi="Arial"/>
                <w:sz w:val="18"/>
                <w:szCs w:val="18"/>
                <w:color w:val="auto"/>
              </w:rPr>
              <w:t>July 31, 2024</w:t>
            </w:r>
          </w:p>
        </w:tc>
        <w:tc>
          <w:tcPr>
            <w:tcW w:w="6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6,150,000</w:t>
            </w:r>
          </w:p>
        </w:tc>
      </w:tr>
      <w:tr>
        <w:trPr>
          <w:trHeight w:val="243"/>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August 31, 2024</w:t>
            </w:r>
          </w:p>
        </w:tc>
        <w:tc>
          <w:tcPr>
            <w:tcW w:w="6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5,750,000</w:t>
            </w:r>
          </w:p>
        </w:tc>
      </w:tr>
      <w:tr>
        <w:trPr>
          <w:trHeight w:val="243"/>
        </w:trPr>
        <w:tc>
          <w:tcPr>
            <w:tcW w:w="3720" w:type="dxa"/>
            <w:vAlign w:val="bottom"/>
          </w:tcPr>
          <w:p>
            <w:pPr>
              <w:spacing w:after="0"/>
              <w:rPr>
                <w:sz w:val="20"/>
                <w:szCs w:val="20"/>
                <w:color w:val="auto"/>
              </w:rPr>
            </w:pPr>
            <w:r>
              <w:rPr>
                <w:rFonts w:ascii="Arial" w:cs="Arial" w:eastAsia="Arial" w:hAnsi="Arial"/>
                <w:sz w:val="18"/>
                <w:szCs w:val="18"/>
                <w:color w:val="auto"/>
              </w:rPr>
              <w:t>September 30, 2024</w:t>
            </w:r>
          </w:p>
        </w:tc>
        <w:tc>
          <w:tcPr>
            <w:tcW w:w="6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5,650,000</w:t>
            </w:r>
          </w:p>
        </w:tc>
      </w:tr>
      <w:tr>
        <w:trPr>
          <w:trHeight w:val="243"/>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October 31, 2024</w:t>
            </w:r>
          </w:p>
        </w:tc>
        <w:tc>
          <w:tcPr>
            <w:tcW w:w="6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5,400,000</w:t>
            </w:r>
          </w:p>
        </w:tc>
      </w:tr>
      <w:tr>
        <w:trPr>
          <w:trHeight w:val="243"/>
        </w:trPr>
        <w:tc>
          <w:tcPr>
            <w:tcW w:w="3720" w:type="dxa"/>
            <w:vAlign w:val="bottom"/>
          </w:tcPr>
          <w:p>
            <w:pPr>
              <w:spacing w:after="0"/>
              <w:rPr>
                <w:sz w:val="20"/>
                <w:szCs w:val="20"/>
                <w:color w:val="auto"/>
              </w:rPr>
            </w:pPr>
            <w:r>
              <w:rPr>
                <w:rFonts w:ascii="Arial" w:cs="Arial" w:eastAsia="Arial" w:hAnsi="Arial"/>
                <w:sz w:val="18"/>
                <w:szCs w:val="18"/>
                <w:color w:val="auto"/>
              </w:rPr>
              <w:t>November 30, 2024</w:t>
            </w:r>
          </w:p>
        </w:tc>
        <w:tc>
          <w:tcPr>
            <w:tcW w:w="6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5,150,000</w:t>
            </w:r>
          </w:p>
        </w:tc>
      </w:tr>
      <w:tr>
        <w:trPr>
          <w:trHeight w:val="243"/>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2024</w:t>
            </w:r>
          </w:p>
        </w:tc>
        <w:tc>
          <w:tcPr>
            <w:tcW w:w="6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5,000,000</w:t>
            </w:r>
          </w:p>
        </w:tc>
      </w:tr>
      <w:tr>
        <w:trPr>
          <w:trHeight w:val="243"/>
        </w:trPr>
        <w:tc>
          <w:tcPr>
            <w:tcW w:w="3720" w:type="dxa"/>
            <w:vAlign w:val="bottom"/>
          </w:tcPr>
          <w:p>
            <w:pPr>
              <w:spacing w:after="0"/>
              <w:rPr>
                <w:sz w:val="20"/>
                <w:szCs w:val="20"/>
                <w:color w:val="auto"/>
              </w:rPr>
            </w:pPr>
            <w:r>
              <w:rPr>
                <w:rFonts w:ascii="Arial" w:cs="Arial" w:eastAsia="Arial" w:hAnsi="Arial"/>
                <w:sz w:val="18"/>
                <w:szCs w:val="18"/>
                <w:color w:val="auto"/>
              </w:rPr>
              <w:t>January 31, 2025</w:t>
            </w:r>
          </w:p>
        </w:tc>
        <w:tc>
          <w:tcPr>
            <w:tcW w:w="6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4,650,000</w:t>
            </w:r>
          </w:p>
        </w:tc>
      </w:tr>
      <w:tr>
        <w:trPr>
          <w:trHeight w:val="243"/>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February 28, 2025</w:t>
            </w:r>
          </w:p>
        </w:tc>
        <w:tc>
          <w:tcPr>
            <w:tcW w:w="6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4,250,000</w:t>
            </w:r>
          </w:p>
        </w:tc>
      </w:tr>
      <w:tr>
        <w:trPr>
          <w:trHeight w:val="243"/>
        </w:trPr>
        <w:tc>
          <w:tcPr>
            <w:tcW w:w="3720" w:type="dxa"/>
            <w:vAlign w:val="bottom"/>
          </w:tcPr>
          <w:p>
            <w:pPr>
              <w:spacing w:after="0"/>
              <w:rPr>
                <w:sz w:val="20"/>
                <w:szCs w:val="20"/>
                <w:color w:val="auto"/>
              </w:rPr>
            </w:pPr>
            <w:r>
              <w:rPr>
                <w:rFonts w:ascii="Arial" w:cs="Arial" w:eastAsia="Arial" w:hAnsi="Arial"/>
                <w:sz w:val="18"/>
                <w:szCs w:val="18"/>
                <w:color w:val="auto"/>
              </w:rPr>
              <w:t>March 31, 2025</w:t>
            </w:r>
          </w:p>
        </w:tc>
        <w:tc>
          <w:tcPr>
            <w:tcW w:w="6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3,750,000</w:t>
            </w:r>
          </w:p>
        </w:tc>
      </w:tr>
      <w:tr>
        <w:trPr>
          <w:trHeight w:val="655"/>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6180" w:type="dxa"/>
            <w:vAlign w:val="bottom"/>
            <w:tcBorders>
              <w:bottom w:val="single" w:sz="8" w:color="auto"/>
            </w:tcBorders>
          </w:tcPr>
          <w:p>
            <w:pPr>
              <w:jc w:val="right"/>
              <w:ind w:right="4010"/>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45" w:name="page146"/>
    <w:bookmarkEnd w:id="145"/>
    <w:p>
      <w:pPr>
        <w:ind w:left="660"/>
        <w:spacing w:after="0"/>
        <w:rPr>
          <w:sz w:val="20"/>
          <w:szCs w:val="20"/>
          <w:color w:val="auto"/>
        </w:rPr>
      </w:pPr>
      <w:r>
        <w:rPr>
          <w:rFonts w:ascii="Arial" w:cs="Arial" w:eastAsia="Arial" w:hAnsi="Arial"/>
          <w:sz w:val="18"/>
          <w:szCs w:val="18"/>
          <w:color w:val="auto"/>
        </w:rPr>
        <w:t>(d) [Reserved].</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6.18 Change of Control</w:t>
      </w:r>
      <w:r>
        <w:rPr>
          <w:rFonts w:ascii="Arial" w:cs="Arial" w:eastAsia="Arial" w:hAnsi="Arial"/>
          <w:sz w:val="18"/>
          <w:szCs w:val="18"/>
          <w:color w:val="auto"/>
        </w:rPr>
        <w:t>. Permit or incur any Change of Control.</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7</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EVENTS OF DEFAULT</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7.1 Events of Default</w:t>
      </w:r>
      <w:r>
        <w:rPr>
          <w:rFonts w:ascii="Arial" w:cs="Arial" w:eastAsia="Arial" w:hAnsi="Arial"/>
          <w:sz w:val="18"/>
          <w:szCs w:val="18"/>
          <w:color w:val="auto"/>
        </w:rPr>
        <w:t>. The occurrence of any of the following shall constitute an Event of Default:</w:t>
      </w:r>
    </w:p>
    <w:p>
      <w:pPr>
        <w:spacing w:after="0" w:line="229" w:lineRule="exact"/>
        <w:rPr>
          <w:sz w:val="20"/>
          <w:szCs w:val="20"/>
          <w:color w:val="auto"/>
        </w:rPr>
      </w:pPr>
    </w:p>
    <w:p>
      <w:pPr>
        <w:jc w:val="both"/>
        <w:ind w:firstLine="656"/>
        <w:spacing w:after="0" w:line="291" w:lineRule="auto"/>
        <w:tabs>
          <w:tab w:leader="none" w:pos="906" w:val="left"/>
        </w:tabs>
        <w:numPr>
          <w:ilvl w:val="1"/>
          <w:numId w:val="130"/>
        </w:numPr>
        <w:rPr>
          <w:rFonts w:ascii="Arial" w:cs="Arial" w:eastAsia="Arial" w:hAnsi="Arial"/>
          <w:sz w:val="16"/>
          <w:szCs w:val="16"/>
          <w:color w:val="auto"/>
        </w:rPr>
      </w:pPr>
      <w:r>
        <w:rPr>
          <w:rFonts w:ascii="Arial" w:cs="Arial" w:eastAsia="Arial" w:hAnsi="Arial"/>
          <w:sz w:val="16"/>
          <w:szCs w:val="16"/>
          <w:color w:val="auto"/>
        </w:rPr>
        <w:t>Borrower shall (i) fail to pay any amount of principal of the Term Loan or Make Whole Premium when due in accordance with the terms hereof, or (ii) fail to pay any amount of interest on the Term Loan, or any other amount payable hereunder or under any other Loan Document, within three</w:t>
      </w:r>
    </w:p>
    <w:p>
      <w:pPr>
        <w:ind w:left="260" w:hanging="252"/>
        <w:spacing w:after="0"/>
        <w:tabs>
          <w:tab w:leader="none" w:pos="2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Business Days after any such interest or other amount becomes due in accordance with the terms hereof; or</w:t>
      </w:r>
    </w:p>
    <w:p>
      <w:pPr>
        <w:spacing w:after="0" w:line="210" w:lineRule="exact"/>
        <w:rPr>
          <w:rFonts w:ascii="Arial" w:cs="Arial" w:eastAsia="Arial" w:hAnsi="Arial"/>
          <w:sz w:val="18"/>
          <w:szCs w:val="18"/>
          <w:color w:val="auto"/>
        </w:rPr>
      </w:pPr>
    </w:p>
    <w:p>
      <w:pPr>
        <w:jc w:val="both"/>
        <w:ind w:firstLine="656"/>
        <w:spacing w:after="0" w:line="259" w:lineRule="auto"/>
        <w:tabs>
          <w:tab w:leader="none" w:pos="916" w:val="left"/>
        </w:tabs>
        <w:numPr>
          <w:ilvl w:val="1"/>
          <w:numId w:val="131"/>
        </w:numPr>
        <w:rPr>
          <w:rFonts w:ascii="Arial" w:cs="Arial" w:eastAsia="Arial" w:hAnsi="Arial"/>
          <w:sz w:val="18"/>
          <w:szCs w:val="18"/>
          <w:color w:val="auto"/>
        </w:rPr>
      </w:pPr>
      <w:r>
        <w:rPr>
          <w:rFonts w:ascii="Arial" w:cs="Arial" w:eastAsia="Arial" w:hAnsi="Arial"/>
          <w:sz w:val="18"/>
          <w:szCs w:val="18"/>
          <w:color w:val="auto"/>
        </w:rPr>
        <w:t>any representation or warranty made or deemed made by any Loan Party herein or in any other Loan Document or that is contained in any certificate, document or financial or other statement furnished by it at any time under or in connection with this Agreement or any such other Loan Document (i) if qualified by materiality, shall be incorrect or misleading when made or deemed made, or (ii) if not qualified by materiality, shall be incorrect or misleading in any material respect when made or deemed made; or</w:t>
      </w:r>
    </w:p>
    <w:p>
      <w:pPr>
        <w:spacing w:after="0" w:line="186" w:lineRule="exact"/>
        <w:rPr>
          <w:rFonts w:ascii="Arial" w:cs="Arial" w:eastAsia="Arial" w:hAnsi="Arial"/>
          <w:sz w:val="18"/>
          <w:szCs w:val="18"/>
          <w:color w:val="auto"/>
        </w:rPr>
      </w:pPr>
    </w:p>
    <w:p>
      <w:pPr>
        <w:jc w:val="both"/>
        <w:ind w:firstLine="656"/>
        <w:spacing w:after="0" w:line="287" w:lineRule="auto"/>
        <w:tabs>
          <w:tab w:leader="none" w:pos="892" w:val="left"/>
        </w:tabs>
        <w:numPr>
          <w:ilvl w:val="1"/>
          <w:numId w:val="131"/>
        </w:numPr>
        <w:rPr>
          <w:rFonts w:ascii="Arial" w:cs="Arial" w:eastAsia="Arial" w:hAnsi="Arial"/>
          <w:sz w:val="16"/>
          <w:szCs w:val="16"/>
          <w:color w:val="auto"/>
        </w:rPr>
      </w:pPr>
      <w:r>
        <w:rPr>
          <w:rFonts w:ascii="Arial" w:cs="Arial" w:eastAsia="Arial" w:hAnsi="Arial"/>
          <w:sz w:val="16"/>
          <w:szCs w:val="16"/>
          <w:color w:val="auto"/>
        </w:rPr>
        <w:t xml:space="preserve">(i) any Loan Party fails to perform or comply with any term or condition contained in </w:t>
      </w:r>
      <w:r>
        <w:rPr>
          <w:rFonts w:ascii="Arial" w:cs="Arial" w:eastAsia="Arial" w:hAnsi="Arial"/>
          <w:sz w:val="16"/>
          <w:szCs w:val="16"/>
          <w:u w:val="single" w:color="auto"/>
          <w:color w:val="auto"/>
        </w:rPr>
        <w:t>Sections 5.1</w:t>
      </w:r>
      <w:r>
        <w:rPr>
          <w:rFonts w:ascii="Arial" w:cs="Arial" w:eastAsia="Arial" w:hAnsi="Arial"/>
          <w:sz w:val="16"/>
          <w:szCs w:val="16"/>
          <w:color w:val="auto"/>
        </w:rPr>
        <w:t xml:space="preserve"> [</w:t>
      </w:r>
      <w:r>
        <w:rPr>
          <w:rFonts w:ascii="Arial" w:cs="Arial" w:eastAsia="Arial" w:hAnsi="Arial"/>
          <w:sz w:val="16"/>
          <w:szCs w:val="16"/>
          <w:i w:val="1"/>
          <w:iCs w:val="1"/>
          <w:color w:val="auto"/>
        </w:rPr>
        <w:t>Financial Statements</w:t>
      </w:r>
      <w:r>
        <w:rPr>
          <w:rFonts w:ascii="Arial" w:cs="Arial" w:eastAsia="Arial" w:hAnsi="Arial"/>
          <w:sz w:val="16"/>
          <w:szCs w:val="16"/>
          <w:color w:val="auto"/>
        </w:rPr>
        <w:t xml:space="preserve">] (other than the sub-sections of Section 5.1 identified in clause (ii) below), </w:t>
      </w:r>
      <w:r>
        <w:rPr>
          <w:rFonts w:ascii="Arial" w:cs="Arial" w:eastAsia="Arial" w:hAnsi="Arial"/>
          <w:sz w:val="16"/>
          <w:szCs w:val="16"/>
          <w:u w:val="single" w:color="auto"/>
          <w:color w:val="auto"/>
        </w:rPr>
        <w:t>5.2</w:t>
      </w:r>
      <w:r>
        <w:rPr>
          <w:rFonts w:ascii="Arial" w:cs="Arial" w:eastAsia="Arial" w:hAnsi="Arial"/>
          <w:sz w:val="16"/>
          <w:szCs w:val="16"/>
          <w:color w:val="auto"/>
        </w:rPr>
        <w:t xml:space="preserve"> [</w:t>
      </w:r>
      <w:r>
        <w:rPr>
          <w:rFonts w:ascii="Arial" w:cs="Arial" w:eastAsia="Arial" w:hAnsi="Arial"/>
          <w:sz w:val="16"/>
          <w:szCs w:val="16"/>
          <w:i w:val="1"/>
          <w:iCs w:val="1"/>
          <w:color w:val="auto"/>
        </w:rPr>
        <w:t>Certificates; Reports; Other Information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5.4</w:t>
      </w:r>
      <w:r>
        <w:rPr>
          <w:rFonts w:ascii="Arial" w:cs="Arial" w:eastAsia="Arial" w:hAnsi="Arial"/>
          <w:sz w:val="16"/>
          <w:szCs w:val="16"/>
          <w:color w:val="auto"/>
        </w:rPr>
        <w:t xml:space="preserve"> [</w:t>
      </w:r>
      <w:r>
        <w:rPr>
          <w:rFonts w:ascii="Arial" w:cs="Arial" w:eastAsia="Arial" w:hAnsi="Arial"/>
          <w:sz w:val="16"/>
          <w:szCs w:val="16"/>
          <w:i w:val="1"/>
          <w:iCs w:val="1"/>
          <w:color w:val="auto"/>
        </w:rPr>
        <w:t>Maintenance of Existence; Compliance with</w:t>
      </w:r>
      <w:r>
        <w:rPr>
          <w:rFonts w:ascii="Arial" w:cs="Arial" w:eastAsia="Arial" w:hAnsi="Arial"/>
          <w:sz w:val="16"/>
          <w:szCs w:val="16"/>
          <w:color w:val="auto"/>
        </w:rPr>
        <w:t xml:space="preserve"> </w:t>
      </w:r>
      <w:r>
        <w:rPr>
          <w:rFonts w:ascii="Arial" w:cs="Arial" w:eastAsia="Arial" w:hAnsi="Arial"/>
          <w:sz w:val="16"/>
          <w:szCs w:val="16"/>
          <w:i w:val="1"/>
          <w:iCs w:val="1"/>
          <w:color w:val="auto"/>
        </w:rPr>
        <w:t>Requirements of Law</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5.5</w:t>
      </w:r>
      <w:r>
        <w:rPr>
          <w:rFonts w:ascii="Arial" w:cs="Arial" w:eastAsia="Arial" w:hAnsi="Arial"/>
          <w:sz w:val="16"/>
          <w:szCs w:val="16"/>
          <w:i w:val="1"/>
          <w:iCs w:val="1"/>
          <w:color w:val="auto"/>
        </w:rPr>
        <w:t xml:space="preserve"> </w:t>
      </w:r>
      <w:r>
        <w:rPr>
          <w:rFonts w:ascii="Arial" w:cs="Arial" w:eastAsia="Arial" w:hAnsi="Arial"/>
          <w:sz w:val="16"/>
          <w:szCs w:val="16"/>
          <w:color w:val="auto"/>
        </w:rPr>
        <w:t>[</w:t>
      </w:r>
      <w:r>
        <w:rPr>
          <w:rFonts w:ascii="Arial" w:cs="Arial" w:eastAsia="Arial" w:hAnsi="Arial"/>
          <w:sz w:val="16"/>
          <w:szCs w:val="16"/>
          <w:i w:val="1"/>
          <w:iCs w:val="1"/>
          <w:color w:val="auto"/>
        </w:rPr>
        <w:t>Maintenance of Collateral; Insurance</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5.6</w:t>
      </w:r>
      <w:r>
        <w:rPr>
          <w:rFonts w:ascii="Arial" w:cs="Arial" w:eastAsia="Arial" w:hAnsi="Arial"/>
          <w:sz w:val="16"/>
          <w:szCs w:val="16"/>
          <w:i w:val="1"/>
          <w:iCs w:val="1"/>
          <w:color w:val="auto"/>
        </w:rPr>
        <w:t xml:space="preserve"> </w:t>
      </w:r>
      <w:r>
        <w:rPr>
          <w:rFonts w:ascii="Arial" w:cs="Arial" w:eastAsia="Arial" w:hAnsi="Arial"/>
          <w:sz w:val="16"/>
          <w:szCs w:val="16"/>
          <w:color w:val="auto"/>
        </w:rPr>
        <w:t>[</w:t>
      </w:r>
      <w:r>
        <w:rPr>
          <w:rFonts w:ascii="Arial" w:cs="Arial" w:eastAsia="Arial" w:hAnsi="Arial"/>
          <w:sz w:val="16"/>
          <w:szCs w:val="16"/>
          <w:i w:val="1"/>
          <w:iCs w:val="1"/>
          <w:color w:val="auto"/>
        </w:rPr>
        <w:t>Inspection of Property; Books and Records; Discussions</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5.7</w:t>
      </w:r>
      <w:r>
        <w:rPr>
          <w:rFonts w:ascii="Arial" w:cs="Arial" w:eastAsia="Arial" w:hAnsi="Arial"/>
          <w:sz w:val="16"/>
          <w:szCs w:val="16"/>
          <w:i w:val="1"/>
          <w:iCs w:val="1"/>
          <w:color w:val="auto"/>
        </w:rPr>
        <w:t xml:space="preserve"> </w:t>
      </w:r>
      <w:r>
        <w:rPr>
          <w:rFonts w:ascii="Arial" w:cs="Arial" w:eastAsia="Arial" w:hAnsi="Arial"/>
          <w:sz w:val="16"/>
          <w:szCs w:val="16"/>
          <w:color w:val="auto"/>
        </w:rPr>
        <w:t>[</w:t>
      </w:r>
      <w:r>
        <w:rPr>
          <w:rFonts w:ascii="Arial" w:cs="Arial" w:eastAsia="Arial" w:hAnsi="Arial"/>
          <w:sz w:val="16"/>
          <w:szCs w:val="16"/>
          <w:i w:val="1"/>
          <w:iCs w:val="1"/>
          <w:color w:val="auto"/>
        </w:rPr>
        <w:t>Notices</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5.8</w:t>
      </w:r>
      <w:r>
        <w:rPr>
          <w:rFonts w:ascii="Arial" w:cs="Arial" w:eastAsia="Arial" w:hAnsi="Arial"/>
          <w:sz w:val="16"/>
          <w:szCs w:val="16"/>
          <w:i w:val="1"/>
          <w:iCs w:val="1"/>
          <w:color w:val="auto"/>
        </w:rPr>
        <w:t xml:space="preserve"> </w:t>
      </w:r>
      <w:r>
        <w:rPr>
          <w:rFonts w:ascii="Arial" w:cs="Arial" w:eastAsia="Arial" w:hAnsi="Arial"/>
          <w:sz w:val="16"/>
          <w:szCs w:val="16"/>
          <w:color w:val="auto"/>
        </w:rPr>
        <w:t>[</w:t>
      </w:r>
      <w:r>
        <w:rPr>
          <w:rFonts w:ascii="Arial" w:cs="Arial" w:eastAsia="Arial" w:hAnsi="Arial"/>
          <w:sz w:val="16"/>
          <w:szCs w:val="16"/>
          <w:i w:val="1"/>
          <w:iCs w:val="1"/>
          <w:color w:val="auto"/>
        </w:rPr>
        <w:t>Environmental Law</w:t>
      </w:r>
      <w:r>
        <w:rPr>
          <w:rFonts w:ascii="Arial" w:cs="Arial" w:eastAsia="Arial" w:hAnsi="Arial"/>
          <w:sz w:val="16"/>
          <w:szCs w:val="16"/>
          <w:color w:val="auto"/>
        </w:rPr>
        <w:t xml:space="preserve">], </w:t>
      </w:r>
      <w:r>
        <w:rPr>
          <w:rFonts w:ascii="Arial" w:cs="Arial" w:eastAsia="Arial" w:hAnsi="Arial"/>
          <w:sz w:val="16"/>
          <w:szCs w:val="16"/>
          <w:u w:val="single" w:color="auto"/>
          <w:color w:val="auto"/>
        </w:rPr>
        <w:t>5.10</w:t>
      </w:r>
      <w:r>
        <w:rPr>
          <w:rFonts w:ascii="Arial" w:cs="Arial" w:eastAsia="Arial" w:hAnsi="Arial"/>
          <w:sz w:val="16"/>
          <w:szCs w:val="16"/>
          <w:color w:val="auto"/>
        </w:rPr>
        <w:t xml:space="preserve"> [</w:t>
      </w:r>
      <w:r>
        <w:rPr>
          <w:rFonts w:ascii="Arial" w:cs="Arial" w:eastAsia="Arial" w:hAnsi="Arial"/>
          <w:sz w:val="16"/>
          <w:szCs w:val="16"/>
          <w:i w:val="1"/>
          <w:iCs w:val="1"/>
          <w:color w:val="auto"/>
        </w:rPr>
        <w:t>Further Assurances</w:t>
      </w:r>
      <w:r>
        <w:rPr>
          <w:rFonts w:ascii="Arial" w:cs="Arial" w:eastAsia="Arial" w:hAnsi="Arial"/>
          <w:sz w:val="16"/>
          <w:szCs w:val="16"/>
          <w:color w:val="auto"/>
        </w:rPr>
        <w:t xml:space="preserve">], </w:t>
      </w:r>
      <w:r>
        <w:rPr>
          <w:rFonts w:ascii="Arial" w:cs="Arial" w:eastAsia="Arial" w:hAnsi="Arial"/>
          <w:sz w:val="16"/>
          <w:szCs w:val="16"/>
          <w:u w:val="single" w:color="auto"/>
          <w:color w:val="auto"/>
        </w:rPr>
        <w:t>5.11</w:t>
      </w:r>
      <w:r>
        <w:rPr>
          <w:rFonts w:ascii="Arial" w:cs="Arial" w:eastAsia="Arial" w:hAnsi="Arial"/>
          <w:sz w:val="16"/>
          <w:szCs w:val="16"/>
          <w:color w:val="auto"/>
        </w:rPr>
        <w:t xml:space="preserve"> [</w:t>
      </w:r>
      <w:r>
        <w:rPr>
          <w:rFonts w:ascii="Arial" w:cs="Arial" w:eastAsia="Arial" w:hAnsi="Arial"/>
          <w:sz w:val="16"/>
          <w:szCs w:val="16"/>
          <w:i w:val="1"/>
          <w:iCs w:val="1"/>
          <w:color w:val="auto"/>
        </w:rPr>
        <w:t>Use of Proceeds</w:t>
      </w:r>
      <w:r>
        <w:rPr>
          <w:rFonts w:ascii="Arial" w:cs="Arial" w:eastAsia="Arial" w:hAnsi="Arial"/>
          <w:sz w:val="16"/>
          <w:szCs w:val="16"/>
          <w:color w:val="auto"/>
        </w:rPr>
        <w:t xml:space="preserve">], </w:t>
      </w:r>
      <w:r>
        <w:rPr>
          <w:rFonts w:ascii="Arial" w:cs="Arial" w:eastAsia="Arial" w:hAnsi="Arial"/>
          <w:sz w:val="16"/>
          <w:szCs w:val="16"/>
          <w:u w:val="single" w:color="auto"/>
          <w:color w:val="auto"/>
        </w:rPr>
        <w:t>5.12</w:t>
      </w:r>
      <w:r>
        <w:rPr>
          <w:rFonts w:ascii="Arial" w:cs="Arial" w:eastAsia="Arial" w:hAnsi="Arial"/>
          <w:sz w:val="16"/>
          <w:szCs w:val="16"/>
          <w:color w:val="auto"/>
        </w:rPr>
        <w:t xml:space="preserve"> [</w:t>
      </w:r>
      <w:r>
        <w:rPr>
          <w:rFonts w:ascii="Arial" w:cs="Arial" w:eastAsia="Arial" w:hAnsi="Arial"/>
          <w:sz w:val="16"/>
          <w:szCs w:val="16"/>
          <w:i w:val="1"/>
          <w:iCs w:val="1"/>
          <w:color w:val="auto"/>
        </w:rPr>
        <w:t>Taxes</w:t>
      </w:r>
      <w:r>
        <w:rPr>
          <w:rFonts w:ascii="Arial" w:cs="Arial" w:eastAsia="Arial" w:hAnsi="Arial"/>
          <w:sz w:val="16"/>
          <w:szCs w:val="16"/>
          <w:color w:val="auto"/>
        </w:rPr>
        <w:t xml:space="preserve">], </w:t>
      </w:r>
      <w:r>
        <w:rPr>
          <w:rFonts w:ascii="Arial" w:cs="Arial" w:eastAsia="Arial" w:hAnsi="Arial"/>
          <w:sz w:val="16"/>
          <w:szCs w:val="16"/>
          <w:u w:val="single" w:color="auto"/>
          <w:color w:val="auto"/>
        </w:rPr>
        <w:t>5.13</w:t>
      </w:r>
      <w:r>
        <w:rPr>
          <w:rFonts w:ascii="Arial" w:cs="Arial" w:eastAsia="Arial" w:hAnsi="Arial"/>
          <w:sz w:val="16"/>
          <w:szCs w:val="16"/>
          <w:color w:val="auto"/>
        </w:rPr>
        <w:t xml:space="preserve"> [</w:t>
      </w:r>
      <w:r>
        <w:rPr>
          <w:rFonts w:ascii="Arial" w:cs="Arial" w:eastAsia="Arial" w:hAnsi="Arial"/>
          <w:sz w:val="16"/>
          <w:szCs w:val="16"/>
          <w:i w:val="1"/>
          <w:iCs w:val="1"/>
          <w:color w:val="auto"/>
        </w:rPr>
        <w:t>Post-Closing Covenants</w:t>
      </w:r>
      <w:r>
        <w:rPr>
          <w:rFonts w:ascii="Arial" w:cs="Arial" w:eastAsia="Arial" w:hAnsi="Arial"/>
          <w:sz w:val="16"/>
          <w:szCs w:val="16"/>
          <w:color w:val="auto"/>
        </w:rPr>
        <w:t xml:space="preserve">], </w:t>
      </w:r>
      <w:r>
        <w:rPr>
          <w:rFonts w:ascii="Arial" w:cs="Arial" w:eastAsia="Arial" w:hAnsi="Arial"/>
          <w:sz w:val="16"/>
          <w:szCs w:val="16"/>
          <w:u w:val="single" w:color="auto"/>
          <w:color w:val="auto"/>
        </w:rPr>
        <w:t>5.15</w:t>
      </w:r>
      <w:r>
        <w:rPr>
          <w:rFonts w:ascii="Arial" w:cs="Arial" w:eastAsia="Arial" w:hAnsi="Arial"/>
          <w:sz w:val="16"/>
          <w:szCs w:val="16"/>
          <w:color w:val="auto"/>
        </w:rPr>
        <w:t xml:space="preserve"> [</w:t>
      </w:r>
      <w:r>
        <w:rPr>
          <w:rFonts w:ascii="Arial" w:cs="Arial" w:eastAsia="Arial" w:hAnsi="Arial"/>
          <w:sz w:val="16"/>
          <w:szCs w:val="16"/>
          <w:i w:val="1"/>
          <w:iCs w:val="1"/>
          <w:color w:val="auto"/>
        </w:rPr>
        <w:t>Additional Subsidiaries</w:t>
      </w:r>
      <w:r>
        <w:rPr>
          <w:rFonts w:ascii="Arial" w:cs="Arial" w:eastAsia="Arial" w:hAnsi="Arial"/>
          <w:sz w:val="16"/>
          <w:szCs w:val="16"/>
          <w:color w:val="auto"/>
        </w:rPr>
        <w:t xml:space="preserve">], </w:t>
      </w:r>
      <w:r>
        <w:rPr>
          <w:rFonts w:ascii="Arial" w:cs="Arial" w:eastAsia="Arial" w:hAnsi="Arial"/>
          <w:sz w:val="16"/>
          <w:szCs w:val="16"/>
          <w:u w:val="single" w:color="auto"/>
          <w:color w:val="auto"/>
        </w:rPr>
        <w:t>5.16</w:t>
      </w:r>
      <w:r>
        <w:rPr>
          <w:rFonts w:ascii="Arial" w:cs="Arial" w:eastAsia="Arial" w:hAnsi="Arial"/>
          <w:sz w:val="16"/>
          <w:szCs w:val="16"/>
          <w:color w:val="auto"/>
        </w:rPr>
        <w:t xml:space="preserve"> [</w:t>
      </w:r>
      <w:r>
        <w:rPr>
          <w:rFonts w:ascii="Arial" w:cs="Arial" w:eastAsia="Arial" w:hAnsi="Arial"/>
          <w:sz w:val="16"/>
          <w:szCs w:val="16"/>
          <w:i w:val="1"/>
          <w:iCs w:val="1"/>
          <w:color w:val="auto"/>
        </w:rPr>
        <w:t>Board Observation Rights</w:t>
      </w:r>
      <w:r>
        <w:rPr>
          <w:rFonts w:ascii="Arial" w:cs="Arial" w:eastAsia="Arial" w:hAnsi="Arial"/>
          <w:sz w:val="16"/>
          <w:szCs w:val="16"/>
          <w:color w:val="auto"/>
        </w:rPr>
        <w:t xml:space="preserve">], </w:t>
      </w:r>
      <w:r>
        <w:rPr>
          <w:rFonts w:ascii="Arial" w:cs="Arial" w:eastAsia="Arial" w:hAnsi="Arial"/>
          <w:sz w:val="16"/>
          <w:szCs w:val="16"/>
          <w:u w:val="single" w:color="auto"/>
          <w:color w:val="auto"/>
        </w:rPr>
        <w:t>5.18</w:t>
      </w:r>
      <w:r>
        <w:rPr>
          <w:rFonts w:ascii="Arial" w:cs="Arial" w:eastAsia="Arial" w:hAnsi="Arial"/>
          <w:sz w:val="16"/>
          <w:szCs w:val="16"/>
          <w:color w:val="auto"/>
        </w:rPr>
        <w:t xml:space="preserve"> [</w:t>
      </w:r>
      <w:r>
        <w:rPr>
          <w:rFonts w:ascii="Arial" w:cs="Arial" w:eastAsia="Arial" w:hAnsi="Arial"/>
          <w:sz w:val="16"/>
          <w:szCs w:val="16"/>
          <w:i w:val="1"/>
          <w:iCs w:val="1"/>
          <w:color w:val="auto"/>
        </w:rPr>
        <w:t>Cash Collateral Account</w:t>
      </w:r>
      <w:r>
        <w:rPr>
          <w:rFonts w:ascii="Arial" w:cs="Arial" w:eastAsia="Arial" w:hAnsi="Arial"/>
          <w:sz w:val="16"/>
          <w:szCs w:val="16"/>
          <w:color w:val="auto"/>
        </w:rPr>
        <w:t>], 5.19 [</w:t>
      </w:r>
      <w:r>
        <w:rPr>
          <w:rFonts w:ascii="Arial" w:cs="Arial" w:eastAsia="Arial" w:hAnsi="Arial"/>
          <w:sz w:val="16"/>
          <w:szCs w:val="16"/>
          <w:i w:val="1"/>
          <w:iCs w:val="1"/>
          <w:color w:val="auto"/>
        </w:rPr>
        <w:t>Capital Markets Advisory; Future Capital Raises</w:t>
      </w:r>
      <w:r>
        <w:rPr>
          <w:rFonts w:ascii="Arial" w:cs="Arial" w:eastAsia="Arial" w:hAnsi="Arial"/>
          <w:sz w:val="16"/>
          <w:szCs w:val="16"/>
          <w:color w:val="auto"/>
        </w:rPr>
        <w:t>], 5.20 [</w:t>
      </w:r>
      <w:r>
        <w:rPr>
          <w:rFonts w:ascii="Arial" w:cs="Arial" w:eastAsia="Arial" w:hAnsi="Arial"/>
          <w:sz w:val="16"/>
          <w:szCs w:val="16"/>
          <w:i w:val="1"/>
          <w:iCs w:val="1"/>
          <w:color w:val="auto"/>
        </w:rPr>
        <w:t>Touch Business Plan</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w:t>
      </w:r>
      <w:r>
        <w:rPr>
          <w:rFonts w:ascii="Arial" w:cs="Arial" w:eastAsia="Arial" w:hAnsi="Arial"/>
          <w:sz w:val="16"/>
          <w:szCs w:val="16"/>
          <w:i w:val="1"/>
          <w:iCs w:val="1"/>
          <w:color w:val="auto"/>
        </w:rPr>
        <w:t>Negative Covenants</w:t>
      </w:r>
      <w:r>
        <w:rPr>
          <w:rFonts w:ascii="Arial" w:cs="Arial" w:eastAsia="Arial" w:hAnsi="Arial"/>
          <w:sz w:val="16"/>
          <w:szCs w:val="16"/>
          <w:color w:val="auto"/>
        </w:rPr>
        <w:t xml:space="preserve">], (ii) any Loan Party fails to perform or comply with any term or condition contained in </w:t>
      </w:r>
      <w:r>
        <w:rPr>
          <w:rFonts w:ascii="Arial" w:cs="Arial" w:eastAsia="Arial" w:hAnsi="Arial"/>
          <w:sz w:val="16"/>
          <w:szCs w:val="16"/>
          <w:u w:val="single" w:color="auto"/>
          <w:color w:val="auto"/>
        </w:rPr>
        <w:t>Sections 5.1(b)</w:t>
      </w:r>
      <w:r>
        <w:rPr>
          <w:rFonts w:ascii="Arial" w:cs="Arial" w:eastAsia="Arial" w:hAnsi="Arial"/>
          <w:sz w:val="16"/>
          <w:szCs w:val="16"/>
          <w:color w:val="auto"/>
        </w:rPr>
        <w:t xml:space="preserve">, (c), (f), (g) or (h), and, solely in the case of this clause (ii), the same is not cured to Agent’s reasonable satisfaction within five (5) Business Days, or (iii) any Loan Party or any Affiliate of the Obligations fails or neglects to perform, keep or observe any other term, provision, condition or covenant contained in this Agreement or in the Loan Documents, which is required to be performed, kept or observed by it (exclusive of payment obligations and other occurrences described in other provisions of this </w:t>
      </w:r>
      <w:r>
        <w:rPr>
          <w:rFonts w:ascii="Arial" w:cs="Arial" w:eastAsia="Arial" w:hAnsi="Arial"/>
          <w:sz w:val="16"/>
          <w:szCs w:val="16"/>
          <w:u w:val="single" w:color="auto"/>
          <w:color w:val="auto"/>
        </w:rPr>
        <w:t>Section 7.1</w:t>
      </w:r>
      <w:r>
        <w:rPr>
          <w:rFonts w:ascii="Arial" w:cs="Arial" w:eastAsia="Arial" w:hAnsi="Arial"/>
          <w:sz w:val="16"/>
          <w:szCs w:val="16"/>
          <w:color w:val="auto"/>
        </w:rPr>
        <w:t>) and, solely in the case of this clause (iii), the same is not cured to Agent’s reasonable satisfaction within thirty (30) days after Agent gives it written notice identifying such Default, provided that if the same cannot reasonably be cured within the aforesaid thirty (30) day period, it shall have such additional time as Agent may grant in its sole discretion to cure the same so long as it is diligently pursuing to cure the same; or</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20" w:type="dxa"/>
            <w:vAlign w:val="bottom"/>
            <w:tcBorders>
              <w:bottom w:val="single" w:sz="8" w:color="auto"/>
            </w:tcBorders>
          </w:tcPr>
          <w:p>
            <w:pPr>
              <w:jc w:val="right"/>
              <w:ind w:right="5350"/>
              <w:spacing w:after="0"/>
              <w:rPr>
                <w:sz w:val="20"/>
                <w:szCs w:val="20"/>
                <w:color w:val="auto"/>
              </w:rPr>
            </w:pPr>
            <w:r>
              <w:rPr>
                <w:rFonts w:ascii="Arial" w:cs="Arial" w:eastAsia="Arial" w:hAnsi="Arial"/>
                <w:sz w:val="18"/>
                <w:szCs w:val="18"/>
                <w:color w:val="auto"/>
              </w:rPr>
              <w:t>69</w:t>
            </w:r>
          </w:p>
        </w:tc>
      </w:tr>
    </w:tbl>
    <w:p>
      <w:pPr>
        <w:sectPr>
          <w:pgSz w:w="11900" w:h="16838" w:orient="portrait"/>
          <w:cols w:equalWidth="0" w:num="1">
            <w:col w:w="11240"/>
          </w:cols>
          <w:pgMar w:left="320" w:top="908" w:right="339" w:bottom="1440" w:gutter="0" w:footer="0" w:header="0"/>
        </w:sectPr>
      </w:pPr>
    </w:p>
    <w:bookmarkStart w:id="146" w:name="page147"/>
    <w:bookmarkEnd w:id="146"/>
    <w:p>
      <w:pPr>
        <w:jc w:val="both"/>
        <w:ind w:firstLine="656"/>
        <w:spacing w:after="0" w:line="287" w:lineRule="auto"/>
        <w:tabs>
          <w:tab w:leader="none" w:pos="903" w:val="left"/>
        </w:tabs>
        <w:numPr>
          <w:ilvl w:val="0"/>
          <w:numId w:val="132"/>
        </w:numPr>
        <w:rPr>
          <w:rFonts w:ascii="Arial" w:cs="Arial" w:eastAsia="Arial" w:hAnsi="Arial"/>
          <w:sz w:val="16"/>
          <w:szCs w:val="16"/>
          <w:color w:val="auto"/>
        </w:rPr>
      </w:pPr>
      <w:r>
        <w:rPr>
          <w:rFonts w:ascii="Arial" w:cs="Arial" w:eastAsia="Arial" w:hAnsi="Arial"/>
          <w:sz w:val="16"/>
          <w:szCs w:val="16"/>
          <w:color w:val="auto"/>
        </w:rPr>
        <w:t>(i) any Loan Party shall commence any case, proceeding or other action (a) under any Debtor Relief Law seeking to have an order for relief entered with respect to it, or seeking to adjudicate it as bankrupt or insolvent, or seeking reorganization, arrangement, adjustment, winding up, liquidation, dissolution, composition or other relief with respect to it or its debts, or (b) seeking appointment of a receiver, trustee, custodian, conservator, judicial manager or other similar official for it or for all or any substantial part of its assets, or any Loan Party shall make a general assignment for the benefit of its creditors; or (ii) there shall be commenced against any Loan Party any case, proceeding or other action of a nature referred to in clause (i) above that results in the entry of an order for relief or any such adjudication or appointment or remains undismissed, undischarged or unbonded for a period of sixty (60) days; or (iii) there shall be commenced against any Loan Party any case, proceeding or other action seeking issuance of a warrant of attachment, execution, distraint or similar process against all or any substantial part of its assets that results in the entry of an order for any such relief that shall not have been vacated, discharged, or stayed or bonded pending appeal within sixty (60) days from the entry thereof; or (iv) any Loan Party shall take any action in furtherance of, or indicating its consent to, approval of, or acquiescence in, any of the acts set forth in clause (i), (ii), or (iii) above; or (v) any Loan Party shall generally not, or shall be unable to, or shall admit in writing its inability to, pay its debts as they become due; or</w:t>
      </w:r>
    </w:p>
    <w:p>
      <w:pPr>
        <w:spacing w:after="0" w:line="171" w:lineRule="exact"/>
        <w:rPr>
          <w:rFonts w:ascii="Arial" w:cs="Arial" w:eastAsia="Arial" w:hAnsi="Arial"/>
          <w:sz w:val="16"/>
          <w:szCs w:val="16"/>
          <w:color w:val="auto"/>
        </w:rPr>
      </w:pPr>
    </w:p>
    <w:p>
      <w:pPr>
        <w:jc w:val="both"/>
        <w:ind w:firstLine="656"/>
        <w:spacing w:after="0" w:line="286" w:lineRule="auto"/>
        <w:tabs>
          <w:tab w:leader="none" w:pos="913" w:val="left"/>
        </w:tabs>
        <w:numPr>
          <w:ilvl w:val="0"/>
          <w:numId w:val="132"/>
        </w:numPr>
        <w:rPr>
          <w:rFonts w:ascii="Arial" w:cs="Arial" w:eastAsia="Arial" w:hAnsi="Arial"/>
          <w:sz w:val="16"/>
          <w:szCs w:val="16"/>
          <w:color w:val="auto"/>
        </w:rPr>
      </w:pPr>
      <w:r>
        <w:rPr>
          <w:rFonts w:ascii="Arial" w:cs="Arial" w:eastAsia="Arial" w:hAnsi="Arial"/>
          <w:sz w:val="16"/>
          <w:szCs w:val="16"/>
          <w:color w:val="auto"/>
        </w:rPr>
        <w:t>(i) any default or breach occurs, which is not cured within any applicable grace period or waived, (x) in the payment of any amount with respect to any Indebtedness (other than the Obligations and any Subordinated Indebtedness) of Borrower or any other Loan Party for borrowed money having an aggregate principal amount in excess of $500,000 individually or in the aggregate, or (y) in the performance, observance or fulfillment of any provision contained in any agreement, contract, document or instrument to which Borrower or any other Loan Party is a party or to which any of their properties or assets are subject or bound under or pursuant to which any Indebtedness (other than any Subordinated Indebtedness) having an aggregate principal amount in excess of $500,000 individually or in the aggregate was issued, created, assumed, guaranteed or secured and such default or breach continues for more than any applicable grace period and permits the holder of any such Indebtedness to accelerate the maturity thereof; or (ii) any Indebtedness (other than the Obligations and any Subordinated Indebtedness) of Borrower or any other Loan Party for borrowed money having an aggregate principal amount in excess of $500,000 individually or in the aggregate is declared to be due and payable or is required to be prepaid (other than by a regularly scheduled payment or a payment due on the voluntary termination of a Capital Lease) prior to the stated maturity thereof, or any obligation of such Person for the payment of Indebtedness for borrowed money having an aggregate principal amount in excess of $500,000 individually or in the aggregate (other than the Obligations and any Subordinated Indebtedness) is not paid when due or within any applicable grace period, or any such obligation becomes or is declared to be due and payable before the expressed maturity thereof, or there occurs any event which would cause any such obligation to become, or allow any such obligation to be declared, due and payable; or</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20" w:type="dxa"/>
            <w:vAlign w:val="bottom"/>
            <w:tcBorders>
              <w:bottom w:val="single" w:sz="8" w:color="auto"/>
            </w:tcBorders>
          </w:tcPr>
          <w:p>
            <w:pPr>
              <w:jc w:val="right"/>
              <w:ind w:right="5350"/>
              <w:spacing w:after="0"/>
              <w:rPr>
                <w:sz w:val="20"/>
                <w:szCs w:val="20"/>
                <w:color w:val="auto"/>
              </w:rPr>
            </w:pPr>
            <w:r>
              <w:rPr>
                <w:rFonts w:ascii="Arial" w:cs="Arial" w:eastAsia="Arial" w:hAnsi="Arial"/>
                <w:sz w:val="18"/>
                <w:szCs w:val="18"/>
                <w:color w:val="auto"/>
              </w:rPr>
              <w:t>70</w:t>
            </w:r>
          </w:p>
        </w:tc>
      </w:tr>
    </w:tbl>
    <w:p>
      <w:pPr>
        <w:sectPr>
          <w:pgSz w:w="11900" w:h="16838" w:orient="portrait"/>
          <w:cols w:equalWidth="0" w:num="1">
            <w:col w:w="11240"/>
          </w:cols>
          <w:pgMar w:left="320" w:top="908" w:right="339" w:bottom="1440" w:gutter="0" w:footer="0" w:header="0"/>
        </w:sectPr>
      </w:pPr>
    </w:p>
    <w:bookmarkStart w:id="147" w:name="page148"/>
    <w:bookmarkEnd w:id="147"/>
    <w:p>
      <w:pPr>
        <w:jc w:val="both"/>
        <w:ind w:firstLine="656"/>
        <w:spacing w:after="0" w:line="263" w:lineRule="auto"/>
        <w:tabs>
          <w:tab w:leader="none" w:pos="873"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occurrence of any default or breach by Borrower or any Loan Party under the Nirvana Debt or any Subordinated Indebtedness, or any of the instruments or other documents executed in connection therewith and, in each case, such default or breach continues for more than any applicable grace period and permits the holder of any such Indebtedness to accelerate the maturity thereof; or</w:t>
      </w:r>
    </w:p>
    <w:p>
      <w:pPr>
        <w:spacing w:after="0" w:line="183" w:lineRule="exact"/>
        <w:rPr>
          <w:rFonts w:ascii="Arial" w:cs="Arial" w:eastAsia="Arial" w:hAnsi="Arial"/>
          <w:sz w:val="18"/>
          <w:szCs w:val="18"/>
          <w:color w:val="auto"/>
        </w:rPr>
      </w:pPr>
    </w:p>
    <w:p>
      <w:pPr>
        <w:jc w:val="both"/>
        <w:ind w:firstLine="656"/>
        <w:spacing w:after="0" w:line="275" w:lineRule="auto"/>
        <w:tabs>
          <w:tab w:leader="none" w:pos="916" w:val="left"/>
        </w:tabs>
        <w:numPr>
          <w:ilvl w:val="0"/>
          <w:numId w:val="133"/>
        </w:numPr>
        <w:rPr>
          <w:rFonts w:ascii="Arial" w:cs="Arial" w:eastAsia="Arial" w:hAnsi="Arial"/>
          <w:sz w:val="17"/>
          <w:szCs w:val="17"/>
          <w:color w:val="auto"/>
        </w:rPr>
      </w:pPr>
      <w:r>
        <w:rPr>
          <w:rFonts w:ascii="Arial" w:cs="Arial" w:eastAsia="Arial" w:hAnsi="Arial"/>
          <w:sz w:val="17"/>
          <w:szCs w:val="17"/>
          <w:color w:val="auto"/>
        </w:rPr>
        <w:t>there is entered against any Loan Party (i) one or more final judgments or orders for the payment of money involving in the aggregate a liability (not paid or fully covered by insurance as to which the relevant insurance company has acknowledged coverage) of $1,000,000 or more, or (ii) one or more non-monetary final judgments that have, or could reasonably be expected to have, individually or in the aggregate, a Material Adverse Effect and, in either case, enforcement proceedings are commenced by any creditor upon such judgment or order, or all such judgments or decrees shall not have been vacated, discharged, stayed or bonded pending appeal within thirty (30) days from the entry thereof; or</w:t>
      </w:r>
    </w:p>
    <w:p>
      <w:pPr>
        <w:spacing w:after="0" w:line="176" w:lineRule="exact"/>
        <w:rPr>
          <w:rFonts w:ascii="Arial" w:cs="Arial" w:eastAsia="Arial" w:hAnsi="Arial"/>
          <w:sz w:val="17"/>
          <w:szCs w:val="17"/>
          <w:color w:val="auto"/>
        </w:rPr>
      </w:pPr>
    </w:p>
    <w:p>
      <w:pPr>
        <w:jc w:val="both"/>
        <w:ind w:firstLine="656"/>
        <w:spacing w:after="0" w:line="263" w:lineRule="auto"/>
        <w:tabs>
          <w:tab w:leader="none" w:pos="903"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any of the Security Documents shall cease, for any reason other than the action or inaction of the Agent or a Lender, to be in full force and effect (other than pursuant to the terms thereof), or any party thereto shall so assert, or any Lien created by any of the Security Documents shall cease to be enforceable and of the same effect and priority purported to be created thereby; or</w:t>
      </w:r>
    </w:p>
    <w:p>
      <w:pPr>
        <w:spacing w:after="0" w:line="183" w:lineRule="exact"/>
        <w:rPr>
          <w:rFonts w:ascii="Arial" w:cs="Arial" w:eastAsia="Arial" w:hAnsi="Arial"/>
          <w:sz w:val="18"/>
          <w:szCs w:val="18"/>
          <w:color w:val="auto"/>
        </w:rPr>
      </w:pPr>
    </w:p>
    <w:p>
      <w:pPr>
        <w:jc w:val="both"/>
        <w:ind w:firstLine="656"/>
        <w:spacing w:after="0" w:line="263" w:lineRule="auto"/>
        <w:tabs>
          <w:tab w:leader="none" w:pos="863"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there shall be commenced against any Loan Party any case, proceeding or other action seeking issuance of a warrant of attachment, execution, distraint or similar process against all or any substantial part of its assets that results in the entry of an order for any such relief that shall not have been vacated, discharged or stayed or bonded pending appeal within thirty (30) days from the entry thereof; or</w:t>
      </w:r>
    </w:p>
    <w:p>
      <w:pPr>
        <w:spacing w:after="0" w:line="183" w:lineRule="exact"/>
        <w:rPr>
          <w:rFonts w:ascii="Arial" w:cs="Arial" w:eastAsia="Arial" w:hAnsi="Arial"/>
          <w:sz w:val="18"/>
          <w:szCs w:val="18"/>
          <w:color w:val="auto"/>
        </w:rPr>
      </w:pPr>
    </w:p>
    <w:p>
      <w:pPr>
        <w:jc w:val="both"/>
        <w:ind w:firstLine="656"/>
        <w:spacing w:after="0" w:line="259" w:lineRule="auto"/>
        <w:tabs>
          <w:tab w:leader="none" w:pos="8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Borrower, any other Loan Party or any of their respective ERISA Affiliates establishes, maintains, contributes or agrees to contribute to, or otherwise incurs any liability, contingent or otherwise, with respect to, any “employee benefit plan” that (i) is covered by Title IV of ERISA or Section 412 of the Code or (ii) provides for post-employment medical or other welfare benefits, except as required by applicable Requirements of Law and at the sole expense of the plan participants; or</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20" w:type="dxa"/>
            <w:vAlign w:val="bottom"/>
            <w:tcBorders>
              <w:bottom w:val="single" w:sz="8" w:color="auto"/>
            </w:tcBorders>
          </w:tcPr>
          <w:p>
            <w:pPr>
              <w:jc w:val="right"/>
              <w:ind w:right="5350"/>
              <w:spacing w:after="0"/>
              <w:rPr>
                <w:sz w:val="20"/>
                <w:szCs w:val="20"/>
                <w:color w:val="auto"/>
              </w:rPr>
            </w:pPr>
            <w:r>
              <w:rPr>
                <w:rFonts w:ascii="Arial" w:cs="Arial" w:eastAsia="Arial" w:hAnsi="Arial"/>
                <w:sz w:val="18"/>
                <w:szCs w:val="18"/>
                <w:color w:val="auto"/>
              </w:rPr>
              <w:t>71</w:t>
            </w:r>
          </w:p>
        </w:tc>
      </w:tr>
    </w:tbl>
    <w:p>
      <w:pPr>
        <w:sectPr>
          <w:pgSz w:w="11900" w:h="16838" w:orient="portrait"/>
          <w:cols w:equalWidth="0" w:num="1">
            <w:col w:w="11240"/>
          </w:cols>
          <w:pgMar w:left="320" w:top="908" w:right="339" w:bottom="1440" w:gutter="0" w:footer="0" w:header="0"/>
        </w:sectPr>
      </w:pPr>
    </w:p>
    <w:bookmarkStart w:id="148" w:name="page149"/>
    <w:bookmarkEnd w:id="148"/>
    <w:p>
      <w:pPr>
        <w:ind w:left="920" w:hanging="264"/>
        <w:spacing w:after="0"/>
        <w:tabs>
          <w:tab w:leader="none" w:pos="92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 Change of Control shall occur; or</w:t>
      </w:r>
    </w:p>
    <w:p>
      <w:pPr>
        <w:spacing w:after="0" w:line="225" w:lineRule="exact"/>
        <w:rPr>
          <w:rFonts w:ascii="Arial" w:cs="Arial" w:eastAsia="Arial" w:hAnsi="Arial"/>
          <w:sz w:val="18"/>
          <w:szCs w:val="18"/>
          <w:color w:val="auto"/>
        </w:rPr>
      </w:pPr>
    </w:p>
    <w:p>
      <w:pPr>
        <w:ind w:left="880" w:hanging="224"/>
        <w:spacing w:after="0"/>
        <w:tabs>
          <w:tab w:leader="none" w:pos="8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 Material Adverse Effect shall occur; or</w:t>
      </w:r>
    </w:p>
    <w:p>
      <w:pPr>
        <w:spacing w:after="0" w:line="225" w:lineRule="exact"/>
        <w:rPr>
          <w:rFonts w:ascii="Arial" w:cs="Arial" w:eastAsia="Arial" w:hAnsi="Arial"/>
          <w:sz w:val="18"/>
          <w:szCs w:val="18"/>
          <w:color w:val="auto"/>
        </w:rPr>
      </w:pPr>
    </w:p>
    <w:p>
      <w:pPr>
        <w:ind w:firstLine="656"/>
        <w:spacing w:after="0" w:line="277" w:lineRule="auto"/>
        <w:tabs>
          <w:tab w:leader="none" w:pos="966"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any license or permit material (in the Agent’s sole discretion) to the operation of the business of any Loan Party is terminated, revoked, suspended or not renewed, the result of which could reasonably be expected to result in a Material Adverse Effect; or</w:t>
      </w:r>
    </w:p>
    <w:p>
      <w:pPr>
        <w:spacing w:after="0" w:line="170" w:lineRule="exact"/>
        <w:rPr>
          <w:rFonts w:ascii="Arial" w:cs="Arial" w:eastAsia="Arial" w:hAnsi="Arial"/>
          <w:sz w:val="18"/>
          <w:szCs w:val="18"/>
          <w:color w:val="auto"/>
        </w:rPr>
      </w:pPr>
    </w:p>
    <w:p>
      <w:pPr>
        <w:jc w:val="both"/>
        <w:ind w:firstLine="656"/>
        <w:spacing w:after="0" w:line="279" w:lineRule="auto"/>
        <w:tabs>
          <w:tab w:leader="none" w:pos="916" w:val="left"/>
        </w:tabs>
        <w:numPr>
          <w:ilvl w:val="0"/>
          <w:numId w:val="134"/>
        </w:numPr>
        <w:rPr>
          <w:rFonts w:ascii="Arial" w:cs="Arial" w:eastAsia="Arial" w:hAnsi="Arial"/>
          <w:sz w:val="17"/>
          <w:szCs w:val="17"/>
          <w:color w:val="auto"/>
        </w:rPr>
      </w:pPr>
      <w:r>
        <w:rPr>
          <w:rFonts w:ascii="Arial" w:cs="Arial" w:eastAsia="Arial" w:hAnsi="Arial"/>
          <w:sz w:val="17"/>
          <w:szCs w:val="17"/>
          <w:color w:val="auto"/>
        </w:rPr>
        <w:t>a notice of lien, levy or assessment is filed of record with respect to all or any substantial portion of any Borrower’s assets by the United States, or any department, agency or instrumentality thereof, or by any state, county, municipal or other governmental agency, including, without limitation, the Pension Benefit Guaranty Corporation, or any Taxes or debts owing to any of the foregoing becomes a lien or encumbrance upon the Collateral or any of its other assets and such lien or encumbrance is not released within thirty (30) days after its creation; or</w:t>
      </w:r>
    </w:p>
    <w:p>
      <w:pPr>
        <w:spacing w:after="0" w:line="171" w:lineRule="exact"/>
        <w:rPr>
          <w:rFonts w:ascii="Arial" w:cs="Arial" w:eastAsia="Arial" w:hAnsi="Arial"/>
          <w:sz w:val="17"/>
          <w:szCs w:val="17"/>
          <w:color w:val="auto"/>
        </w:rPr>
      </w:pPr>
    </w:p>
    <w:p>
      <w:pPr>
        <w:jc w:val="both"/>
        <w:ind w:firstLine="656"/>
        <w:spacing w:after="0" w:line="263" w:lineRule="auto"/>
        <w:tabs>
          <w:tab w:leader="none" w:pos="903" w:val="left"/>
        </w:tabs>
        <w:numPr>
          <w:ilvl w:val="0"/>
          <w:numId w:val="134"/>
        </w:numPr>
        <w:rPr>
          <w:rFonts w:ascii="Arial" w:cs="Arial" w:eastAsia="Arial" w:hAnsi="Arial"/>
          <w:sz w:val="18"/>
          <w:szCs w:val="18"/>
          <w:color w:val="auto"/>
        </w:rPr>
      </w:pPr>
      <w:r>
        <w:rPr>
          <w:rFonts w:ascii="Arial" w:cs="Arial" w:eastAsia="Arial" w:hAnsi="Arial"/>
          <w:sz w:val="18"/>
          <w:szCs w:val="18"/>
          <w:color w:val="auto"/>
        </w:rPr>
        <w:t>Borrower or any other Loan Party or any of their directors, managing members or senior officers is criminally indicted or convicted (i) of a felony, or (ii) under any Law that could reasonably be expected to lead to a forfeiture of any material (as determined by Agent in its sole discretion) portion of the Collateral; or</w:t>
      </w:r>
    </w:p>
    <w:p>
      <w:pPr>
        <w:spacing w:after="0" w:line="183" w:lineRule="exact"/>
        <w:rPr>
          <w:rFonts w:ascii="Arial" w:cs="Arial" w:eastAsia="Arial" w:hAnsi="Arial"/>
          <w:sz w:val="18"/>
          <w:szCs w:val="18"/>
          <w:color w:val="auto"/>
        </w:rPr>
      </w:pPr>
    </w:p>
    <w:p>
      <w:pPr>
        <w:jc w:val="both"/>
        <w:ind w:firstLine="656"/>
        <w:spacing w:after="0" w:line="263" w:lineRule="auto"/>
        <w:tabs>
          <w:tab w:leader="none" w:pos="903"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Loan Parties’ (i) chief financial officer or (ii) chief executive officer, in each case, resigns, is terminated, has his/her/their duties materially reduced, changes positions or otherwise fails to serve in the role and perform the duties of chief financial officer or chief executive officer, as applicable, and a replacement reasonably acceptable to the Agent is not appointed within ninety (90) days thereafter; or</w:t>
      </w:r>
    </w:p>
    <w:p>
      <w:pPr>
        <w:spacing w:after="0" w:line="183" w:lineRule="exact"/>
        <w:rPr>
          <w:rFonts w:ascii="Arial" w:cs="Arial" w:eastAsia="Arial" w:hAnsi="Arial"/>
          <w:sz w:val="18"/>
          <w:szCs w:val="18"/>
          <w:color w:val="auto"/>
        </w:rPr>
      </w:pPr>
    </w:p>
    <w:p>
      <w:pPr>
        <w:ind w:firstLine="656"/>
        <w:spacing w:after="0" w:line="277" w:lineRule="auto"/>
        <w:tabs>
          <w:tab w:leader="none" w:pos="903"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trading of the Parent’s common shares shall be suspended by the SEC, the Principal Market or FINRA, or otherwise halted for any reason and such common stock shall not be approved for listing or quotation on or delisted from the Principal Market; or</w:t>
      </w:r>
    </w:p>
    <w:p>
      <w:pPr>
        <w:spacing w:after="0" w:line="170" w:lineRule="exact"/>
        <w:rPr>
          <w:rFonts w:ascii="Arial" w:cs="Arial" w:eastAsia="Arial" w:hAnsi="Arial"/>
          <w:sz w:val="18"/>
          <w:szCs w:val="18"/>
          <w:color w:val="auto"/>
        </w:rPr>
      </w:pPr>
    </w:p>
    <w:p>
      <w:pPr>
        <w:ind w:firstLine="656"/>
        <w:spacing w:after="0" w:line="308" w:lineRule="auto"/>
        <w:tabs>
          <w:tab w:leader="none" w:pos="90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any Loan Party breaches or defaults under any term of the SPAC Merger Agreement, any SPAC Subscription Agreement or any other agreement in connection with the SPAC Transaction in a manner that could reasonably be expected to result in liability of $1,000,000 or more.</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7.2 Remedies Upon Event of Default</w:t>
      </w:r>
      <w:r>
        <w:rPr>
          <w:rFonts w:ascii="Arial" w:cs="Arial" w:eastAsia="Arial" w:hAnsi="Arial"/>
          <w:sz w:val="17"/>
          <w:szCs w:val="17"/>
          <w:color w:val="auto"/>
        </w:rPr>
        <w:t>. If any Event of Default occurs and is continuing, Agent may take any or all of the following actions:</w:t>
      </w:r>
    </w:p>
    <w:p>
      <w:pPr>
        <w:spacing w:after="0" w:line="241" w:lineRule="exact"/>
        <w:rPr>
          <w:sz w:val="20"/>
          <w:szCs w:val="20"/>
          <w:color w:val="auto"/>
        </w:rPr>
      </w:pPr>
    </w:p>
    <w:p>
      <w:pPr>
        <w:jc w:val="both"/>
        <w:ind w:right="20" w:firstLine="656"/>
        <w:spacing w:after="0" w:line="311" w:lineRule="auto"/>
        <w:tabs>
          <w:tab w:leader="none" w:pos="895" w:val="left"/>
        </w:tabs>
        <w:numPr>
          <w:ilvl w:val="0"/>
          <w:numId w:val="135"/>
        </w:numPr>
        <w:rPr>
          <w:rFonts w:ascii="Arial" w:cs="Arial" w:eastAsia="Arial" w:hAnsi="Arial"/>
          <w:sz w:val="16"/>
          <w:szCs w:val="16"/>
          <w:color w:val="auto"/>
        </w:rPr>
      </w:pPr>
      <w:r>
        <w:rPr>
          <w:rFonts w:ascii="Arial" w:cs="Arial" w:eastAsia="Arial" w:hAnsi="Arial"/>
          <w:sz w:val="16"/>
          <w:szCs w:val="16"/>
          <w:color w:val="auto"/>
        </w:rPr>
        <w:t xml:space="preserve">if such event is an Event of Default specified in </w:t>
      </w:r>
      <w:r>
        <w:rPr>
          <w:rFonts w:ascii="Arial" w:cs="Arial" w:eastAsia="Arial" w:hAnsi="Arial"/>
          <w:sz w:val="16"/>
          <w:szCs w:val="16"/>
          <w:u w:val="single" w:color="auto"/>
          <w:color w:val="auto"/>
        </w:rPr>
        <w:t>Section 7.1(d)</w:t>
      </w:r>
      <w:r>
        <w:rPr>
          <w:rFonts w:ascii="Arial" w:cs="Arial" w:eastAsia="Arial" w:hAnsi="Arial"/>
          <w:sz w:val="16"/>
          <w:szCs w:val="16"/>
          <w:color w:val="auto"/>
        </w:rPr>
        <w:t>, the Term Loan Commitment shall immediately terminate automatically and the Term Loan (with accrued interest thereon) and all other amounts owing under this Agreement and the other Loan Documents shall automatically immediately become due and payable, without demand, notice or legal process of any kind, with such rights are hereby waived by the Loan Parties; and</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20" w:type="dxa"/>
            <w:vAlign w:val="bottom"/>
            <w:tcBorders>
              <w:bottom w:val="single" w:sz="8" w:color="auto"/>
            </w:tcBorders>
          </w:tcPr>
          <w:p>
            <w:pPr>
              <w:jc w:val="right"/>
              <w:ind w:right="5350"/>
              <w:spacing w:after="0"/>
              <w:rPr>
                <w:sz w:val="20"/>
                <w:szCs w:val="20"/>
                <w:color w:val="auto"/>
              </w:rPr>
            </w:pPr>
            <w:r>
              <w:rPr>
                <w:rFonts w:ascii="Arial" w:cs="Arial" w:eastAsia="Arial" w:hAnsi="Arial"/>
                <w:sz w:val="18"/>
                <w:szCs w:val="18"/>
                <w:color w:val="auto"/>
              </w:rPr>
              <w:t>72</w:t>
            </w:r>
          </w:p>
        </w:tc>
      </w:tr>
    </w:tbl>
    <w:p>
      <w:pPr>
        <w:sectPr>
          <w:pgSz w:w="11900" w:h="16838" w:orient="portrait"/>
          <w:cols w:equalWidth="0" w:num="1">
            <w:col w:w="11240"/>
          </w:cols>
          <w:pgMar w:left="320" w:top="908" w:right="339" w:bottom="1440" w:gutter="0" w:footer="0" w:header="0"/>
        </w:sectPr>
      </w:pPr>
    </w:p>
    <w:bookmarkStart w:id="149" w:name="page150"/>
    <w:bookmarkEnd w:id="149"/>
    <w:p>
      <w:pPr>
        <w:jc w:val="both"/>
        <w:ind w:firstLine="656"/>
        <w:spacing w:after="0" w:line="287" w:lineRule="auto"/>
        <w:tabs>
          <w:tab w:leader="none" w:pos="903" w:val="left"/>
        </w:tabs>
        <w:numPr>
          <w:ilvl w:val="0"/>
          <w:numId w:val="136"/>
        </w:numPr>
        <w:rPr>
          <w:rFonts w:ascii="Arial" w:cs="Arial" w:eastAsia="Arial" w:hAnsi="Arial"/>
          <w:sz w:val="16"/>
          <w:szCs w:val="16"/>
          <w:color w:val="auto"/>
        </w:rPr>
      </w:pPr>
      <w:r>
        <w:rPr>
          <w:rFonts w:ascii="Arial" w:cs="Arial" w:eastAsia="Arial" w:hAnsi="Arial"/>
          <w:sz w:val="16"/>
          <w:szCs w:val="16"/>
          <w:color w:val="auto"/>
        </w:rPr>
        <w:t>if such event is any other Event of Default, Agent may, or at the direction of the Required Lenders, shall: (i) immediately terminate the Term Loan Commitment; (ii) declare the Term Loan (with accrued interest thereon) and all other Obligations and other amounts owing under this Agreement and the other Loan Documents to be due and payable forthwith, whereupon the same shall immediately become due and payable, without demand, notice or legal process of any kind, which such rights are hereby waived by the Loan Parties; and (iii) exercise all rights and remedies available to it hereunder and under any other Loan Document, under the UCC or at Law or in equity (in each case, in compliance with all applicable law), including, without limitation the right to (A) apply any property of any Loan Party held by Agent or any Lender to reduce the Obligations, (B) foreclose the Liens created under the Loan Documents, (C) realize upon, take possession of and/or sell any Collateral, with or without judicial process, (D) exercise all rights and powers with respect to the Collateral as such Loan Party might exercise, (E) collect and send notices regarding the Collateral, with or without judicial process, (F) by its own means or with judicial assistance, enter any premises at which Collateral is located, or render any of the foregoing unusable or dispose of the Collateral on such premises without any liability for rent, storage, utilities, or other sums, and no Loan Party shall, or permit any Subsidiary or Affiliate to, resist or interfere with such action, (G) at the Loan Parties’ expense, require that all or any part of the Collateral be assembled and made available to Agent at any place designated by Agent in its sole discretion, and/or (H) relinquish or abandon any Collateral or securities pledged or any Lien thereon.</w:t>
      </w:r>
    </w:p>
    <w:p>
      <w:pPr>
        <w:spacing w:after="0" w:line="16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Notwithstanding any provision of any Loan Document, Agent, in its sole discretion, shall have the right, at any time that any Loan Party fails to do so, after an Event of Default, without prior notice, to: (A) obtain insurance covering any of the Collateral to the extent required hereunder; (B) pay for the performance of any of the Obligations; (C) discharge Taxes, levies and/or Liens on any of the Collateral that are in violation of any Loan Document; and</w:t>
      </w:r>
    </w:p>
    <w:p>
      <w:pPr>
        <w:spacing w:after="0" w:line="2" w:lineRule="exact"/>
        <w:rPr>
          <w:sz w:val="20"/>
          <w:szCs w:val="20"/>
          <w:color w:val="auto"/>
        </w:rPr>
      </w:pPr>
    </w:p>
    <w:p>
      <w:pPr>
        <w:jc w:val="both"/>
        <w:ind w:firstLine="8"/>
        <w:spacing w:after="0" w:line="266" w:lineRule="auto"/>
        <w:tabs>
          <w:tab w:leader="none" w:pos="295" w:val="left"/>
        </w:tabs>
        <w:numPr>
          <w:ilvl w:val="0"/>
          <w:numId w:val="137"/>
        </w:numPr>
        <w:rPr>
          <w:rFonts w:ascii="Arial" w:cs="Arial" w:eastAsia="Arial" w:hAnsi="Arial"/>
          <w:sz w:val="17"/>
          <w:szCs w:val="17"/>
          <w:color w:val="auto"/>
        </w:rPr>
      </w:pPr>
      <w:r>
        <w:rPr>
          <w:rFonts w:ascii="Arial" w:cs="Arial" w:eastAsia="Arial" w:hAnsi="Arial"/>
          <w:sz w:val="17"/>
          <w:szCs w:val="17"/>
          <w:color w:val="auto"/>
        </w:rPr>
        <w:t xml:space="preserve">pay for the maintenance, repair and/or preservation of the Collateral. Such expenses and advances (1) shall be deemed loans hereunder and added to the Obligations until reimbursed to Agent and the Lenders, (2) shall be secured by the Collateral, and (3) at Agent’s discretion, shall be deemed a Protective Advance, and such payments by Agent or any Lender shall not be construed as a waiver by Agent or any Lender of any Event of Default or any other rights or remedies of Agent or any Lender. Each Loan Party agrees that notice received at least ten (10) calendar days before the time of any intended public sale, or the time after which any private sale or other disposition of Collateral is to be made, shall be deemed to be reasonable notice of such sale or other disposition. Each Loan Party acknowledges and agrees that (A) a private sale may result in a lower price than if such sale were a public sale, and notwithstanding such circumstances, agrees that such lower price shall not make such private sale unreasonable, and (B) Agent shall be under no obligation to delay a sale of any of the Collateral for the period of time necessary to permit the issuer thereof to register such securities or other interests for public sale under the Securities Act, or under applicable state securities Laws, even if such registration would result in a higher price than a private sale. If permitted by applicable law, any perishable Collateral which threatens to speedily decline in value or which is sold on a recognized market may be sold immediately by Agent without prior notice to any Loan Party. At any sale or disposition of Collateral or securities pledged, Agent may (to the extent permitted by applicable law) purchase all or any part thereof on behalf of itself and the Lenders free from any right of redemption by any Loan Party which right is hereby waived and released. Each Loan Party covenants and agrees not to, and to cause its Subsidiaries and Agents not to, interfere with or impose any obstacle to Agent’s exercise of its rights and remedies with respect to the Collateral. In dealing with or disposing of the Collateral or any part thereof, Agent shall not be required to give priority or preference to any item of Collateral or otherwise to marshal assets or to take possession or sell any Collateral with judicial process. Presentment, demand, protest and all other notices of any kind with respect to the remedies provided in this </w:t>
      </w:r>
      <w:r>
        <w:rPr>
          <w:rFonts w:ascii="Arial" w:cs="Arial" w:eastAsia="Arial" w:hAnsi="Arial"/>
          <w:sz w:val="17"/>
          <w:szCs w:val="17"/>
          <w:u w:val="single" w:color="auto"/>
          <w:color w:val="auto"/>
        </w:rPr>
        <w:t>Section 7.2</w:t>
      </w:r>
      <w:r>
        <w:rPr>
          <w:rFonts w:ascii="Arial" w:cs="Arial" w:eastAsia="Arial" w:hAnsi="Arial"/>
          <w:sz w:val="17"/>
          <w:szCs w:val="17"/>
          <w:color w:val="auto"/>
        </w:rPr>
        <w:t xml:space="preserve"> are hereby expressly waived by each Loan Party. Each Loan Party hereby irrevocably appoints Agent as its attorney-in-fact for the limited purpose of taking any action permitted under the Loan Documents that Agent deems necessary or desirable (in Agent’s sole discretion) upon the occurrence and during the continuation of an Event of Default to protect and realize upon Agent’s Lien in the Collateral, including the execution and delivery of any and all documents or instruments related to the Collateral in each Loan Party’s name, and said appointment shall create in Agent a power coupled with an interest. Such power of attorney, and proxy with respect thereto, is irrevocable and coupled with an interest and may not be terminated or revoked until all Obligations are paid in full in cash (other than inchoate indemnification obligations for which no claim has been asserted) and all Term Loan Commitments have expired or terminated.</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20" w:type="dxa"/>
            <w:vAlign w:val="bottom"/>
            <w:tcBorders>
              <w:bottom w:val="single" w:sz="8" w:color="auto"/>
            </w:tcBorders>
          </w:tcPr>
          <w:p>
            <w:pPr>
              <w:jc w:val="right"/>
              <w:ind w:right="5350"/>
              <w:spacing w:after="0"/>
              <w:rPr>
                <w:sz w:val="20"/>
                <w:szCs w:val="20"/>
                <w:color w:val="auto"/>
              </w:rPr>
            </w:pPr>
            <w:r>
              <w:rPr>
                <w:rFonts w:ascii="Arial" w:cs="Arial" w:eastAsia="Arial" w:hAnsi="Arial"/>
                <w:sz w:val="18"/>
                <w:szCs w:val="18"/>
                <w:color w:val="auto"/>
              </w:rPr>
              <w:t>73</w:t>
            </w:r>
          </w:p>
        </w:tc>
      </w:tr>
    </w:tbl>
    <w:p>
      <w:pPr>
        <w:sectPr>
          <w:pgSz w:w="11900" w:h="16838" w:orient="portrait"/>
          <w:cols w:equalWidth="0" w:num="1">
            <w:col w:w="11240"/>
          </w:cols>
          <w:pgMar w:left="320" w:top="908" w:right="339" w:bottom="1440" w:gutter="0" w:footer="0" w:header="0"/>
        </w:sectPr>
      </w:pPr>
    </w:p>
    <w:bookmarkStart w:id="150" w:name="page151"/>
    <w:bookmarkEnd w:id="150"/>
    <w:p>
      <w:pPr>
        <w:ind w:right="20" w:firstLine="648"/>
        <w:spacing w:after="0" w:line="282" w:lineRule="auto"/>
        <w:rPr>
          <w:sz w:val="20"/>
          <w:szCs w:val="20"/>
          <w:color w:val="auto"/>
        </w:rPr>
      </w:pPr>
      <w:r>
        <w:rPr>
          <w:rFonts w:ascii="Arial" w:cs="Arial" w:eastAsia="Arial" w:hAnsi="Arial"/>
          <w:sz w:val="18"/>
          <w:szCs w:val="18"/>
          <w:b w:val="1"/>
          <w:bCs w:val="1"/>
          <w:color w:val="auto"/>
        </w:rPr>
        <w:t>7.3 Application of Funds</w:t>
      </w:r>
      <w:r>
        <w:rPr>
          <w:rFonts w:ascii="Arial" w:cs="Arial" w:eastAsia="Arial" w:hAnsi="Arial"/>
          <w:sz w:val="18"/>
          <w:szCs w:val="18"/>
          <w:color w:val="auto"/>
        </w:rPr>
        <w:t>. After the exercise of remedies provided for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w:t>
      </w:r>
      <w:r>
        <w:rPr>
          <w:rFonts w:ascii="Arial" w:cs="Arial" w:eastAsia="Arial" w:hAnsi="Arial"/>
          <w:sz w:val="18"/>
          <w:szCs w:val="18"/>
          <w:b w:val="1"/>
          <w:bCs w:val="1"/>
          <w:color w:val="auto"/>
        </w:rPr>
        <w:t xml:space="preserve"> </w:t>
      </w:r>
      <w:r>
        <w:rPr>
          <w:rFonts w:ascii="Arial" w:cs="Arial" w:eastAsia="Arial" w:hAnsi="Arial"/>
          <w:sz w:val="18"/>
          <w:szCs w:val="18"/>
          <w:color w:val="auto"/>
        </w:rPr>
        <w:t>7.2, any amounts received by Agent or any Lender on account of</w:t>
      </w:r>
      <w:r>
        <w:rPr>
          <w:rFonts w:ascii="Arial" w:cs="Arial" w:eastAsia="Arial" w:hAnsi="Arial"/>
          <w:sz w:val="18"/>
          <w:szCs w:val="18"/>
          <w:b w:val="1"/>
          <w:bCs w:val="1"/>
          <w:color w:val="auto"/>
        </w:rPr>
        <w:t xml:space="preserve"> </w:t>
      </w:r>
      <w:r>
        <w:rPr>
          <w:rFonts w:ascii="Arial" w:cs="Arial" w:eastAsia="Arial" w:hAnsi="Arial"/>
          <w:sz w:val="18"/>
          <w:szCs w:val="18"/>
          <w:color w:val="auto"/>
        </w:rPr>
        <w:t>the Obligations shall be applied by Agent in the following order:</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u w:val="single" w:color="auto"/>
          <w:color w:val="auto"/>
        </w:rPr>
        <w:t>First</w:t>
      </w:r>
      <w:r>
        <w:rPr>
          <w:rFonts w:ascii="Arial" w:cs="Arial" w:eastAsia="Arial" w:hAnsi="Arial"/>
          <w:sz w:val="16"/>
          <w:szCs w:val="16"/>
          <w:color w:val="auto"/>
        </w:rPr>
        <w:t>, to Agent, for the benefit of itself and Lenders, an amount equal to any interest owed with respect to all Protective Advances until paid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full;</w:t>
      </w:r>
    </w:p>
    <w:p>
      <w:pPr>
        <w:spacing w:after="0" w:line="211" w:lineRule="exact"/>
        <w:rPr>
          <w:sz w:val="20"/>
          <w:szCs w:val="20"/>
          <w:color w:val="auto"/>
        </w:rPr>
      </w:pPr>
    </w:p>
    <w:p>
      <w:pPr>
        <w:ind w:left="920" w:hanging="264"/>
        <w:spacing w:after="0"/>
        <w:tabs>
          <w:tab w:leader="none" w:pos="920" w:val="left"/>
        </w:tabs>
        <w:numPr>
          <w:ilvl w:val="0"/>
          <w:numId w:val="138"/>
        </w:numPr>
        <w:rPr>
          <w:rFonts w:ascii="Arial" w:cs="Arial" w:eastAsia="Arial" w:hAnsi="Arial"/>
          <w:sz w:val="16"/>
          <w:szCs w:val="16"/>
          <w:color w:val="auto"/>
        </w:rPr>
      </w:pPr>
      <w:r>
        <w:rPr>
          <w:rFonts w:ascii="Arial" w:cs="Arial" w:eastAsia="Arial" w:hAnsi="Arial"/>
          <w:sz w:val="16"/>
          <w:szCs w:val="16"/>
          <w:u w:val="single" w:color="auto"/>
          <w:color w:val="auto"/>
        </w:rPr>
        <w:t>Second</w:t>
      </w:r>
      <w:r>
        <w:rPr>
          <w:rFonts w:ascii="Arial" w:cs="Arial" w:eastAsia="Arial" w:hAnsi="Arial"/>
          <w:sz w:val="16"/>
          <w:szCs w:val="16"/>
          <w:color w:val="auto"/>
        </w:rPr>
        <w:t>, to Agent, for the benefit of itself and Lenders, an amount equal to any principal owed with respect to all Protective Advances until</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paid in full;</w:t>
      </w:r>
    </w:p>
    <w:p>
      <w:pPr>
        <w:spacing w:after="0" w:line="210" w:lineRule="exact"/>
        <w:rPr>
          <w:rFonts w:ascii="Arial" w:cs="Arial" w:eastAsia="Arial" w:hAnsi="Arial"/>
          <w:sz w:val="16"/>
          <w:szCs w:val="16"/>
          <w:color w:val="auto"/>
        </w:rPr>
      </w:pPr>
    </w:p>
    <w:p>
      <w:pPr>
        <w:jc w:val="both"/>
        <w:ind w:firstLine="656"/>
        <w:spacing w:after="0" w:line="263" w:lineRule="auto"/>
        <w:tabs>
          <w:tab w:leader="none" w:pos="892"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Third</w:t>
      </w:r>
      <w:r>
        <w:rPr>
          <w:rFonts w:ascii="Arial" w:cs="Arial" w:eastAsia="Arial" w:hAnsi="Arial"/>
          <w:sz w:val="18"/>
          <w:szCs w:val="18"/>
          <w:color w:val="auto"/>
        </w:rPr>
        <w:t xml:space="preserve">, to payment of that portion of the Obligations constituting fees, reimbursements under </w:t>
      </w:r>
      <w:r>
        <w:rPr>
          <w:rFonts w:ascii="Arial" w:cs="Arial" w:eastAsia="Arial" w:hAnsi="Arial"/>
          <w:sz w:val="18"/>
          <w:szCs w:val="18"/>
          <w:u w:val="single" w:color="auto"/>
          <w:color w:val="auto"/>
        </w:rPr>
        <w:t>Section 8.5</w:t>
      </w:r>
      <w:r>
        <w:rPr>
          <w:rFonts w:ascii="Arial" w:cs="Arial" w:eastAsia="Arial" w:hAnsi="Arial"/>
          <w:sz w:val="18"/>
          <w:szCs w:val="18"/>
          <w:color w:val="auto"/>
        </w:rPr>
        <w:t>, indemnities and other amounts (other than principal, interest, and the Monitoring Fee (as defined in the Fee Letter)) payable to Agent and Lenders (including reasonable fees, charges and disbursements of counsel required to be paid hereunder) until paid in full;</w:t>
      </w:r>
    </w:p>
    <w:p>
      <w:pPr>
        <w:spacing w:after="0" w:line="183" w:lineRule="exact"/>
        <w:rPr>
          <w:rFonts w:ascii="Arial" w:cs="Arial" w:eastAsia="Arial" w:hAnsi="Arial"/>
          <w:sz w:val="18"/>
          <w:szCs w:val="18"/>
          <w:color w:val="auto"/>
        </w:rPr>
      </w:pPr>
    </w:p>
    <w:p>
      <w:pPr>
        <w:ind w:left="920" w:hanging="264"/>
        <w:spacing w:after="0"/>
        <w:tabs>
          <w:tab w:leader="none" w:pos="920"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Fourth</w:t>
      </w:r>
      <w:r>
        <w:rPr>
          <w:rFonts w:ascii="Arial" w:cs="Arial" w:eastAsia="Arial" w:hAnsi="Arial"/>
          <w:sz w:val="18"/>
          <w:szCs w:val="18"/>
          <w:color w:val="auto"/>
        </w:rPr>
        <w:t>, to Agent, any accrued and unpaid Monitoring Fee;</w:t>
      </w:r>
    </w:p>
    <w:p>
      <w:pPr>
        <w:spacing w:after="0" w:line="225" w:lineRule="exact"/>
        <w:rPr>
          <w:rFonts w:ascii="Arial" w:cs="Arial" w:eastAsia="Arial" w:hAnsi="Arial"/>
          <w:sz w:val="18"/>
          <w:szCs w:val="18"/>
          <w:color w:val="auto"/>
        </w:rPr>
      </w:pPr>
    </w:p>
    <w:p>
      <w:pPr>
        <w:ind w:left="900" w:hanging="244"/>
        <w:spacing w:after="0"/>
        <w:tabs>
          <w:tab w:leader="none" w:pos="900"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Fifth</w:t>
      </w:r>
      <w:r>
        <w:rPr>
          <w:rFonts w:ascii="Arial" w:cs="Arial" w:eastAsia="Arial" w:hAnsi="Arial"/>
          <w:sz w:val="18"/>
          <w:szCs w:val="18"/>
          <w:color w:val="auto"/>
        </w:rPr>
        <w:t>, to payment of that portion of the Obligations constituting accrued and unpaid interest;</w:t>
      </w:r>
    </w:p>
    <w:p>
      <w:pPr>
        <w:spacing w:after="0" w:line="225" w:lineRule="exact"/>
        <w:rPr>
          <w:rFonts w:ascii="Arial" w:cs="Arial" w:eastAsia="Arial" w:hAnsi="Arial"/>
          <w:sz w:val="18"/>
          <w:szCs w:val="18"/>
          <w:color w:val="auto"/>
        </w:rPr>
      </w:pPr>
    </w:p>
    <w:p>
      <w:pPr>
        <w:ind w:left="880" w:hanging="224"/>
        <w:spacing w:after="0"/>
        <w:tabs>
          <w:tab w:leader="none" w:pos="880"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Sixth</w:t>
      </w:r>
      <w:r>
        <w:rPr>
          <w:rFonts w:ascii="Arial" w:cs="Arial" w:eastAsia="Arial" w:hAnsi="Arial"/>
          <w:sz w:val="18"/>
          <w:szCs w:val="18"/>
          <w:color w:val="auto"/>
        </w:rPr>
        <w:t>, to payment of any Make Whole Premium, if applicable;</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Seventh</w:t>
      </w:r>
      <w:r>
        <w:rPr>
          <w:rFonts w:ascii="Arial" w:cs="Arial" w:eastAsia="Arial" w:hAnsi="Arial"/>
          <w:sz w:val="18"/>
          <w:szCs w:val="18"/>
          <w:color w:val="auto"/>
        </w:rPr>
        <w:t>, to payment of that portion of the Obligations constituting unpaid principal and all other Obligations; and</w:t>
      </w:r>
    </w:p>
    <w:p>
      <w:pPr>
        <w:spacing w:after="0" w:line="225" w:lineRule="exact"/>
        <w:rPr>
          <w:rFonts w:ascii="Arial" w:cs="Arial" w:eastAsia="Arial" w:hAnsi="Arial"/>
          <w:sz w:val="18"/>
          <w:szCs w:val="18"/>
          <w:color w:val="auto"/>
        </w:rPr>
      </w:pPr>
    </w:p>
    <w:p>
      <w:pPr>
        <w:ind w:firstLine="656"/>
        <w:spacing w:after="0" w:line="277" w:lineRule="auto"/>
        <w:tabs>
          <w:tab w:leader="none" w:pos="916"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Last</w:t>
      </w:r>
      <w:r>
        <w:rPr>
          <w:rFonts w:ascii="Arial" w:cs="Arial" w:eastAsia="Arial" w:hAnsi="Arial"/>
          <w:sz w:val="18"/>
          <w:szCs w:val="18"/>
          <w:color w:val="auto"/>
        </w:rPr>
        <w:t>, the balance, if any, after all of the Obligations have been indefeasibly paid in full (other than inchoate indemnification obligations for which no claim has been asserted), to Borrower or as otherwise required by applicable law.</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20" w:type="dxa"/>
            <w:vAlign w:val="bottom"/>
            <w:tcBorders>
              <w:bottom w:val="single" w:sz="8" w:color="auto"/>
            </w:tcBorders>
          </w:tcPr>
          <w:p>
            <w:pPr>
              <w:jc w:val="right"/>
              <w:ind w:right="5350"/>
              <w:spacing w:after="0"/>
              <w:rPr>
                <w:sz w:val="20"/>
                <w:szCs w:val="20"/>
                <w:color w:val="auto"/>
              </w:rPr>
            </w:pPr>
            <w:r>
              <w:rPr>
                <w:rFonts w:ascii="Arial" w:cs="Arial" w:eastAsia="Arial" w:hAnsi="Arial"/>
                <w:sz w:val="18"/>
                <w:szCs w:val="18"/>
                <w:color w:val="auto"/>
              </w:rPr>
              <w:t>74</w:t>
            </w:r>
          </w:p>
        </w:tc>
      </w:tr>
    </w:tbl>
    <w:p>
      <w:pPr>
        <w:sectPr>
          <w:pgSz w:w="11900" w:h="16838" w:orient="portrait"/>
          <w:cols w:equalWidth="0" w:num="1">
            <w:col w:w="11240"/>
          </w:cols>
          <w:pgMar w:left="320" w:top="904" w:right="339" w:bottom="1440" w:gutter="0" w:footer="0" w:header="0"/>
        </w:sectPr>
      </w:pPr>
    </w:p>
    <w:bookmarkStart w:id="151" w:name="page152"/>
    <w:bookmarkEnd w:id="151"/>
    <w:p>
      <w:pPr>
        <w:jc w:val="center"/>
        <w:spacing w:after="0"/>
        <w:rPr>
          <w:sz w:val="20"/>
          <w:szCs w:val="20"/>
          <w:color w:val="auto"/>
        </w:rPr>
      </w:pPr>
      <w:r>
        <w:rPr>
          <w:rFonts w:ascii="Arial" w:cs="Arial" w:eastAsia="Arial" w:hAnsi="Arial"/>
          <w:sz w:val="18"/>
          <w:szCs w:val="18"/>
          <w:color w:val="auto"/>
        </w:rPr>
        <w:t>SECTION 8</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07"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b w:val="1"/>
          <w:bCs w:val="1"/>
          <w:color w:val="auto"/>
        </w:rPr>
        <w:t>8.1 Amendments and Waivers</w:t>
      </w:r>
      <w:r>
        <w:rPr>
          <w:rFonts w:ascii="Arial" w:cs="Arial" w:eastAsia="Arial" w:hAnsi="Arial"/>
          <w:sz w:val="16"/>
          <w:szCs w:val="16"/>
          <w:color w:val="auto"/>
        </w:rPr>
        <w:t>(a). Neither this Agreement nor any other Loan Document, nor any terms hereof or thereof, may be amended,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changed, waived or otherwise modified unless such amendment, change, waiver or other modification is in writing and signed by the applicable Loan Parties, Agent, and the Required Lenders or by Agent acting at the written direction of the Required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w:t>
      </w:r>
    </w:p>
    <w:p>
      <w:pPr>
        <w:spacing w:after="0" w:line="146" w:lineRule="exact"/>
        <w:rPr>
          <w:sz w:val="20"/>
          <w:szCs w:val="20"/>
          <w:color w:val="auto"/>
        </w:rPr>
      </w:pPr>
    </w:p>
    <w:p>
      <w:pPr>
        <w:ind w:left="900" w:hanging="244"/>
        <w:spacing w:after="0"/>
        <w:tabs>
          <w:tab w:leader="none" w:pos="9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no change, waiver or other modification shall:</w:t>
      </w:r>
    </w:p>
    <w:p>
      <w:pPr>
        <w:spacing w:after="0" w:line="225" w:lineRule="exact"/>
        <w:rPr>
          <w:rFonts w:ascii="Arial" w:cs="Arial" w:eastAsia="Arial" w:hAnsi="Arial"/>
          <w:sz w:val="18"/>
          <w:szCs w:val="18"/>
          <w:color w:val="auto"/>
        </w:rPr>
      </w:pPr>
    </w:p>
    <w:p>
      <w:pPr>
        <w:ind w:left="1520" w:hanging="216"/>
        <w:spacing w:after="0"/>
        <w:tabs>
          <w:tab w:leader="none" w:pos="1520" w:val="left"/>
        </w:tabs>
        <w:numPr>
          <w:ilvl w:val="1"/>
          <w:numId w:val="139"/>
        </w:numPr>
        <w:rPr>
          <w:rFonts w:ascii="Arial" w:cs="Arial" w:eastAsia="Arial" w:hAnsi="Arial"/>
          <w:sz w:val="16"/>
          <w:szCs w:val="16"/>
          <w:color w:val="auto"/>
        </w:rPr>
      </w:pPr>
      <w:r>
        <w:rPr>
          <w:rFonts w:ascii="Arial" w:cs="Arial" w:eastAsia="Arial" w:hAnsi="Arial"/>
          <w:sz w:val="16"/>
          <w:szCs w:val="16"/>
          <w:color w:val="auto"/>
        </w:rPr>
        <w:t>increase the Term Loan Commitment of a Lender without the written consent of such Lender whose Term Loan Commitment is being</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increased;</w:t>
      </w:r>
    </w:p>
    <w:p>
      <w:pPr>
        <w:spacing w:after="0" w:line="210" w:lineRule="exact"/>
        <w:rPr>
          <w:rFonts w:ascii="Arial" w:cs="Arial" w:eastAsia="Arial" w:hAnsi="Arial"/>
          <w:sz w:val="16"/>
          <w:szCs w:val="16"/>
          <w:color w:val="auto"/>
        </w:rPr>
      </w:pPr>
    </w:p>
    <w:p>
      <w:pPr>
        <w:ind w:left="660" w:firstLine="644"/>
        <w:spacing w:after="0" w:line="277" w:lineRule="auto"/>
        <w:tabs>
          <w:tab w:leader="none" w:pos="1573" w:val="left"/>
        </w:tabs>
        <w:numPr>
          <w:ilvl w:val="1"/>
          <w:numId w:val="139"/>
        </w:numPr>
        <w:rPr>
          <w:rFonts w:ascii="Arial" w:cs="Arial" w:eastAsia="Arial" w:hAnsi="Arial"/>
          <w:sz w:val="18"/>
          <w:szCs w:val="18"/>
          <w:color w:val="auto"/>
        </w:rPr>
      </w:pPr>
      <w:r>
        <w:rPr>
          <w:rFonts w:ascii="Arial" w:cs="Arial" w:eastAsia="Arial" w:hAnsi="Arial"/>
          <w:sz w:val="18"/>
          <w:szCs w:val="18"/>
          <w:color w:val="auto"/>
        </w:rPr>
        <w:t>(x) extend any date fixed by this Agreement for any payment of principal due to the Lenders (or any of them) or under any other Loan Document without the written consent of each Lender entitled to receive such payment;</w:t>
      </w:r>
    </w:p>
    <w:p>
      <w:pPr>
        <w:spacing w:after="0" w:line="170" w:lineRule="exact"/>
        <w:rPr>
          <w:rFonts w:ascii="Arial" w:cs="Arial" w:eastAsia="Arial" w:hAnsi="Arial"/>
          <w:sz w:val="18"/>
          <w:szCs w:val="18"/>
          <w:color w:val="auto"/>
        </w:rPr>
      </w:pPr>
    </w:p>
    <w:p>
      <w:pPr>
        <w:ind w:left="660" w:firstLine="644"/>
        <w:spacing w:after="0" w:line="277" w:lineRule="auto"/>
        <w:tabs>
          <w:tab w:leader="none" w:pos="1623" w:val="left"/>
        </w:tabs>
        <w:numPr>
          <w:ilvl w:val="1"/>
          <w:numId w:val="139"/>
        </w:numPr>
        <w:rPr>
          <w:rFonts w:ascii="Arial" w:cs="Arial" w:eastAsia="Arial" w:hAnsi="Arial"/>
          <w:sz w:val="18"/>
          <w:szCs w:val="18"/>
          <w:color w:val="auto"/>
        </w:rPr>
      </w:pPr>
      <w:r>
        <w:rPr>
          <w:rFonts w:ascii="Arial" w:cs="Arial" w:eastAsia="Arial" w:hAnsi="Arial"/>
          <w:sz w:val="18"/>
          <w:szCs w:val="18"/>
          <w:color w:val="auto"/>
        </w:rPr>
        <w:t>(x) reduce the principal amount of the Term Loan made by any Lender or (y) reduce the rate of interest thereon, in each case without the written consent of such Lender;</w:t>
      </w:r>
    </w:p>
    <w:p>
      <w:pPr>
        <w:spacing w:after="0" w:line="170" w:lineRule="exact"/>
        <w:rPr>
          <w:rFonts w:ascii="Arial" w:cs="Arial" w:eastAsia="Arial" w:hAnsi="Arial"/>
          <w:sz w:val="18"/>
          <w:szCs w:val="18"/>
          <w:color w:val="auto"/>
        </w:rPr>
      </w:pPr>
    </w:p>
    <w:p>
      <w:pPr>
        <w:ind w:left="660" w:firstLine="644"/>
        <w:spacing w:after="0" w:line="277" w:lineRule="auto"/>
        <w:tabs>
          <w:tab w:leader="none" w:pos="1626" w:val="left"/>
        </w:tabs>
        <w:numPr>
          <w:ilvl w:val="1"/>
          <w:numId w:val="139"/>
        </w:numPr>
        <w:rPr>
          <w:rFonts w:ascii="Arial" w:cs="Arial" w:eastAsia="Arial" w:hAnsi="Arial"/>
          <w:sz w:val="18"/>
          <w:szCs w:val="18"/>
          <w:color w:val="auto"/>
        </w:rPr>
      </w:pPr>
      <w:r>
        <w:rPr>
          <w:rFonts w:ascii="Arial" w:cs="Arial" w:eastAsia="Arial" w:hAnsi="Arial"/>
          <w:sz w:val="18"/>
          <w:szCs w:val="18"/>
          <w:color w:val="auto"/>
        </w:rPr>
        <w:t>reduce the rate or extend the time of payment of, or excuse the payment of, any fees to which any Lender is entitled hereunder without the written consent of each Lender entitled to receive such fees;</w:t>
      </w:r>
    </w:p>
    <w:p>
      <w:pPr>
        <w:spacing w:after="0" w:line="170" w:lineRule="exact"/>
        <w:rPr>
          <w:rFonts w:ascii="Arial" w:cs="Arial" w:eastAsia="Arial" w:hAnsi="Arial"/>
          <w:sz w:val="18"/>
          <w:szCs w:val="18"/>
          <w:color w:val="auto"/>
        </w:rPr>
      </w:pPr>
    </w:p>
    <w:p>
      <w:pPr>
        <w:ind w:left="660" w:right="20" w:firstLine="644"/>
        <w:spacing w:after="0" w:line="308" w:lineRule="auto"/>
        <w:tabs>
          <w:tab w:leader="none" w:pos="1590" w:val="left"/>
        </w:tabs>
        <w:numPr>
          <w:ilvl w:val="1"/>
          <w:numId w:val="139"/>
        </w:numPr>
        <w:rPr>
          <w:rFonts w:ascii="Arial" w:cs="Arial" w:eastAsia="Arial" w:hAnsi="Arial"/>
          <w:sz w:val="17"/>
          <w:szCs w:val="17"/>
          <w:color w:val="auto"/>
        </w:rPr>
      </w:pPr>
      <w:r>
        <w:rPr>
          <w:rFonts w:ascii="Arial" w:cs="Arial" w:eastAsia="Arial" w:hAnsi="Arial"/>
          <w:sz w:val="17"/>
          <w:szCs w:val="17"/>
          <w:color w:val="auto"/>
        </w:rPr>
        <w:t>release or permit the subordination of any portion of the Collateral securing the Obligations, or release any Guarantor from its obligations under any Loan Document (other than a disposition permitted hereunder) without the written consent of each Lender</w:t>
      </w:r>
    </w:p>
    <w:p>
      <w:pPr>
        <w:spacing w:after="0" w:line="146" w:lineRule="exact"/>
        <w:rPr>
          <w:rFonts w:ascii="Arial" w:cs="Arial" w:eastAsia="Arial" w:hAnsi="Arial"/>
          <w:sz w:val="17"/>
          <w:szCs w:val="17"/>
          <w:color w:val="auto"/>
        </w:rPr>
      </w:pPr>
    </w:p>
    <w:p>
      <w:pPr>
        <w:jc w:val="both"/>
        <w:ind w:left="660" w:firstLine="644"/>
        <w:spacing w:after="0" w:line="311" w:lineRule="auto"/>
        <w:tabs>
          <w:tab w:leader="none" w:pos="1613" w:val="left"/>
        </w:tabs>
        <w:numPr>
          <w:ilvl w:val="1"/>
          <w:numId w:val="139"/>
        </w:numPr>
        <w:rPr>
          <w:rFonts w:ascii="Arial" w:cs="Arial" w:eastAsia="Arial" w:hAnsi="Arial"/>
          <w:sz w:val="16"/>
          <w:szCs w:val="16"/>
          <w:color w:val="auto"/>
        </w:rPr>
      </w:pPr>
      <w:r>
        <w:rPr>
          <w:rFonts w:ascii="Arial" w:cs="Arial" w:eastAsia="Arial" w:hAnsi="Arial"/>
          <w:sz w:val="16"/>
          <w:szCs w:val="16"/>
          <w:color w:val="auto"/>
        </w:rPr>
        <w:t xml:space="preserve">amend, modify or waive any provision of (x) this </w:t>
      </w:r>
      <w:r>
        <w:rPr>
          <w:rFonts w:ascii="Arial" w:cs="Arial" w:eastAsia="Arial" w:hAnsi="Arial"/>
          <w:sz w:val="16"/>
          <w:szCs w:val="16"/>
          <w:u w:val="single" w:color="auto"/>
          <w:color w:val="auto"/>
        </w:rPr>
        <w:t>Section 8.1</w:t>
      </w:r>
      <w:r>
        <w:rPr>
          <w:rFonts w:ascii="Arial" w:cs="Arial" w:eastAsia="Arial" w:hAnsi="Arial"/>
          <w:sz w:val="16"/>
          <w:szCs w:val="16"/>
          <w:color w:val="auto"/>
        </w:rPr>
        <w:t xml:space="preserve"> or (y) any other provision of any of the Loan Documents pursuant to which the consent or approval of all Lenders, or a number or specified percentage or other required grouping of Lenders holding any portion of the Term Loan, is by the terms of such provision explicitly required, in each case without the written consent of each Lender directly affected thereby;</w:t>
      </w:r>
    </w:p>
    <w:p>
      <w:pPr>
        <w:spacing w:after="0" w:line="148" w:lineRule="exact"/>
        <w:rPr>
          <w:rFonts w:ascii="Arial" w:cs="Arial" w:eastAsia="Arial" w:hAnsi="Arial"/>
          <w:sz w:val="16"/>
          <w:szCs w:val="16"/>
          <w:color w:val="auto"/>
        </w:rPr>
      </w:pPr>
    </w:p>
    <w:p>
      <w:pPr>
        <w:ind w:left="660" w:firstLine="644"/>
        <w:spacing w:after="0" w:line="277" w:lineRule="auto"/>
        <w:tabs>
          <w:tab w:leader="none" w:pos="1663" w:val="left"/>
        </w:tabs>
        <w:numPr>
          <w:ilvl w:val="1"/>
          <w:numId w:val="139"/>
        </w:numPr>
        <w:rPr>
          <w:rFonts w:ascii="Arial" w:cs="Arial" w:eastAsia="Arial" w:hAnsi="Arial"/>
          <w:sz w:val="18"/>
          <w:szCs w:val="18"/>
          <w:color w:val="auto"/>
        </w:rPr>
      </w:pPr>
      <w:r>
        <w:rPr>
          <w:rFonts w:ascii="Arial" w:cs="Arial" w:eastAsia="Arial" w:hAnsi="Arial"/>
          <w:sz w:val="18"/>
          <w:szCs w:val="18"/>
          <w:color w:val="auto"/>
        </w:rPr>
        <w:t>reduce the percentage specified in, or otherwise modify, the definition of Required Lender, in each case without the written consent of each Lender directly affected thereby;</w:t>
      </w:r>
    </w:p>
    <w:p>
      <w:pPr>
        <w:spacing w:after="0" w:line="170" w:lineRule="exact"/>
        <w:rPr>
          <w:rFonts w:ascii="Arial" w:cs="Arial" w:eastAsia="Arial" w:hAnsi="Arial"/>
          <w:sz w:val="18"/>
          <w:szCs w:val="18"/>
          <w:color w:val="auto"/>
        </w:rPr>
      </w:pPr>
    </w:p>
    <w:p>
      <w:pPr>
        <w:jc w:val="both"/>
        <w:ind w:left="660" w:firstLine="644"/>
        <w:spacing w:after="0" w:line="259" w:lineRule="auto"/>
        <w:tabs>
          <w:tab w:leader="none" w:pos="1726" w:val="left"/>
        </w:tabs>
        <w:numPr>
          <w:ilvl w:val="1"/>
          <w:numId w:val="139"/>
        </w:numPr>
        <w:rPr>
          <w:rFonts w:ascii="Arial" w:cs="Arial" w:eastAsia="Arial" w:hAnsi="Arial"/>
          <w:sz w:val="18"/>
          <w:szCs w:val="18"/>
          <w:color w:val="auto"/>
        </w:rPr>
      </w:pPr>
      <w:r>
        <w:rPr>
          <w:rFonts w:ascii="Arial" w:cs="Arial" w:eastAsia="Arial" w:hAnsi="Arial"/>
          <w:sz w:val="18"/>
          <w:szCs w:val="18"/>
          <w:color w:val="auto"/>
        </w:rPr>
        <w:t>release Borrower, any other Loan Party or any other Guarantor from any of their respective obligations hereunder or under any other Loan Document (other than in connection with a disposition permitted hereunder) or consent to the assignment or transfer by Borrower or any other Loan Party of any of their respective rights and obligations under this Agreement or any of the other Loan Documents, in each case without the written consent of each Lender;</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20" w:type="dxa"/>
            <w:vAlign w:val="bottom"/>
            <w:tcBorders>
              <w:bottom w:val="single" w:sz="8" w:color="auto"/>
            </w:tcBorders>
          </w:tcPr>
          <w:p>
            <w:pPr>
              <w:jc w:val="right"/>
              <w:ind w:right="5350"/>
              <w:spacing w:after="0"/>
              <w:rPr>
                <w:sz w:val="20"/>
                <w:szCs w:val="20"/>
                <w:color w:val="auto"/>
              </w:rPr>
            </w:pPr>
            <w:r>
              <w:rPr>
                <w:rFonts w:ascii="Arial" w:cs="Arial" w:eastAsia="Arial" w:hAnsi="Arial"/>
                <w:sz w:val="18"/>
                <w:szCs w:val="18"/>
                <w:color w:val="auto"/>
              </w:rPr>
              <w:t>75</w:t>
            </w:r>
          </w:p>
        </w:tc>
      </w:tr>
    </w:tbl>
    <w:p>
      <w:pPr>
        <w:sectPr>
          <w:pgSz w:w="11900" w:h="16838" w:orient="portrait"/>
          <w:cols w:equalWidth="0" w:num="1">
            <w:col w:w="11240"/>
          </w:cols>
          <w:pgMar w:left="320" w:top="908" w:right="339" w:bottom="1440" w:gutter="0" w:footer="0" w:header="0"/>
        </w:sectPr>
      </w:pPr>
    </w:p>
    <w:bookmarkStart w:id="152" w:name="page153"/>
    <w:bookmarkEnd w:id="152"/>
    <w:p>
      <w:pPr>
        <w:ind w:left="660" w:right="20" w:firstLine="644"/>
        <w:spacing w:after="0" w:line="308" w:lineRule="auto"/>
        <w:tabs>
          <w:tab w:leader="none" w:pos="1613" w:val="left"/>
        </w:tabs>
        <w:numPr>
          <w:ilvl w:val="1"/>
          <w:numId w:val="140"/>
        </w:numPr>
        <w:rPr>
          <w:rFonts w:ascii="Arial" w:cs="Arial" w:eastAsia="Arial" w:hAnsi="Arial"/>
          <w:sz w:val="17"/>
          <w:szCs w:val="17"/>
          <w:color w:val="auto"/>
        </w:rPr>
      </w:pPr>
      <w:r>
        <w:rPr>
          <w:rFonts w:ascii="Arial" w:cs="Arial" w:eastAsia="Arial" w:hAnsi="Arial"/>
          <w:sz w:val="17"/>
          <w:szCs w:val="17"/>
          <w:color w:val="auto"/>
        </w:rPr>
        <w:t>amend, modify or waive any provision with respect to application of payments so as to alter the pro rata sharing of any payment in respect of the Obligations or proceeds of Collateral, in each case without the written consent of each Lender directly affected thereby;</w:t>
      </w:r>
    </w:p>
    <w:p>
      <w:pPr>
        <w:spacing w:after="0" w:line="146" w:lineRule="exact"/>
        <w:rPr>
          <w:rFonts w:ascii="Arial" w:cs="Arial" w:eastAsia="Arial" w:hAnsi="Arial"/>
          <w:sz w:val="17"/>
          <w:szCs w:val="17"/>
          <w:color w:val="auto"/>
        </w:rPr>
      </w:pPr>
    </w:p>
    <w:p>
      <w:pPr>
        <w:ind w:left="660" w:firstLine="644"/>
        <w:spacing w:after="0" w:line="308" w:lineRule="auto"/>
        <w:tabs>
          <w:tab w:leader="none" w:pos="1563" w:val="left"/>
        </w:tabs>
        <w:numPr>
          <w:ilvl w:val="1"/>
          <w:numId w:val="140"/>
        </w:numPr>
        <w:rPr>
          <w:rFonts w:ascii="Arial" w:cs="Arial" w:eastAsia="Arial" w:hAnsi="Arial"/>
          <w:sz w:val="17"/>
          <w:szCs w:val="17"/>
          <w:color w:val="auto"/>
        </w:rPr>
      </w:pPr>
      <w:r>
        <w:rPr>
          <w:rFonts w:ascii="Arial" w:cs="Arial" w:eastAsia="Arial" w:hAnsi="Arial"/>
          <w:sz w:val="17"/>
          <w:szCs w:val="17"/>
          <w:color w:val="auto"/>
        </w:rPr>
        <w:t>amend, modify or waive any provision in a manner that adversely affects a particular Lender in a manner that is disproportionate in relation to other Lenders, in each case without the written consent of the Lender that is disproportionately affected thereby; and</w:t>
      </w:r>
    </w:p>
    <w:p>
      <w:pPr>
        <w:spacing w:after="0" w:line="146" w:lineRule="exact"/>
        <w:rPr>
          <w:rFonts w:ascii="Arial" w:cs="Arial" w:eastAsia="Arial" w:hAnsi="Arial"/>
          <w:sz w:val="17"/>
          <w:szCs w:val="17"/>
          <w:color w:val="auto"/>
        </w:rPr>
      </w:pPr>
    </w:p>
    <w:p>
      <w:pPr>
        <w:ind w:left="1600" w:hanging="296"/>
        <w:spacing w:after="0"/>
        <w:tabs>
          <w:tab w:leader="none" w:pos="160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 xml:space="preserve">amend any provision of </w:t>
      </w:r>
      <w:r>
        <w:rPr>
          <w:rFonts w:ascii="Arial" w:cs="Arial" w:eastAsia="Arial" w:hAnsi="Arial"/>
          <w:sz w:val="18"/>
          <w:szCs w:val="18"/>
          <w:u w:val="single" w:color="auto"/>
          <w:color w:val="auto"/>
        </w:rPr>
        <w:t>Section 8.18</w:t>
      </w:r>
      <w:r>
        <w:rPr>
          <w:rFonts w:ascii="Arial" w:cs="Arial" w:eastAsia="Arial" w:hAnsi="Arial"/>
          <w:sz w:val="18"/>
          <w:szCs w:val="18"/>
          <w:color w:val="auto"/>
        </w:rPr>
        <w:t xml:space="preserve"> without the consent of Agent; and</w:t>
      </w:r>
    </w:p>
    <w:p>
      <w:pPr>
        <w:spacing w:after="0" w:line="225" w:lineRule="exact"/>
        <w:rPr>
          <w:rFonts w:ascii="Arial" w:cs="Arial" w:eastAsia="Arial" w:hAnsi="Arial"/>
          <w:sz w:val="18"/>
          <w:szCs w:val="18"/>
          <w:color w:val="auto"/>
        </w:rPr>
      </w:pPr>
    </w:p>
    <w:p>
      <w:pPr>
        <w:ind w:firstLine="656"/>
        <w:spacing w:after="0" w:line="277" w:lineRule="auto"/>
        <w:tabs>
          <w:tab w:leader="none" w:pos="903"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Any amendment, waiver or consent with respect to this Agreement or any other Loan Document given or made in accordance with this Section shall be effective only in the specific instance and for the specific purpose for which it was given or made.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8.2 Notices</w:t>
      </w:r>
      <w:r>
        <w:rPr>
          <w:rFonts w:ascii="Arial" w:cs="Arial" w:eastAsia="Arial" w:hAnsi="Arial"/>
          <w:sz w:val="18"/>
          <w:szCs w:val="18"/>
          <w:color w:val="auto"/>
        </w:rPr>
        <w:t>.</w:t>
      </w:r>
    </w:p>
    <w:p>
      <w:pPr>
        <w:spacing w:after="0" w:line="229" w:lineRule="exact"/>
        <w:rPr>
          <w:sz w:val="20"/>
          <w:szCs w:val="20"/>
          <w:color w:val="auto"/>
        </w:rPr>
      </w:pPr>
    </w:p>
    <w:p>
      <w:pPr>
        <w:jc w:val="both"/>
        <w:ind w:firstLine="656"/>
        <w:spacing w:after="0" w:line="296" w:lineRule="auto"/>
        <w:tabs>
          <w:tab w:leader="none" w:pos="892" w:val="left"/>
        </w:tabs>
        <w:numPr>
          <w:ilvl w:val="0"/>
          <w:numId w:val="142"/>
        </w:numPr>
        <w:rPr>
          <w:rFonts w:ascii="Arial" w:cs="Arial" w:eastAsia="Arial" w:hAnsi="Arial"/>
          <w:sz w:val="16"/>
          <w:szCs w:val="16"/>
          <w:color w:val="auto"/>
        </w:rPr>
      </w:pPr>
      <w:r>
        <w:rPr>
          <w:rFonts w:ascii="Arial" w:cs="Arial" w:eastAsia="Arial" w:hAnsi="Arial"/>
          <w:sz w:val="16"/>
          <w:szCs w:val="16"/>
          <w:color w:val="auto"/>
        </w:rPr>
        <w:t xml:space="preserve">All notices, requests and demands to or upon the respective parties hereto to be effective shall be in writing (including by electronic mail), and, unless otherwise expressly provided herein, shall be deemed to have been duly given or made when delivered, or three (3) Business Days after being deposited in the mail, postage prepaid, or one (1) Business Day after being deposited with an overnight courier, or, in the case of electronic mail notice, pursuant to clause (c) below,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each notice or communication delivered by mail must also be accompanied by delivery via electronic mail in accordance with clause (c) below, in each case addressed as follows or to such other address as may be hereafter notified by the respective parties hereto:</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Borrower:</w:t>
            </w:r>
          </w:p>
        </w:tc>
        <w:tc>
          <w:tcPr>
            <w:tcW w:w="3560" w:type="dxa"/>
            <w:vAlign w:val="bottom"/>
          </w:tcPr>
          <w:p>
            <w:pPr>
              <w:ind w:left="180"/>
              <w:spacing w:after="0"/>
              <w:rPr>
                <w:sz w:val="20"/>
                <w:szCs w:val="20"/>
                <w:color w:val="auto"/>
              </w:rPr>
            </w:pPr>
            <w:r>
              <w:rPr>
                <w:rFonts w:ascii="Arial" w:cs="Arial" w:eastAsia="Arial" w:hAnsi="Arial"/>
                <w:sz w:val="18"/>
                <w:szCs w:val="18"/>
                <w:color w:val="auto"/>
              </w:rPr>
              <w:t>Presto Automation LLC</w:t>
            </w:r>
          </w:p>
        </w:tc>
        <w:tc>
          <w:tcPr>
            <w:tcW w:w="656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560" w:type="dxa"/>
            <w:vAlign w:val="bottom"/>
          </w:tcPr>
          <w:p>
            <w:pPr>
              <w:ind w:left="180"/>
              <w:spacing w:after="0"/>
              <w:rPr>
                <w:sz w:val="20"/>
                <w:szCs w:val="20"/>
                <w:color w:val="auto"/>
              </w:rPr>
            </w:pPr>
            <w:r>
              <w:rPr>
                <w:rFonts w:ascii="Arial" w:cs="Arial" w:eastAsia="Arial" w:hAnsi="Arial"/>
                <w:sz w:val="18"/>
                <w:szCs w:val="18"/>
                <w:color w:val="auto"/>
              </w:rPr>
              <w:t>816 Hamilton St.</w:t>
            </w:r>
          </w:p>
        </w:tc>
        <w:tc>
          <w:tcPr>
            <w:tcW w:w="656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560" w:type="dxa"/>
            <w:vAlign w:val="bottom"/>
          </w:tcPr>
          <w:p>
            <w:pPr>
              <w:ind w:left="180"/>
              <w:spacing w:after="0"/>
              <w:rPr>
                <w:sz w:val="20"/>
                <w:szCs w:val="20"/>
                <w:color w:val="auto"/>
              </w:rPr>
            </w:pPr>
            <w:r>
              <w:rPr>
                <w:rFonts w:ascii="Arial" w:cs="Arial" w:eastAsia="Arial" w:hAnsi="Arial"/>
                <w:sz w:val="18"/>
                <w:szCs w:val="18"/>
                <w:color w:val="auto"/>
              </w:rPr>
              <w:t>Redwood City, CA 94063</w:t>
            </w:r>
          </w:p>
        </w:tc>
        <w:tc>
          <w:tcPr>
            <w:tcW w:w="656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560" w:type="dxa"/>
            <w:vAlign w:val="bottom"/>
          </w:tcPr>
          <w:p>
            <w:pPr>
              <w:ind w:left="180"/>
              <w:spacing w:after="0"/>
              <w:rPr>
                <w:sz w:val="20"/>
                <w:szCs w:val="20"/>
                <w:color w:val="auto"/>
              </w:rPr>
            </w:pPr>
            <w:r>
              <w:rPr>
                <w:rFonts w:ascii="Arial" w:cs="Arial" w:eastAsia="Arial" w:hAnsi="Arial"/>
                <w:sz w:val="18"/>
                <w:szCs w:val="18"/>
                <w:color w:val="auto"/>
              </w:rPr>
              <w:t>Attention: Chief Financial Officer</w:t>
            </w:r>
          </w:p>
        </w:tc>
        <w:tc>
          <w:tcPr>
            <w:tcW w:w="6560" w:type="dxa"/>
            <w:vAlign w:val="bottom"/>
          </w:tcPr>
          <w:p>
            <w:pPr>
              <w:spacing w:after="0"/>
              <w:rPr>
                <w:sz w:val="18"/>
                <w:szCs w:val="18"/>
                <w:color w:val="auto"/>
              </w:rPr>
            </w:pPr>
          </w:p>
        </w:tc>
      </w:tr>
      <w:tr>
        <w:trPr>
          <w:trHeight w:val="230"/>
        </w:trPr>
        <w:tc>
          <w:tcPr>
            <w:tcW w:w="1120" w:type="dxa"/>
            <w:vAlign w:val="bottom"/>
          </w:tcPr>
          <w:p>
            <w:pPr>
              <w:spacing w:after="0"/>
              <w:rPr>
                <w:sz w:val="20"/>
                <w:szCs w:val="20"/>
                <w:color w:val="auto"/>
              </w:rPr>
            </w:pPr>
          </w:p>
        </w:tc>
        <w:tc>
          <w:tcPr>
            <w:tcW w:w="3560" w:type="dxa"/>
            <w:vAlign w:val="bottom"/>
          </w:tcPr>
          <w:p>
            <w:pPr>
              <w:ind w:left="180"/>
              <w:spacing w:after="0"/>
              <w:rPr>
                <w:sz w:val="20"/>
                <w:szCs w:val="20"/>
                <w:color w:val="auto"/>
              </w:rPr>
            </w:pPr>
            <w:r>
              <w:rPr>
                <w:rFonts w:ascii="Arial" w:cs="Arial" w:eastAsia="Arial" w:hAnsi="Arial"/>
                <w:sz w:val="18"/>
                <w:szCs w:val="18"/>
                <w:color w:val="auto"/>
              </w:rPr>
              <w:t>E-Mail: [***]</w:t>
            </w:r>
          </w:p>
        </w:tc>
        <w:tc>
          <w:tcPr>
            <w:tcW w:w="6560" w:type="dxa"/>
            <w:vAlign w:val="bottom"/>
          </w:tcPr>
          <w:p>
            <w:pPr>
              <w:spacing w:after="0"/>
              <w:rPr>
                <w:sz w:val="20"/>
                <w:szCs w:val="20"/>
                <w:color w:val="auto"/>
              </w:rPr>
            </w:pPr>
          </w:p>
        </w:tc>
      </w:tr>
      <w:tr>
        <w:trPr>
          <w:trHeight w:val="418"/>
        </w:trPr>
        <w:tc>
          <w:tcPr>
            <w:tcW w:w="1120" w:type="dxa"/>
            <w:vAlign w:val="bottom"/>
          </w:tcPr>
          <w:p>
            <w:pPr>
              <w:spacing w:after="0"/>
              <w:rPr>
                <w:sz w:val="20"/>
                <w:szCs w:val="20"/>
                <w:color w:val="auto"/>
              </w:rPr>
            </w:pPr>
            <w:r>
              <w:rPr>
                <w:rFonts w:ascii="Arial" w:cs="Arial" w:eastAsia="Arial" w:hAnsi="Arial"/>
                <w:sz w:val="18"/>
                <w:szCs w:val="18"/>
                <w:color w:val="auto"/>
              </w:rPr>
              <w:t>Parent:</w:t>
            </w:r>
          </w:p>
        </w:tc>
        <w:tc>
          <w:tcPr>
            <w:tcW w:w="3560" w:type="dxa"/>
            <w:vAlign w:val="bottom"/>
          </w:tcPr>
          <w:p>
            <w:pPr>
              <w:ind w:left="180"/>
              <w:spacing w:after="0"/>
              <w:rPr>
                <w:sz w:val="20"/>
                <w:szCs w:val="20"/>
                <w:color w:val="auto"/>
              </w:rPr>
            </w:pPr>
            <w:r>
              <w:rPr>
                <w:rFonts w:ascii="Arial" w:cs="Arial" w:eastAsia="Arial" w:hAnsi="Arial"/>
                <w:sz w:val="18"/>
                <w:szCs w:val="18"/>
                <w:color w:val="auto"/>
              </w:rPr>
              <w:t>Presto Automation Inc.</w:t>
            </w:r>
          </w:p>
        </w:tc>
        <w:tc>
          <w:tcPr>
            <w:tcW w:w="6560" w:type="dxa"/>
            <w:vAlign w:val="bottom"/>
          </w:tcPr>
          <w:p>
            <w:pPr>
              <w:spacing w:after="0"/>
              <w:rPr>
                <w:sz w:val="24"/>
                <w:szCs w:val="24"/>
                <w:color w:val="auto"/>
              </w:rPr>
            </w:pPr>
          </w:p>
        </w:tc>
      </w:tr>
      <w:tr>
        <w:trPr>
          <w:trHeight w:val="216"/>
        </w:trPr>
        <w:tc>
          <w:tcPr>
            <w:tcW w:w="1120" w:type="dxa"/>
            <w:vAlign w:val="bottom"/>
          </w:tcPr>
          <w:p>
            <w:pPr>
              <w:spacing w:after="0"/>
              <w:rPr>
                <w:sz w:val="18"/>
                <w:szCs w:val="18"/>
                <w:color w:val="auto"/>
              </w:rPr>
            </w:pPr>
          </w:p>
        </w:tc>
        <w:tc>
          <w:tcPr>
            <w:tcW w:w="3560" w:type="dxa"/>
            <w:vAlign w:val="bottom"/>
          </w:tcPr>
          <w:p>
            <w:pPr>
              <w:ind w:left="180"/>
              <w:spacing w:after="0"/>
              <w:rPr>
                <w:sz w:val="20"/>
                <w:szCs w:val="20"/>
                <w:color w:val="auto"/>
              </w:rPr>
            </w:pPr>
            <w:r>
              <w:rPr>
                <w:rFonts w:ascii="Arial" w:cs="Arial" w:eastAsia="Arial" w:hAnsi="Arial"/>
                <w:sz w:val="18"/>
                <w:szCs w:val="18"/>
                <w:color w:val="auto"/>
              </w:rPr>
              <w:t>816 Hamilton St.</w:t>
            </w:r>
          </w:p>
        </w:tc>
        <w:tc>
          <w:tcPr>
            <w:tcW w:w="656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560" w:type="dxa"/>
            <w:vAlign w:val="bottom"/>
          </w:tcPr>
          <w:p>
            <w:pPr>
              <w:ind w:left="180"/>
              <w:spacing w:after="0"/>
              <w:rPr>
                <w:sz w:val="20"/>
                <w:szCs w:val="20"/>
                <w:color w:val="auto"/>
              </w:rPr>
            </w:pPr>
            <w:r>
              <w:rPr>
                <w:rFonts w:ascii="Arial" w:cs="Arial" w:eastAsia="Arial" w:hAnsi="Arial"/>
                <w:sz w:val="18"/>
                <w:szCs w:val="18"/>
                <w:color w:val="auto"/>
              </w:rPr>
              <w:t>Redwood City, CA 94063</w:t>
            </w:r>
          </w:p>
        </w:tc>
        <w:tc>
          <w:tcPr>
            <w:tcW w:w="656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560" w:type="dxa"/>
            <w:vAlign w:val="bottom"/>
          </w:tcPr>
          <w:p>
            <w:pPr>
              <w:ind w:left="180"/>
              <w:spacing w:after="0"/>
              <w:rPr>
                <w:sz w:val="20"/>
                <w:szCs w:val="20"/>
                <w:color w:val="auto"/>
              </w:rPr>
            </w:pPr>
            <w:r>
              <w:rPr>
                <w:rFonts w:ascii="Arial" w:cs="Arial" w:eastAsia="Arial" w:hAnsi="Arial"/>
                <w:sz w:val="18"/>
                <w:szCs w:val="18"/>
                <w:color w:val="auto"/>
              </w:rPr>
              <w:t>Attention: Chief Financial Officer</w:t>
            </w:r>
          </w:p>
        </w:tc>
        <w:tc>
          <w:tcPr>
            <w:tcW w:w="6560" w:type="dxa"/>
            <w:vAlign w:val="bottom"/>
          </w:tcPr>
          <w:p>
            <w:pPr>
              <w:spacing w:after="0"/>
              <w:rPr>
                <w:sz w:val="18"/>
                <w:szCs w:val="18"/>
                <w:color w:val="auto"/>
              </w:rPr>
            </w:pPr>
          </w:p>
        </w:tc>
      </w:tr>
      <w:tr>
        <w:trPr>
          <w:trHeight w:val="230"/>
        </w:trPr>
        <w:tc>
          <w:tcPr>
            <w:tcW w:w="1120" w:type="dxa"/>
            <w:vAlign w:val="bottom"/>
          </w:tcPr>
          <w:p>
            <w:pPr>
              <w:spacing w:after="0"/>
              <w:rPr>
                <w:sz w:val="20"/>
                <w:szCs w:val="20"/>
                <w:color w:val="auto"/>
              </w:rPr>
            </w:pPr>
          </w:p>
        </w:tc>
        <w:tc>
          <w:tcPr>
            <w:tcW w:w="3560" w:type="dxa"/>
            <w:vAlign w:val="bottom"/>
          </w:tcPr>
          <w:p>
            <w:pPr>
              <w:ind w:left="180"/>
              <w:spacing w:after="0"/>
              <w:rPr>
                <w:sz w:val="20"/>
                <w:szCs w:val="20"/>
                <w:color w:val="auto"/>
              </w:rPr>
            </w:pPr>
            <w:r>
              <w:rPr>
                <w:rFonts w:ascii="Arial" w:cs="Arial" w:eastAsia="Arial" w:hAnsi="Arial"/>
                <w:sz w:val="18"/>
                <w:szCs w:val="18"/>
                <w:color w:val="auto"/>
              </w:rPr>
              <w:t>E-Mail: [***]</w:t>
            </w:r>
          </w:p>
        </w:tc>
        <w:tc>
          <w:tcPr>
            <w:tcW w:w="6560" w:type="dxa"/>
            <w:vAlign w:val="bottom"/>
          </w:tcPr>
          <w:p>
            <w:pPr>
              <w:spacing w:after="0"/>
              <w:rPr>
                <w:sz w:val="20"/>
                <w:szCs w:val="20"/>
                <w:color w:val="auto"/>
              </w:rPr>
            </w:pPr>
          </w:p>
        </w:tc>
      </w:tr>
      <w:tr>
        <w:trPr>
          <w:trHeight w:val="418"/>
        </w:trPr>
        <w:tc>
          <w:tcPr>
            <w:tcW w:w="1120" w:type="dxa"/>
            <w:vAlign w:val="bottom"/>
          </w:tcPr>
          <w:p>
            <w:pPr>
              <w:spacing w:after="0"/>
              <w:rPr>
                <w:sz w:val="20"/>
                <w:szCs w:val="20"/>
                <w:color w:val="auto"/>
              </w:rPr>
            </w:pPr>
            <w:r>
              <w:rPr>
                <w:rFonts w:ascii="Arial" w:cs="Arial" w:eastAsia="Arial" w:hAnsi="Arial"/>
                <w:sz w:val="18"/>
                <w:szCs w:val="18"/>
                <w:color w:val="auto"/>
              </w:rPr>
              <w:t>in each case:</w:t>
            </w:r>
          </w:p>
        </w:tc>
        <w:tc>
          <w:tcPr>
            <w:tcW w:w="3560" w:type="dxa"/>
            <w:vAlign w:val="bottom"/>
          </w:tcPr>
          <w:p>
            <w:pPr>
              <w:ind w:left="180"/>
              <w:spacing w:after="0"/>
              <w:rPr>
                <w:sz w:val="20"/>
                <w:szCs w:val="20"/>
                <w:color w:val="auto"/>
              </w:rPr>
            </w:pPr>
            <w:r>
              <w:rPr>
                <w:rFonts w:ascii="Arial" w:cs="Arial" w:eastAsia="Arial" w:hAnsi="Arial"/>
                <w:sz w:val="18"/>
                <w:szCs w:val="18"/>
                <w:color w:val="auto"/>
              </w:rPr>
              <w:t>White &amp; Case LLP</w:t>
            </w:r>
          </w:p>
        </w:tc>
        <w:tc>
          <w:tcPr>
            <w:tcW w:w="6560" w:type="dxa"/>
            <w:vAlign w:val="bottom"/>
          </w:tcPr>
          <w:p>
            <w:pPr>
              <w:spacing w:after="0"/>
              <w:rPr>
                <w:sz w:val="24"/>
                <w:szCs w:val="24"/>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with a copy</w:t>
            </w:r>
          </w:p>
        </w:tc>
        <w:tc>
          <w:tcPr>
            <w:tcW w:w="3560" w:type="dxa"/>
            <w:vAlign w:val="bottom"/>
          </w:tcPr>
          <w:p>
            <w:pPr>
              <w:ind w:left="180"/>
              <w:spacing w:after="0"/>
              <w:rPr>
                <w:sz w:val="20"/>
                <w:szCs w:val="20"/>
                <w:color w:val="auto"/>
              </w:rPr>
            </w:pPr>
            <w:r>
              <w:rPr>
                <w:rFonts w:ascii="Arial" w:cs="Arial" w:eastAsia="Arial" w:hAnsi="Arial"/>
                <w:sz w:val="18"/>
                <w:szCs w:val="18"/>
                <w:color w:val="auto"/>
              </w:rPr>
              <w:t>1221 Ave of the Americas</w:t>
            </w:r>
          </w:p>
        </w:tc>
        <w:tc>
          <w:tcPr>
            <w:tcW w:w="6560" w:type="dxa"/>
            <w:vAlign w:val="bottom"/>
          </w:tcPr>
          <w:p>
            <w:pPr>
              <w:spacing w:after="0"/>
              <w:rPr>
                <w:sz w:val="18"/>
                <w:szCs w:val="18"/>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to (which</w:t>
            </w:r>
          </w:p>
        </w:tc>
        <w:tc>
          <w:tcPr>
            <w:tcW w:w="3560" w:type="dxa"/>
            <w:vAlign w:val="bottom"/>
          </w:tcPr>
          <w:p>
            <w:pPr>
              <w:ind w:left="180"/>
              <w:spacing w:after="0"/>
              <w:rPr>
                <w:sz w:val="20"/>
                <w:szCs w:val="20"/>
                <w:color w:val="auto"/>
              </w:rPr>
            </w:pPr>
            <w:r>
              <w:rPr>
                <w:rFonts w:ascii="Arial" w:cs="Arial" w:eastAsia="Arial" w:hAnsi="Arial"/>
                <w:sz w:val="18"/>
                <w:szCs w:val="18"/>
                <w:color w:val="auto"/>
              </w:rPr>
              <w:t>New York, NY 10020</w:t>
            </w:r>
          </w:p>
        </w:tc>
        <w:tc>
          <w:tcPr>
            <w:tcW w:w="6560" w:type="dxa"/>
            <w:vAlign w:val="bottom"/>
          </w:tcPr>
          <w:p>
            <w:pPr>
              <w:spacing w:after="0"/>
              <w:rPr>
                <w:sz w:val="18"/>
                <w:szCs w:val="18"/>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shall not be</w:t>
            </w:r>
          </w:p>
        </w:tc>
        <w:tc>
          <w:tcPr>
            <w:tcW w:w="3560" w:type="dxa"/>
            <w:vAlign w:val="bottom"/>
          </w:tcPr>
          <w:p>
            <w:pPr>
              <w:ind w:left="180"/>
              <w:spacing w:after="0"/>
              <w:rPr>
                <w:sz w:val="20"/>
                <w:szCs w:val="20"/>
                <w:color w:val="auto"/>
              </w:rPr>
            </w:pPr>
            <w:r>
              <w:rPr>
                <w:rFonts w:ascii="Arial" w:cs="Arial" w:eastAsia="Arial" w:hAnsi="Arial"/>
                <w:sz w:val="18"/>
                <w:szCs w:val="18"/>
                <w:color w:val="auto"/>
              </w:rPr>
              <w:t>Attention: Colin Diamond</w:t>
            </w:r>
          </w:p>
        </w:tc>
        <w:tc>
          <w:tcPr>
            <w:tcW w:w="6560" w:type="dxa"/>
            <w:vAlign w:val="bottom"/>
          </w:tcPr>
          <w:p>
            <w:pPr>
              <w:spacing w:after="0"/>
              <w:rPr>
                <w:sz w:val="18"/>
                <w:szCs w:val="18"/>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deemed to</w:t>
            </w:r>
          </w:p>
        </w:tc>
        <w:tc>
          <w:tcPr>
            <w:tcW w:w="3560" w:type="dxa"/>
            <w:vAlign w:val="bottom"/>
          </w:tcPr>
          <w:p>
            <w:pPr>
              <w:ind w:left="180"/>
              <w:spacing w:after="0"/>
              <w:rPr>
                <w:sz w:val="20"/>
                <w:szCs w:val="20"/>
                <w:color w:val="auto"/>
              </w:rPr>
            </w:pPr>
            <w:r>
              <w:rPr>
                <w:rFonts w:ascii="Arial" w:cs="Arial" w:eastAsia="Arial" w:hAnsi="Arial"/>
                <w:sz w:val="18"/>
                <w:szCs w:val="18"/>
                <w:color w:val="auto"/>
              </w:rPr>
              <w:t>Telephone No.: [***]</w:t>
            </w:r>
          </w:p>
        </w:tc>
        <w:tc>
          <w:tcPr>
            <w:tcW w:w="6560" w:type="dxa"/>
            <w:vAlign w:val="bottom"/>
          </w:tcPr>
          <w:p>
            <w:pPr>
              <w:spacing w:after="0"/>
              <w:rPr>
                <w:sz w:val="18"/>
                <w:szCs w:val="18"/>
                <w:color w:val="auto"/>
              </w:rPr>
            </w:pP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be notice)</w:t>
            </w:r>
          </w:p>
        </w:tc>
        <w:tc>
          <w:tcPr>
            <w:tcW w:w="3560" w:type="dxa"/>
            <w:vAlign w:val="bottom"/>
          </w:tcPr>
          <w:p>
            <w:pPr>
              <w:ind w:left="180"/>
              <w:spacing w:after="0"/>
              <w:rPr>
                <w:sz w:val="20"/>
                <w:szCs w:val="20"/>
                <w:color w:val="auto"/>
              </w:rPr>
            </w:pPr>
            <w:r>
              <w:rPr>
                <w:rFonts w:ascii="Arial" w:cs="Arial" w:eastAsia="Arial" w:hAnsi="Arial"/>
                <w:sz w:val="18"/>
                <w:szCs w:val="18"/>
                <w:color w:val="auto"/>
              </w:rPr>
              <w:t>E-Mail: [***]</w:t>
            </w:r>
          </w:p>
        </w:tc>
        <w:tc>
          <w:tcPr>
            <w:tcW w:w="6560" w:type="dxa"/>
            <w:vAlign w:val="bottom"/>
          </w:tcPr>
          <w:p>
            <w:pPr>
              <w:spacing w:after="0"/>
              <w:rPr>
                <w:sz w:val="20"/>
                <w:szCs w:val="20"/>
                <w:color w:val="auto"/>
              </w:rPr>
            </w:pPr>
          </w:p>
        </w:tc>
      </w:tr>
      <w:tr>
        <w:trPr>
          <w:trHeight w:val="682"/>
        </w:trPr>
        <w:tc>
          <w:tcPr>
            <w:tcW w:w="4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Presto Credit Agreement</w:t>
            </w:r>
          </w:p>
        </w:tc>
        <w:tc>
          <w:tcPr>
            <w:tcW w:w="6560" w:type="dxa"/>
            <w:vAlign w:val="bottom"/>
            <w:tcBorders>
              <w:bottom w:val="single" w:sz="8" w:color="auto"/>
            </w:tcBorders>
          </w:tcPr>
          <w:p>
            <w:pPr>
              <w:jc w:val="right"/>
              <w:ind w:right="5350"/>
              <w:spacing w:after="0"/>
              <w:rPr>
                <w:sz w:val="20"/>
                <w:szCs w:val="20"/>
                <w:color w:val="auto"/>
              </w:rPr>
            </w:pPr>
            <w:r>
              <w:rPr>
                <w:rFonts w:ascii="Arial" w:cs="Arial" w:eastAsia="Arial" w:hAnsi="Arial"/>
                <w:sz w:val="18"/>
                <w:szCs w:val="18"/>
                <w:color w:val="auto"/>
              </w:rPr>
              <w:t>76</w:t>
            </w:r>
          </w:p>
        </w:tc>
      </w:tr>
    </w:tbl>
    <w:p>
      <w:pPr>
        <w:sectPr>
          <w:pgSz w:w="11900" w:h="16838" w:orient="portrait"/>
          <w:cols w:equalWidth="0" w:num="1">
            <w:col w:w="11240"/>
          </w:cols>
          <w:pgMar w:left="320" w:top="908" w:right="339" w:bottom="1440" w:gutter="0" w:footer="0" w:header="0"/>
        </w:sectPr>
      </w:pPr>
    </w:p>
    <w:bookmarkStart w:id="153" w:name="page154"/>
    <w:bookmarkEnd w:id="153"/>
    <w:p>
      <w:pPr>
        <w:spacing w:after="0"/>
        <w:rPr>
          <w:sz w:val="20"/>
          <w:szCs w:val="20"/>
          <w:color w:val="auto"/>
        </w:rPr>
      </w:pPr>
      <w:r>
        <w:rPr>
          <w:rFonts w:ascii="Arial" w:cs="Arial" w:eastAsia="Arial" w:hAnsi="Arial"/>
          <w:sz w:val="17"/>
          <w:szCs w:val="17"/>
          <w:color w:val="auto"/>
        </w:rPr>
        <w:t>Agent: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Metropolitan Partners Group Administration, LLC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850 Third Avenue, 18th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Paul Lisiak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No.: (212) 561-1250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w:t>
      </w:r>
    </w:p>
    <w:p>
      <w:pPr>
        <w:spacing w:after="0" w:line="200" w:lineRule="exact"/>
        <w:rPr>
          <w:sz w:val="20"/>
          <w:szCs w:val="20"/>
          <w:color w:val="auto"/>
        </w:rPr>
      </w:pPr>
    </w:p>
    <w:p>
      <w:pPr>
        <w:sectPr>
          <w:pgSz w:w="11900" w:h="16838" w:orient="portrait"/>
          <w:cols w:equalWidth="0" w:num="2">
            <w:col w:w="580" w:space="720"/>
            <w:col w:w="9940"/>
          </w:cols>
          <w:pgMar w:left="320" w:top="935" w:right="339" w:bottom="1440" w:gutter="0" w:footer="0" w:header="0"/>
        </w:sectPr>
      </w:pPr>
    </w:p>
    <w:p>
      <w:pPr>
        <w:spacing w:after="0" w:line="1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with a copy: to (which shall not be deemed to be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K&amp;L Gates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599 Lexington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Aaron S. Rothman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Telephone No.: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w:t>
      </w:r>
    </w:p>
    <w:p>
      <w:pPr>
        <w:spacing w:after="0" w:line="200" w:lineRule="exact"/>
        <w:rPr>
          <w:sz w:val="20"/>
          <w:szCs w:val="20"/>
          <w:color w:val="auto"/>
        </w:rPr>
      </w:pPr>
    </w:p>
    <w:p>
      <w:pPr>
        <w:sectPr>
          <w:pgSz w:w="11900" w:h="16838" w:orient="portrait"/>
          <w:cols w:equalWidth="0" w:num="2">
            <w:col w:w="900" w:space="400"/>
            <w:col w:w="9940"/>
          </w:cols>
          <w:pgMar w:left="320" w:top="935" w:right="33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notice, request or demand to or upon Agent shall not be effective until received.</w:t>
      </w:r>
    </w:p>
    <w:p>
      <w:pPr>
        <w:spacing w:after="0" w:line="225" w:lineRule="exact"/>
        <w:rPr>
          <w:sz w:val="20"/>
          <w:szCs w:val="20"/>
          <w:color w:val="auto"/>
        </w:rPr>
      </w:pPr>
    </w:p>
    <w:p>
      <w:pPr>
        <w:ind w:right="20" w:firstLine="656"/>
        <w:spacing w:after="0" w:line="277" w:lineRule="auto"/>
        <w:tabs>
          <w:tab w:leader="none" w:pos="916"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Any party hereto may change its address or electronic mail address for notices and other communications hereunder by notice to the other parties hereto.</w:t>
      </w:r>
    </w:p>
    <w:p>
      <w:pPr>
        <w:spacing w:after="0" w:line="170" w:lineRule="exact"/>
        <w:rPr>
          <w:rFonts w:ascii="Arial" w:cs="Arial" w:eastAsia="Arial" w:hAnsi="Arial"/>
          <w:sz w:val="18"/>
          <w:szCs w:val="18"/>
          <w:color w:val="auto"/>
        </w:rPr>
      </w:pPr>
    </w:p>
    <w:p>
      <w:pPr>
        <w:jc w:val="both"/>
        <w:ind w:firstLine="656"/>
        <w:spacing w:after="0" w:line="287" w:lineRule="auto"/>
        <w:tabs>
          <w:tab w:leader="none" w:pos="892" w:val="left"/>
        </w:tabs>
        <w:numPr>
          <w:ilvl w:val="0"/>
          <w:numId w:val="143"/>
        </w:numPr>
        <w:rPr>
          <w:rFonts w:ascii="Arial" w:cs="Arial" w:eastAsia="Arial" w:hAnsi="Arial"/>
          <w:sz w:val="16"/>
          <w:szCs w:val="16"/>
          <w:color w:val="auto"/>
        </w:rPr>
      </w:pPr>
      <w:r>
        <w:rPr>
          <w:rFonts w:ascii="Arial" w:cs="Arial" w:eastAsia="Arial" w:hAnsi="Arial"/>
          <w:sz w:val="16"/>
          <w:szCs w:val="16"/>
          <w:color w:val="auto"/>
        </w:rPr>
        <w:t xml:space="preserve">Notices and other communications to Agent or any Lender hereunder and required to be delivered pursuant to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may be delivered or furnished by electronic communication (including e-mail and Internet or intranet web sites) pursuant to procedures approved by Agent. Agent and the Loan Parties may, in their discretion, agree in a separate writing to accept notices and other communications to them hereunder by electronic communications pursuant to procedures approved by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approval of such procedures may be limited to particular notices or communications. Unless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(x) if no such acknowledgment is provided, such notice or communication shall be deemed received the next Business Day after being delivered or (y)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 site shall be deemed received upon the deemed receipt by the intended recipient at its e-mail address as described in the foregoing clause (i) of notification that such notice or communication is available and identifying the web site address therefor.</w:t>
      </w:r>
    </w:p>
    <w:p>
      <w:pPr>
        <w:spacing w:after="0" w:line="168"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b w:val="1"/>
          <w:bCs w:val="1"/>
          <w:color w:val="auto"/>
        </w:rPr>
        <w:t>8.3 No Waiver; Cumulative Remedies</w:t>
      </w:r>
      <w:r>
        <w:rPr>
          <w:rFonts w:ascii="Arial" w:cs="Arial" w:eastAsia="Arial" w:hAnsi="Arial"/>
          <w:sz w:val="16"/>
          <w:szCs w:val="16"/>
          <w:color w:val="auto"/>
        </w:rPr>
        <w:t>. No failure to exercise and no delay in exercising, on the part of Agent or any Lender, any right, remedy,</w:t>
      </w:r>
      <w:r>
        <w:rPr>
          <w:rFonts w:ascii="Arial" w:cs="Arial" w:eastAsia="Arial" w:hAnsi="Arial"/>
          <w:sz w:val="16"/>
          <w:szCs w:val="16"/>
          <w:b w:val="1"/>
          <w:bCs w:val="1"/>
          <w:color w:val="auto"/>
        </w:rPr>
        <w:t xml:space="preserve"> </w:t>
      </w:r>
      <w:r>
        <w:rPr>
          <w:rFonts w:ascii="Arial" w:cs="Arial" w:eastAsia="Arial" w:hAnsi="Arial"/>
          <w:sz w:val="16"/>
          <w:szCs w:val="16"/>
          <w:color w:val="auto"/>
        </w:rPr>
        <w:t>power or privilege hereunder or under the other Loan Documents shall operate as a waiver thereof or acquiescence thereto;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privileges and remedies provided by virtue of any statute or rule of Law or in any of the other Loan Documents. Any forbearance or failure to exercise, and any delay in exercising, any right, power, privilege or remedy hereunder or any other Loan Document shall not impair any such right, power, privilege or remedy or be construed to be a waiver thereof, nor shall it preclude the further exercise of any such right, power, privilege or remedy.</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20" w:type="dxa"/>
            <w:vAlign w:val="bottom"/>
            <w:tcBorders>
              <w:bottom w:val="single" w:sz="8" w:color="auto"/>
            </w:tcBorders>
          </w:tcPr>
          <w:p>
            <w:pPr>
              <w:jc w:val="right"/>
              <w:ind w:right="5350"/>
              <w:spacing w:after="0"/>
              <w:rPr>
                <w:sz w:val="20"/>
                <w:szCs w:val="20"/>
                <w:color w:val="auto"/>
              </w:rPr>
            </w:pPr>
            <w:r>
              <w:rPr>
                <w:rFonts w:ascii="Arial" w:cs="Arial" w:eastAsia="Arial" w:hAnsi="Arial"/>
                <w:sz w:val="18"/>
                <w:szCs w:val="18"/>
                <w:color w:val="auto"/>
              </w:rPr>
              <w:t>77</w:t>
            </w:r>
          </w:p>
        </w:tc>
      </w:tr>
    </w:tbl>
    <w:p>
      <w:pPr>
        <w:sectPr>
          <w:pgSz w:w="11900" w:h="16838" w:orient="portrait"/>
          <w:cols w:equalWidth="0" w:num="1">
            <w:col w:w="11240"/>
          </w:cols>
          <w:pgMar w:left="320" w:top="935" w:right="339" w:bottom="1440" w:gutter="0" w:footer="0" w:header="0"/>
          <w:type w:val="continuous"/>
        </w:sectPr>
      </w:pPr>
    </w:p>
    <w:bookmarkStart w:id="154" w:name="page155"/>
    <w:bookmarkEnd w:id="154"/>
    <w:p>
      <w:pPr>
        <w:jc w:val="both"/>
        <w:ind w:firstLine="648"/>
        <w:spacing w:after="0" w:line="266" w:lineRule="auto"/>
        <w:rPr>
          <w:sz w:val="20"/>
          <w:szCs w:val="20"/>
          <w:color w:val="auto"/>
        </w:rPr>
      </w:pPr>
      <w:r>
        <w:rPr>
          <w:rFonts w:ascii="Arial" w:cs="Arial" w:eastAsia="Arial" w:hAnsi="Arial"/>
          <w:sz w:val="18"/>
          <w:szCs w:val="18"/>
          <w:b w:val="1"/>
          <w:bCs w:val="1"/>
          <w:color w:val="auto"/>
        </w:rPr>
        <w:t>8.4 Survival of Representations and Warranties</w:t>
      </w:r>
      <w:r>
        <w:rPr>
          <w:rFonts w:ascii="Arial" w:cs="Arial" w:eastAsia="Arial" w:hAnsi="Arial"/>
          <w:sz w:val="18"/>
          <w:szCs w:val="18"/>
          <w:color w:val="auto"/>
        </w:rPr>
        <w:t>. All representations and warranties made hereunder, in the other Loan Documents and in any</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 certificate or statement delivered pursuant hereto or in connection herewith shall survive the execution and delivery of this Agreement and the other Loan Documents and the making of the Term Loan and other extensions of credit hereunder.</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8.5 Expenses; Indemnity; Damage Waiver</w:t>
      </w:r>
      <w:r>
        <w:rPr>
          <w:rFonts w:ascii="Arial" w:cs="Arial" w:eastAsia="Arial" w:hAnsi="Arial"/>
          <w:sz w:val="18"/>
          <w:szCs w:val="18"/>
          <w:color w:val="auto"/>
        </w:rPr>
        <w:t>.</w:t>
      </w:r>
    </w:p>
    <w:p>
      <w:pPr>
        <w:spacing w:after="0" w:line="229" w:lineRule="exact"/>
        <w:rPr>
          <w:sz w:val="20"/>
          <w:szCs w:val="20"/>
          <w:color w:val="auto"/>
        </w:rPr>
      </w:pPr>
    </w:p>
    <w:p>
      <w:pPr>
        <w:ind w:left="900" w:hanging="244"/>
        <w:spacing w:after="0"/>
        <w:tabs>
          <w:tab w:leader="none" w:pos="900"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Costs and Expenses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firstLine="644"/>
        <w:spacing w:after="0" w:line="273" w:lineRule="auto"/>
        <w:tabs>
          <w:tab w:leader="none" w:pos="1523" w:val="left"/>
        </w:tabs>
        <w:numPr>
          <w:ilvl w:val="1"/>
          <w:numId w:val="144"/>
        </w:numPr>
        <w:rPr>
          <w:rFonts w:ascii="Arial" w:cs="Arial" w:eastAsia="Arial" w:hAnsi="Arial"/>
          <w:sz w:val="17"/>
          <w:szCs w:val="17"/>
          <w:color w:val="auto"/>
        </w:rPr>
      </w:pPr>
      <w:r>
        <w:rPr>
          <w:rFonts w:ascii="Arial" w:cs="Arial" w:eastAsia="Arial" w:hAnsi="Arial"/>
          <w:sz w:val="17"/>
          <w:szCs w:val="17"/>
          <w:color w:val="auto"/>
        </w:rPr>
        <w:t>Except as otherwise provided herein, the Loan Parties, jointly and severally, shall pay the reasonable and documented out-of-pocket transaction and diligence expenses of Agent and the Lenders (including the reasonable and documented out-of-pocket fees, charges and disbursements of any counsel for Agent or any Lender and of any consultants to the Lender) in connection with the initial preparation, negotiation, execution and delivery of the Loan Documents and all actual fees, costs and reasonable and documented expenses of creating and perfecting Liens in favor of Agent, for the benefit of Lenders, including filing and recording fees, expenses and Other Taxes, search fees, title insurance premiums and reasonable and documented fees, expenses and disbursements of counsel to Agent; and</w:t>
      </w:r>
    </w:p>
    <w:p>
      <w:pPr>
        <w:spacing w:after="0" w:line="177" w:lineRule="exact"/>
        <w:rPr>
          <w:rFonts w:ascii="Arial" w:cs="Arial" w:eastAsia="Arial" w:hAnsi="Arial"/>
          <w:sz w:val="17"/>
          <w:szCs w:val="17"/>
          <w:color w:val="auto"/>
        </w:rPr>
      </w:pPr>
    </w:p>
    <w:p>
      <w:pPr>
        <w:jc w:val="both"/>
        <w:ind w:left="660" w:firstLine="644"/>
        <w:spacing w:after="0" w:line="267" w:lineRule="auto"/>
        <w:tabs>
          <w:tab w:leader="none" w:pos="1593" w:val="left"/>
        </w:tabs>
        <w:numPr>
          <w:ilvl w:val="1"/>
          <w:numId w:val="144"/>
        </w:numPr>
        <w:rPr>
          <w:rFonts w:ascii="Arial" w:cs="Arial" w:eastAsia="Arial" w:hAnsi="Arial"/>
          <w:sz w:val="17"/>
          <w:szCs w:val="17"/>
          <w:color w:val="auto"/>
        </w:rPr>
      </w:pPr>
      <w:r>
        <w:rPr>
          <w:rFonts w:ascii="Arial" w:cs="Arial" w:eastAsia="Arial" w:hAnsi="Arial"/>
          <w:sz w:val="17"/>
          <w:szCs w:val="17"/>
          <w:color w:val="auto"/>
        </w:rPr>
        <w:t xml:space="preserve">Loan Parties, jointly and severally, shall pay (a) all reasonable and documented out-of-pocket expenses incurred by Agent or any Lender (including the reasonable and documented out-of-pocket fees, charges and disbursements of any counsel for Agent or any Lender) in connection with the administration of this Agreement and the other Loan Documents (including all reasonable and documented out-of-pocket expenses related to the board observation rights set forth in </w:t>
      </w:r>
      <w:r>
        <w:rPr>
          <w:rFonts w:ascii="Arial" w:cs="Arial" w:eastAsia="Arial" w:hAnsi="Arial"/>
          <w:sz w:val="17"/>
          <w:szCs w:val="17"/>
          <w:u w:val="single" w:color="auto"/>
          <w:color w:val="auto"/>
        </w:rPr>
        <w:t>Section 5.16</w:t>
      </w:r>
      <w:r>
        <w:rPr>
          <w:rFonts w:ascii="Arial" w:cs="Arial" w:eastAsia="Arial" w:hAnsi="Arial"/>
          <w:sz w:val="17"/>
          <w:szCs w:val="17"/>
          <w:color w:val="auto"/>
        </w:rPr>
        <w:t>), or any amendments, modifications or waivers of the provisions hereof or thereof (whether or not the transactions contemplated hereby or thereby shall be consummated), (b) all Agent’s actual costs and reasonable and documented fees, expenses for, and disbursements of any of Agent’s, auditors, accountants, consultants or appraisers whether internal or external (subject to the limitations agreed to herein), and all reasonable and documented out-of-pocket attorneys’ fees, costs, expenses and disbursements incurred by Agent, (c) all actual costs and reasonable and documented out-of-pocket expenses (including the reasonable and documented out-of-pocket fees, expenses and disbursements of any appraisers, consultants, advisors and agents employed or retained by Agent and its counsel (subject to the limitations agreed to herein)) in connection with the custody or preservation of any of the Collateral, (d) all reasonable and documented out of pocket expenses incurred by Agent or any Lender (including the fees, charges and disbursements of any counsel for Agent or any Lender) in connection with review of the insurance policies maintained by the Loan Parties, limited to a maximum of one (1) review per Fiscal Year, and (e) all out-of-pocket expenses incurred by Agent or any Lender (including the fees, charges and disbursements of any counsel for Agent or any Lender), in connection with the enforcement, collection or protection of its rights (i) in connection with this Agreement and the other Loan Documents, including its rights under this Section, or (ii) in connection with the Term Loan made hereunder, including all such out of pocket expenses incurred during any or in connection with, of negotiation of, any refinancing or restructuring of the credit arrangements provided hereunder in the nature of a “work out” or pursuant to any insolvency or bankruptcy cases or proceedings, or any other proceeding under a Debtor Relief Law.</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20" w:type="dxa"/>
            <w:vAlign w:val="bottom"/>
            <w:tcBorders>
              <w:bottom w:val="single" w:sz="8" w:color="auto"/>
            </w:tcBorders>
          </w:tcPr>
          <w:p>
            <w:pPr>
              <w:jc w:val="right"/>
              <w:ind w:right="5350"/>
              <w:spacing w:after="0"/>
              <w:rPr>
                <w:sz w:val="20"/>
                <w:szCs w:val="20"/>
                <w:color w:val="auto"/>
              </w:rPr>
            </w:pPr>
            <w:r>
              <w:rPr>
                <w:rFonts w:ascii="Arial" w:cs="Arial" w:eastAsia="Arial" w:hAnsi="Arial"/>
                <w:sz w:val="18"/>
                <w:szCs w:val="18"/>
                <w:color w:val="auto"/>
              </w:rPr>
              <w:t>78</w:t>
            </w:r>
          </w:p>
        </w:tc>
      </w:tr>
    </w:tbl>
    <w:p>
      <w:pPr>
        <w:sectPr>
          <w:pgSz w:w="11900" w:h="16838" w:orient="portrait"/>
          <w:cols w:equalWidth="0" w:num="1">
            <w:col w:w="11240"/>
          </w:cols>
          <w:pgMar w:left="320" w:top="904" w:right="339" w:bottom="1440" w:gutter="0" w:footer="0" w:header="0"/>
        </w:sectPr>
      </w:pPr>
    </w:p>
    <w:bookmarkStart w:id="155" w:name="page156"/>
    <w:bookmarkEnd w:id="155"/>
    <w:p>
      <w:pPr>
        <w:jc w:val="both"/>
        <w:ind w:firstLine="656"/>
        <w:spacing w:after="0" w:line="268" w:lineRule="auto"/>
        <w:tabs>
          <w:tab w:leader="none" w:pos="916" w:val="left"/>
        </w:tabs>
        <w:numPr>
          <w:ilvl w:val="0"/>
          <w:numId w:val="145"/>
        </w:numPr>
        <w:rPr>
          <w:rFonts w:ascii="Arial" w:cs="Arial" w:eastAsia="Arial" w:hAnsi="Arial"/>
          <w:sz w:val="17"/>
          <w:szCs w:val="17"/>
          <w:color w:val="auto"/>
        </w:rPr>
      </w:pPr>
      <w:r>
        <w:rPr>
          <w:rFonts w:ascii="Arial" w:cs="Arial" w:eastAsia="Arial" w:hAnsi="Arial"/>
          <w:sz w:val="17"/>
          <w:szCs w:val="17"/>
          <w:u w:val="single" w:color="auto"/>
          <w:color w:val="auto"/>
        </w:rPr>
        <w:t>Indemnification by Borrower</w:t>
      </w:r>
      <w:r>
        <w:rPr>
          <w:rFonts w:ascii="Arial" w:cs="Arial" w:eastAsia="Arial" w:hAnsi="Arial"/>
          <w:sz w:val="17"/>
          <w:szCs w:val="17"/>
          <w:color w:val="auto"/>
        </w:rPr>
        <w:t xml:space="preserve">. Except as set forth in </w:t>
      </w:r>
      <w:r>
        <w:rPr>
          <w:rFonts w:ascii="Arial" w:cs="Arial" w:eastAsia="Arial" w:hAnsi="Arial"/>
          <w:sz w:val="17"/>
          <w:szCs w:val="17"/>
          <w:u w:val="single" w:color="auto"/>
          <w:color w:val="auto"/>
        </w:rPr>
        <w:t>Section 8.5(a)(i)</w:t>
      </w:r>
      <w:r>
        <w:rPr>
          <w:rFonts w:ascii="Arial" w:cs="Arial" w:eastAsia="Arial" w:hAnsi="Arial"/>
          <w:sz w:val="17"/>
          <w:szCs w:val="17"/>
          <w:color w:val="auto"/>
        </w:rPr>
        <w:t xml:space="preserve"> above, the Loan Parties, jointly and severally, shall indemnify Agent, each Lender and each Related Party of Agent and each Lender (each such Person being called an “</w:t>
      </w:r>
      <w:r>
        <w:rPr>
          <w:rFonts w:ascii="Arial" w:cs="Arial" w:eastAsia="Arial" w:hAnsi="Arial"/>
          <w:sz w:val="17"/>
          <w:szCs w:val="17"/>
          <w:b w:val="1"/>
          <w:bCs w:val="1"/>
          <w:i w:val="1"/>
          <w:iCs w:val="1"/>
          <w:color w:val="auto"/>
        </w:rPr>
        <w:t>Indemnitee</w:t>
      </w:r>
      <w:r>
        <w:rPr>
          <w:rFonts w:ascii="Arial" w:cs="Arial" w:eastAsia="Arial" w:hAnsi="Arial"/>
          <w:sz w:val="17"/>
          <w:szCs w:val="17"/>
          <w:color w:val="auto"/>
        </w:rPr>
        <w:t xml:space="preserve">”) against, and hold each Indemnitee harmless from, any and all losses, claims, damages, liabilities and related expenses (including the fees, charges and disbursements of any counsel for any Indemnitee), incurred by any Indemnitee or asserted against any Indemnitee by any Person (including Borrower or any other Loan Party), and in all cases, whether or not caused by or arising, in whole or in part, out of the comparative, contributory, or sole negligence of such Indemnitee,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(ii) the Term Loan or the use or proposed use of the proceeds therefrom, (iii) the SPAC Transaction, (iv) any actual or alleged presence or release of hazardous materials on or from any property owned or operated by any Loan Party, or any environmental liability related in any way to the Loan Parties, or (v) any actual or prospective claim, litigation, investigation or proceeding relating to any of the foregoing, whether based on contract, tort or any other theory, whether brought by a third party or by Borrower, any other Loan Party, and regardless of whether any Indemnitee is a party thereto; </w:t>
      </w:r>
      <w:r>
        <w:rPr>
          <w:rFonts w:ascii="Arial" w:cs="Arial" w:eastAsia="Arial" w:hAnsi="Arial"/>
          <w:sz w:val="17"/>
          <w:szCs w:val="17"/>
          <w:u w:val="single" w:color="auto"/>
          <w:color w:val="auto"/>
        </w:rPr>
        <w:t>provided</w:t>
      </w:r>
      <w:r>
        <w:rPr>
          <w:rFonts w:ascii="Arial" w:cs="Arial" w:eastAsia="Arial" w:hAnsi="Arial"/>
          <w:sz w:val="17"/>
          <w:szCs w:val="17"/>
          <w:color w:val="auto"/>
        </w:rPr>
        <w:t>, that such indemnity shall not, as to such Indemnitee, be available to the extent that such losses, claims, damages, liabilities or related expenses are determined by a court of competent jurisdiction by final and non-appealable judgment to have resulted from the gross negligence or willful misconduct of such Indemnitee.</w:t>
      </w:r>
    </w:p>
    <w:p>
      <w:pPr>
        <w:spacing w:after="0" w:line="184" w:lineRule="exact"/>
        <w:rPr>
          <w:rFonts w:ascii="Arial" w:cs="Arial" w:eastAsia="Arial" w:hAnsi="Arial"/>
          <w:sz w:val="17"/>
          <w:szCs w:val="17"/>
          <w:color w:val="auto"/>
        </w:rPr>
      </w:pPr>
    </w:p>
    <w:p>
      <w:pPr>
        <w:jc w:val="both"/>
        <w:ind w:firstLine="656"/>
        <w:spacing w:after="0" w:line="254" w:lineRule="auto"/>
        <w:tabs>
          <w:tab w:leader="none" w:pos="906" w:val="left"/>
        </w:tabs>
        <w:numPr>
          <w:ilvl w:val="0"/>
          <w:numId w:val="145"/>
        </w:numPr>
        <w:rPr>
          <w:rFonts w:ascii="Arial" w:cs="Arial" w:eastAsia="Arial" w:hAnsi="Arial"/>
          <w:sz w:val="18"/>
          <w:szCs w:val="18"/>
          <w:color w:val="auto"/>
        </w:rPr>
      </w:pPr>
      <w:r>
        <w:rPr>
          <w:rFonts w:ascii="Arial" w:cs="Arial" w:eastAsia="Arial" w:hAnsi="Arial"/>
          <w:sz w:val="18"/>
          <w:szCs w:val="18"/>
          <w:u w:val="single" w:color="auto"/>
          <w:color w:val="auto"/>
        </w:rPr>
        <w:t>Waiver of Consequential Damages, Etc</w:t>
      </w:r>
      <w:r>
        <w:rPr>
          <w:rFonts w:ascii="Arial" w:cs="Arial" w:eastAsia="Arial" w:hAnsi="Arial"/>
          <w:sz w:val="18"/>
          <w:szCs w:val="18"/>
          <w:color w:val="auto"/>
        </w:rPr>
        <w:t>. To the fullest extent permitted by applicable law, neither Borrower nor any other Loan Party shall assert, and hereby waives,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the Term Loan, or the use of the proceeds thereof. No Indemnitee referred to in paragraph (b) above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w:t>
      </w:r>
    </w:p>
    <w:p>
      <w:pPr>
        <w:spacing w:after="0" w:line="194" w:lineRule="exact"/>
        <w:rPr>
          <w:rFonts w:ascii="Arial" w:cs="Arial" w:eastAsia="Arial" w:hAnsi="Arial"/>
          <w:sz w:val="18"/>
          <w:szCs w:val="18"/>
          <w:color w:val="auto"/>
        </w:rPr>
      </w:pPr>
    </w:p>
    <w:p>
      <w:pPr>
        <w:ind w:left="920" w:hanging="264"/>
        <w:spacing w:after="0"/>
        <w:tabs>
          <w:tab w:leader="none" w:pos="920" w:val="left"/>
        </w:tabs>
        <w:numPr>
          <w:ilvl w:val="0"/>
          <w:numId w:val="145"/>
        </w:numPr>
        <w:rPr>
          <w:rFonts w:ascii="Arial" w:cs="Arial" w:eastAsia="Arial" w:hAnsi="Arial"/>
          <w:sz w:val="18"/>
          <w:szCs w:val="18"/>
          <w:color w:val="auto"/>
        </w:rPr>
      </w:pPr>
      <w:r>
        <w:rPr>
          <w:rFonts w:ascii="Arial" w:cs="Arial" w:eastAsia="Arial" w:hAnsi="Arial"/>
          <w:sz w:val="18"/>
          <w:szCs w:val="18"/>
          <w:u w:val="single" w:color="auto"/>
          <w:color w:val="auto"/>
        </w:rPr>
        <w:t>Payments</w:t>
      </w:r>
      <w:r>
        <w:rPr>
          <w:rFonts w:ascii="Arial" w:cs="Arial" w:eastAsia="Arial" w:hAnsi="Arial"/>
          <w:sz w:val="18"/>
          <w:szCs w:val="18"/>
          <w:color w:val="auto"/>
        </w:rPr>
        <w:t>. All amounts due under this Section shall be payable promptly after demand therefor.</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45"/>
        </w:numPr>
        <w:rPr>
          <w:rFonts w:ascii="Arial" w:cs="Arial" w:eastAsia="Arial" w:hAnsi="Arial"/>
          <w:sz w:val="17"/>
          <w:szCs w:val="17"/>
          <w:color w:val="auto"/>
        </w:rPr>
      </w:pPr>
      <w:r>
        <w:rPr>
          <w:rFonts w:ascii="Arial" w:cs="Arial" w:eastAsia="Arial" w:hAnsi="Arial"/>
          <w:sz w:val="17"/>
          <w:szCs w:val="17"/>
          <w:u w:val="single" w:color="auto"/>
          <w:color w:val="auto"/>
        </w:rPr>
        <w:t>Survival</w:t>
      </w:r>
      <w:r>
        <w:rPr>
          <w:rFonts w:ascii="Arial" w:cs="Arial" w:eastAsia="Arial" w:hAnsi="Arial"/>
          <w:sz w:val="17"/>
          <w:szCs w:val="17"/>
          <w:color w:val="auto"/>
        </w:rPr>
        <w:t>. Each party’s obligations under this Section shall survive the termination of the Loan Documents and payment of the Obligations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hereunder.</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20" w:type="dxa"/>
            <w:vAlign w:val="bottom"/>
            <w:tcBorders>
              <w:bottom w:val="single" w:sz="8" w:color="auto"/>
            </w:tcBorders>
          </w:tcPr>
          <w:p>
            <w:pPr>
              <w:jc w:val="right"/>
              <w:ind w:right="5350"/>
              <w:spacing w:after="0"/>
              <w:rPr>
                <w:sz w:val="20"/>
                <w:szCs w:val="20"/>
                <w:color w:val="auto"/>
              </w:rPr>
            </w:pPr>
            <w:r>
              <w:rPr>
                <w:rFonts w:ascii="Arial" w:cs="Arial" w:eastAsia="Arial" w:hAnsi="Arial"/>
                <w:sz w:val="18"/>
                <w:szCs w:val="18"/>
                <w:color w:val="auto"/>
              </w:rPr>
              <w:t>79</w:t>
            </w:r>
          </w:p>
        </w:tc>
      </w:tr>
    </w:tbl>
    <w:p>
      <w:pPr>
        <w:sectPr>
          <w:pgSz w:w="11900" w:h="16838" w:orient="portrait"/>
          <w:cols w:equalWidth="0" w:num="1">
            <w:col w:w="11240"/>
          </w:cols>
          <w:pgMar w:left="320" w:top="908" w:right="339" w:bottom="1440" w:gutter="0" w:footer="0" w:header="0"/>
        </w:sectPr>
      </w:pPr>
    </w:p>
    <w:bookmarkStart w:id="156" w:name="page157"/>
    <w:bookmarkEnd w:id="156"/>
    <w:p>
      <w:pPr>
        <w:ind w:left="660"/>
        <w:spacing w:after="0"/>
        <w:rPr>
          <w:sz w:val="20"/>
          <w:szCs w:val="20"/>
          <w:color w:val="auto"/>
        </w:rPr>
      </w:pPr>
      <w:r>
        <w:rPr>
          <w:rFonts w:ascii="Arial" w:cs="Arial" w:eastAsia="Arial" w:hAnsi="Arial"/>
          <w:sz w:val="18"/>
          <w:szCs w:val="18"/>
          <w:b w:val="1"/>
          <w:bCs w:val="1"/>
          <w:color w:val="auto"/>
        </w:rPr>
        <w:t>8.6 Successors and Assigns</w:t>
      </w:r>
      <w:r>
        <w:rPr>
          <w:rFonts w:ascii="Arial" w:cs="Arial" w:eastAsia="Arial" w:hAnsi="Arial"/>
          <w:sz w:val="18"/>
          <w:szCs w:val="18"/>
          <w:color w:val="auto"/>
        </w:rPr>
        <w:t>.</w:t>
      </w:r>
    </w:p>
    <w:p>
      <w:pPr>
        <w:spacing w:after="0" w:line="229" w:lineRule="exact"/>
        <w:rPr>
          <w:sz w:val="20"/>
          <w:szCs w:val="20"/>
          <w:color w:val="auto"/>
        </w:rPr>
      </w:pPr>
    </w:p>
    <w:p>
      <w:pPr>
        <w:jc w:val="both"/>
        <w:ind w:firstLine="656"/>
        <w:spacing w:after="0" w:line="285" w:lineRule="auto"/>
        <w:tabs>
          <w:tab w:leader="none" w:pos="892" w:val="left"/>
        </w:tabs>
        <w:numPr>
          <w:ilvl w:val="1"/>
          <w:numId w:val="146"/>
        </w:numPr>
        <w:rPr>
          <w:rFonts w:ascii="Arial" w:cs="Arial" w:eastAsia="Arial" w:hAnsi="Arial"/>
          <w:sz w:val="16"/>
          <w:szCs w:val="16"/>
          <w:color w:val="auto"/>
        </w:rPr>
      </w:pPr>
      <w:r>
        <w:rPr>
          <w:rFonts w:ascii="Arial" w:cs="Arial" w:eastAsia="Arial" w:hAnsi="Arial"/>
          <w:sz w:val="16"/>
          <w:szCs w:val="16"/>
          <w:color w:val="auto"/>
        </w:rPr>
        <w:t xml:space="preserve">The provisions of this Agreement shall be binding upon and inure to the benefit of the parties hereto and their respective successors and assigns permitted hereby, except that the Borrower and the other Loan Parties, as the case may be, may not assign or otherwise transfer any of its rights or obligations hereunder or under the applicable Loan Document without the prior written consent of Agent and Lenders in their sole discretion. Nothing in this Agreement or any other Loan Document, expressed or implied, shall be construed to confer upon any Person (other than the parties hereto or thereto, Indemnitees under </w:t>
      </w:r>
      <w:r>
        <w:rPr>
          <w:rFonts w:ascii="Arial" w:cs="Arial" w:eastAsia="Arial" w:hAnsi="Arial"/>
          <w:sz w:val="16"/>
          <w:szCs w:val="16"/>
          <w:u w:val="single" w:color="auto"/>
          <w:color w:val="auto"/>
        </w:rPr>
        <w:t>Section 8.5(b)</w:t>
      </w:r>
      <w:r>
        <w:rPr>
          <w:rFonts w:ascii="Arial" w:cs="Arial" w:eastAsia="Arial" w:hAnsi="Arial"/>
          <w:sz w:val="16"/>
          <w:szCs w:val="16"/>
          <w:color w:val="auto"/>
        </w:rPr>
        <w:t xml:space="preserve">, their respective successors and assigns permitted hereby or thereby and, to the extent expressly contemplated hereby or thereby, Affiliates of each of Agent and Lenders) any legal or equitable right, remedy or claim under or by reason of this Agreement or such other Loan Document. Upon notice to Agent, Lender shall have the right at any time to sell, assign or transfer all or a portion of its rights and obligations under this Agreement and the other Loan Documents to any other Person (other than (w) a natural Person, or a holding company, investment vehicle or trust for, or owned and operated for the primary benefit of, a natural Person, or (x) Borrower or any of Borrower’s Affiliates or another Loan Party, (y) so long as no Event of Default has occurred and is continuing, a direct competitor of Borrower as specifically identified in writing by the Borrower to the Agent at least five (5) Business Days prior to the date of the applicable sale, assignment, or transfer, or (z) so long as no Event of Default has occurred and is continuing, a vulture fund or distressed debt fund), including, without limitation, all or a portion of its Term Loan Commitment or the Term Loan owing to it or other Obligations;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 assignment pursuant to </w:t>
      </w:r>
      <w:r>
        <w:rPr>
          <w:rFonts w:ascii="Arial" w:cs="Arial" w:eastAsia="Arial" w:hAnsi="Arial"/>
          <w:sz w:val="16"/>
          <w:szCs w:val="16"/>
          <w:u w:val="single" w:color="auto"/>
          <w:color w:val="auto"/>
        </w:rPr>
        <w:t>Section 8.7</w:t>
      </w:r>
      <w:r>
        <w:rPr>
          <w:rFonts w:ascii="Arial" w:cs="Arial" w:eastAsia="Arial" w:hAnsi="Arial"/>
          <w:sz w:val="16"/>
          <w:szCs w:val="16"/>
          <w:color w:val="auto"/>
        </w:rPr>
        <w:t xml:space="preserve"> shall not require prior notice to Agent. Upon Agent’s receipt and acceptance of a duly executed and completed assignment agreement (in form and substance reasonably satisfactory to Agent), any forms, certificates or other evidence required by this Agreement in connection therewith, Agent shall record the information contained in such assignment agreement in the Register, shall give prompt notice thereof to Borrower and shall maintain a copy of such assignment agreement.</w:t>
      </w:r>
    </w:p>
    <w:p>
      <w:pPr>
        <w:spacing w:after="0" w:line="176" w:lineRule="exact"/>
        <w:rPr>
          <w:rFonts w:ascii="Arial" w:cs="Arial" w:eastAsia="Arial" w:hAnsi="Arial"/>
          <w:sz w:val="16"/>
          <w:szCs w:val="16"/>
          <w:color w:val="auto"/>
        </w:rPr>
      </w:pPr>
    </w:p>
    <w:p>
      <w:pPr>
        <w:jc w:val="both"/>
        <w:ind w:firstLine="656"/>
        <w:spacing w:after="0" w:line="273" w:lineRule="auto"/>
        <w:tabs>
          <w:tab w:leader="none" w:pos="916" w:val="left"/>
        </w:tabs>
        <w:numPr>
          <w:ilvl w:val="1"/>
          <w:numId w:val="146"/>
        </w:numPr>
        <w:rPr>
          <w:rFonts w:ascii="Arial" w:cs="Arial" w:eastAsia="Arial" w:hAnsi="Arial"/>
          <w:sz w:val="17"/>
          <w:szCs w:val="17"/>
          <w:color w:val="auto"/>
        </w:rPr>
      </w:pPr>
      <w:r>
        <w:rPr>
          <w:rFonts w:ascii="Arial" w:cs="Arial" w:eastAsia="Arial" w:hAnsi="Arial"/>
          <w:sz w:val="17"/>
          <w:szCs w:val="17"/>
          <w:u w:val="single" w:color="auto"/>
          <w:color w:val="auto"/>
        </w:rPr>
        <w:t>Register</w:t>
      </w:r>
      <w:r>
        <w:rPr>
          <w:rFonts w:ascii="Arial" w:cs="Arial" w:eastAsia="Arial" w:hAnsi="Arial"/>
          <w:sz w:val="17"/>
          <w:szCs w:val="17"/>
          <w:color w:val="auto"/>
        </w:rPr>
        <w:t>. Agent, acting solely for this purpose as an agent of Borrower, shall maintain at one of its offices a copy of each assignment and assumption delivered to it and a register for the recordation of the names and addresses of the Lenders, and the Term Loan Commitments of, and principal amounts (and stated interest) of the Term Loan owing to, each Lender pursuant to the terms hereof from time to time (the “</w:t>
      </w:r>
      <w:r>
        <w:rPr>
          <w:rFonts w:ascii="Arial" w:cs="Arial" w:eastAsia="Arial" w:hAnsi="Arial"/>
          <w:sz w:val="17"/>
          <w:szCs w:val="17"/>
          <w:b w:val="1"/>
          <w:bCs w:val="1"/>
          <w:i w:val="1"/>
          <w:iCs w:val="1"/>
          <w:color w:val="auto"/>
        </w:rPr>
        <w:t>Register</w:t>
      </w:r>
      <w:r>
        <w:rPr>
          <w:rFonts w:ascii="Arial" w:cs="Arial" w:eastAsia="Arial" w:hAnsi="Arial"/>
          <w:sz w:val="17"/>
          <w:szCs w:val="17"/>
          <w:color w:val="auto"/>
        </w:rPr>
        <w:t>”). The entries in the Register shall be conclusive absent manifest error, and Borrower, Agent and Lenders shall treat each Person whose name is recorded in the Register pursuant to the terms hereof as a Lender hereunder for all purposes of this Agreement. The Register shall be available for inspection by Borrower and any Lender, at any reasonable time and from time to time upon reasonable prior notice.</w:t>
      </w:r>
    </w:p>
    <w:p>
      <w:pPr>
        <w:spacing w:after="0" w:line="177" w:lineRule="exact"/>
        <w:rPr>
          <w:rFonts w:ascii="Arial" w:cs="Arial" w:eastAsia="Arial" w:hAnsi="Arial"/>
          <w:sz w:val="17"/>
          <w:szCs w:val="17"/>
          <w:color w:val="auto"/>
        </w:rPr>
      </w:pPr>
    </w:p>
    <w:p>
      <w:pPr>
        <w:jc w:val="both"/>
        <w:ind w:firstLine="656"/>
        <w:spacing w:after="0" w:line="286" w:lineRule="auto"/>
        <w:tabs>
          <w:tab w:leader="none" w:pos="892" w:val="left"/>
        </w:tabs>
        <w:numPr>
          <w:ilvl w:val="1"/>
          <w:numId w:val="146"/>
        </w:numPr>
        <w:rPr>
          <w:rFonts w:ascii="Arial" w:cs="Arial" w:eastAsia="Arial" w:hAnsi="Arial"/>
          <w:sz w:val="16"/>
          <w:szCs w:val="16"/>
          <w:color w:val="auto"/>
        </w:rPr>
      </w:pPr>
      <w:r>
        <w:rPr>
          <w:rFonts w:ascii="Arial" w:cs="Arial" w:eastAsia="Arial" w:hAnsi="Arial"/>
          <w:sz w:val="16"/>
          <w:szCs w:val="16"/>
          <w:u w:val="single" w:color="auto"/>
          <w:color w:val="auto"/>
        </w:rPr>
        <w:t>Participations</w:t>
      </w:r>
      <w:r>
        <w:rPr>
          <w:rFonts w:ascii="Arial" w:cs="Arial" w:eastAsia="Arial" w:hAnsi="Arial"/>
          <w:sz w:val="16"/>
          <w:szCs w:val="16"/>
          <w:color w:val="auto"/>
        </w:rPr>
        <w:t>. Any Lender may at any time, without the consent of, or notice to, Borrower or Agent, sell participations to any Person (other than a natural Person, or a holding company, investment vehicle or trust for, or owned and operated for the primary benefit of, a natural Person, or Borrower or any of Borrower’s Affiliates or another Loan Party) (each, a “</w:t>
      </w:r>
      <w:r>
        <w:rPr>
          <w:rFonts w:ascii="Arial" w:cs="Arial" w:eastAsia="Arial" w:hAnsi="Arial"/>
          <w:sz w:val="16"/>
          <w:szCs w:val="16"/>
          <w:b w:val="1"/>
          <w:bCs w:val="1"/>
          <w:i w:val="1"/>
          <w:iCs w:val="1"/>
          <w:color w:val="auto"/>
        </w:rPr>
        <w:t>Participant</w:t>
      </w:r>
      <w:r>
        <w:rPr>
          <w:rFonts w:ascii="Arial" w:cs="Arial" w:eastAsia="Arial" w:hAnsi="Arial"/>
          <w:sz w:val="16"/>
          <w:szCs w:val="16"/>
          <w:color w:val="auto"/>
        </w:rPr>
        <w:t xml:space="preserve">”) in all or a portion of such Lender’s rights and/or obligations under this Agreement and the other Loan Documents (including all or a portion of its Term Loan Commitment and/or the Term Loan owing to it); </w:t>
      </w:r>
      <w:r>
        <w:rPr>
          <w:rFonts w:ascii="Arial" w:cs="Arial" w:eastAsia="Arial" w:hAnsi="Arial"/>
          <w:sz w:val="16"/>
          <w:szCs w:val="16"/>
          <w:u w:val="single" w:color="auto"/>
          <w:color w:val="auto"/>
        </w:rPr>
        <w:t>provided</w:t>
      </w:r>
      <w:r>
        <w:rPr>
          <w:rFonts w:ascii="Arial" w:cs="Arial" w:eastAsia="Arial" w:hAnsi="Arial"/>
          <w:sz w:val="16"/>
          <w:szCs w:val="16"/>
          <w:color w:val="auto"/>
        </w:rPr>
        <w:t>, that</w:t>
      </w:r>
    </w:p>
    <w:p>
      <w:pPr>
        <w:spacing w:after="0" w:line="1" w:lineRule="exact"/>
        <w:rPr>
          <w:rFonts w:ascii="Arial" w:cs="Arial" w:eastAsia="Arial" w:hAnsi="Arial"/>
          <w:sz w:val="16"/>
          <w:szCs w:val="16"/>
          <w:color w:val="auto"/>
        </w:rPr>
      </w:pPr>
    </w:p>
    <w:p>
      <w:pPr>
        <w:jc w:val="both"/>
        <w:ind w:firstLine="8"/>
        <w:spacing w:after="0" w:line="295" w:lineRule="auto"/>
        <w:tabs>
          <w:tab w:leader="none" w:pos="216" w:val="left"/>
        </w:tabs>
        <w:numPr>
          <w:ilvl w:val="0"/>
          <w:numId w:val="147"/>
        </w:numPr>
        <w:rPr>
          <w:rFonts w:ascii="Arial" w:cs="Arial" w:eastAsia="Arial" w:hAnsi="Arial"/>
          <w:sz w:val="16"/>
          <w:szCs w:val="16"/>
          <w:color w:val="auto"/>
        </w:rPr>
      </w:pPr>
      <w:r>
        <w:rPr>
          <w:rFonts w:ascii="Arial" w:cs="Arial" w:eastAsia="Arial" w:hAnsi="Arial"/>
          <w:sz w:val="16"/>
          <w:szCs w:val="16"/>
          <w:color w:val="auto"/>
        </w:rPr>
        <w:t xml:space="preserve">such Lender’s obligations under this Agreement and the other Loan Documents shall remain unchanged, (ii) such Lender shall remain solely responsible to the other parties hereto for the performance of such obligations, and (iii) Borrower, Agent and Lenders shall continue to deal solely and directly with such Lender in connection with such Lender’s rights and obligations under this Agreement and the other Loan Documents. For the avoidance of doubt, each Lender shall be responsible for the indemnity under </w:t>
      </w:r>
      <w:r>
        <w:rPr>
          <w:rFonts w:ascii="Arial" w:cs="Arial" w:eastAsia="Arial" w:hAnsi="Arial"/>
          <w:sz w:val="16"/>
          <w:szCs w:val="16"/>
          <w:u w:val="single" w:color="auto"/>
          <w:color w:val="auto"/>
        </w:rPr>
        <w:t>Section 8.5(b)</w:t>
      </w:r>
      <w:r>
        <w:rPr>
          <w:rFonts w:ascii="Arial" w:cs="Arial" w:eastAsia="Arial" w:hAnsi="Arial"/>
          <w:sz w:val="16"/>
          <w:szCs w:val="16"/>
          <w:color w:val="auto"/>
        </w:rPr>
        <w:t xml:space="preserve"> with respect to any payments made by such Lender to its Participant(s).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20" w:type="dxa"/>
            <w:vAlign w:val="bottom"/>
            <w:tcBorders>
              <w:bottom w:val="single" w:sz="8" w:color="auto"/>
            </w:tcBorders>
          </w:tcPr>
          <w:p>
            <w:pPr>
              <w:jc w:val="right"/>
              <w:ind w:right="5350"/>
              <w:spacing w:after="0"/>
              <w:rPr>
                <w:sz w:val="20"/>
                <w:szCs w:val="20"/>
                <w:color w:val="auto"/>
              </w:rPr>
            </w:pPr>
            <w:r>
              <w:rPr>
                <w:rFonts w:ascii="Arial" w:cs="Arial" w:eastAsia="Arial" w:hAnsi="Arial"/>
                <w:sz w:val="18"/>
                <w:szCs w:val="18"/>
                <w:color w:val="auto"/>
              </w:rPr>
              <w:t>80</w:t>
            </w:r>
          </w:p>
        </w:tc>
      </w:tr>
    </w:tbl>
    <w:p>
      <w:pPr>
        <w:sectPr>
          <w:pgSz w:w="11900" w:h="16838" w:orient="portrait"/>
          <w:cols w:equalWidth="0" w:num="1">
            <w:col w:w="11240"/>
          </w:cols>
          <w:pgMar w:left="320" w:top="904" w:right="339" w:bottom="1440" w:gutter="0" w:footer="0" w:header="0"/>
        </w:sectPr>
      </w:pPr>
    </w:p>
    <w:bookmarkStart w:id="157" w:name="page158"/>
    <w:bookmarkEnd w:id="157"/>
    <w:p>
      <w:pPr>
        <w:jc w:val="both"/>
        <w:ind w:firstLine="656"/>
        <w:spacing w:after="0" w:line="290" w:lineRule="auto"/>
        <w:tabs>
          <w:tab w:leader="none" w:pos="903" w:val="left"/>
        </w:tabs>
        <w:numPr>
          <w:ilvl w:val="1"/>
          <w:numId w:val="148"/>
        </w:numPr>
        <w:rPr>
          <w:rFonts w:ascii="Arial" w:cs="Arial" w:eastAsia="Arial" w:hAnsi="Arial"/>
          <w:sz w:val="16"/>
          <w:szCs w:val="16"/>
          <w:color w:val="auto"/>
        </w:rPr>
      </w:pPr>
      <w:r>
        <w:rPr>
          <w:rFonts w:ascii="Arial" w:cs="Arial" w:eastAsia="Arial" w:hAnsi="Arial"/>
          <w:sz w:val="16"/>
          <w:szCs w:val="16"/>
          <w:u w:val="single" w:color="auto"/>
          <w:color w:val="auto"/>
        </w:rPr>
        <w:t>Participant Register</w:t>
      </w:r>
      <w:r>
        <w:rPr>
          <w:rFonts w:ascii="Arial" w:cs="Arial" w:eastAsia="Arial" w:hAnsi="Arial"/>
          <w:sz w:val="16"/>
          <w:szCs w:val="16"/>
          <w:color w:val="auto"/>
        </w:rPr>
        <w:t>. Each Lender that sells a participation shall, acting solely for this purpose as a non-fiduciary agent of Borrower, maintain a register on which it enters the name and address of each Participant and the principal amounts (and stated interest) of each Participant’s interest in the Term Loan or other obligations under the Loan Documents (the “</w:t>
      </w:r>
      <w:r>
        <w:rPr>
          <w:rFonts w:ascii="Arial" w:cs="Arial" w:eastAsia="Arial" w:hAnsi="Arial"/>
          <w:sz w:val="16"/>
          <w:szCs w:val="16"/>
          <w:b w:val="1"/>
          <w:bCs w:val="1"/>
          <w:i w:val="1"/>
          <w:iCs w:val="1"/>
          <w:color w:val="auto"/>
        </w:rPr>
        <w:t>Participant Register</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w:t>
      </w:r>
    </w:p>
    <w:p>
      <w:pPr>
        <w:spacing w:after="0" w:line="165" w:lineRule="exact"/>
        <w:rPr>
          <w:rFonts w:ascii="Arial" w:cs="Arial" w:eastAsia="Arial" w:hAnsi="Arial"/>
          <w:sz w:val="16"/>
          <w:szCs w:val="16"/>
          <w:color w:val="auto"/>
        </w:rPr>
      </w:pPr>
    </w:p>
    <w:p>
      <w:pPr>
        <w:jc w:val="both"/>
        <w:ind w:firstLine="656"/>
        <w:spacing w:after="0" w:line="285" w:lineRule="auto"/>
        <w:tabs>
          <w:tab w:leader="none" w:pos="906" w:val="left"/>
        </w:tabs>
        <w:numPr>
          <w:ilvl w:val="1"/>
          <w:numId w:val="148"/>
        </w:numPr>
        <w:rPr>
          <w:rFonts w:ascii="Arial" w:cs="Arial" w:eastAsia="Arial" w:hAnsi="Arial"/>
          <w:sz w:val="16"/>
          <w:szCs w:val="16"/>
          <w:color w:val="auto"/>
        </w:rPr>
      </w:pPr>
      <w:r>
        <w:rPr>
          <w:rFonts w:ascii="Arial" w:cs="Arial" w:eastAsia="Arial" w:hAnsi="Arial"/>
          <w:sz w:val="16"/>
          <w:szCs w:val="16"/>
          <w:u w:val="single" w:color="auto"/>
          <w:color w:val="auto"/>
        </w:rPr>
        <w:t>Retained Rights Following Sale of Participations</w:t>
      </w:r>
      <w:r>
        <w:rPr>
          <w:rFonts w:ascii="Arial" w:cs="Arial" w:eastAsia="Arial" w:hAnsi="Arial"/>
          <w:sz w:val="16"/>
          <w:szCs w:val="16"/>
          <w:color w:val="auto"/>
        </w:rPr>
        <w:t xml:space="preserve">. Any agreement or instrument pursuant to which a Lender sells such a participation shall provide that such Lender shall retain the sole right to enforce this Agreement and the other Loan Documents against the Loan Parties. Borrower agrees that each Participant shall be entitled to the benefits of </w:t>
      </w:r>
      <w:r>
        <w:rPr>
          <w:rFonts w:ascii="Arial" w:cs="Arial" w:eastAsia="Arial" w:hAnsi="Arial"/>
          <w:sz w:val="16"/>
          <w:szCs w:val="16"/>
          <w:u w:val="single" w:color="auto"/>
          <w:color w:val="auto"/>
        </w:rPr>
        <w:t>Section 2.8</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2.10</w:t>
      </w:r>
      <w:r>
        <w:rPr>
          <w:rFonts w:ascii="Arial" w:cs="Arial" w:eastAsia="Arial" w:hAnsi="Arial"/>
          <w:sz w:val="16"/>
          <w:szCs w:val="16"/>
          <w:color w:val="auto"/>
        </w:rPr>
        <w:t xml:space="preserve"> (subject to the requirements and limitations therein, including the requirements under </w:t>
      </w:r>
      <w:r>
        <w:rPr>
          <w:rFonts w:ascii="Arial" w:cs="Arial" w:eastAsia="Arial" w:hAnsi="Arial"/>
          <w:sz w:val="16"/>
          <w:szCs w:val="16"/>
          <w:u w:val="single" w:color="auto"/>
          <w:color w:val="auto"/>
        </w:rPr>
        <w:t>Section 2.8(g)</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8.6(a)(ii)</w:t>
      </w:r>
      <w:r>
        <w:rPr>
          <w:rFonts w:ascii="Arial" w:cs="Arial" w:eastAsia="Arial" w:hAnsi="Arial"/>
          <w:sz w:val="16"/>
          <w:szCs w:val="16"/>
          <w:color w:val="auto"/>
        </w:rPr>
        <w:t xml:space="preserve"> (it being understood that the documentation required under </w:t>
      </w:r>
      <w:r>
        <w:rPr>
          <w:rFonts w:ascii="Arial" w:cs="Arial" w:eastAsia="Arial" w:hAnsi="Arial"/>
          <w:sz w:val="16"/>
          <w:szCs w:val="16"/>
          <w:u w:val="single" w:color="auto"/>
          <w:color w:val="auto"/>
        </w:rPr>
        <w:t>Section 2.8(g)</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8.6(a)(ii)</w:t>
      </w:r>
      <w:r>
        <w:rPr>
          <w:rFonts w:ascii="Arial" w:cs="Arial" w:eastAsia="Arial" w:hAnsi="Arial"/>
          <w:sz w:val="16"/>
          <w:szCs w:val="16"/>
          <w:color w:val="auto"/>
        </w:rPr>
        <w:t xml:space="preserve"> shall be delivered to the participating Lender)) to the same extent as if it were a Lender and had acquired its interest by assignment pursuant to paragraph</w:t>
      </w:r>
    </w:p>
    <w:p>
      <w:pPr>
        <w:spacing w:after="0" w:line="1" w:lineRule="exact"/>
        <w:rPr>
          <w:rFonts w:ascii="Arial" w:cs="Arial" w:eastAsia="Arial" w:hAnsi="Arial"/>
          <w:sz w:val="16"/>
          <w:szCs w:val="16"/>
          <w:color w:val="auto"/>
        </w:rPr>
      </w:pPr>
    </w:p>
    <w:p>
      <w:pPr>
        <w:ind w:firstLine="8"/>
        <w:spacing w:after="0" w:line="260" w:lineRule="auto"/>
        <w:tabs>
          <w:tab w:leader="none" w:pos="245" w:val="left"/>
        </w:tabs>
        <w:numPr>
          <w:ilvl w:val="0"/>
          <w:numId w:val="149"/>
        </w:numPr>
        <w:rPr>
          <w:rFonts w:ascii="Arial" w:cs="Arial" w:eastAsia="Arial" w:hAnsi="Arial"/>
          <w:sz w:val="18"/>
          <w:szCs w:val="18"/>
          <w:u w:val="single" w:color="auto"/>
          <w:color w:val="auto"/>
        </w:rPr>
      </w:pPr>
      <w:r>
        <w:rPr>
          <w:rFonts w:ascii="Arial" w:cs="Arial" w:eastAsia="Arial" w:hAnsi="Arial"/>
          <w:sz w:val="18"/>
          <w:szCs w:val="18"/>
          <w:color w:val="auto"/>
        </w:rPr>
        <w:t xml:space="preserve">of this Section;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Participant shall not be entitled to receive any greater payment under </w:t>
      </w:r>
      <w:r>
        <w:rPr>
          <w:rFonts w:ascii="Arial" w:cs="Arial" w:eastAsia="Arial" w:hAnsi="Arial"/>
          <w:sz w:val="18"/>
          <w:szCs w:val="18"/>
          <w:u w:val="single" w:color="auto"/>
          <w:color w:val="auto"/>
        </w:rPr>
        <w:t>Section 2.8</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2.10</w:t>
      </w:r>
      <w:r>
        <w:rPr>
          <w:rFonts w:ascii="Arial" w:cs="Arial" w:eastAsia="Arial" w:hAnsi="Arial"/>
          <w:sz w:val="18"/>
          <w:szCs w:val="18"/>
          <w:color w:val="auto"/>
        </w:rPr>
        <w:t>, with respect to any participation, than its participating Lender would have been entitled to receive.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8.7 [Reserved]</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auto"/>
        </w:rPr>
        <w:t>8.8 Interest Rate Limitation</w:t>
      </w:r>
      <w:r>
        <w:rPr>
          <w:rFonts w:ascii="Arial" w:cs="Arial" w:eastAsia="Arial" w:hAnsi="Arial"/>
          <w:sz w:val="17"/>
          <w:szCs w:val="17"/>
          <w:color w:val="auto"/>
        </w:rPr>
        <w:t>. Notwithstanding anything to the contrary contained in any Loan Document, the interest paid or agreed to be paid</w:t>
      </w:r>
      <w:r>
        <w:rPr>
          <w:rFonts w:ascii="Arial" w:cs="Arial" w:eastAsia="Arial" w:hAnsi="Arial"/>
          <w:sz w:val="17"/>
          <w:szCs w:val="17"/>
          <w:b w:val="1"/>
          <w:bCs w:val="1"/>
          <w:color w:val="auto"/>
        </w:rPr>
        <w:t xml:space="preserve"> </w:t>
      </w:r>
      <w:r>
        <w:rPr>
          <w:rFonts w:ascii="Arial" w:cs="Arial" w:eastAsia="Arial" w:hAnsi="Arial"/>
          <w:sz w:val="17"/>
          <w:szCs w:val="17"/>
          <w:color w:val="auto"/>
        </w:rPr>
        <w:t>under the Loan Documents shall not exceed the maximum rate of non-usurious interest permitted by applicable Law (the “</w:t>
      </w:r>
      <w:r>
        <w:rPr>
          <w:rFonts w:ascii="Arial" w:cs="Arial" w:eastAsia="Arial" w:hAnsi="Arial"/>
          <w:sz w:val="17"/>
          <w:szCs w:val="17"/>
          <w:b w:val="1"/>
          <w:bCs w:val="1"/>
          <w:i w:val="1"/>
          <w:iCs w:val="1"/>
          <w:color w:val="auto"/>
        </w:rPr>
        <w:t>Maximum Rate</w:t>
      </w:r>
      <w:r>
        <w:rPr>
          <w:rFonts w:ascii="Arial" w:cs="Arial" w:eastAsia="Arial" w:hAnsi="Arial"/>
          <w:sz w:val="17"/>
          <w:szCs w:val="17"/>
          <w:color w:val="auto"/>
        </w:rPr>
        <w:t>”). If Lenders shall receive interest in an amount that exceeds the Maximum Rate, the excess interest shall be applied to the principal of the Term Loan or, if it exceeds such unpaid principal, refunded to Borrower. In determining whether the interest contracted for, charged, or received by any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20" w:type="dxa"/>
            <w:vAlign w:val="bottom"/>
            <w:tcBorders>
              <w:bottom w:val="single" w:sz="8" w:color="auto"/>
            </w:tcBorders>
          </w:tcPr>
          <w:p>
            <w:pPr>
              <w:jc w:val="right"/>
              <w:ind w:right="5350"/>
              <w:spacing w:after="0"/>
              <w:rPr>
                <w:sz w:val="20"/>
                <w:szCs w:val="20"/>
                <w:color w:val="auto"/>
              </w:rPr>
            </w:pPr>
            <w:r>
              <w:rPr>
                <w:rFonts w:ascii="Arial" w:cs="Arial" w:eastAsia="Arial" w:hAnsi="Arial"/>
                <w:sz w:val="18"/>
                <w:szCs w:val="18"/>
                <w:color w:val="auto"/>
              </w:rPr>
              <w:t>81</w:t>
            </w:r>
          </w:p>
        </w:tc>
      </w:tr>
    </w:tbl>
    <w:p>
      <w:pPr>
        <w:sectPr>
          <w:pgSz w:w="11900" w:h="16838" w:orient="portrait"/>
          <w:cols w:equalWidth="0" w:num="1">
            <w:col w:w="11240"/>
          </w:cols>
          <w:pgMar w:left="320" w:top="908" w:right="339" w:bottom="1440" w:gutter="0" w:footer="0" w:header="0"/>
        </w:sectPr>
      </w:pPr>
    </w:p>
    <w:bookmarkStart w:id="158" w:name="page159"/>
    <w:bookmarkEnd w:id="158"/>
    <w:p>
      <w:pPr>
        <w:jc w:val="both"/>
        <w:ind w:firstLine="648"/>
        <w:spacing w:after="0" w:line="288" w:lineRule="auto"/>
        <w:rPr>
          <w:sz w:val="20"/>
          <w:szCs w:val="20"/>
          <w:color w:val="auto"/>
        </w:rPr>
      </w:pPr>
      <w:r>
        <w:rPr>
          <w:rFonts w:ascii="Arial" w:cs="Arial" w:eastAsia="Arial" w:hAnsi="Arial"/>
          <w:sz w:val="16"/>
          <w:szCs w:val="16"/>
          <w:b w:val="1"/>
          <w:bCs w:val="1"/>
          <w:color w:val="auto"/>
        </w:rPr>
        <w:t>8.9 Counterparts</w:t>
      </w:r>
      <w:r>
        <w:rPr>
          <w:rFonts w:ascii="Arial" w:cs="Arial" w:eastAsia="Arial" w:hAnsi="Arial"/>
          <w:sz w:val="16"/>
          <w:szCs w:val="16"/>
          <w:color w:val="auto"/>
        </w:rPr>
        <w:t>. This Agreement may be executed in any number of duplicate originals, and each duplicate original shall be deemed to be an</w:t>
      </w:r>
      <w:r>
        <w:rPr>
          <w:rFonts w:ascii="Arial" w:cs="Arial" w:eastAsia="Arial" w:hAnsi="Arial"/>
          <w:sz w:val="16"/>
          <w:szCs w:val="16"/>
          <w:b w:val="1"/>
          <w:bCs w:val="1"/>
          <w:color w:val="auto"/>
        </w:rPr>
        <w:t xml:space="preserve"> </w:t>
      </w:r>
      <w:r>
        <w:rPr>
          <w:rFonts w:ascii="Arial" w:cs="Arial" w:eastAsia="Arial" w:hAnsi="Arial"/>
          <w:sz w:val="16"/>
          <w:szCs w:val="16"/>
          <w:color w:val="auto"/>
        </w:rPr>
        <w:t>original. This Agreement (and each duplicate original) also may be executed in any number of counterparts, each of which shall be deemed an original and all of which together constitute a fully executed Agreement even though all signatures do not appear on the same counterpart. Receipt of an executed signature page to this Agreement by portable document format (.pdf) attachment to an email, other electronic transmission or as any electronic signature complying with the U.S. federal ESIGN Act of 2000 or the New York Electronic Signature and Records Act or any other similar state Laws based on the Uniform Electronic Transactions Act or other transmission method and any counterpart so delivered shall be deemed to have been duly and validly delivered and electronic signatures or the keeping of records in electronic form shall be valid and effective for all purposes to the fullest extent permitted by applicable law. For the avoidance of doubt, the foregoing also applies to any amendment, extension or renewal of this Agreement. Each of the parties hereto hereby represents and warrants to the other parties hereto that it has the corporation or limited liability capacity and authority to execute this Agreement through electronic means and there are no restrictions for doing so in such party’s constitutive documents, including having the same legal effect, validity or enforceability as a manually executed signature or the use of a paper-based recordkeeping system.</w:t>
      </w:r>
    </w:p>
    <w:p>
      <w:pPr>
        <w:spacing w:after="0" w:line="16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8.10 Severability</w:t>
      </w:r>
      <w:r>
        <w:rPr>
          <w:rFonts w:ascii="Arial" w:cs="Arial" w:eastAsia="Arial" w:hAnsi="Arial"/>
          <w:sz w:val="18"/>
          <w:szCs w:val="18"/>
          <w:color w:val="auto"/>
        </w:rPr>
        <w:t>. Any provision of this Agreement that is prohibited or unenforceable in any jurisdiction shall, as to such jurisdiction, be</w:t>
      </w:r>
      <w:r>
        <w:rPr>
          <w:rFonts w:ascii="Arial" w:cs="Arial" w:eastAsia="Arial" w:hAnsi="Arial"/>
          <w:sz w:val="18"/>
          <w:szCs w:val="18"/>
          <w:b w:val="1"/>
          <w:bCs w:val="1"/>
          <w:color w:val="auto"/>
        </w:rPr>
        <w:t xml:space="preserve"> </w:t>
      </w:r>
      <w:r>
        <w:rPr>
          <w:rFonts w:ascii="Arial" w:cs="Arial" w:eastAsia="Arial" w:hAnsi="Arial"/>
          <w:sz w:val="18"/>
          <w:szCs w:val="18"/>
          <w:color w:val="auto"/>
        </w:rPr>
        <w:t>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76"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b w:val="1"/>
          <w:bCs w:val="1"/>
          <w:color w:val="auto"/>
        </w:rPr>
        <w:t>8.11 Integration; Headings</w:t>
      </w:r>
      <w:r>
        <w:rPr>
          <w:rFonts w:ascii="Arial" w:cs="Arial" w:eastAsia="Arial" w:hAnsi="Arial"/>
          <w:sz w:val="16"/>
          <w:szCs w:val="16"/>
          <w:color w:val="auto"/>
        </w:rPr>
        <w:t>. This Agreement and the other Loan Documents represent the entire agreement of Borrower, the other Loan Parties,</w:t>
      </w:r>
      <w:r>
        <w:rPr>
          <w:rFonts w:ascii="Arial" w:cs="Arial" w:eastAsia="Arial" w:hAnsi="Arial"/>
          <w:sz w:val="16"/>
          <w:szCs w:val="16"/>
          <w:b w:val="1"/>
          <w:bCs w:val="1"/>
          <w:color w:val="auto"/>
        </w:rPr>
        <w:t xml:space="preserve"> </w:t>
      </w:r>
      <w:r>
        <w:rPr>
          <w:rFonts w:ascii="Arial" w:cs="Arial" w:eastAsia="Arial" w:hAnsi="Arial"/>
          <w:sz w:val="16"/>
          <w:szCs w:val="16"/>
          <w:color w:val="auto"/>
        </w:rPr>
        <w:t>Agent and Lenders with respect to the subject matter hereof and thereof, and there are no promises, undertakings, representations or warranties by relative to the subject matter hereof not expressly set forth or referred to herein or in the other Loan Documents. The headings of subdivisions in this Agreement are for convenience of reference only, and shall not govern the interpretation of any of the provisions of this Agreement.</w:t>
      </w:r>
    </w:p>
    <w:p>
      <w:pPr>
        <w:spacing w:after="0" w:line="15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8.12 GOVERNING LAW. THIS AGREEMENT AND THE RIGHTS AND OBLIGATIONS OF THE PARTIES UNDER THIS AGREEMENT SHALL BE GOVERNED BY, AND CONSTRUED AND INTERPRETED IN ACCORDANCE WITH, THE LAW OF THE STATE OF NEW YORK WITHOUT REGARD TO CONFLICT OF LAWS PRINCIPLES (OTHER THAN SECTIONS 5-1401 AND 5-1402 OF THE NEW YORK GENERAL OBLIGATIONS LAW) THEREOF.</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8.13 Submission to Jurisdiction; Waivers</w:t>
      </w:r>
      <w:r>
        <w:rPr>
          <w:rFonts w:ascii="Arial" w:cs="Arial" w:eastAsia="Arial" w:hAnsi="Arial"/>
          <w:sz w:val="18"/>
          <w:szCs w:val="18"/>
          <w:color w:val="auto"/>
        </w:rPr>
        <w:t>. The parties hereto hereby irrevocably and unconditionally:</w:t>
      </w:r>
    </w:p>
    <w:p>
      <w:pPr>
        <w:spacing w:after="0" w:line="229" w:lineRule="exact"/>
        <w:rPr>
          <w:sz w:val="20"/>
          <w:szCs w:val="20"/>
          <w:color w:val="auto"/>
        </w:rPr>
      </w:pPr>
    </w:p>
    <w:p>
      <w:pPr>
        <w:jc w:val="both"/>
        <w:ind w:firstLine="656"/>
        <w:spacing w:after="0" w:line="289" w:lineRule="auto"/>
        <w:tabs>
          <w:tab w:leader="none" w:pos="902" w:val="left"/>
        </w:tabs>
        <w:numPr>
          <w:ilvl w:val="0"/>
          <w:numId w:val="150"/>
        </w:numPr>
        <w:rPr>
          <w:rFonts w:ascii="Arial" w:cs="Arial" w:eastAsia="Arial" w:hAnsi="Arial"/>
          <w:sz w:val="16"/>
          <w:szCs w:val="16"/>
          <w:color w:val="auto"/>
        </w:rPr>
      </w:pPr>
      <w:r>
        <w:rPr>
          <w:rFonts w:ascii="Arial" w:cs="Arial" w:eastAsia="Arial" w:hAnsi="Arial"/>
          <w:sz w:val="16"/>
          <w:szCs w:val="16"/>
          <w:color w:val="auto"/>
        </w:rPr>
        <w:t xml:space="preserve">submit to the exclusive jurisdiction of the State and Federal courts in New York County, New York;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nothing in this Agreement shall be deemed to operate to preclude Agent from bringing suit or taking other legal action in any other jurisdiction to realize on the Collateral or any other security for the Obligations, or to enforce a judgment or other court order in favor of Agent or the Lenders. Each party hereto expressly submits and consents in advance to such jurisdiction in any action or suit commenced in any such court, and each party hereto hereby waives any objection that it may have based upon lack of personal jurisdiction, improper venue, or forum non-conveniens and hereby consents to the granting of such legal or equitable relief as is deemed appropriate by such court. Each party hereto hereby waives personal service of the summons, complaints, and other process issued in such action or suit and agrees that service of such summons, complaints, and other process may be made by registered or certified mail addressed to such party at the addresses set forth in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of this Agreement and that service so made shall be deemed completed upon the earlier to occur of such party’s actual receipt thereof or three (3) days after deposit in the U.S. mails, proper postage prepaid; and</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20" w:type="dxa"/>
            <w:vAlign w:val="bottom"/>
            <w:tcBorders>
              <w:bottom w:val="single" w:sz="8" w:color="auto"/>
            </w:tcBorders>
          </w:tcPr>
          <w:p>
            <w:pPr>
              <w:jc w:val="right"/>
              <w:ind w:right="5350"/>
              <w:spacing w:after="0"/>
              <w:rPr>
                <w:sz w:val="20"/>
                <w:szCs w:val="20"/>
                <w:color w:val="auto"/>
              </w:rPr>
            </w:pPr>
            <w:r>
              <w:rPr>
                <w:rFonts w:ascii="Arial" w:cs="Arial" w:eastAsia="Arial" w:hAnsi="Arial"/>
                <w:sz w:val="18"/>
                <w:szCs w:val="18"/>
                <w:color w:val="auto"/>
              </w:rPr>
              <w:t>82</w:t>
            </w:r>
          </w:p>
        </w:tc>
      </w:tr>
    </w:tbl>
    <w:p>
      <w:pPr>
        <w:sectPr>
          <w:pgSz w:w="11900" w:h="16838" w:orient="portrait"/>
          <w:cols w:equalWidth="0" w:num="1">
            <w:col w:w="11240"/>
          </w:cols>
          <w:pgMar w:left="320" w:top="904" w:right="339" w:bottom="1440" w:gutter="0" w:footer="0" w:header="0"/>
        </w:sectPr>
      </w:pPr>
    </w:p>
    <w:bookmarkStart w:id="159" w:name="page160"/>
    <w:bookmarkEnd w:id="159"/>
    <w:p>
      <w:pPr>
        <w:jc w:val="both"/>
        <w:ind w:firstLine="656"/>
        <w:spacing w:after="0" w:line="258" w:lineRule="auto"/>
        <w:tabs>
          <w:tab w:leader="none" w:pos="916" w:val="left"/>
        </w:tabs>
        <w:numPr>
          <w:ilvl w:val="0"/>
          <w:numId w:val="151"/>
        </w:numPr>
        <w:rPr>
          <w:rFonts w:ascii="Arial" w:cs="Arial" w:eastAsia="Arial" w:hAnsi="Arial"/>
          <w:sz w:val="18"/>
          <w:szCs w:val="18"/>
          <w:color w:val="auto"/>
        </w:rPr>
      </w:pPr>
      <w:r>
        <w:rPr>
          <w:rFonts w:ascii="Arial" w:cs="Arial" w:eastAsia="Arial" w:hAnsi="Arial"/>
          <w:sz w:val="18"/>
          <w:szCs w:val="18"/>
          <w:b w:val="1"/>
          <w:bCs w:val="1"/>
          <w:color w:val="auto"/>
        </w:rPr>
        <w:t>WAIVE, TO THE EXTENT PERMITTED BY APPLICABLE LAW, THEIR RESPECTIVE RIGHT TO A JURY TRIAL OF ANY CLAIM OR CAUSE OF ACTION ARISING OUT OF OR BASED UPON THIS AGREEMENT, THE OTHER LOAN DOCUMENTS OR ANY CONTEMPLATED TRANSACTION, INCLUDING CONTRACT, TORT, BREACH OF DUTY AND ALL OTHER CLAIMS. THIS WAIVER IS A MATERIAL INDUCEMENT FOR THE PARTIES TO ENTER INTO THIS AGREEMENT. EACH PARTY HAS REVIEWED THIS WAIVER WITH ITS COUNSEL</w:t>
      </w:r>
      <w:r>
        <w:rPr>
          <w:rFonts w:ascii="Arial" w:cs="Arial" w:eastAsia="Arial" w:hAnsi="Arial"/>
          <w:sz w:val="18"/>
          <w:szCs w:val="18"/>
          <w:color w:val="auto"/>
        </w:rPr>
        <w:t>.</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8.14 Acknowledgements</w:t>
      </w:r>
      <w:r>
        <w:rPr>
          <w:rFonts w:ascii="Arial" w:cs="Arial" w:eastAsia="Arial" w:hAnsi="Arial"/>
          <w:sz w:val="18"/>
          <w:szCs w:val="18"/>
          <w:color w:val="auto"/>
        </w:rPr>
        <w:t>. Each Loan Party hereby acknowledges that:</w:t>
      </w:r>
    </w:p>
    <w:p>
      <w:pPr>
        <w:spacing w:after="0" w:line="229" w:lineRule="exact"/>
        <w:rPr>
          <w:sz w:val="20"/>
          <w:szCs w:val="20"/>
          <w:color w:val="auto"/>
        </w:rPr>
      </w:pPr>
    </w:p>
    <w:p>
      <w:pPr>
        <w:ind w:left="900" w:hanging="244"/>
        <w:spacing w:after="0"/>
        <w:tabs>
          <w:tab w:leader="none" w:pos="9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it has been advised by counsel in the negotiation, execution and delivery of this Agreement and the other Loan Documents;</w:t>
      </w:r>
    </w:p>
    <w:p>
      <w:pPr>
        <w:spacing w:after="0" w:line="225" w:lineRule="exact"/>
        <w:rPr>
          <w:rFonts w:ascii="Arial" w:cs="Arial" w:eastAsia="Arial" w:hAnsi="Arial"/>
          <w:sz w:val="18"/>
          <w:szCs w:val="18"/>
          <w:color w:val="auto"/>
        </w:rPr>
      </w:pPr>
    </w:p>
    <w:p>
      <w:pPr>
        <w:jc w:val="both"/>
        <w:ind w:right="20" w:firstLine="656"/>
        <w:spacing w:after="0" w:line="263" w:lineRule="auto"/>
        <w:tabs>
          <w:tab w:leader="none" w:pos="916" w:val="left"/>
        </w:tabs>
        <w:numPr>
          <w:ilvl w:val="0"/>
          <w:numId w:val="152"/>
        </w:numPr>
        <w:rPr>
          <w:rFonts w:ascii="Arial" w:cs="Arial" w:eastAsia="Arial" w:hAnsi="Arial"/>
          <w:sz w:val="18"/>
          <w:szCs w:val="18"/>
          <w:color w:val="auto"/>
        </w:rPr>
      </w:pPr>
      <w:r>
        <w:rPr>
          <w:rFonts w:ascii="Arial" w:cs="Arial" w:eastAsia="Arial" w:hAnsi="Arial"/>
          <w:sz w:val="18"/>
          <w:szCs w:val="18"/>
          <w:color w:val="auto"/>
        </w:rPr>
        <w:t>neither Agent nor any Lender has any fiduciary relationship with or duty to Borrower, any other Loan Party arising out of or in connection with this Agreement or any of the other Loan Documents, and the relationship between Agent and Lenders, on one hand, and Borrower, and any other Loan Party, on the other hand, in connection herewith or therewith is solely that of debtor and creditor; and</w:t>
      </w:r>
    </w:p>
    <w:p>
      <w:pPr>
        <w:spacing w:after="0" w:line="183" w:lineRule="exact"/>
        <w:rPr>
          <w:rFonts w:ascii="Arial" w:cs="Arial" w:eastAsia="Arial" w:hAnsi="Arial"/>
          <w:sz w:val="18"/>
          <w:szCs w:val="18"/>
          <w:color w:val="auto"/>
        </w:rPr>
      </w:pPr>
    </w:p>
    <w:p>
      <w:pPr>
        <w:ind w:firstLine="656"/>
        <w:spacing w:after="0" w:line="277" w:lineRule="auto"/>
        <w:tabs>
          <w:tab w:leader="none" w:pos="906" w:val="left"/>
        </w:tabs>
        <w:numPr>
          <w:ilvl w:val="0"/>
          <w:numId w:val="152"/>
        </w:numPr>
        <w:rPr>
          <w:rFonts w:ascii="Arial" w:cs="Arial" w:eastAsia="Arial" w:hAnsi="Arial"/>
          <w:sz w:val="18"/>
          <w:szCs w:val="18"/>
          <w:color w:val="auto"/>
        </w:rPr>
      </w:pPr>
      <w:r>
        <w:rPr>
          <w:rFonts w:ascii="Arial" w:cs="Arial" w:eastAsia="Arial" w:hAnsi="Arial"/>
          <w:sz w:val="18"/>
          <w:szCs w:val="18"/>
          <w:color w:val="auto"/>
        </w:rPr>
        <w:t>no joint venture is created hereby or by the other Loan Documents or otherwise exists by virtue of the transactions contemplated hereby between Agent, Lenders, Borrower or any other Loan Party.</w:t>
      </w:r>
    </w:p>
    <w:p>
      <w:pPr>
        <w:spacing w:after="0" w:line="166"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b w:val="1"/>
          <w:bCs w:val="1"/>
          <w:color w:val="auto"/>
        </w:rPr>
        <w:t>8.15 Treatment of Certain Information; Confidentiality</w:t>
      </w:r>
      <w:r>
        <w:rPr>
          <w:rFonts w:ascii="Arial" w:cs="Arial" w:eastAsia="Arial" w:hAnsi="Arial"/>
          <w:sz w:val="16"/>
          <w:szCs w:val="16"/>
          <w:color w:val="auto"/>
        </w:rPr>
        <w:t>. Agent and each Lender agrees to use commercially reasonable efforts to maintain the</w:t>
      </w:r>
      <w:r>
        <w:rPr>
          <w:rFonts w:ascii="Arial" w:cs="Arial" w:eastAsia="Arial" w:hAnsi="Arial"/>
          <w:sz w:val="16"/>
          <w:szCs w:val="16"/>
          <w:b w:val="1"/>
          <w:bCs w:val="1"/>
          <w:color w:val="auto"/>
        </w:rPr>
        <w:t xml:space="preserve"> </w:t>
      </w:r>
      <w:r>
        <w:rPr>
          <w:rFonts w:ascii="Arial" w:cs="Arial" w:eastAsia="Arial" w:hAnsi="Arial"/>
          <w:sz w:val="16"/>
          <w:szCs w:val="16"/>
          <w:color w:val="auto"/>
        </w:rPr>
        <w:t>confidentiality of the Information (as defined below), except that Information may be disclosed (a) to its Affiliates and to its Related Parties and its fund investors or shareholders (as potential investors and shareholders), and to its lenders, funding or financing sources (it being understood that the Persons to whom such disclosure is made are informed of the confidential nature of such Information and instructed to keep such Information confidential); (b) to the extent required or requested by any regulatory authority purporting to have jurisdiction over such Person or its Related Parties; (c) to the extent required by applicable Laws or regulations or by any subpoena or similar legal process, upon the request or demand of any Governmental Authority, in response to any order of any court or other Governmental Authority or as may otherwise be required pursuant to any Requirement of Law or if requested or required to do so in connection with any litigation or similar proceeding (provided that such party will use commercially reasonable efforts to give Borrower prior notice to the extent not prohibited); (d) to any other party hereto; (e) in connection with the exercise of any remedies hereunder or under any other Loan Document or any action or proceeding relating to this Agreement or any other Loan Document or the enforcement of rights hereunder or thereunder; (f) on a confidential basis to any rating agency in connection with rating a Loan Party or the Obligations; (g) with the consent of Borrower; (h) to any Person to whom a Lender offers or proposes to offer to sell, assign or transfer the Term Loan, the Term Loan Commitment or any part thereof or any interest or participation therein (it being understood that the Persons to whom such disclosure is made will be informed of the confidential nature of such Information and instructed to keep such Information confidential) or (i) to the extent such Information (x) becomes publicly available other than as a result of a breach of this Section, or (y) becomes available to Agent, a Lender or its Affiliates on a non-confidential basis from a source other than a Loan Party. Notwithstanding anything herein to the contrary, any party to this Agreement (and any employee, representative, or other agent of any party to this Agreement) may disclose to any and all persons, without limitation of any kind, the tax treatment and tax structure of the transactions contemplated by this Agreement and all materials of any kind (including opinions or other tax analyses) that are provided to it relating to such tax treatment and tax structure. However, any such information relating to the tax treatment or tax structure is required to be kept confidential to the extent necessary to comply with any applicable federal or state securities Laws. For purposes of this Section, “</w:t>
      </w:r>
      <w:r>
        <w:rPr>
          <w:rFonts w:ascii="Arial" w:cs="Arial" w:eastAsia="Arial" w:hAnsi="Arial"/>
          <w:sz w:val="16"/>
          <w:szCs w:val="16"/>
          <w:b w:val="1"/>
          <w:bCs w:val="1"/>
          <w:i w:val="1"/>
          <w:iCs w:val="1"/>
          <w:color w:val="auto"/>
        </w:rPr>
        <w:t>Information</w:t>
      </w:r>
      <w:r>
        <w:rPr>
          <w:rFonts w:ascii="Arial" w:cs="Arial" w:eastAsia="Arial" w:hAnsi="Arial"/>
          <w:sz w:val="16"/>
          <w:szCs w:val="16"/>
          <w:color w:val="auto"/>
        </w:rPr>
        <w:t>” means all information received from the Loan Parties relating to the Loan Parties or any of their respective businesses, other than any such information that is available to Agent or Lenders on a non-confidential basis prior to disclosure by such Loan Party; provided, that, in the case of information received from the Loan Parties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 which degree of care is no less than a reasonable degree of care.</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20" w:type="dxa"/>
            <w:vAlign w:val="bottom"/>
            <w:tcBorders>
              <w:bottom w:val="single" w:sz="8" w:color="auto"/>
            </w:tcBorders>
          </w:tcPr>
          <w:p>
            <w:pPr>
              <w:jc w:val="right"/>
              <w:ind w:right="5350"/>
              <w:spacing w:after="0"/>
              <w:rPr>
                <w:sz w:val="20"/>
                <w:szCs w:val="20"/>
                <w:color w:val="auto"/>
              </w:rPr>
            </w:pPr>
            <w:r>
              <w:rPr>
                <w:rFonts w:ascii="Arial" w:cs="Arial" w:eastAsia="Arial" w:hAnsi="Arial"/>
                <w:sz w:val="18"/>
                <w:szCs w:val="18"/>
                <w:color w:val="auto"/>
              </w:rPr>
              <w:t>83</w:t>
            </w:r>
          </w:p>
        </w:tc>
      </w:tr>
    </w:tbl>
    <w:p>
      <w:pPr>
        <w:sectPr>
          <w:pgSz w:w="11900" w:h="16838" w:orient="portrait"/>
          <w:cols w:equalWidth="0" w:num="1">
            <w:col w:w="11240"/>
          </w:cols>
          <w:pgMar w:left="320" w:top="904" w:right="339" w:bottom="1440" w:gutter="0" w:footer="0" w:header="0"/>
        </w:sectPr>
      </w:pPr>
    </w:p>
    <w:bookmarkStart w:id="160" w:name="page161"/>
    <w:bookmarkEnd w:id="160"/>
    <w:p>
      <w:pPr>
        <w:jc w:val="both"/>
        <w:ind w:firstLine="648"/>
        <w:spacing w:after="0" w:line="277" w:lineRule="auto"/>
        <w:rPr>
          <w:sz w:val="20"/>
          <w:szCs w:val="20"/>
          <w:color w:val="auto"/>
        </w:rPr>
      </w:pPr>
      <w:r>
        <w:rPr>
          <w:rFonts w:ascii="Arial" w:cs="Arial" w:eastAsia="Arial" w:hAnsi="Arial"/>
          <w:sz w:val="17"/>
          <w:szCs w:val="17"/>
          <w:b w:val="1"/>
          <w:bCs w:val="1"/>
          <w:color w:val="auto"/>
        </w:rPr>
        <w:t>8.16 Beneficial Ownership Regulation; Patriot Act</w:t>
      </w:r>
      <w:r>
        <w:rPr>
          <w:rFonts w:ascii="Arial" w:cs="Arial" w:eastAsia="Arial" w:hAnsi="Arial"/>
          <w:sz w:val="17"/>
          <w:szCs w:val="17"/>
          <w:color w:val="auto"/>
        </w:rPr>
        <w:t>. Agent and Lenders hereby notifies each Loan Party that, pursuant to the requirements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Patriot Act, it is required to obtain, verify and record information that identifies such Person, which information includes the names and addresses and other information that will allow Agent or such Lender to identify such Loan Party in accordance with the Patriot Act. Each Loan Party will provide, to the extent required by any Requirement of Law, such information and take such actions as are reasonably requested by Agent or a Lender to assist Agent or such Lender in maintaining compliance with the Patriot Act and the Beneficial Ownership Regulation.</w:t>
      </w:r>
    </w:p>
    <w:p>
      <w:pPr>
        <w:spacing w:after="0" w:line="16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8.17 Marshalling; Setoff</w:t>
      </w:r>
      <w:r>
        <w:rPr>
          <w:rFonts w:ascii="Arial" w:cs="Arial" w:eastAsia="Arial" w:hAnsi="Arial"/>
          <w:sz w:val="17"/>
          <w:szCs w:val="17"/>
          <w:color w:val="auto"/>
        </w:rPr>
        <w:t>. Neither any Agent nor any Lender shall be under any obligation to marshal any assets in favor of any Loan Party or any</w:t>
      </w:r>
      <w:r>
        <w:rPr>
          <w:rFonts w:ascii="Arial" w:cs="Arial" w:eastAsia="Arial" w:hAnsi="Arial"/>
          <w:sz w:val="17"/>
          <w:szCs w:val="17"/>
          <w:b w:val="1"/>
          <w:bCs w:val="1"/>
          <w:color w:val="auto"/>
        </w:rPr>
        <w:t xml:space="preserve"> </w:t>
      </w:r>
      <w:r>
        <w:rPr>
          <w:rFonts w:ascii="Arial" w:cs="Arial" w:eastAsia="Arial" w:hAnsi="Arial"/>
          <w:sz w:val="17"/>
          <w:szCs w:val="17"/>
          <w:color w:val="auto"/>
        </w:rPr>
        <w:t>other Person or against or in payment of any or all of the Obligations. Each Loan Party grants to Agent and each Lender a continuing Lien, security interest and right of setoff as security for all liabilities and obligations to Agent or such Lender arising under or relating to the Obligations, whether now existing or hereafter arising, upon and against all deposits, credits, collateral and property of such Loan Party, and any other accounts established hereunder for the deposit of cash collateral in order to secure the Obligations, now or hereafter in the possession, custody, safekeeping or control of Agent or such Lender or any entity under the control of Agent or such Lender, and their successors and assigns or in transit to any of them. At any time while an Event of Default exists, without demand or notice (any such notice being expressly waived by such Loan Party), Agent or such Lender may set-off the same or any part thereof and apply the same to any liability or obligation of such Loan Party even though unmatured and regardless of the adequacy of any other Collateral securing the Obligations. ANY AND ALL RIGHTS TO REQUIRE AGENT OR ANY LENDER TO EXERCISE ITS RIGHTS OR REMEDIES WITH RESPECT TO ANY OTHER COLLATERAL WHICH SECURES THE OBLIGATIONS, PRIOR TO EXERCISING ITS RIGHTS OF SETOFF WITH RESPECT TO SUCH DEPOSITS, CREDITS OR OTHER PROPERTY OF THE BORROWER ARE HEREBY KNOWINGLY, VOLUNTARILY AND IRREVOCABLY WAIVED.</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20" w:type="dxa"/>
            <w:vAlign w:val="bottom"/>
            <w:tcBorders>
              <w:bottom w:val="single" w:sz="8" w:color="auto"/>
            </w:tcBorders>
          </w:tcPr>
          <w:p>
            <w:pPr>
              <w:jc w:val="right"/>
              <w:ind w:right="5350"/>
              <w:spacing w:after="0"/>
              <w:rPr>
                <w:sz w:val="20"/>
                <w:szCs w:val="20"/>
                <w:color w:val="auto"/>
              </w:rPr>
            </w:pPr>
            <w:r>
              <w:rPr>
                <w:rFonts w:ascii="Arial" w:cs="Arial" w:eastAsia="Arial" w:hAnsi="Arial"/>
                <w:sz w:val="18"/>
                <w:szCs w:val="18"/>
                <w:color w:val="auto"/>
              </w:rPr>
              <w:t>84</w:t>
            </w:r>
          </w:p>
        </w:tc>
      </w:tr>
    </w:tbl>
    <w:p>
      <w:pPr>
        <w:sectPr>
          <w:pgSz w:w="11900" w:h="16838" w:orient="portrait"/>
          <w:cols w:equalWidth="0" w:num="1">
            <w:col w:w="11240"/>
          </w:cols>
          <w:pgMar w:left="320" w:top="904" w:right="339" w:bottom="1440" w:gutter="0" w:footer="0" w:header="0"/>
        </w:sectPr>
      </w:pPr>
    </w:p>
    <w:bookmarkStart w:id="161" w:name="page162"/>
    <w:bookmarkEnd w:id="161"/>
    <w:p>
      <w:pPr>
        <w:jc w:val="center"/>
        <w:spacing w:after="0"/>
        <w:rPr>
          <w:sz w:val="20"/>
          <w:szCs w:val="20"/>
          <w:color w:val="auto"/>
        </w:rPr>
      </w:pPr>
      <w:r>
        <w:rPr>
          <w:rFonts w:ascii="Arial" w:cs="Arial" w:eastAsia="Arial" w:hAnsi="Arial"/>
          <w:sz w:val="18"/>
          <w:szCs w:val="18"/>
          <w:color w:val="auto"/>
        </w:rPr>
        <w:t>SECTION 9</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Agency Provisions.</w:t>
      </w:r>
    </w:p>
    <w:p>
      <w:pPr>
        <w:spacing w:after="0" w:line="20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9.1 Appointment of Agent</w:t>
      </w:r>
      <w:r>
        <w:rPr>
          <w:rFonts w:ascii="Arial" w:cs="Arial" w:eastAsia="Arial" w:hAnsi="Arial"/>
          <w:sz w:val="18"/>
          <w:szCs w:val="18"/>
          <w:color w:val="auto"/>
        </w:rPr>
        <w:t>. Each Lender hereby appoints Agent as collateral agent, payment and administrative agent under this Agreement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other Loan Documents, and Agent hereby accepts such appointment. Lenders hereby authorize Agent to (a) execute and deliver the Loan Documents (including any subordination agreement), as applicable, and accept delivery thereof on its behalf from the Loan Parties, (b) take such action on its behalf and to exercise all rights, powers and remedies and perform the duties as are expressly delegated to Agent under this Agreement and the other Loan Documents and (c) exercise such powers as are reasonably incidental thereto.</w:t>
      </w:r>
    </w:p>
    <w:p>
      <w:pPr>
        <w:spacing w:after="0" w:line="18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color w:val="auto"/>
        </w:rPr>
        <w:t>9.2 Duties as Agent</w:t>
      </w:r>
      <w:r>
        <w:rPr>
          <w:rFonts w:ascii="Arial" w:cs="Arial" w:eastAsia="Arial" w:hAnsi="Arial"/>
          <w:sz w:val="16"/>
          <w:szCs w:val="16"/>
          <w:color w:val="auto"/>
        </w:rPr>
        <w:t>. Without limiting the generality of</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9.1(a)</w:t>
      </w:r>
      <w:r>
        <w:rPr>
          <w:rFonts w:ascii="Arial" w:cs="Arial" w:eastAsia="Arial" w:hAnsi="Arial"/>
          <w:sz w:val="16"/>
          <w:szCs w:val="16"/>
          <w:b w:val="1"/>
          <w:bCs w:val="1"/>
          <w:color w:val="auto"/>
        </w:rPr>
        <w:t xml:space="preserve"> </w:t>
      </w:r>
      <w:r>
        <w:rPr>
          <w:rFonts w:ascii="Arial" w:cs="Arial" w:eastAsia="Arial" w:hAnsi="Arial"/>
          <w:sz w:val="16"/>
          <w:szCs w:val="16"/>
          <w:color w:val="auto"/>
        </w:rPr>
        <w:t>above, Agent shall have the sole and exclusive right and authority (to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exclusion of Lenders), and is hereby authorized as provided in this Agreement and the other Loan Documents or as directed in writing by the Required Lenders, to (a) file and prove claims and file other documents necessary or desirable to allow the claims of Lenders, Agent and their respective Related Parties with respect to any obligations hereunder or under the other Loan Documents in any bankruptcy, insolvency or similar proceeding (but not to vote, consent or otherwise act on behalf of such other Lender or Related Party), (b) act as collateral agent for each Lender for purposes of the perfection of all Liens created by such agreements and all other purposes stated therein, (c) manage, supervise and otherwise deal with the Collateral, (d) take such other action as is necessary or desirable to maintain the perfection and priority of the Liens created or purported to be created by this Agreement and the other Loan Documents, (e) except as may be otherwise specified in this Agreement or the other Loan Documents, exercise all remedies given to Agent and Lenders with respect to the Collateral, whether under this Agreement or the other Loan Documents, applicable Laws or otherwise, (f) to credit bid any or all of the obligations on behalf of Lenders in connection with any sale or other disposition of any or all assets or equity of the Loan Parties and (g) execute any amendment, consent or waiver under this Agreement and the other Loan Documents (including any subordination agreement) on behalf of the Required Lenders that have consented in writing to such amendment, consent or waiver;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Agent hereby appoints, authorizes and directs Lenders to act as collateral sub-agents for Agent and the other Lenders for purposes of the perfection of all Liens with respect to the Collateral, including any deposit account maintained by any Loan Party with, and cash and Cash Equivalents held by, Lenders, and may further authorize and direct Lenders to take further actions as collateral sub-agents for purposes of enforcing such Liens or otherwise to transfer the Collateral subject thereto to Agent and Lenders hereby agree to take such further actions to the extent, and only to the extent, so authorized and directed.</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20" w:type="dxa"/>
            <w:vAlign w:val="bottom"/>
            <w:tcBorders>
              <w:bottom w:val="single" w:sz="8" w:color="auto"/>
            </w:tcBorders>
          </w:tcPr>
          <w:p>
            <w:pPr>
              <w:jc w:val="right"/>
              <w:ind w:right="5350"/>
              <w:spacing w:after="0"/>
              <w:rPr>
                <w:sz w:val="20"/>
                <w:szCs w:val="20"/>
                <w:color w:val="auto"/>
              </w:rPr>
            </w:pPr>
            <w:r>
              <w:rPr>
                <w:rFonts w:ascii="Arial" w:cs="Arial" w:eastAsia="Arial" w:hAnsi="Arial"/>
                <w:sz w:val="18"/>
                <w:szCs w:val="18"/>
                <w:color w:val="auto"/>
              </w:rPr>
              <w:t>85</w:t>
            </w:r>
          </w:p>
        </w:tc>
      </w:tr>
    </w:tbl>
    <w:p>
      <w:pPr>
        <w:sectPr>
          <w:pgSz w:w="11900" w:h="16838" w:orient="portrait"/>
          <w:cols w:equalWidth="0" w:num="1">
            <w:col w:w="11240"/>
          </w:cols>
          <w:pgMar w:left="320" w:top="908" w:right="339" w:bottom="1440" w:gutter="0" w:footer="0" w:header="0"/>
        </w:sectPr>
      </w:pPr>
    </w:p>
    <w:bookmarkStart w:id="162" w:name="page163"/>
    <w:bookmarkEnd w:id="162"/>
    <w:p>
      <w:pPr>
        <w:jc w:val="both"/>
        <w:ind w:firstLine="648"/>
        <w:spacing w:after="0" w:line="273" w:lineRule="auto"/>
        <w:rPr>
          <w:sz w:val="20"/>
          <w:szCs w:val="20"/>
          <w:color w:val="auto"/>
        </w:rPr>
      </w:pPr>
      <w:r>
        <w:rPr>
          <w:rFonts w:ascii="Arial" w:cs="Arial" w:eastAsia="Arial" w:hAnsi="Arial"/>
          <w:sz w:val="17"/>
          <w:szCs w:val="17"/>
          <w:b w:val="1"/>
          <w:bCs w:val="1"/>
          <w:color w:val="auto"/>
        </w:rPr>
        <w:t>9.3 Limited Duties</w:t>
      </w:r>
      <w:r>
        <w:rPr>
          <w:rFonts w:ascii="Arial" w:cs="Arial" w:eastAsia="Arial" w:hAnsi="Arial"/>
          <w:sz w:val="17"/>
          <w:szCs w:val="17"/>
          <w:color w:val="auto"/>
        </w:rPr>
        <w:t>. Under this Agreement and the other Loan Documents, Agent (a) is acting solely on behalf of Lenders with duties that are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entirely administrative in nature with respect to the rights delegated to it under this Agreement and the other Loan Documents notwithstanding the use of the defined term “Agent”, which is used for title purposes only, (b) is not assuming any obligation under this Agreement or any other Loan Document other than as expressly set forth therein or herein and is not assuming any role as agent, fiduciary or trustee of or for Lenders or any other Person and (c) shall have no implied functions, responsibilities, duties, obligations or other liabilities under this Agreement or any other Loan Document, and Lenders, by accepting the benefits of this Agreement and the other Loan Documents, hereby waive and agree not to assert any claim against Agent based on the roles, duties and legal relationships expressly disclaimed in clauses (a) through (c) of this </w:t>
      </w:r>
      <w:r>
        <w:rPr>
          <w:rFonts w:ascii="Arial" w:cs="Arial" w:eastAsia="Arial" w:hAnsi="Arial"/>
          <w:sz w:val="17"/>
          <w:szCs w:val="17"/>
          <w:u w:val="single" w:color="auto"/>
          <w:color w:val="auto"/>
        </w:rPr>
        <w:t>Section 9.3</w:t>
      </w:r>
      <w:r>
        <w:rPr>
          <w:rFonts w:ascii="Arial" w:cs="Arial" w:eastAsia="Arial" w:hAnsi="Arial"/>
          <w:sz w:val="17"/>
          <w:szCs w:val="17"/>
          <w:color w:val="auto"/>
        </w:rPr>
        <w:t>.</w:t>
      </w:r>
    </w:p>
    <w:p>
      <w:pPr>
        <w:spacing w:after="0" w:line="17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9.4 No Actions Without Instructions</w:t>
      </w:r>
      <w:r>
        <w:rPr>
          <w:rFonts w:ascii="Arial" w:cs="Arial" w:eastAsia="Arial" w:hAnsi="Arial"/>
          <w:sz w:val="18"/>
          <w:szCs w:val="18"/>
          <w:color w:val="auto"/>
        </w:rPr>
        <w:t>. Agent shall not be required to exercise any discretion or take, or to omit to take, any action, including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enforcement or collection, except any action it is required and directed to take, or omit to take, pursuant to instructions approved by the Required Lenders. Notwithstanding the prior sentence, Agent shall not be required to take, or to omit to take, any action (a) unless, upon demand, Agent receives an indemnification satisfactory to it from Lenders against all liabilities that, by reason of such action or omission, may be imposed on, incurred by or asserted against Agent or any of its Affiliates or Related Parties or (b) that is, in the opinion of Agent or its counsel, contrary to this Agreement, the other Loan Document or applicable law.</w:t>
      </w:r>
    </w:p>
    <w:p>
      <w:pPr>
        <w:spacing w:after="0" w:line="18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9.5 Delegation of Rights and Duties</w:t>
      </w:r>
      <w:r>
        <w:rPr>
          <w:rFonts w:ascii="Arial" w:cs="Arial" w:eastAsia="Arial" w:hAnsi="Arial"/>
          <w:sz w:val="17"/>
          <w:szCs w:val="17"/>
          <w:color w:val="auto"/>
        </w:rPr>
        <w:t>. Agent may, upon any term or condition it specifies, delegate or exercise any of its rights, powers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remedies under, and delegate or perform any of its duties or any other action with respect to, this Agreement and the other Loan Documents by or through any Lender or their Related Parties. Any such person shall benefit from this </w:t>
      </w:r>
      <w:r>
        <w:rPr>
          <w:rFonts w:ascii="Arial" w:cs="Arial" w:eastAsia="Arial" w:hAnsi="Arial"/>
          <w:sz w:val="17"/>
          <w:szCs w:val="17"/>
          <w:u w:val="single" w:color="auto"/>
          <w:color w:val="auto"/>
        </w:rPr>
        <w:t>Article 9</w:t>
      </w:r>
      <w:r>
        <w:rPr>
          <w:rFonts w:ascii="Arial" w:cs="Arial" w:eastAsia="Arial" w:hAnsi="Arial"/>
          <w:sz w:val="17"/>
          <w:szCs w:val="17"/>
          <w:color w:val="auto"/>
        </w:rPr>
        <w:t xml:space="preserve"> to the extent provided to Agent.</w:t>
      </w:r>
    </w:p>
    <w:p>
      <w:pPr>
        <w:spacing w:after="0" w:line="158"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b w:val="1"/>
          <w:bCs w:val="1"/>
          <w:color w:val="auto"/>
        </w:rPr>
        <w:t>9.6 Reliance and Liability</w:t>
      </w:r>
      <w:r>
        <w:rPr>
          <w:rFonts w:ascii="Arial" w:cs="Arial" w:eastAsia="Arial" w:hAnsi="Arial"/>
          <w:sz w:val="16"/>
          <w:szCs w:val="16"/>
          <w:color w:val="auto"/>
        </w:rPr>
        <w:t>. Neither Agent nor any of its Related Parties shall be liable or responsible to any Lender or any of its Related Party or</w:t>
      </w:r>
      <w:r>
        <w:rPr>
          <w:rFonts w:ascii="Arial" w:cs="Arial" w:eastAsia="Arial" w:hAnsi="Arial"/>
          <w:sz w:val="16"/>
          <w:szCs w:val="16"/>
          <w:b w:val="1"/>
          <w:bCs w:val="1"/>
          <w:color w:val="auto"/>
        </w:rPr>
        <w:t xml:space="preserve"> </w:t>
      </w:r>
      <w:r>
        <w:rPr>
          <w:rFonts w:ascii="Arial" w:cs="Arial" w:eastAsia="Arial" w:hAnsi="Arial"/>
          <w:sz w:val="16"/>
          <w:szCs w:val="16"/>
          <w:color w:val="auto"/>
        </w:rPr>
        <w:t>to the Loan Parties for (a) any action taken or omitted to be taken by Agent or any other such Person hereunder or under any related agreement, instrument or document, except in the case of resulting primarily from its gross negligence or willful misconduct as finally determined by a non-appealable court of competent jurisdiction or (b) any action taken or omitted to be taken by Agent or any such Related Party in connection with this Agreement or any other Loan Document with the consent or at the request of the Required Lenders, nor shall Agent or any of its Related Parties be liable or responsible for (i) the execution, legality, validity, effectiveness, sufficiency, enforceability or enforcement of this Agreement and the other Loan Documents or any instrument or document delivered hereunder or thereunder or relating hereto or thereto, or the value of any Collateral, or the attachment, perfection or priority of any Lien created or purported to be created under or in connection with this Agreement and the other Loan Documents; (ii) the title of any Loan Party to any of the Collateral or the right to grant a security interest therein; (iii) the determination, verification or enforcement any Loan Party’s compliance with any of the terms and conditions of this Agreement or the other Loan Documents; (iv) the failure by any Loan Party to deliver any instrument or document required to be delivered pursuant to the terms hereof or any other Loan Document; or (v) the receipt, disbursement, waiver, extension or other handling of proceeds made or received with respect to the Collateral, or the payment thereof, the servicing of the Collateral or the enforcement or the collection of any amounts owing with respect to the Collateral. Agent shall not incur any liability by acting in reliance upon any notice, consent, certificate, statement or other writing (which may be a bank wire, telex, facsimile transmission, e-mail or similar writing) reasonably believed by it to be genuine or to be signed by the proper party or parties. Agent makes no warranty or representation, and shall not be responsible, to any Lender for any statement, document, information, representation or warranty made or furnished by or on behalf of any of its Related Parties or any Loan Party in connection with this Agreement or the other Loan Documents or any transaction contemplated herein or therein or any other document or information transmitted by Agent, if any, including as to completeness, accuracy, scope or adequacy thereof, or for the scope, nature or results of any due diligence performed by Agent in connection with this Agreement and the other Loan Documents.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20" w:type="dxa"/>
            <w:vAlign w:val="bottom"/>
            <w:tcBorders>
              <w:bottom w:val="single" w:sz="8" w:color="auto"/>
            </w:tcBorders>
          </w:tcPr>
          <w:p>
            <w:pPr>
              <w:jc w:val="right"/>
              <w:ind w:right="5350"/>
              <w:spacing w:after="0"/>
              <w:rPr>
                <w:sz w:val="20"/>
                <w:szCs w:val="20"/>
                <w:color w:val="auto"/>
              </w:rPr>
            </w:pPr>
            <w:r>
              <w:rPr>
                <w:rFonts w:ascii="Arial" w:cs="Arial" w:eastAsia="Arial" w:hAnsi="Arial"/>
                <w:sz w:val="18"/>
                <w:szCs w:val="18"/>
                <w:color w:val="auto"/>
              </w:rPr>
              <w:t>86</w:t>
            </w:r>
          </w:p>
        </w:tc>
      </w:tr>
    </w:tbl>
    <w:p>
      <w:pPr>
        <w:sectPr>
          <w:pgSz w:w="11900" w:h="16838" w:orient="portrait"/>
          <w:cols w:equalWidth="0" w:num="1">
            <w:col w:w="11240"/>
          </w:cols>
          <w:pgMar w:left="320" w:top="904" w:right="339" w:bottom="1440" w:gutter="0" w:footer="0" w:header="0"/>
        </w:sectPr>
      </w:pPr>
    </w:p>
    <w:bookmarkStart w:id="163" w:name="page164"/>
    <w:bookmarkEnd w:id="163"/>
    <w:p>
      <w:pPr>
        <w:jc w:val="both"/>
        <w:ind w:firstLine="648"/>
        <w:spacing w:after="0" w:line="266" w:lineRule="auto"/>
        <w:rPr>
          <w:sz w:val="20"/>
          <w:szCs w:val="20"/>
          <w:color w:val="auto"/>
        </w:rPr>
      </w:pPr>
      <w:r>
        <w:rPr>
          <w:rFonts w:ascii="Arial" w:cs="Arial" w:eastAsia="Arial" w:hAnsi="Arial"/>
          <w:sz w:val="18"/>
          <w:szCs w:val="18"/>
          <w:b w:val="1"/>
          <w:bCs w:val="1"/>
          <w:color w:val="auto"/>
        </w:rPr>
        <w:t>9.7 Agent Individually</w:t>
      </w:r>
      <w:r>
        <w:rPr>
          <w:rFonts w:ascii="Arial" w:cs="Arial" w:eastAsia="Arial" w:hAnsi="Arial"/>
          <w:sz w:val="18"/>
          <w:szCs w:val="18"/>
          <w:color w:val="auto"/>
        </w:rPr>
        <w:t>. To the extent Agent is owed an obligation as a Lender or made a Protective Advance and is a party to the other Loan</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Documents, it shall have and may exercise the same rights and powers hereunder and thereunder, and shall be subject to the same obligations and liabilities as, any other Lender.</w:t>
      </w:r>
    </w:p>
    <w:p>
      <w:pPr>
        <w:spacing w:after="0" w:line="17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color w:val="auto"/>
        </w:rPr>
        <w:t>9.8 Agent Costs and Expenses</w:t>
      </w:r>
      <w:r>
        <w:rPr>
          <w:rFonts w:ascii="Arial" w:cs="Arial" w:eastAsia="Arial" w:hAnsi="Arial"/>
          <w:sz w:val="17"/>
          <w:szCs w:val="17"/>
          <w:color w:val="auto"/>
        </w:rPr>
        <w:t>. Lenders agree to reimburse Agent and each of its Related Parties (to the extent not reimbursed by the Loan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Parties as required pursuant to this Agreement) promptly upon demand, severally and ratably with each other Lender, for any documented costs and expenses (including reasonable fees and expenses of legal counsel) that may be incurred by Agent or any of its Related Parties in connection with the administration, modification, consent, waiver or enforcement (whether through negotiations, through any work-out, bankruptcy, restructuring or other legal or other proceeding or otherwise) of, or legal advice in respect of its rights or responsibilities under, this Agreement or any other Loan Document. This </w:t>
      </w:r>
      <w:r>
        <w:rPr>
          <w:rFonts w:ascii="Arial" w:cs="Arial" w:eastAsia="Arial" w:hAnsi="Arial"/>
          <w:sz w:val="17"/>
          <w:szCs w:val="17"/>
          <w:u w:val="single" w:color="auto"/>
          <w:color w:val="auto"/>
        </w:rPr>
        <w:t>Section9.8</w:t>
      </w:r>
      <w:r>
        <w:rPr>
          <w:rFonts w:ascii="Arial" w:cs="Arial" w:eastAsia="Arial" w:hAnsi="Arial"/>
          <w:sz w:val="17"/>
          <w:szCs w:val="17"/>
          <w:color w:val="auto"/>
        </w:rPr>
        <w:t xml:space="preserve"> shall survive termination of this Agreement and the other Loan Documents.</w:t>
      </w:r>
    </w:p>
    <w:p>
      <w:pPr>
        <w:spacing w:after="0" w:line="17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9.9 Indemnification of Agent</w:t>
      </w:r>
      <w:r>
        <w:rPr>
          <w:rFonts w:ascii="Arial" w:cs="Arial" w:eastAsia="Arial" w:hAnsi="Arial"/>
          <w:sz w:val="17"/>
          <w:szCs w:val="17"/>
          <w:color w:val="auto"/>
        </w:rPr>
        <w:t>. Lenders further agree to indemnify Agent and each of its Related Parties (to the extent not reimbursed by the Loan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Parties as required pursuant to this Agreement), severally and ratably with each other Lender, from and against any and all liabilities, obligations, losses, damages, penalties, actions, judgments, suits, claims, costs, expenses and disbursements of any kind or nature whatsoever (including the reasonable fees and disbursements of counsel for Agent or such Related Parties) in connection with any investigative, administrative or judicial proceeding, enforcement action or any other action taken or omitted to be taken by Agent or any of its Related Parties under or with respect to this Agreement or the other Loan Documents, or any other act, event or transaction related, contemplated or attendant thereto, whether or not Agent or such Related Party shall be designated a party thereto and including any such proceeding initiated by or on behalf of the Loan Parties which may be imposed on, incurred by or asserted against Agent or such Related Party as a result of or in connection with this Agreement or the other Loan Documents;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Lenders shall not be liable to Agent or any of its Related Parties to the extent such liability has resulted primarily from the gross negligence or willful misconduct of Agent or, as the case may be, such Related Party, as determined by a court of competent jurisdiction in a final non-appealable judgment or order. This </w:t>
      </w:r>
      <w:r>
        <w:rPr>
          <w:rFonts w:ascii="Arial" w:cs="Arial" w:eastAsia="Arial" w:hAnsi="Arial"/>
          <w:sz w:val="17"/>
          <w:szCs w:val="17"/>
          <w:u w:val="single" w:color="auto"/>
          <w:color w:val="auto"/>
        </w:rPr>
        <w:t>Section 9.9</w:t>
      </w:r>
      <w:r>
        <w:rPr>
          <w:rFonts w:ascii="Arial" w:cs="Arial" w:eastAsia="Arial" w:hAnsi="Arial"/>
          <w:sz w:val="17"/>
          <w:szCs w:val="17"/>
          <w:color w:val="auto"/>
        </w:rPr>
        <w:t xml:space="preserve"> shall survive termination of this Agreement and the other Loan Documents.</w:t>
      </w:r>
    </w:p>
    <w:p>
      <w:pPr>
        <w:spacing w:after="0" w:line="18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color w:val="auto"/>
        </w:rPr>
        <w:t>9.10 Resignation of Agent</w:t>
      </w:r>
      <w:r>
        <w:rPr>
          <w:rFonts w:ascii="Arial" w:cs="Arial" w:eastAsia="Arial" w:hAnsi="Arial"/>
          <w:sz w:val="18"/>
          <w:szCs w:val="18"/>
          <w:color w:val="auto"/>
        </w:rPr>
        <w:t>. Agent may resign at any time by giving notice thereof to Lenders and Borrower. Upon any such resignation,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Required Lenders shall have the right to appoint a successor Agent. If no successor Agent shall have been so appointed by the Required Lenders, and shall have accepted such appointment, within thirty (30) days after the retiring Agent gives notice of resignation, then the retiring Agent may, on behalf of Lenders, appoint a successor Agent, which shall be an entity organized or licensed under the Laws of the United States of America or any state thereof. Upon the acceptance of its appointment as Agent hereunder by a successor Agent, such successor Agent shall thereupon succeed to and become vested with all the rights and duties of the retiring Agent, and the retiring Agent shall be discharged from any further duties and obligations hereunder. After any retiring Agent’s resignation hereunder as Agent, the provisions of this </w:t>
      </w:r>
      <w:r>
        <w:rPr>
          <w:rFonts w:ascii="Arial" w:cs="Arial" w:eastAsia="Arial" w:hAnsi="Arial"/>
          <w:sz w:val="18"/>
          <w:szCs w:val="18"/>
          <w:u w:val="single" w:color="auto"/>
          <w:color w:val="auto"/>
        </w:rPr>
        <w:t>Article 9</w:t>
      </w:r>
      <w:r>
        <w:rPr>
          <w:rFonts w:ascii="Arial" w:cs="Arial" w:eastAsia="Arial" w:hAnsi="Arial"/>
          <w:sz w:val="18"/>
          <w:szCs w:val="18"/>
          <w:color w:val="auto"/>
        </w:rPr>
        <w:t xml:space="preserve"> or otherwise herein shall inure to its benefit as to any actions taken or omitted to be taken by it while it was Agent.</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20" w:type="dxa"/>
            <w:vAlign w:val="bottom"/>
            <w:tcBorders>
              <w:bottom w:val="single" w:sz="8" w:color="auto"/>
            </w:tcBorders>
          </w:tcPr>
          <w:p>
            <w:pPr>
              <w:jc w:val="right"/>
              <w:ind w:right="5350"/>
              <w:spacing w:after="0"/>
              <w:rPr>
                <w:sz w:val="20"/>
                <w:szCs w:val="20"/>
                <w:color w:val="auto"/>
              </w:rPr>
            </w:pPr>
            <w:r>
              <w:rPr>
                <w:rFonts w:ascii="Arial" w:cs="Arial" w:eastAsia="Arial" w:hAnsi="Arial"/>
                <w:sz w:val="18"/>
                <w:szCs w:val="18"/>
                <w:color w:val="auto"/>
              </w:rPr>
              <w:t>87</w:t>
            </w:r>
          </w:p>
        </w:tc>
      </w:tr>
    </w:tbl>
    <w:p>
      <w:pPr>
        <w:sectPr>
          <w:pgSz w:w="11900" w:h="16838" w:orient="portrait"/>
          <w:cols w:equalWidth="0" w:num="1">
            <w:col w:w="11240"/>
          </w:cols>
          <w:pgMar w:left="320" w:top="904" w:right="339" w:bottom="1440" w:gutter="0" w:footer="0" w:header="0"/>
        </w:sectPr>
      </w:pPr>
    </w:p>
    <w:bookmarkStart w:id="164" w:name="page165"/>
    <w:bookmarkEnd w:id="164"/>
    <w:p>
      <w:pPr>
        <w:jc w:val="both"/>
        <w:ind w:firstLine="648"/>
        <w:spacing w:after="0" w:line="292" w:lineRule="auto"/>
        <w:rPr>
          <w:sz w:val="20"/>
          <w:szCs w:val="20"/>
          <w:color w:val="auto"/>
        </w:rPr>
      </w:pPr>
      <w:r>
        <w:rPr>
          <w:rFonts w:ascii="Arial" w:cs="Arial" w:eastAsia="Arial" w:hAnsi="Arial"/>
          <w:sz w:val="16"/>
          <w:szCs w:val="16"/>
          <w:b w:val="1"/>
          <w:bCs w:val="1"/>
          <w:color w:val="auto"/>
        </w:rPr>
        <w:t>9.11 Release of Collateral</w:t>
      </w:r>
      <w:r>
        <w:rPr>
          <w:rFonts w:ascii="Arial" w:cs="Arial" w:eastAsia="Arial" w:hAnsi="Arial"/>
          <w:sz w:val="16"/>
          <w:szCs w:val="16"/>
          <w:color w:val="auto"/>
        </w:rPr>
        <w:t>. Lenders hereby consent to the automatic release and hereby directs Agent to release any Lien held by Agent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benefit of Lenders against (a) any Collateral that is sold by a Loan Party as permitted by this Agreement or the other Loan Documents (including pursuant to a valid waiver or consent), to the extent all Liens required to be granted in the proceeds of such Collateral after giving effect to such sale have been granted and (b) all of the Collateral of the Loan Parties upon (i) payment and satisfaction in full of all obligations under this Agreement and the other Loan Documents (other than contingent indemnification obligations for which no claim has been asserted), (ii) deposit of cash collateral with respect to all contingent obligations in amounts and on terms and conditions and with parties satisfactory to Agent and each Related Party that is owed such obligations and (iii) to the extent requested by Agent, receipt by Lenders of liability releases from the Loan Parties each in form and substance acceptable to Agent.</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9.12 Erroneous Payments</w:t>
      </w:r>
    </w:p>
    <w:p>
      <w:pPr>
        <w:spacing w:after="0" w:line="229" w:lineRule="exact"/>
        <w:rPr>
          <w:sz w:val="20"/>
          <w:szCs w:val="20"/>
          <w:color w:val="auto"/>
        </w:rPr>
      </w:pPr>
    </w:p>
    <w:p>
      <w:pPr>
        <w:jc w:val="both"/>
        <w:ind w:firstLine="656"/>
        <w:spacing w:after="0" w:line="269" w:lineRule="auto"/>
        <w:tabs>
          <w:tab w:leader="none" w:pos="892" w:val="left"/>
        </w:tabs>
        <w:numPr>
          <w:ilvl w:val="0"/>
          <w:numId w:val="153"/>
        </w:numPr>
        <w:rPr>
          <w:rFonts w:ascii="Arial" w:cs="Arial" w:eastAsia="Arial" w:hAnsi="Arial"/>
          <w:sz w:val="17"/>
          <w:szCs w:val="17"/>
          <w:color w:val="auto"/>
        </w:rPr>
      </w:pPr>
      <w:r>
        <w:rPr>
          <w:rFonts w:ascii="Arial" w:cs="Arial" w:eastAsia="Arial" w:hAnsi="Arial"/>
          <w:sz w:val="17"/>
          <w:szCs w:val="17"/>
          <w:color w:val="auto"/>
        </w:rPr>
        <w:t>If Agent (i) notifies a Lender or any Person who has received funds on behalf of a Lender (any such Lender or other recipient (and each of their respective successors and assigns), a “</w:t>
      </w:r>
      <w:r>
        <w:rPr>
          <w:rFonts w:ascii="Arial" w:cs="Arial" w:eastAsia="Arial" w:hAnsi="Arial"/>
          <w:sz w:val="17"/>
          <w:szCs w:val="17"/>
          <w:b w:val="1"/>
          <w:bCs w:val="1"/>
          <w:i w:val="1"/>
          <w:iCs w:val="1"/>
          <w:color w:val="auto"/>
        </w:rPr>
        <w:t>Payment Recipient</w:t>
      </w:r>
      <w:r>
        <w:rPr>
          <w:rFonts w:ascii="Arial" w:cs="Arial" w:eastAsia="Arial" w:hAnsi="Arial"/>
          <w:sz w:val="17"/>
          <w:szCs w:val="17"/>
          <w:color w:val="auto"/>
        </w:rPr>
        <w:t xml:space="preserve">”) that Agent has determined in its sole discretion (whether or not after receipt of any notice under immediately succeeding </w:t>
      </w:r>
      <w:r>
        <w:rPr>
          <w:rFonts w:ascii="Arial" w:cs="Arial" w:eastAsia="Arial" w:hAnsi="Arial"/>
          <w:sz w:val="17"/>
          <w:szCs w:val="17"/>
          <w:u w:val="single" w:color="auto"/>
          <w:color w:val="auto"/>
        </w:rPr>
        <w:t>clause (b)</w:t>
      </w:r>
      <w:r>
        <w:rPr>
          <w:rFonts w:ascii="Arial" w:cs="Arial" w:eastAsia="Arial" w:hAnsi="Arial"/>
          <w:sz w:val="17"/>
          <w:szCs w:val="17"/>
          <w:color w:val="auto"/>
        </w:rPr>
        <w:t>) that any funds (as set forth in such notice from Agent) received by such Payment Recipient from Agent or any of its Affiliates were erroneously or mistakenly transmitted to, or otherwise erroneously or mistakenly received by, such Payment Recipient (whether or not known to such Lender or other Payment Recipient on its behalf) (any such funds, whether transmitted or received as a payment, prepayment or repayment of principal, interest, fees, distribution or otherwise, individually and collectively, an “</w:t>
      </w:r>
      <w:r>
        <w:rPr>
          <w:rFonts w:ascii="Arial" w:cs="Arial" w:eastAsia="Arial" w:hAnsi="Arial"/>
          <w:sz w:val="17"/>
          <w:szCs w:val="17"/>
          <w:b w:val="1"/>
          <w:bCs w:val="1"/>
          <w:i w:val="1"/>
          <w:iCs w:val="1"/>
          <w:color w:val="auto"/>
        </w:rPr>
        <w:t>Erroneous Payment</w:t>
      </w:r>
      <w:r>
        <w:rPr>
          <w:rFonts w:ascii="Arial" w:cs="Arial" w:eastAsia="Arial" w:hAnsi="Arial"/>
          <w:sz w:val="17"/>
          <w:szCs w:val="17"/>
          <w:color w:val="auto"/>
        </w:rPr>
        <w:t xml:space="preserve">”) and (ii) demands in writing the return of such Erroneous Payment (or a portion thereof), such Erroneous Payment shall at all times remain the property of Agent pending its return or repayment as contemplated below in this </w:t>
      </w:r>
      <w:r>
        <w:rPr>
          <w:rFonts w:ascii="Arial" w:cs="Arial" w:eastAsia="Arial" w:hAnsi="Arial"/>
          <w:sz w:val="17"/>
          <w:szCs w:val="17"/>
          <w:u w:val="single" w:color="auto"/>
          <w:color w:val="auto"/>
        </w:rPr>
        <w:t>Section 9.12</w:t>
      </w:r>
      <w:r>
        <w:rPr>
          <w:rFonts w:ascii="Arial" w:cs="Arial" w:eastAsia="Arial" w:hAnsi="Arial"/>
          <w:sz w:val="17"/>
          <w:szCs w:val="17"/>
          <w:color w:val="auto"/>
        </w:rPr>
        <w:t xml:space="preserve"> and held in trust for the benefit of Agent, and such Lender shall (or, with respect to any Payment Recipient who received such funds on its behalf, shall cause such Payment Recipient to) promptly, but in no event later than two (2) Business Days thereafter (or such later date as Agent may, in its sole discretion, specify in writing), return to Agent the amount of any such Erroneous Payment (or portion thereof) as to which such a demand was made, in same day funds. A notice of Agent to any Payment Recipient under this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shall be conclusive, absent manifest error.</w:t>
      </w:r>
    </w:p>
    <w:p>
      <w:pPr>
        <w:spacing w:after="0" w:line="178" w:lineRule="exact"/>
        <w:rPr>
          <w:rFonts w:ascii="Arial" w:cs="Arial" w:eastAsia="Arial" w:hAnsi="Arial"/>
          <w:sz w:val="17"/>
          <w:szCs w:val="17"/>
          <w:color w:val="auto"/>
        </w:rPr>
      </w:pPr>
    </w:p>
    <w:p>
      <w:pPr>
        <w:jc w:val="both"/>
        <w:ind w:firstLine="656"/>
        <w:spacing w:after="0" w:line="254" w:lineRule="auto"/>
        <w:tabs>
          <w:tab w:leader="none" w:pos="903" w:val="left"/>
        </w:tabs>
        <w:numPr>
          <w:ilvl w:val="0"/>
          <w:numId w:val="153"/>
        </w:numPr>
        <w:rPr>
          <w:rFonts w:ascii="Arial" w:cs="Arial" w:eastAsia="Arial" w:hAnsi="Arial"/>
          <w:sz w:val="18"/>
          <w:szCs w:val="18"/>
          <w:color w:val="auto"/>
        </w:rPr>
      </w:pPr>
      <w:r>
        <w:rPr>
          <w:rFonts w:ascii="Arial" w:cs="Arial" w:eastAsia="Arial" w:hAnsi="Arial"/>
          <w:sz w:val="18"/>
          <w:szCs w:val="18"/>
          <w:color w:val="auto"/>
        </w:rPr>
        <w:t xml:space="preserve">Without limiting immediately preceding </w:t>
      </w:r>
      <w:r>
        <w:rPr>
          <w:rFonts w:ascii="Arial" w:cs="Arial" w:eastAsia="Arial" w:hAnsi="Arial"/>
          <w:sz w:val="18"/>
          <w:szCs w:val="18"/>
          <w:u w:val="single" w:color="auto"/>
          <w:color w:val="auto"/>
        </w:rPr>
        <w:t>clause (a)</w:t>
      </w:r>
      <w:r>
        <w:rPr>
          <w:rFonts w:ascii="Arial" w:cs="Arial" w:eastAsia="Arial" w:hAnsi="Arial"/>
          <w:sz w:val="18"/>
          <w:szCs w:val="18"/>
          <w:color w:val="auto"/>
        </w:rPr>
        <w:t>, each Lender or any Person who has received funds on behalf of a Lender (and each of their respective successors and assigns), agrees that if it receives a payment, prepayment or repayment (whether received as a payment, prepayment or repayment of principal, interest, fees, distribution or otherwise) from Agent (or any of its Affiliates) (x) that is in a different amount than, or on a different date from, that specified in this Agreement or in a notice of payment, prepayment or repayment sent by Agent (or any of its Affiliates) with respect to such payment, prepayment or repayment, (y) that was not preceded or accompanied by a notice of payment, prepayment or repayment sent by Agent (or any of its Affiliates), or (z) that such Lender or other such recipient, otherwise becomes aware was transmitted, or received, in error or by mistake (in whole or in part), then in each such case:</w:t>
      </w:r>
    </w:p>
    <w:p>
      <w:pPr>
        <w:spacing w:after="0" w:line="194" w:lineRule="exact"/>
        <w:rPr>
          <w:rFonts w:ascii="Arial" w:cs="Arial" w:eastAsia="Arial" w:hAnsi="Arial"/>
          <w:sz w:val="18"/>
          <w:szCs w:val="18"/>
          <w:color w:val="auto"/>
        </w:rPr>
      </w:pPr>
    </w:p>
    <w:p>
      <w:pPr>
        <w:jc w:val="both"/>
        <w:ind w:left="660" w:firstLine="644"/>
        <w:spacing w:after="0" w:line="263" w:lineRule="auto"/>
        <w:tabs>
          <w:tab w:leader="none" w:pos="1523" w:val="left"/>
        </w:tabs>
        <w:numPr>
          <w:ilvl w:val="1"/>
          <w:numId w:val="153"/>
        </w:numPr>
        <w:rPr>
          <w:rFonts w:ascii="Arial" w:cs="Arial" w:eastAsia="Arial" w:hAnsi="Arial"/>
          <w:sz w:val="18"/>
          <w:szCs w:val="18"/>
          <w:color w:val="auto"/>
        </w:rPr>
      </w:pPr>
      <w:r>
        <w:rPr>
          <w:rFonts w:ascii="Arial" w:cs="Arial" w:eastAsia="Arial" w:hAnsi="Arial"/>
          <w:sz w:val="18"/>
          <w:szCs w:val="18"/>
          <w:color w:val="auto"/>
        </w:rPr>
        <w:t xml:space="preserve">it acknowledges and agrees that (A) in the case of immediately preceding </w:t>
      </w:r>
      <w:r>
        <w:rPr>
          <w:rFonts w:ascii="Arial" w:cs="Arial" w:eastAsia="Arial" w:hAnsi="Arial"/>
          <w:sz w:val="18"/>
          <w:szCs w:val="18"/>
          <w:u w:val="single" w:color="auto"/>
          <w:color w:val="auto"/>
        </w:rPr>
        <w:t>clauses (x)</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(y)</w:t>
      </w:r>
      <w:r>
        <w:rPr>
          <w:rFonts w:ascii="Arial" w:cs="Arial" w:eastAsia="Arial" w:hAnsi="Arial"/>
          <w:sz w:val="18"/>
          <w:szCs w:val="18"/>
          <w:color w:val="auto"/>
        </w:rPr>
        <w:t xml:space="preserve">, an error and mistake shall be presumed to have been made (absent written confirmation from Agent to the contrary) or (B) an error and mistake has been made (in the case of immediately preceding </w:t>
      </w:r>
      <w:r>
        <w:rPr>
          <w:rFonts w:ascii="Arial" w:cs="Arial" w:eastAsia="Arial" w:hAnsi="Arial"/>
          <w:sz w:val="18"/>
          <w:szCs w:val="18"/>
          <w:u w:val="single" w:color="auto"/>
          <w:color w:val="auto"/>
        </w:rPr>
        <w:t>clause (z)</w:t>
      </w:r>
      <w:r>
        <w:rPr>
          <w:rFonts w:ascii="Arial" w:cs="Arial" w:eastAsia="Arial" w:hAnsi="Arial"/>
          <w:sz w:val="18"/>
          <w:szCs w:val="18"/>
          <w:color w:val="auto"/>
        </w:rPr>
        <w:t>), in each case, with respect to such payment, prepayment or repayment; and</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20" w:type="dxa"/>
            <w:vAlign w:val="bottom"/>
            <w:tcBorders>
              <w:bottom w:val="single" w:sz="8" w:color="auto"/>
            </w:tcBorders>
          </w:tcPr>
          <w:p>
            <w:pPr>
              <w:jc w:val="right"/>
              <w:ind w:right="5350"/>
              <w:spacing w:after="0"/>
              <w:rPr>
                <w:sz w:val="20"/>
                <w:szCs w:val="20"/>
                <w:color w:val="auto"/>
              </w:rPr>
            </w:pPr>
            <w:r>
              <w:rPr>
                <w:rFonts w:ascii="Arial" w:cs="Arial" w:eastAsia="Arial" w:hAnsi="Arial"/>
                <w:sz w:val="18"/>
                <w:szCs w:val="18"/>
                <w:color w:val="auto"/>
              </w:rPr>
              <w:t>88</w:t>
            </w:r>
          </w:p>
        </w:tc>
      </w:tr>
    </w:tbl>
    <w:p>
      <w:pPr>
        <w:sectPr>
          <w:pgSz w:w="11900" w:h="16838" w:orient="portrait"/>
          <w:cols w:equalWidth="0" w:num="1">
            <w:col w:w="11240"/>
          </w:cols>
          <w:pgMar w:left="320" w:top="904" w:right="339" w:bottom="1440" w:gutter="0" w:footer="0" w:header="0"/>
        </w:sectPr>
      </w:pPr>
    </w:p>
    <w:bookmarkStart w:id="165" w:name="page166"/>
    <w:bookmarkEnd w:id="165"/>
    <w:p>
      <w:pPr>
        <w:jc w:val="both"/>
        <w:ind w:left="660" w:firstLine="644"/>
        <w:spacing w:after="0" w:line="259" w:lineRule="auto"/>
        <w:tabs>
          <w:tab w:leader="none" w:pos="1586" w:val="left"/>
        </w:tabs>
        <w:numPr>
          <w:ilvl w:val="0"/>
          <w:numId w:val="154"/>
        </w:numPr>
        <w:rPr>
          <w:rFonts w:ascii="Arial" w:cs="Arial" w:eastAsia="Arial" w:hAnsi="Arial"/>
          <w:sz w:val="18"/>
          <w:szCs w:val="18"/>
          <w:color w:val="auto"/>
        </w:rPr>
      </w:pPr>
      <w:r>
        <w:rPr>
          <w:rFonts w:ascii="Arial" w:cs="Arial" w:eastAsia="Arial" w:hAnsi="Arial"/>
          <w:sz w:val="18"/>
          <w:szCs w:val="18"/>
          <w:color w:val="auto"/>
        </w:rPr>
        <w:t xml:space="preserve">such Lender shall (and shall cause any other recipient that receives funds on its respective behalf to) promptly (and, in all events, within one (1) Business Day of its knowledge of the occurrence of any of the circumstances described in immediately preceding </w:t>
      </w:r>
      <w:r>
        <w:rPr>
          <w:rFonts w:ascii="Arial" w:cs="Arial" w:eastAsia="Arial" w:hAnsi="Arial"/>
          <w:sz w:val="18"/>
          <w:szCs w:val="18"/>
          <w:u w:val="single" w:color="auto"/>
          <w:color w:val="auto"/>
        </w:rPr>
        <w:t>clauses (x)</w:t>
      </w:r>
      <w:r>
        <w:rPr>
          <w:rFonts w:ascii="Arial" w:cs="Arial" w:eastAsia="Arial" w:hAnsi="Arial"/>
          <w:sz w:val="18"/>
          <w:szCs w:val="18"/>
          <w:color w:val="auto"/>
        </w:rPr>
        <w:t xml:space="preserve">, </w:t>
      </w:r>
      <w:r>
        <w:rPr>
          <w:rFonts w:ascii="Arial" w:cs="Arial" w:eastAsia="Arial" w:hAnsi="Arial"/>
          <w:sz w:val="18"/>
          <w:szCs w:val="18"/>
          <w:u w:val="single" w:color="auto"/>
          <w:color w:val="auto"/>
        </w:rPr>
        <w:t>(y)</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(z)</w:t>
      </w:r>
      <w:r>
        <w:rPr>
          <w:rFonts w:ascii="Arial" w:cs="Arial" w:eastAsia="Arial" w:hAnsi="Arial"/>
          <w:sz w:val="18"/>
          <w:szCs w:val="18"/>
          <w:color w:val="auto"/>
        </w:rPr>
        <w:t xml:space="preserve">) notify Agent of its receipt of such payment, prepayment or repayment, the details thereof (in reasonable detail) and that it is so notifying Agent pursuant to this </w:t>
      </w:r>
      <w:r>
        <w:rPr>
          <w:rFonts w:ascii="Arial" w:cs="Arial" w:eastAsia="Arial" w:hAnsi="Arial"/>
          <w:sz w:val="18"/>
          <w:szCs w:val="18"/>
          <w:u w:val="single" w:color="auto"/>
          <w:color w:val="auto"/>
        </w:rPr>
        <w:t>Section 9.12(b)</w:t>
      </w:r>
      <w:r>
        <w:rPr>
          <w:rFonts w:ascii="Arial" w:cs="Arial" w:eastAsia="Arial" w:hAnsi="Arial"/>
          <w:sz w:val="18"/>
          <w:szCs w:val="18"/>
          <w:color w:val="auto"/>
        </w:rPr>
        <w:t>.</w:t>
      </w:r>
    </w:p>
    <w:p>
      <w:pPr>
        <w:spacing w:after="0" w:line="18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For the avoidance of doubt, the failure to deliver a notice to Agent pursuant to this </w:t>
      </w:r>
      <w:r>
        <w:rPr>
          <w:rFonts w:ascii="Arial" w:cs="Arial" w:eastAsia="Arial" w:hAnsi="Arial"/>
          <w:sz w:val="18"/>
          <w:szCs w:val="18"/>
          <w:u w:val="single" w:color="auto"/>
          <w:color w:val="auto"/>
        </w:rPr>
        <w:t>Section 9.12(b)</w:t>
      </w:r>
      <w:r>
        <w:rPr>
          <w:rFonts w:ascii="Arial" w:cs="Arial" w:eastAsia="Arial" w:hAnsi="Arial"/>
          <w:sz w:val="18"/>
          <w:szCs w:val="18"/>
          <w:color w:val="auto"/>
        </w:rPr>
        <w:t xml:space="preserve"> shall not have any effect on a Payment Recipient’s obligations pursuant to </w:t>
      </w:r>
      <w:r>
        <w:rPr>
          <w:rFonts w:ascii="Arial" w:cs="Arial" w:eastAsia="Arial" w:hAnsi="Arial"/>
          <w:sz w:val="18"/>
          <w:szCs w:val="18"/>
          <w:u w:val="single" w:color="auto"/>
          <w:color w:val="auto"/>
        </w:rPr>
        <w:t>Section 9.12(a)</w:t>
      </w:r>
      <w:r>
        <w:rPr>
          <w:rFonts w:ascii="Arial" w:cs="Arial" w:eastAsia="Arial" w:hAnsi="Arial"/>
          <w:sz w:val="18"/>
          <w:szCs w:val="18"/>
          <w:color w:val="auto"/>
        </w:rPr>
        <w:t xml:space="preserve"> or on whether or not an Erroneous Payment has been made.</w:t>
      </w:r>
    </w:p>
    <w:p>
      <w:pPr>
        <w:spacing w:after="0" w:line="170" w:lineRule="exact"/>
        <w:rPr>
          <w:sz w:val="20"/>
          <w:szCs w:val="20"/>
          <w:color w:val="auto"/>
        </w:rPr>
      </w:pPr>
    </w:p>
    <w:p>
      <w:pPr>
        <w:jc w:val="both"/>
        <w:ind w:firstLine="656"/>
        <w:spacing w:after="0" w:line="286" w:lineRule="auto"/>
        <w:tabs>
          <w:tab w:leader="none" w:pos="919" w:val="left"/>
        </w:tabs>
        <w:numPr>
          <w:ilvl w:val="1"/>
          <w:numId w:val="155"/>
        </w:numPr>
        <w:rPr>
          <w:rFonts w:ascii="Arial" w:cs="Arial" w:eastAsia="Arial" w:hAnsi="Arial"/>
          <w:sz w:val="17"/>
          <w:szCs w:val="17"/>
          <w:color w:val="auto"/>
        </w:rPr>
      </w:pPr>
      <w:r>
        <w:rPr>
          <w:rFonts w:ascii="Arial" w:cs="Arial" w:eastAsia="Arial" w:hAnsi="Arial"/>
          <w:sz w:val="17"/>
          <w:szCs w:val="17"/>
          <w:color w:val="auto"/>
        </w:rPr>
        <w:t xml:space="preserve">Each Lender hereby authorizes Agent to set off, net and apply any and all amounts at any time owing to such Lender under any Loan Document, or otherwise payable or distributable by Agent to such Lender under any Loan Document with respect to any payment of principal, interest, fees or other amounts, against any amount that Agent has demanded to be returned under immediately preceding </w:t>
      </w:r>
      <w:r>
        <w:rPr>
          <w:rFonts w:ascii="Arial" w:cs="Arial" w:eastAsia="Arial" w:hAnsi="Arial"/>
          <w:sz w:val="17"/>
          <w:szCs w:val="17"/>
          <w:u w:val="single" w:color="auto"/>
          <w:color w:val="auto"/>
        </w:rPr>
        <w:t>clause (a)</w:t>
      </w:r>
      <w:r>
        <w:rPr>
          <w:rFonts w:ascii="Arial" w:cs="Arial" w:eastAsia="Arial" w:hAnsi="Arial"/>
          <w:sz w:val="17"/>
          <w:szCs w:val="17"/>
          <w:color w:val="auto"/>
        </w:rPr>
        <w:t>.</w:t>
      </w:r>
    </w:p>
    <w:p>
      <w:pPr>
        <w:spacing w:after="0" w:line="165" w:lineRule="exact"/>
        <w:rPr>
          <w:rFonts w:ascii="Arial" w:cs="Arial" w:eastAsia="Arial" w:hAnsi="Arial"/>
          <w:sz w:val="17"/>
          <w:szCs w:val="17"/>
          <w:color w:val="auto"/>
        </w:rPr>
      </w:pPr>
    </w:p>
    <w:p>
      <w:pPr>
        <w:jc w:val="both"/>
        <w:ind w:firstLine="656"/>
        <w:spacing w:after="0" w:line="283" w:lineRule="auto"/>
        <w:tabs>
          <w:tab w:leader="none" w:pos="910" w:val="left"/>
        </w:tabs>
        <w:numPr>
          <w:ilvl w:val="1"/>
          <w:numId w:val="155"/>
        </w:numPr>
        <w:rPr>
          <w:rFonts w:ascii="Arial" w:cs="Arial" w:eastAsia="Arial" w:hAnsi="Arial"/>
          <w:sz w:val="16"/>
          <w:szCs w:val="16"/>
          <w:color w:val="auto"/>
        </w:rPr>
      </w:pPr>
      <w:r>
        <w:rPr>
          <w:rFonts w:ascii="Arial" w:cs="Arial" w:eastAsia="Arial" w:hAnsi="Arial"/>
          <w:sz w:val="16"/>
          <w:szCs w:val="16"/>
          <w:color w:val="auto"/>
        </w:rPr>
        <w:t xml:space="preserve">(i) In the event that an Erroneous Payment (or portion thereof) is not recovered by Agent for any reason, after demand therefor in accordance with immediately preceding </w:t>
      </w:r>
      <w:r>
        <w:rPr>
          <w:rFonts w:ascii="Arial" w:cs="Arial" w:eastAsia="Arial" w:hAnsi="Arial"/>
          <w:sz w:val="16"/>
          <w:szCs w:val="16"/>
          <w:u w:val="single" w:color="auto"/>
          <w:color w:val="auto"/>
        </w:rPr>
        <w:t>clause (a)</w:t>
      </w:r>
      <w:r>
        <w:rPr>
          <w:rFonts w:ascii="Arial" w:cs="Arial" w:eastAsia="Arial" w:hAnsi="Arial"/>
          <w:sz w:val="16"/>
          <w:szCs w:val="16"/>
          <w:color w:val="auto"/>
        </w:rPr>
        <w:t>, from any Lender that has received such Erroneous Payment (or portion thereof) (and/or from any Payment Recipient who received such Erroneous Payment (or portion thereof) on its respective behalf) (such unrecovered amount, an “</w:t>
      </w:r>
      <w:r>
        <w:rPr>
          <w:rFonts w:ascii="Arial" w:cs="Arial" w:eastAsia="Arial" w:hAnsi="Arial"/>
          <w:sz w:val="16"/>
          <w:szCs w:val="16"/>
          <w:b w:val="1"/>
          <w:bCs w:val="1"/>
          <w:i w:val="1"/>
          <w:iCs w:val="1"/>
          <w:color w:val="auto"/>
        </w:rPr>
        <w:t>Erroneous Payment Return</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Deficiency</w:t>
      </w:r>
      <w:r>
        <w:rPr>
          <w:rFonts w:ascii="Arial" w:cs="Arial" w:eastAsia="Arial" w:hAnsi="Arial"/>
          <w:sz w:val="16"/>
          <w:szCs w:val="16"/>
          <w:color w:val="auto"/>
        </w:rPr>
        <w:t>”), upon Agent’s notice to such Lender at any time, then effective immediately (with the consideration therefor being acknowledged by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parties hereto), (A) such Lender shall be deemed to have assigned its Term Loan (but not its Term Loan Commitments) with respect to which such Erroneous Payment was made in an amount equal to the Erroneous Payment Return Deficiency (or such lesser amount as Agent may specify) (such assignment of the Term Loan (but not Term Loan Commitments), the “</w:t>
      </w:r>
      <w:r>
        <w:rPr>
          <w:rFonts w:ascii="Arial" w:cs="Arial" w:eastAsia="Arial" w:hAnsi="Arial"/>
          <w:sz w:val="16"/>
          <w:szCs w:val="16"/>
          <w:b w:val="1"/>
          <w:bCs w:val="1"/>
          <w:i w:val="1"/>
          <w:iCs w:val="1"/>
          <w:color w:val="auto"/>
        </w:rPr>
        <w:t>Erroneous Payment Deficiency Assignment</w:t>
      </w:r>
      <w:r>
        <w:rPr>
          <w:rFonts w:ascii="Arial" w:cs="Arial" w:eastAsia="Arial" w:hAnsi="Arial"/>
          <w:sz w:val="16"/>
          <w:szCs w:val="16"/>
          <w:color w:val="auto"/>
        </w:rPr>
        <w:t>”) (on a cashless basis and such amount calculated at par plus any accrued and unpaid interest), and is hereby (together with Borrowers) deemed to execute and deliver an assignment and assumption with respect to such Erroneous Payment Deficiency Assignment, and such Lender shall deliver any Notes evidencing the such portion of the Term Loan to Borrower or Agent (but the failure of such Person to deliver any such Notes shall not affect the effectiveness of the foregoing assignment),</w:t>
      </w:r>
    </w:p>
    <w:p>
      <w:pPr>
        <w:spacing w:after="0" w:line="4" w:lineRule="exact"/>
        <w:rPr>
          <w:rFonts w:ascii="Arial" w:cs="Arial" w:eastAsia="Arial" w:hAnsi="Arial"/>
          <w:sz w:val="16"/>
          <w:szCs w:val="16"/>
          <w:color w:val="auto"/>
        </w:rPr>
      </w:pPr>
    </w:p>
    <w:p>
      <w:pPr>
        <w:jc w:val="both"/>
        <w:ind w:firstLine="8"/>
        <w:spacing w:after="0" w:line="287" w:lineRule="auto"/>
        <w:tabs>
          <w:tab w:leader="none" w:pos="301" w:val="left"/>
        </w:tabs>
        <w:numPr>
          <w:ilvl w:val="0"/>
          <w:numId w:val="156"/>
        </w:numPr>
        <w:rPr>
          <w:rFonts w:ascii="Arial" w:cs="Arial" w:eastAsia="Arial" w:hAnsi="Arial"/>
          <w:sz w:val="16"/>
          <w:szCs w:val="16"/>
          <w:color w:val="auto"/>
        </w:rPr>
      </w:pPr>
      <w:r>
        <w:rPr>
          <w:rFonts w:ascii="Arial" w:cs="Arial" w:eastAsia="Arial" w:hAnsi="Arial"/>
          <w:sz w:val="16"/>
          <w:szCs w:val="16"/>
          <w:color w:val="auto"/>
        </w:rPr>
        <w:t>Agent as the assignee Lender shall be deemed to have acquired the Erroneous Payment Deficiency Assignment, (C) upon such deemed acquisition, Agent as the assignee Lender shall become a Lender, as applicable, hereunder with respect to such Erroneous Payment Deficiency Assignment and the assigning Lender shall cease to be a Lender, as applicable, hereunder with respect to such Erroneous Payment Deficiency Assignment, excluding, for the avoidance of doubt, its obligations under the indemnification provisions of this Agreement and its applicable Term Loan Commitments which shall survive as to such assigning Lender, (D) Agent and Borrowers shall each be deemed to have waived any consents required under this Agreement to any such Erroneous Payment Deficiency Assignment, and (E) Agent will reflect in the Register its ownership interest in the Term Loan subject to the Erroneous Payment Deficiency Assignment. For the avoidance of doubt, no Erroneous Payment Deficiency Assignment will reduce the Term Loan Commitments of any Lender and such Term Loan Commitments shall remain available in accordance with the terms of this Agreement.</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20" w:type="dxa"/>
            <w:vAlign w:val="bottom"/>
            <w:tcBorders>
              <w:bottom w:val="single" w:sz="8" w:color="auto"/>
            </w:tcBorders>
          </w:tcPr>
          <w:p>
            <w:pPr>
              <w:jc w:val="right"/>
              <w:ind w:right="5350"/>
              <w:spacing w:after="0"/>
              <w:rPr>
                <w:sz w:val="20"/>
                <w:szCs w:val="20"/>
                <w:color w:val="auto"/>
              </w:rPr>
            </w:pPr>
            <w:r>
              <w:rPr>
                <w:rFonts w:ascii="Arial" w:cs="Arial" w:eastAsia="Arial" w:hAnsi="Arial"/>
                <w:sz w:val="18"/>
                <w:szCs w:val="18"/>
                <w:color w:val="auto"/>
              </w:rPr>
              <w:t>89</w:t>
            </w:r>
          </w:p>
        </w:tc>
      </w:tr>
    </w:tbl>
    <w:p>
      <w:pPr>
        <w:sectPr>
          <w:pgSz w:w="11900" w:h="16838" w:orient="portrait"/>
          <w:cols w:equalWidth="0" w:num="1">
            <w:col w:w="11240"/>
          </w:cols>
          <w:pgMar w:left="320" w:top="908" w:right="339" w:bottom="1440" w:gutter="0" w:footer="0" w:header="0"/>
        </w:sectPr>
      </w:pPr>
    </w:p>
    <w:bookmarkStart w:id="166" w:name="page167"/>
    <w:bookmarkEnd w:id="166"/>
    <w:p>
      <w:pPr>
        <w:jc w:val="both"/>
        <w:ind w:left="660" w:firstLine="644"/>
        <w:spacing w:after="0" w:line="289" w:lineRule="auto"/>
        <w:tabs>
          <w:tab w:leader="none" w:pos="1586" w:val="left"/>
        </w:tabs>
        <w:numPr>
          <w:ilvl w:val="1"/>
          <w:numId w:val="157"/>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8.6</w:t>
      </w:r>
      <w:r>
        <w:rPr>
          <w:rFonts w:ascii="Arial" w:cs="Arial" w:eastAsia="Arial" w:hAnsi="Arial"/>
          <w:sz w:val="16"/>
          <w:szCs w:val="16"/>
          <w:color w:val="auto"/>
        </w:rPr>
        <w:t xml:space="preserve"> (but excluding, in all events, any assignment consent or approval requirements (whether from Borrower or otherwise)), Agent may, in its discretion, sell any portion of the Term Loan acquired pursuant to an Erroneous Payment Deficiency Assignment and upon receipt of the proceeds of such sale, the Erroneous Payment Return Deficiency owing by the applicable Lender shall be reduced by the net proceeds of the sale of such Term Loan (or portion thereof), and Agent shall retain all other rights, remedies and claims against such Lender (and/or against any recipient that receives funds on its respective behalf). In addition, an Erroneous Payment Return Deficiency owing by the applicable Lender (x) shall be reduced by the proceeds of prepayments or repayments of principal and interest, or other distribution in respect of principal and interest, received by Agent on or with respect to such portion of the Term Loan acquired from such Lender pursuant to an Erroneous Payment Deficiency Assignment (to the extent that such Term Loan is then owned by Agent) and (y) may, in the sole discretion of Agent, be reduced by any amount specified by Agent in writing to the applicable Lender from time to time.</w:t>
      </w:r>
    </w:p>
    <w:p>
      <w:pPr>
        <w:spacing w:after="0" w:line="166" w:lineRule="exact"/>
        <w:rPr>
          <w:rFonts w:ascii="Arial" w:cs="Arial" w:eastAsia="Arial" w:hAnsi="Arial"/>
          <w:sz w:val="16"/>
          <w:szCs w:val="16"/>
          <w:color w:val="auto"/>
        </w:rPr>
      </w:pPr>
    </w:p>
    <w:p>
      <w:pPr>
        <w:jc w:val="both"/>
        <w:ind w:firstLine="656"/>
        <w:spacing w:after="0" w:line="269" w:lineRule="auto"/>
        <w:tabs>
          <w:tab w:leader="none" w:pos="918" w:val="left"/>
        </w:tabs>
        <w:numPr>
          <w:ilvl w:val="0"/>
          <w:numId w:val="158"/>
        </w:numPr>
        <w:rPr>
          <w:rFonts w:ascii="Arial" w:cs="Arial" w:eastAsia="Arial" w:hAnsi="Arial"/>
          <w:sz w:val="17"/>
          <w:szCs w:val="17"/>
          <w:color w:val="auto"/>
        </w:rPr>
      </w:pPr>
      <w:r>
        <w:rPr>
          <w:rFonts w:ascii="Arial" w:cs="Arial" w:eastAsia="Arial" w:hAnsi="Arial"/>
          <w:sz w:val="17"/>
          <w:szCs w:val="17"/>
          <w:color w:val="auto"/>
        </w:rPr>
        <w:t>The parties hereto agree that (x) irrespective of whether Agent may be equitably subrogated, in the event that an Erroneous Payment (or portion thereof) is not recovered from any Payment Recipient that has received such Erroneous Payment (or portion thereof) for any reason, Agent shall be subrogated to all the rights and interests of such Payment Recipient (and, in the case of any Payment Recipient who has received funds on behalf of a Lender to the rights and interests of such Lender) under the Loan Documents with respect to such amount (the “</w:t>
      </w:r>
      <w:r>
        <w:rPr>
          <w:rFonts w:ascii="Arial" w:cs="Arial" w:eastAsia="Arial" w:hAnsi="Arial"/>
          <w:sz w:val="17"/>
          <w:szCs w:val="17"/>
          <w:b w:val="1"/>
          <w:bCs w:val="1"/>
          <w:i w:val="1"/>
          <w:iCs w:val="1"/>
          <w:color w:val="auto"/>
        </w:rPr>
        <w:t>Erroneous Payment Subrogation Rights</w:t>
      </w:r>
      <w:r>
        <w:rPr>
          <w:rFonts w:ascii="Arial" w:cs="Arial" w:eastAsia="Arial" w:hAnsi="Arial"/>
          <w:sz w:val="17"/>
          <w:szCs w:val="17"/>
          <w:color w:val="auto"/>
        </w:rPr>
        <w: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Loan Parties’ Obligations under the Loan Documents in respect of the Erroneous Payment Subrogation Rights shall not be duplicative of such Obligations in respect of any portion of the Term Loan that have been assigned to Agent under an Erroneous Payment Deficiency Assignment) and (y) an Erroneous Payment shall not pay, prepay, repay, discharge or otherwise satisfy any Obligations owed by Borrowers or any other Loan Party;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this </w:t>
      </w:r>
      <w:r>
        <w:rPr>
          <w:rFonts w:ascii="Arial" w:cs="Arial" w:eastAsia="Arial" w:hAnsi="Arial"/>
          <w:sz w:val="17"/>
          <w:szCs w:val="17"/>
          <w:u w:val="single" w:color="auto"/>
          <w:color w:val="auto"/>
        </w:rPr>
        <w:t>Section 9.12</w:t>
      </w:r>
      <w:r>
        <w:rPr>
          <w:rFonts w:ascii="Arial" w:cs="Arial" w:eastAsia="Arial" w:hAnsi="Arial"/>
          <w:sz w:val="17"/>
          <w:szCs w:val="17"/>
          <w:color w:val="auto"/>
        </w:rPr>
        <w:t xml:space="preserve"> shall not be interpreted to increase (or accelerate the due date for), or have the effect of increasing (or accelerating the due date for), the Obligations of Borrowers relative to the amount (and/or timing for payment) of the Obligations that would have been payable had such Erroneous Payment not been made by Agent;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xml:space="preserve">, that for the avoidance of doubt, immediately preceding </w:t>
      </w:r>
      <w:r>
        <w:rPr>
          <w:rFonts w:ascii="Arial" w:cs="Arial" w:eastAsia="Arial" w:hAnsi="Arial"/>
          <w:sz w:val="17"/>
          <w:szCs w:val="17"/>
          <w:u w:val="single" w:color="auto"/>
          <w:color w:val="auto"/>
        </w:rPr>
        <w:t>clauses (x)</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(y)</w:t>
      </w:r>
      <w:r>
        <w:rPr>
          <w:rFonts w:ascii="Arial" w:cs="Arial" w:eastAsia="Arial" w:hAnsi="Arial"/>
          <w:sz w:val="17"/>
          <w:szCs w:val="17"/>
          <w:color w:val="auto"/>
        </w:rPr>
        <w:t xml:space="preserve"> shall not apply to the extent any such Erroneous Payment is, and solely with respect to the amount of such Erroneous Payment that is, comprised of funds received by Agent from Borrowers for the purpose of making such Erroneous Payment.</w:t>
      </w:r>
    </w:p>
    <w:p>
      <w:pPr>
        <w:spacing w:after="0" w:line="178" w:lineRule="exact"/>
        <w:rPr>
          <w:rFonts w:ascii="Arial" w:cs="Arial" w:eastAsia="Arial" w:hAnsi="Arial"/>
          <w:sz w:val="17"/>
          <w:szCs w:val="17"/>
          <w:color w:val="auto"/>
        </w:rPr>
      </w:pPr>
    </w:p>
    <w:p>
      <w:pPr>
        <w:jc w:val="both"/>
        <w:ind w:firstLine="656"/>
        <w:spacing w:after="0" w:line="311" w:lineRule="auto"/>
        <w:tabs>
          <w:tab w:leader="none" w:pos="873" w:val="left"/>
        </w:tabs>
        <w:numPr>
          <w:ilvl w:val="0"/>
          <w:numId w:val="158"/>
        </w:numPr>
        <w:rPr>
          <w:rFonts w:ascii="Arial" w:cs="Arial" w:eastAsia="Arial" w:hAnsi="Arial"/>
          <w:sz w:val="16"/>
          <w:szCs w:val="16"/>
          <w:color w:val="auto"/>
        </w:rPr>
      </w:pPr>
      <w:r>
        <w:rPr>
          <w:rFonts w:ascii="Arial" w:cs="Arial" w:eastAsia="Arial" w:hAnsi="Arial"/>
          <w:sz w:val="16"/>
          <w:szCs w:val="16"/>
          <w:color w:val="auto"/>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Agent for the return of any Erroneous Payment received, including, without limitation, any defense based on “discharge for value” or any similar doctrine.</w:t>
      </w:r>
    </w:p>
    <w:p>
      <w:pPr>
        <w:spacing w:after="0" w:line="148" w:lineRule="exact"/>
        <w:rPr>
          <w:rFonts w:ascii="Arial" w:cs="Arial" w:eastAsia="Arial" w:hAnsi="Arial"/>
          <w:sz w:val="16"/>
          <w:szCs w:val="16"/>
          <w:color w:val="auto"/>
        </w:rPr>
      </w:pPr>
    </w:p>
    <w:p>
      <w:pPr>
        <w:jc w:val="both"/>
        <w:ind w:firstLine="656"/>
        <w:spacing w:after="0" w:line="263" w:lineRule="auto"/>
        <w:tabs>
          <w:tab w:leader="none" w:pos="903" w:val="left"/>
        </w:tabs>
        <w:numPr>
          <w:ilvl w:val="0"/>
          <w:numId w:val="158"/>
        </w:numPr>
        <w:rPr>
          <w:rFonts w:ascii="Arial" w:cs="Arial" w:eastAsia="Arial" w:hAnsi="Arial"/>
          <w:sz w:val="18"/>
          <w:szCs w:val="18"/>
          <w:color w:val="auto"/>
        </w:rPr>
      </w:pPr>
      <w:r>
        <w:rPr>
          <w:rFonts w:ascii="Arial" w:cs="Arial" w:eastAsia="Arial" w:hAnsi="Arial"/>
          <w:sz w:val="18"/>
          <w:szCs w:val="18"/>
          <w:color w:val="auto"/>
        </w:rPr>
        <w:t xml:space="preserve">Each party’s obligations, agreements and waivers under this </w:t>
      </w:r>
      <w:r>
        <w:rPr>
          <w:rFonts w:ascii="Arial" w:cs="Arial" w:eastAsia="Arial" w:hAnsi="Arial"/>
          <w:sz w:val="18"/>
          <w:szCs w:val="18"/>
          <w:u w:val="single" w:color="auto"/>
          <w:color w:val="auto"/>
        </w:rPr>
        <w:t>Section 9.12</w:t>
      </w:r>
      <w:r>
        <w:rPr>
          <w:rFonts w:ascii="Arial" w:cs="Arial" w:eastAsia="Arial" w:hAnsi="Arial"/>
          <w:sz w:val="18"/>
          <w:szCs w:val="18"/>
          <w:color w:val="auto"/>
        </w:rPr>
        <w:t xml:space="preserve"> shall survive the resignation or replacement of Agent, any transfer of rights or obligations by, or the replacement of, a Lender, the termination of the Term Loan Commitments and/or the repayment, satisfaction or discharge of all Obligations (or any portion thereof) under any Loan Document.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left blank intentionally</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20" w:type="dxa"/>
            <w:vAlign w:val="bottom"/>
            <w:tcBorders>
              <w:bottom w:val="single" w:sz="8" w:color="auto"/>
            </w:tcBorders>
          </w:tcPr>
          <w:p>
            <w:pPr>
              <w:jc w:val="right"/>
              <w:ind w:right="5350"/>
              <w:spacing w:after="0"/>
              <w:rPr>
                <w:sz w:val="20"/>
                <w:szCs w:val="20"/>
                <w:color w:val="auto"/>
              </w:rPr>
            </w:pPr>
            <w:r>
              <w:rPr>
                <w:rFonts w:ascii="Arial" w:cs="Arial" w:eastAsia="Arial" w:hAnsi="Arial"/>
                <w:sz w:val="18"/>
                <w:szCs w:val="18"/>
                <w:color w:val="auto"/>
              </w:rPr>
              <w:t>90</w:t>
            </w:r>
          </w:p>
        </w:tc>
      </w:tr>
    </w:tbl>
    <w:p>
      <w:pPr>
        <w:sectPr>
          <w:pgSz w:w="11900" w:h="16838" w:orient="portrait"/>
          <w:cols w:equalWidth="0" w:num="1">
            <w:col w:w="11240"/>
          </w:cols>
          <w:pgMar w:left="320" w:top="908" w:right="339" w:bottom="1440" w:gutter="0" w:footer="0" w:header="0"/>
        </w:sectPr>
      </w:pPr>
    </w:p>
    <w:bookmarkStart w:id="167" w:name="page168"/>
    <w:bookmarkEnd w:id="167"/>
    <w:p>
      <w:pPr>
        <w:ind w:firstLine="648"/>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caused this Agreement to be duly executed and delivered by their proper and duly authorized</w:t>
      </w:r>
      <w:r>
        <w:rPr>
          <w:rFonts w:ascii="Arial" w:cs="Arial" w:eastAsia="Arial" w:hAnsi="Arial"/>
          <w:sz w:val="18"/>
          <w:szCs w:val="18"/>
          <w:b w:val="1"/>
          <w:bCs w:val="1"/>
          <w:color w:val="auto"/>
        </w:rPr>
        <w:t xml:space="preserve"> </w:t>
      </w:r>
      <w:r>
        <w:rPr>
          <w:rFonts w:ascii="Arial" w:cs="Arial" w:eastAsia="Arial" w:hAnsi="Arial"/>
          <w:sz w:val="18"/>
          <w:szCs w:val="18"/>
          <w:color w:val="auto"/>
        </w:rPr>
        <w:t>officers as of the day and year first above written.</w:t>
      </w:r>
    </w:p>
    <w:p>
      <w:pPr>
        <w:spacing w:after="0" w:line="162"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BORROWER:</w:t>
      </w:r>
    </w:p>
    <w:p>
      <w:pPr>
        <w:spacing w:after="0" w:line="2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PRESTO AUTOMATION LLC</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(F/K/A E LA CARTE, LLC, F/K/A VENTOUX MERGER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SUB II LLC)</w:t>
      </w:r>
    </w:p>
    <w:p>
      <w:pPr>
        <w:spacing w:after="0" w:line="21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5715</wp:posOffset>
            </wp:positionV>
            <wp:extent cx="249428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27"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PARENT:</w:t>
      </w:r>
    </w:p>
    <w:p>
      <w:pPr>
        <w:spacing w:after="0" w:line="2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PRESTO AUTOMATION INC.</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(F/K/A VENTOUX CCM ACQUISITION CORP.)</w:t>
      </w:r>
    </w:p>
    <w:p>
      <w:pPr>
        <w:spacing w:after="0" w:line="21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5715</wp:posOffset>
            </wp:positionV>
            <wp:extent cx="249428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249428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460375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68" w:name="page169"/>
    <w:bookmarkEnd w:id="168"/>
    <w:p>
      <w:pPr>
        <w:ind w:left="5640"/>
        <w:spacing w:after="0"/>
        <w:rPr>
          <w:sz w:val="20"/>
          <w:szCs w:val="20"/>
          <w:color w:val="auto"/>
        </w:rPr>
      </w:pPr>
      <w:r>
        <w:rPr>
          <w:rFonts w:ascii="Arial" w:cs="Arial" w:eastAsia="Arial" w:hAnsi="Arial"/>
          <w:sz w:val="18"/>
          <w:szCs w:val="18"/>
          <w:b w:val="1"/>
          <w:bCs w:val="1"/>
          <w:color w:val="auto"/>
        </w:rPr>
        <w:t>AGENT:</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METROPOLITAN PARTNERS GROUP</w:t>
      </w:r>
    </w:p>
    <w:p>
      <w:pPr>
        <w:spacing w:after="0" w:line="4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ADMINISTRATION, LLC</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5715</wp:posOffset>
            </wp:positionV>
            <wp:extent cx="249428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249428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460375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69" w:name="page170"/>
    <w:bookmarkEnd w:id="169"/>
    <w:p>
      <w:pPr>
        <w:ind w:left="5580"/>
        <w:spacing w:after="0"/>
        <w:rPr>
          <w:sz w:val="20"/>
          <w:szCs w:val="20"/>
          <w:color w:val="auto"/>
        </w:rPr>
      </w:pPr>
      <w:r>
        <w:rPr>
          <w:rFonts w:ascii="Arial" w:cs="Arial" w:eastAsia="Arial" w:hAnsi="Arial"/>
          <w:sz w:val="18"/>
          <w:szCs w:val="18"/>
          <w:b w:val="1"/>
          <w:bCs w:val="1"/>
          <w:color w:val="auto"/>
        </w:rPr>
        <w:t>LENDERS:</w:t>
      </w:r>
    </w:p>
    <w:p>
      <w:pPr>
        <w:spacing w:after="0" w:line="229"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METROPOLITAN LEVERED PARTNERS FUND VII, LP</w:t>
      </w:r>
    </w:p>
    <w:p>
      <w:pPr>
        <w:spacing w:after="0" w:line="23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14605</wp:posOffset>
            </wp:positionV>
            <wp:extent cx="249428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5715</wp:posOffset>
            </wp:positionV>
            <wp:extent cx="249428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14605</wp:posOffset>
            </wp:positionV>
            <wp:extent cx="249428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3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METROPOLITAN PARTNERS FUND VII, LP</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14605</wp:posOffset>
            </wp:positionV>
            <wp:extent cx="249428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5715</wp:posOffset>
            </wp:positionV>
            <wp:extent cx="249428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14605</wp:posOffset>
            </wp:positionV>
            <wp:extent cx="249428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3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CEOF HOLDINGS LP</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CORBIN CAPITAL PARTNERS, L.P., its Investment</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Manager: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443230</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900"/>
          </w:cols>
          <w:pgMar w:left="1440" w:top="904" w:right="559" w:bottom="1440" w:gutter="0" w:footer="0" w:header="0"/>
        </w:sectPr>
      </w:pPr>
    </w:p>
    <w:bookmarkStart w:id="170" w:name="page171"/>
    <w:bookmarkEnd w:id="170"/>
    <w:p>
      <w:pPr>
        <w:jc w:val="center"/>
        <w:ind w:right="19"/>
        <w:spacing w:after="0"/>
        <w:rPr>
          <w:sz w:val="20"/>
          <w:szCs w:val="20"/>
          <w:color w:val="auto"/>
        </w:rPr>
      </w:pPr>
      <w:r>
        <w:rPr>
          <w:rFonts w:ascii="Arial" w:cs="Arial" w:eastAsia="Arial" w:hAnsi="Arial"/>
          <w:sz w:val="18"/>
          <w:szCs w:val="18"/>
          <w:b w:val="1"/>
          <w:bCs w:val="1"/>
          <w:u w:val="single" w:color="auto"/>
          <w:color w:val="auto"/>
        </w:rPr>
        <w:t>ANNEX 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Restated Schedules and Exhibits to Credit Agreement</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attached.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II to Third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717550</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71" w:name="page172"/>
    <w:bookmarkEnd w:id="171"/>
    <w:tbl>
      <w:tblPr>
        <w:tblLayout w:type="fixed"/>
        <w:tblInd w:w="0" w:type="dxa"/>
        <w:tblCellMar>
          <w:top w:w="0" w:type="dxa"/>
          <w:left w:w="0" w:type="dxa"/>
          <w:bottom w:w="0" w:type="dxa"/>
          <w:right w:w="0" w:type="dxa"/>
        </w:tblCellMar>
      </w:tblPr>
      <w:tr>
        <w:trPr>
          <w:trHeight w:val="234"/>
        </w:trPr>
        <w:tc>
          <w:tcPr>
            <w:tcW w:w="1480" w:type="dxa"/>
            <w:vAlign w:val="bottom"/>
          </w:tcPr>
          <w:p>
            <w:pPr>
              <w:spacing w:after="0"/>
              <w:rPr>
                <w:sz w:val="20"/>
                <w:szCs w:val="20"/>
                <w:color w:val="auto"/>
              </w:rPr>
            </w:pPr>
          </w:p>
        </w:tc>
        <w:tc>
          <w:tcPr>
            <w:tcW w:w="9760" w:type="dxa"/>
            <w:vAlign w:val="bottom"/>
          </w:tcPr>
          <w:p>
            <w:pPr>
              <w:ind w:left="3600"/>
              <w:spacing w:after="0"/>
              <w:rPr>
                <w:sz w:val="20"/>
                <w:szCs w:val="20"/>
                <w:color w:val="auto"/>
              </w:rPr>
            </w:pPr>
            <w:r>
              <w:rPr>
                <w:rFonts w:ascii="Arial" w:cs="Arial" w:eastAsia="Arial" w:hAnsi="Arial"/>
                <w:sz w:val="18"/>
                <w:szCs w:val="18"/>
                <w:b w:val="1"/>
                <w:bCs w:val="1"/>
                <w:color w:val="auto"/>
              </w:rPr>
              <w:t>SCHEDULES</w:t>
            </w:r>
          </w:p>
        </w:tc>
      </w:tr>
      <w:tr>
        <w:trPr>
          <w:trHeight w:val="418"/>
        </w:trPr>
        <w:tc>
          <w:tcPr>
            <w:tcW w:w="1480" w:type="dxa"/>
            <w:vAlign w:val="bottom"/>
          </w:tcPr>
          <w:p>
            <w:pPr>
              <w:spacing w:after="0"/>
              <w:rPr>
                <w:sz w:val="20"/>
                <w:szCs w:val="20"/>
                <w:color w:val="auto"/>
              </w:rPr>
            </w:pPr>
            <w:r>
              <w:rPr>
                <w:rFonts w:ascii="Arial" w:cs="Arial" w:eastAsia="Arial" w:hAnsi="Arial"/>
                <w:sz w:val="18"/>
                <w:szCs w:val="18"/>
                <w:color w:val="auto"/>
              </w:rPr>
              <w:t>Schedule 1.1(a)</w:t>
            </w:r>
          </w:p>
        </w:tc>
        <w:tc>
          <w:tcPr>
            <w:tcW w:w="9760" w:type="dxa"/>
            <w:vAlign w:val="bottom"/>
          </w:tcPr>
          <w:p>
            <w:pPr>
              <w:ind w:left="340"/>
              <w:spacing w:after="0"/>
              <w:rPr>
                <w:sz w:val="20"/>
                <w:szCs w:val="20"/>
                <w:color w:val="auto"/>
              </w:rPr>
            </w:pPr>
            <w:r>
              <w:rPr>
                <w:rFonts w:ascii="Arial" w:cs="Arial" w:eastAsia="Arial" w:hAnsi="Arial"/>
                <w:sz w:val="18"/>
                <w:szCs w:val="18"/>
                <w:color w:val="auto"/>
              </w:rPr>
              <w:t>Term Loan Commitments</w:t>
            </w: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Schedule 1.1(b)</w:t>
            </w:r>
          </w:p>
        </w:tc>
        <w:tc>
          <w:tcPr>
            <w:tcW w:w="9760" w:type="dxa"/>
            <w:vAlign w:val="bottom"/>
          </w:tcPr>
          <w:p>
            <w:pPr>
              <w:ind w:left="340"/>
              <w:spacing w:after="0"/>
              <w:rPr>
                <w:sz w:val="20"/>
                <w:szCs w:val="20"/>
                <w:color w:val="auto"/>
              </w:rPr>
            </w:pPr>
            <w:r>
              <w:rPr>
                <w:rFonts w:ascii="Arial" w:cs="Arial" w:eastAsia="Arial" w:hAnsi="Arial"/>
                <w:sz w:val="18"/>
                <w:szCs w:val="18"/>
                <w:color w:val="auto"/>
              </w:rPr>
              <w:t>Deposit Accounts</w:t>
            </w: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Schedule 1.1(c)</w:t>
            </w:r>
          </w:p>
        </w:tc>
        <w:tc>
          <w:tcPr>
            <w:tcW w:w="9760" w:type="dxa"/>
            <w:vAlign w:val="bottom"/>
          </w:tcPr>
          <w:p>
            <w:pPr>
              <w:ind w:left="340"/>
              <w:spacing w:after="0"/>
              <w:rPr>
                <w:sz w:val="20"/>
                <w:szCs w:val="20"/>
                <w:color w:val="auto"/>
              </w:rPr>
            </w:pPr>
            <w:r>
              <w:rPr>
                <w:rFonts w:ascii="Arial" w:cs="Arial" w:eastAsia="Arial" w:hAnsi="Arial"/>
                <w:sz w:val="18"/>
                <w:szCs w:val="18"/>
                <w:color w:val="auto"/>
              </w:rPr>
              <w:t>Permitted Indebtedness</w:t>
            </w: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Schedule 1.1(d)</w:t>
            </w:r>
          </w:p>
        </w:tc>
        <w:tc>
          <w:tcPr>
            <w:tcW w:w="9760" w:type="dxa"/>
            <w:vAlign w:val="bottom"/>
          </w:tcPr>
          <w:p>
            <w:pPr>
              <w:ind w:left="340"/>
              <w:spacing w:after="0"/>
              <w:rPr>
                <w:sz w:val="20"/>
                <w:szCs w:val="20"/>
                <w:color w:val="auto"/>
              </w:rPr>
            </w:pPr>
            <w:r>
              <w:rPr>
                <w:rFonts w:ascii="Arial" w:cs="Arial" w:eastAsia="Arial" w:hAnsi="Arial"/>
                <w:sz w:val="18"/>
                <w:szCs w:val="18"/>
                <w:color w:val="auto"/>
              </w:rPr>
              <w:t>SPAC Subscription Agreements</w:t>
            </w: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Schedule 3.6</w:t>
            </w:r>
          </w:p>
        </w:tc>
        <w:tc>
          <w:tcPr>
            <w:tcW w:w="9760" w:type="dxa"/>
            <w:vAlign w:val="bottom"/>
          </w:tcPr>
          <w:p>
            <w:pPr>
              <w:ind w:left="340"/>
              <w:spacing w:after="0"/>
              <w:rPr>
                <w:sz w:val="20"/>
                <w:szCs w:val="20"/>
                <w:color w:val="auto"/>
              </w:rPr>
            </w:pPr>
            <w:r>
              <w:rPr>
                <w:rFonts w:ascii="Arial" w:cs="Arial" w:eastAsia="Arial" w:hAnsi="Arial"/>
                <w:sz w:val="18"/>
                <w:szCs w:val="18"/>
                <w:color w:val="auto"/>
              </w:rPr>
              <w:t>Current Litigation</w:t>
            </w: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Schedule 3.7</w:t>
            </w:r>
          </w:p>
        </w:tc>
        <w:tc>
          <w:tcPr>
            <w:tcW w:w="9760" w:type="dxa"/>
            <w:vAlign w:val="bottom"/>
          </w:tcPr>
          <w:p>
            <w:pPr>
              <w:ind w:left="340"/>
              <w:spacing w:after="0"/>
              <w:rPr>
                <w:sz w:val="20"/>
                <w:szCs w:val="20"/>
                <w:color w:val="auto"/>
              </w:rPr>
            </w:pPr>
            <w:r>
              <w:rPr>
                <w:rFonts w:ascii="Arial" w:cs="Arial" w:eastAsia="Arial" w:hAnsi="Arial"/>
                <w:sz w:val="18"/>
                <w:szCs w:val="18"/>
                <w:color w:val="auto"/>
              </w:rPr>
              <w:t>Material Contracts</w:t>
            </w: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Schedule 3.19</w:t>
            </w:r>
          </w:p>
        </w:tc>
        <w:tc>
          <w:tcPr>
            <w:tcW w:w="9760" w:type="dxa"/>
            <w:vAlign w:val="bottom"/>
          </w:tcPr>
          <w:p>
            <w:pPr>
              <w:ind w:left="340"/>
              <w:spacing w:after="0"/>
              <w:rPr>
                <w:sz w:val="20"/>
                <w:szCs w:val="20"/>
                <w:color w:val="auto"/>
              </w:rPr>
            </w:pPr>
            <w:r>
              <w:rPr>
                <w:rFonts w:ascii="Arial" w:cs="Arial" w:eastAsia="Arial" w:hAnsi="Arial"/>
                <w:sz w:val="18"/>
                <w:szCs w:val="18"/>
                <w:color w:val="auto"/>
              </w:rPr>
              <w:t>Subsidiaries</w:t>
            </w: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Schedule 3.23</w:t>
            </w:r>
          </w:p>
        </w:tc>
        <w:tc>
          <w:tcPr>
            <w:tcW w:w="9760" w:type="dxa"/>
            <w:vAlign w:val="bottom"/>
          </w:tcPr>
          <w:p>
            <w:pPr>
              <w:ind w:left="340"/>
              <w:spacing w:after="0"/>
              <w:rPr>
                <w:sz w:val="20"/>
                <w:szCs w:val="20"/>
                <w:color w:val="auto"/>
              </w:rPr>
            </w:pPr>
            <w:r>
              <w:rPr>
                <w:rFonts w:ascii="Arial" w:cs="Arial" w:eastAsia="Arial" w:hAnsi="Arial"/>
                <w:sz w:val="18"/>
                <w:szCs w:val="18"/>
                <w:color w:val="auto"/>
              </w:rPr>
              <w:t>Capitalization of Loan Parties; Subsidiaries</w:t>
            </w: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Schedule 3.24</w:t>
            </w:r>
          </w:p>
        </w:tc>
        <w:tc>
          <w:tcPr>
            <w:tcW w:w="9760" w:type="dxa"/>
            <w:vAlign w:val="bottom"/>
          </w:tcPr>
          <w:p>
            <w:pPr>
              <w:ind w:left="340"/>
              <w:spacing w:after="0"/>
              <w:rPr>
                <w:sz w:val="20"/>
                <w:szCs w:val="20"/>
                <w:color w:val="auto"/>
              </w:rPr>
            </w:pPr>
            <w:r>
              <w:rPr>
                <w:rFonts w:ascii="Arial" w:cs="Arial" w:eastAsia="Arial" w:hAnsi="Arial"/>
                <w:sz w:val="18"/>
                <w:szCs w:val="18"/>
                <w:color w:val="auto"/>
              </w:rPr>
              <w:t>Affiliate Transactions</w:t>
            </w:r>
          </w:p>
        </w:tc>
      </w:tr>
      <w:tr>
        <w:trPr>
          <w:trHeight w:val="230"/>
        </w:trPr>
        <w:tc>
          <w:tcPr>
            <w:tcW w:w="1480" w:type="dxa"/>
            <w:vAlign w:val="bottom"/>
          </w:tcPr>
          <w:p>
            <w:pPr>
              <w:spacing w:after="0"/>
              <w:rPr>
                <w:sz w:val="20"/>
                <w:szCs w:val="20"/>
                <w:color w:val="auto"/>
              </w:rPr>
            </w:pPr>
            <w:r>
              <w:rPr>
                <w:rFonts w:ascii="Arial" w:cs="Arial" w:eastAsia="Arial" w:hAnsi="Arial"/>
                <w:sz w:val="18"/>
                <w:szCs w:val="18"/>
                <w:color w:val="auto"/>
              </w:rPr>
              <w:t>Schedule 6.6</w:t>
            </w:r>
          </w:p>
        </w:tc>
        <w:tc>
          <w:tcPr>
            <w:tcW w:w="9760" w:type="dxa"/>
            <w:vAlign w:val="bottom"/>
          </w:tcPr>
          <w:p>
            <w:pPr>
              <w:ind w:left="340"/>
              <w:spacing w:after="0"/>
              <w:rPr>
                <w:sz w:val="20"/>
                <w:szCs w:val="20"/>
                <w:color w:val="auto"/>
              </w:rPr>
            </w:pPr>
            <w:r>
              <w:rPr>
                <w:rFonts w:ascii="Arial" w:cs="Arial" w:eastAsia="Arial" w:hAnsi="Arial"/>
                <w:sz w:val="18"/>
                <w:szCs w:val="18"/>
                <w:color w:val="auto"/>
              </w:rPr>
              <w:t>Permitted Investments</w:t>
            </w:r>
          </w:p>
        </w:tc>
      </w:tr>
      <w:tr>
        <w:trPr>
          <w:trHeight w:val="432"/>
        </w:trPr>
        <w:tc>
          <w:tcPr>
            <w:tcW w:w="1480" w:type="dxa"/>
            <w:vAlign w:val="bottom"/>
          </w:tcPr>
          <w:p>
            <w:pPr>
              <w:spacing w:after="0"/>
              <w:rPr>
                <w:sz w:val="24"/>
                <w:szCs w:val="24"/>
                <w:color w:val="auto"/>
              </w:rPr>
            </w:pPr>
          </w:p>
        </w:tc>
        <w:tc>
          <w:tcPr>
            <w:tcW w:w="9760" w:type="dxa"/>
            <w:vAlign w:val="bottom"/>
          </w:tcPr>
          <w:p>
            <w:pPr>
              <w:ind w:left="3700"/>
              <w:spacing w:after="0"/>
              <w:rPr>
                <w:sz w:val="20"/>
                <w:szCs w:val="20"/>
                <w:color w:val="auto"/>
              </w:rPr>
            </w:pPr>
            <w:r>
              <w:rPr>
                <w:rFonts w:ascii="Arial" w:cs="Arial" w:eastAsia="Arial" w:hAnsi="Arial"/>
                <w:sz w:val="18"/>
                <w:szCs w:val="18"/>
                <w:b w:val="1"/>
                <w:bCs w:val="1"/>
                <w:color w:val="auto"/>
              </w:rPr>
              <w:t>EXHIBITS</w:t>
            </w:r>
          </w:p>
        </w:tc>
      </w:tr>
      <w:tr>
        <w:trPr>
          <w:trHeight w:val="418"/>
        </w:trPr>
        <w:tc>
          <w:tcPr>
            <w:tcW w:w="1480" w:type="dxa"/>
            <w:vAlign w:val="bottom"/>
          </w:tcPr>
          <w:p>
            <w:pPr>
              <w:spacing w:after="0"/>
              <w:rPr>
                <w:sz w:val="20"/>
                <w:szCs w:val="20"/>
                <w:color w:val="auto"/>
              </w:rPr>
            </w:pPr>
            <w:r>
              <w:rPr>
                <w:rFonts w:ascii="Arial" w:cs="Arial" w:eastAsia="Arial" w:hAnsi="Arial"/>
                <w:sz w:val="18"/>
                <w:szCs w:val="18"/>
                <w:color w:val="auto"/>
              </w:rPr>
              <w:t>Exhibit A</w:t>
            </w:r>
          </w:p>
        </w:tc>
        <w:tc>
          <w:tcPr>
            <w:tcW w:w="9760" w:type="dxa"/>
            <w:vAlign w:val="bottom"/>
          </w:tcPr>
          <w:p>
            <w:pPr>
              <w:ind w:left="340"/>
              <w:spacing w:after="0"/>
              <w:rPr>
                <w:sz w:val="20"/>
                <w:szCs w:val="20"/>
                <w:color w:val="auto"/>
              </w:rPr>
            </w:pPr>
            <w:r>
              <w:rPr>
                <w:rFonts w:ascii="Arial" w:cs="Arial" w:eastAsia="Arial" w:hAnsi="Arial"/>
                <w:sz w:val="18"/>
                <w:szCs w:val="18"/>
                <w:color w:val="auto"/>
              </w:rPr>
              <w:t>Form of Compliance Certificate</w:t>
            </w: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Exhibit B</w:t>
            </w:r>
          </w:p>
        </w:tc>
        <w:tc>
          <w:tcPr>
            <w:tcW w:w="9760" w:type="dxa"/>
            <w:vAlign w:val="bottom"/>
          </w:tcPr>
          <w:p>
            <w:pPr>
              <w:ind w:left="340"/>
              <w:spacing w:after="0"/>
              <w:rPr>
                <w:sz w:val="20"/>
                <w:szCs w:val="20"/>
                <w:color w:val="auto"/>
              </w:rPr>
            </w:pPr>
            <w:r>
              <w:rPr>
                <w:rFonts w:ascii="Arial" w:cs="Arial" w:eastAsia="Arial" w:hAnsi="Arial"/>
                <w:sz w:val="18"/>
                <w:szCs w:val="18"/>
                <w:color w:val="auto"/>
              </w:rPr>
              <w:t>Form of Notice of Borrowing</w:t>
            </w: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Exhibit C</w:t>
            </w:r>
          </w:p>
        </w:tc>
        <w:tc>
          <w:tcPr>
            <w:tcW w:w="9760" w:type="dxa"/>
            <w:vAlign w:val="bottom"/>
          </w:tcPr>
          <w:p>
            <w:pPr>
              <w:ind w:left="340"/>
              <w:spacing w:after="0"/>
              <w:rPr>
                <w:sz w:val="20"/>
                <w:szCs w:val="20"/>
                <w:color w:val="auto"/>
              </w:rPr>
            </w:pPr>
            <w:r>
              <w:rPr>
                <w:rFonts w:ascii="Arial" w:cs="Arial" w:eastAsia="Arial" w:hAnsi="Arial"/>
                <w:sz w:val="18"/>
                <w:szCs w:val="18"/>
                <w:color w:val="auto"/>
              </w:rPr>
              <w:t>Form of Payment Notice</w:t>
            </w: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Exhibit D</w:t>
            </w:r>
          </w:p>
        </w:tc>
        <w:tc>
          <w:tcPr>
            <w:tcW w:w="9760" w:type="dxa"/>
            <w:vAlign w:val="bottom"/>
          </w:tcPr>
          <w:p>
            <w:pPr>
              <w:ind w:left="340"/>
              <w:spacing w:after="0"/>
              <w:rPr>
                <w:sz w:val="20"/>
                <w:szCs w:val="20"/>
                <w:color w:val="auto"/>
              </w:rPr>
            </w:pPr>
            <w:r>
              <w:rPr>
                <w:rFonts w:ascii="Arial" w:cs="Arial" w:eastAsia="Arial" w:hAnsi="Arial"/>
                <w:sz w:val="18"/>
                <w:szCs w:val="18"/>
                <w:color w:val="auto"/>
              </w:rPr>
              <w:t>Form of Promissory Note</w:t>
            </w:r>
          </w:p>
        </w:tc>
      </w:tr>
      <w:tr>
        <w:trPr>
          <w:trHeight w:val="230"/>
        </w:trPr>
        <w:tc>
          <w:tcPr>
            <w:tcW w:w="1480" w:type="dxa"/>
            <w:vAlign w:val="bottom"/>
          </w:tcPr>
          <w:p>
            <w:pPr>
              <w:spacing w:after="0"/>
              <w:rPr>
                <w:sz w:val="20"/>
                <w:szCs w:val="20"/>
                <w:color w:val="auto"/>
              </w:rPr>
            </w:pPr>
            <w:r>
              <w:rPr>
                <w:rFonts w:ascii="Arial" w:cs="Arial" w:eastAsia="Arial" w:hAnsi="Arial"/>
                <w:sz w:val="18"/>
                <w:szCs w:val="18"/>
                <w:color w:val="auto"/>
              </w:rPr>
              <w:t>Exhibit E</w:t>
            </w:r>
          </w:p>
        </w:tc>
        <w:tc>
          <w:tcPr>
            <w:tcW w:w="9760" w:type="dxa"/>
            <w:vAlign w:val="bottom"/>
          </w:tcPr>
          <w:p>
            <w:pPr>
              <w:ind w:left="340"/>
              <w:spacing w:after="0"/>
              <w:rPr>
                <w:sz w:val="20"/>
                <w:szCs w:val="20"/>
                <w:color w:val="auto"/>
              </w:rPr>
            </w:pPr>
            <w:r>
              <w:rPr>
                <w:rFonts w:ascii="Arial" w:cs="Arial" w:eastAsia="Arial" w:hAnsi="Arial"/>
                <w:sz w:val="18"/>
                <w:szCs w:val="18"/>
                <w:color w:val="auto"/>
              </w:rPr>
              <w:t>Form of Financial Covenant Calculations</w:t>
            </w:r>
          </w:p>
        </w:tc>
      </w:tr>
      <w:tr>
        <w:trPr>
          <w:trHeight w:val="439"/>
        </w:trPr>
        <w:tc>
          <w:tcPr>
            <w:tcW w:w="1480" w:type="dxa"/>
            <w:vAlign w:val="bottom"/>
            <w:tcBorders>
              <w:bottom w:val="single" w:sz="8" w:color="auto"/>
            </w:tcBorders>
          </w:tcPr>
          <w:p>
            <w:pPr>
              <w:spacing w:after="0"/>
              <w:rPr>
                <w:sz w:val="24"/>
                <w:szCs w:val="24"/>
                <w:color w:val="auto"/>
              </w:rPr>
            </w:pPr>
          </w:p>
        </w:tc>
        <w:tc>
          <w:tcPr>
            <w:tcW w:w="97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72" w:name="page173"/>
    <w:bookmarkEnd w:id="172"/>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COMPLIANCE CERTIFICATE</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The undersigned hereby certifies that (a) he or she is a Responsible Officer of (i) </w:t>
      </w:r>
      <w:r>
        <w:rPr>
          <w:rFonts w:ascii="Arial" w:cs="Arial" w:eastAsia="Arial" w:hAnsi="Arial"/>
          <w:sz w:val="17"/>
          <w:szCs w:val="17"/>
          <w:b w:val="1"/>
          <w:bCs w:val="1"/>
          <w:color w:val="auto"/>
        </w:rPr>
        <w:t>PRESTO AUTOMATION LLC</w:t>
      </w:r>
      <w:r>
        <w:rPr>
          <w:rFonts w:ascii="Arial" w:cs="Arial" w:eastAsia="Arial" w:hAnsi="Arial"/>
          <w:sz w:val="17"/>
          <w:szCs w:val="17"/>
          <w:color w:val="auto"/>
        </w:rPr>
        <w:t xml:space="preserve"> (f/k/a E La Carte, LLC, f/k/a Ventoux Merger Sub II LLC) a Delaware limited liability company (“</w:t>
      </w:r>
      <w:r>
        <w:rPr>
          <w:rFonts w:ascii="Arial" w:cs="Arial" w:eastAsia="Arial" w:hAnsi="Arial"/>
          <w:sz w:val="17"/>
          <w:szCs w:val="17"/>
          <w:b w:val="1"/>
          <w:bCs w:val="1"/>
          <w:i w:val="1"/>
          <w:iCs w:val="1"/>
          <w:color w:val="auto"/>
        </w:rPr>
        <w:t>Borrower</w:t>
      </w:r>
      <w:r>
        <w:rPr>
          <w:rFonts w:ascii="Arial" w:cs="Arial" w:eastAsia="Arial" w:hAnsi="Arial"/>
          <w:sz w:val="17"/>
          <w:szCs w:val="17"/>
          <w:color w:val="auto"/>
        </w:rPr>
        <w:t xml:space="preserve">”) and (ii) </w:t>
      </w:r>
      <w:r>
        <w:rPr>
          <w:rFonts w:ascii="Arial" w:cs="Arial" w:eastAsia="Arial" w:hAnsi="Arial"/>
          <w:sz w:val="17"/>
          <w:szCs w:val="17"/>
          <w:b w:val="1"/>
          <w:bCs w:val="1"/>
          <w:color w:val="auto"/>
        </w:rPr>
        <w:t>PRESTO AUTOMATION INC.</w:t>
      </w:r>
      <w:r>
        <w:rPr>
          <w:rFonts w:ascii="Arial" w:cs="Arial" w:eastAsia="Arial" w:hAnsi="Arial"/>
          <w:sz w:val="17"/>
          <w:szCs w:val="17"/>
          <w:color w:val="auto"/>
        </w:rPr>
        <w:t>, a Delaware corporation (“</w:t>
      </w:r>
      <w:r>
        <w:rPr>
          <w:rFonts w:ascii="Arial" w:cs="Arial" w:eastAsia="Arial" w:hAnsi="Arial"/>
          <w:sz w:val="17"/>
          <w:szCs w:val="17"/>
          <w:b w:val="1"/>
          <w:bCs w:val="1"/>
          <w:i w:val="1"/>
          <w:iCs w:val="1"/>
          <w:color w:val="auto"/>
        </w:rPr>
        <w:t>Parent</w:t>
      </w:r>
      <w:r>
        <w:rPr>
          <w:rFonts w:ascii="Arial" w:cs="Arial" w:eastAsia="Arial" w:hAnsi="Arial"/>
          <w:sz w:val="17"/>
          <w:szCs w:val="17"/>
          <w:color w:val="auto"/>
        </w:rPr>
        <w:t>”); (b) he or she is authorized in such capacity to execute this Compliance Certificate on behalf of the Borrower pursuant to Section 5.2(a) of the Credit Agreement dated as of September 21, 2022 (as may be amended, restated, amended and restated, supplemented or otherwise modified from time to time, the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xml:space="preserve">”; each capitalized term used herein without definition shall have the meaning ascribed to such term in the Agreement), by and among Borrower, Parent, the Lenders from time to time party thereto, and </w:t>
      </w:r>
      <w:r>
        <w:rPr>
          <w:rFonts w:ascii="Arial" w:cs="Arial" w:eastAsia="Arial" w:hAnsi="Arial"/>
          <w:sz w:val="17"/>
          <w:szCs w:val="17"/>
          <w:b w:val="1"/>
          <w:bCs w:val="1"/>
          <w:color w:val="auto"/>
        </w:rPr>
        <w:t>METROPOLITAN PARTNERS GROUP ADMINISTRATION, LLC</w:t>
      </w:r>
      <w:r>
        <w:rPr>
          <w:rFonts w:ascii="Arial" w:cs="Arial" w:eastAsia="Arial" w:hAnsi="Arial"/>
          <w:sz w:val="17"/>
          <w:szCs w:val="17"/>
          <w:color w:val="auto"/>
        </w:rPr>
        <w:t>, a Delaware limited liability company, as administrative, payment, and collateral agent for itself, as a Lender, and for the other Lenders (in such capacities, the “</w:t>
      </w:r>
      <w:r>
        <w:rPr>
          <w:rFonts w:ascii="Arial" w:cs="Arial" w:eastAsia="Arial" w:hAnsi="Arial"/>
          <w:sz w:val="17"/>
          <w:szCs w:val="17"/>
          <w:b w:val="1"/>
          <w:bCs w:val="1"/>
          <w:i w:val="1"/>
          <w:iCs w:val="1"/>
          <w:color w:val="auto"/>
        </w:rPr>
        <w:t>Agent</w:t>
      </w:r>
      <w:r>
        <w:rPr>
          <w:rFonts w:ascii="Arial" w:cs="Arial" w:eastAsia="Arial" w:hAnsi="Arial"/>
          <w:sz w:val="17"/>
          <w:szCs w:val="17"/>
          <w:color w:val="auto"/>
        </w:rPr>
        <w:t>”) and (c) a review has been made under his or her supervision with a view to determining whether the Loan Parties have fulfilled all of their respective obligations under the Agreement and the other Loan Documents. The undersigned, in his or her capacity as a Responsible Officer of the Loan Parties, further certifies, represents and warrants that to his or her knowledge:</w:t>
      </w:r>
    </w:p>
    <w:p>
      <w:pPr>
        <w:spacing w:after="0" w:line="181" w:lineRule="exact"/>
        <w:rPr>
          <w:sz w:val="20"/>
          <w:szCs w:val="20"/>
          <w:color w:val="auto"/>
        </w:rPr>
      </w:pPr>
    </w:p>
    <w:p>
      <w:pPr>
        <w:jc w:val="both"/>
        <w:ind w:left="980" w:hanging="324"/>
        <w:spacing w:after="0" w:line="286" w:lineRule="auto"/>
        <w:tabs>
          <w:tab w:leader="none" w:pos="98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The financial statements delivered to the Agent concurrently with this Compliance Certificate have been prepared in accordance with GAAP consistently applied throughout the [calendar month][Fiscal Year] indicated and fairly present in all material respects the financial condition and results of operations of each Loan Party and its Subsidiaries as of the last day, and for, the period indicated.</w:t>
      </w:r>
    </w:p>
    <w:p>
      <w:pPr>
        <w:spacing w:after="0" w:line="165"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 xml:space="preserve">No Default or Event of Default has occurred and is continuing. In this regard, the compliance with the provisions of </w:t>
      </w:r>
      <w:r>
        <w:rPr>
          <w:rFonts w:ascii="Arial" w:cs="Arial" w:eastAsia="Arial" w:hAnsi="Arial"/>
          <w:sz w:val="18"/>
          <w:szCs w:val="18"/>
          <w:u w:val="single" w:color="auto"/>
          <w:color w:val="auto"/>
        </w:rPr>
        <w:t>Sections 6.17(a)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6.17(c)</w:t>
      </w:r>
      <w:r>
        <w:rPr>
          <w:rFonts w:ascii="Arial" w:cs="Arial" w:eastAsia="Arial" w:hAnsi="Arial"/>
          <w:sz w:val="18"/>
          <w:szCs w:val="18"/>
          <w:color w:val="auto"/>
        </w:rPr>
        <w:t xml:space="preserve"> of the Agreement as of the date of the financial statements delivered to the Agent concurrently with this Compliance Certificate is as set forth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hereto:</w:t>
      </w:r>
    </w:p>
    <w:p>
      <w:pPr>
        <w:spacing w:after="0" w:line="18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Since [_____], there has been no change in the financial condition, operations, assets, business or properties of the Loan Parties which could reasonably be expected to result in a Material Adverse Effect.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3" w:name="page174"/>
    <w:bookmarkEnd w:id="173"/>
    <w:p>
      <w:pPr>
        <w:spacing w:after="0"/>
        <w:rPr>
          <w:sz w:val="20"/>
          <w:szCs w:val="20"/>
          <w:color w:val="auto"/>
        </w:rPr>
      </w:pPr>
      <w:r>
        <w:rPr>
          <w:rFonts w:ascii="Arial" w:cs="Arial" w:eastAsia="Arial" w:hAnsi="Arial"/>
          <w:sz w:val="18"/>
          <w:szCs w:val="18"/>
          <w:color w:val="auto"/>
        </w:rPr>
        <w:t>IN WITNESS WHEREOF, the undersigned has executed this Compliance Certificate as of [__________________].</w:t>
      </w:r>
    </w:p>
    <w:p>
      <w:pPr>
        <w:spacing w:after="0" w:line="225"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BORROWER:</w:t>
      </w:r>
    </w:p>
    <w:p>
      <w:pPr>
        <w:spacing w:after="0" w:line="225"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PRESTO AUTOMATION LLC</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(F/K/A E LA CARTE, LLC, F/K/A VENTOUX MERGER</w:t>
      </w:r>
    </w:p>
    <w:p>
      <w:pPr>
        <w:spacing w:after="0" w:line="21"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SUB II LLC)</w:t>
      </w:r>
    </w:p>
    <w:p>
      <w:pPr>
        <w:spacing w:after="0" w:line="211"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14605</wp:posOffset>
            </wp:positionV>
            <wp:extent cx="249428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33" w:lineRule="exact"/>
        <w:rPr>
          <w:sz w:val="20"/>
          <w:szCs w:val="20"/>
          <w:color w:val="auto"/>
        </w:rPr>
      </w:pPr>
    </w:p>
    <w:p>
      <w:pPr>
        <w:jc w:val="center"/>
        <w:ind w:right="420"/>
        <w:spacing w:after="0"/>
        <w:rPr>
          <w:sz w:val="20"/>
          <w:szCs w:val="20"/>
          <w:color w:val="auto"/>
        </w:rPr>
      </w:pPr>
      <w:r>
        <w:rPr>
          <w:rFonts w:ascii="Arial" w:cs="Arial" w:eastAsia="Arial" w:hAnsi="Arial"/>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6985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60"/>
          </w:cols>
          <w:pgMar w:left="980" w:top="908" w:right="559" w:bottom="1440" w:gutter="0" w:footer="0" w:header="0"/>
        </w:sectPr>
      </w:pPr>
    </w:p>
    <w:bookmarkStart w:id="174" w:name="page175"/>
    <w:bookmarkEnd w:id="174"/>
    <w:tbl>
      <w:tblPr>
        <w:tblLayout w:type="fixed"/>
        <w:tblInd w:w="0" w:type="dxa"/>
        <w:tblCellMar>
          <w:top w:w="0" w:type="dxa"/>
          <w:left w:w="0" w:type="dxa"/>
          <w:bottom w:w="0" w:type="dxa"/>
          <w:right w:w="0" w:type="dxa"/>
        </w:tblCellMar>
      </w:tblPr>
      <w:tr>
        <w:trPr>
          <w:trHeight w:val="207"/>
        </w:trPr>
        <w:tc>
          <w:tcPr>
            <w:tcW w:w="40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Schedule I to Compliance Certificate</w:t>
            </w:r>
          </w:p>
        </w:tc>
      </w:tr>
      <w:tr>
        <w:trPr>
          <w:trHeight w:val="412"/>
        </w:trPr>
        <w:tc>
          <w:tcPr>
            <w:tcW w:w="4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3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FINANCIAL COVENANT CALCULATIONS</w:t>
            </w:r>
          </w:p>
        </w:tc>
        <w:tc>
          <w:tcPr>
            <w:tcW w:w="100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434"/>
        </w:trPr>
        <w:tc>
          <w:tcPr>
            <w:tcW w:w="400" w:type="dxa"/>
            <w:vAlign w:val="bottom"/>
          </w:tcPr>
          <w:p>
            <w:pPr>
              <w:spacing w:after="0"/>
              <w:rPr>
                <w:sz w:val="20"/>
                <w:szCs w:val="20"/>
                <w:color w:val="auto"/>
              </w:rPr>
            </w:pPr>
            <w:r>
              <w:rPr>
                <w:rFonts w:ascii="Arial" w:cs="Arial" w:eastAsia="Arial" w:hAnsi="Arial"/>
                <w:sz w:val="18"/>
                <w:szCs w:val="18"/>
                <w:b w:val="1"/>
                <w:bCs w:val="1"/>
                <w:color w:val="auto"/>
              </w:rPr>
              <w:t>(a)</w:t>
            </w:r>
          </w:p>
        </w:tc>
        <w:tc>
          <w:tcPr>
            <w:tcW w:w="8020" w:type="dxa"/>
            <w:vAlign w:val="bottom"/>
            <w:gridSpan w:val="3"/>
          </w:tcPr>
          <w:p>
            <w:pPr>
              <w:ind w:left="180"/>
              <w:spacing w:after="0"/>
              <w:rPr>
                <w:sz w:val="20"/>
                <w:szCs w:val="20"/>
                <w:color w:val="auto"/>
              </w:rPr>
            </w:pPr>
            <w:r>
              <w:rPr>
                <w:rFonts w:ascii="Arial" w:cs="Arial" w:eastAsia="Arial" w:hAnsi="Arial"/>
                <w:sz w:val="18"/>
                <w:szCs w:val="18"/>
                <w:b w:val="1"/>
                <w:bCs w:val="1"/>
                <w:color w:val="auto"/>
                <w:w w:val="88"/>
              </w:rPr>
              <w:t>Computer Vision Products Revenue for the three (3) consecutive month period ending as of such date:</w:t>
            </w:r>
          </w:p>
        </w:tc>
        <w:tc>
          <w:tcPr>
            <w:tcW w:w="2820" w:type="dxa"/>
            <w:vAlign w:val="bottom"/>
          </w:tcPr>
          <w:p>
            <w:pPr>
              <w:jc w:val="right"/>
              <w:ind w:right="190"/>
              <w:spacing w:after="0"/>
              <w:rPr>
                <w:sz w:val="20"/>
                <w:szCs w:val="20"/>
                <w:color w:val="auto"/>
              </w:rPr>
            </w:pPr>
            <w:r>
              <w:rPr>
                <w:rFonts w:ascii="Arial" w:cs="Arial" w:eastAsia="Arial" w:hAnsi="Arial"/>
                <w:sz w:val="18"/>
                <w:szCs w:val="18"/>
                <w:b w:val="1"/>
                <w:bCs w:val="1"/>
                <w:color w:val="auto"/>
              </w:rPr>
              <w:t>$[_______]</w:t>
            </w:r>
          </w:p>
        </w:tc>
      </w:tr>
      <w:tr>
        <w:trPr>
          <w:trHeight w:val="216"/>
        </w:trPr>
        <w:tc>
          <w:tcPr>
            <w:tcW w:w="400" w:type="dxa"/>
            <w:vAlign w:val="bottom"/>
          </w:tcPr>
          <w:p>
            <w:pPr>
              <w:spacing w:after="0"/>
              <w:rPr>
                <w:sz w:val="20"/>
                <w:szCs w:val="20"/>
                <w:color w:val="auto"/>
              </w:rPr>
            </w:pPr>
            <w:r>
              <w:rPr>
                <w:rFonts w:ascii="Arial" w:cs="Arial" w:eastAsia="Arial" w:hAnsi="Arial"/>
                <w:sz w:val="18"/>
                <w:szCs w:val="18"/>
                <w:b w:val="1"/>
                <w:bCs w:val="1"/>
                <w:color w:val="auto"/>
              </w:rPr>
              <w:t>(b)</w:t>
            </w:r>
          </w:p>
        </w:tc>
        <w:tc>
          <w:tcPr>
            <w:tcW w:w="8020" w:type="dxa"/>
            <w:vAlign w:val="bottom"/>
            <w:gridSpan w:val="3"/>
          </w:tcPr>
          <w:p>
            <w:pPr>
              <w:ind w:left="180"/>
              <w:spacing w:after="0"/>
              <w:rPr>
                <w:sz w:val="20"/>
                <w:szCs w:val="20"/>
                <w:color w:val="auto"/>
              </w:rPr>
            </w:pPr>
            <w:r>
              <w:rPr>
                <w:rFonts w:ascii="Arial" w:cs="Arial" w:eastAsia="Arial" w:hAnsi="Arial"/>
                <w:sz w:val="18"/>
                <w:szCs w:val="18"/>
                <w:b w:val="1"/>
                <w:bCs w:val="1"/>
                <w:color w:val="auto"/>
              </w:rPr>
              <w:t>Computer Vision Annual Platform Revenue: Item (a) multiplied by four (4):</w:t>
            </w:r>
          </w:p>
        </w:tc>
        <w:tc>
          <w:tcPr>
            <w:tcW w:w="2820" w:type="dxa"/>
            <w:vAlign w:val="bottom"/>
          </w:tcPr>
          <w:p>
            <w:pPr>
              <w:jc w:val="right"/>
              <w:ind w:right="190"/>
              <w:spacing w:after="0"/>
              <w:rPr>
                <w:sz w:val="20"/>
                <w:szCs w:val="20"/>
                <w:color w:val="auto"/>
              </w:rPr>
            </w:pPr>
            <w:r>
              <w:rPr>
                <w:rFonts w:ascii="Arial" w:cs="Arial" w:eastAsia="Arial" w:hAnsi="Arial"/>
                <w:sz w:val="18"/>
                <w:szCs w:val="18"/>
                <w:b w:val="1"/>
                <w:bCs w:val="1"/>
                <w:color w:val="auto"/>
              </w:rPr>
              <w:t>$[_______]</w:t>
            </w:r>
          </w:p>
        </w:tc>
      </w:tr>
      <w:tr>
        <w:trPr>
          <w:trHeight w:val="216"/>
        </w:trPr>
        <w:tc>
          <w:tcPr>
            <w:tcW w:w="400" w:type="dxa"/>
            <w:vAlign w:val="bottom"/>
          </w:tcPr>
          <w:p>
            <w:pPr>
              <w:spacing w:after="0"/>
              <w:rPr>
                <w:sz w:val="20"/>
                <w:szCs w:val="20"/>
                <w:color w:val="auto"/>
              </w:rPr>
            </w:pPr>
            <w:r>
              <w:rPr>
                <w:rFonts w:ascii="Arial" w:cs="Arial" w:eastAsia="Arial" w:hAnsi="Arial"/>
                <w:sz w:val="18"/>
                <w:szCs w:val="18"/>
                <w:b w:val="1"/>
                <w:bCs w:val="1"/>
                <w:color w:val="auto"/>
              </w:rPr>
              <w:t>(c)</w:t>
            </w:r>
          </w:p>
        </w:tc>
        <w:tc>
          <w:tcPr>
            <w:tcW w:w="8020" w:type="dxa"/>
            <w:vAlign w:val="bottom"/>
            <w:gridSpan w:val="3"/>
          </w:tcPr>
          <w:p>
            <w:pPr>
              <w:ind w:left="180"/>
              <w:spacing w:after="0"/>
              <w:rPr>
                <w:sz w:val="20"/>
                <w:szCs w:val="20"/>
                <w:color w:val="auto"/>
              </w:rPr>
            </w:pPr>
            <w:r>
              <w:rPr>
                <w:rFonts w:ascii="Arial" w:cs="Arial" w:eastAsia="Arial" w:hAnsi="Arial"/>
                <w:sz w:val="18"/>
                <w:szCs w:val="18"/>
                <w:b w:val="1"/>
                <w:bCs w:val="1"/>
                <w:color w:val="auto"/>
                <w:w w:val="99"/>
              </w:rPr>
              <w:t>Touch Platform Revenue for the three (3) consecutive month period ending as of such date:</w:t>
            </w:r>
          </w:p>
        </w:tc>
        <w:tc>
          <w:tcPr>
            <w:tcW w:w="2820" w:type="dxa"/>
            <w:vAlign w:val="bottom"/>
          </w:tcPr>
          <w:p>
            <w:pPr>
              <w:jc w:val="right"/>
              <w:ind w:right="190"/>
              <w:spacing w:after="0"/>
              <w:rPr>
                <w:sz w:val="20"/>
                <w:szCs w:val="20"/>
                <w:color w:val="auto"/>
              </w:rPr>
            </w:pPr>
            <w:r>
              <w:rPr>
                <w:rFonts w:ascii="Arial" w:cs="Arial" w:eastAsia="Arial" w:hAnsi="Arial"/>
                <w:sz w:val="18"/>
                <w:szCs w:val="18"/>
                <w:b w:val="1"/>
                <w:bCs w:val="1"/>
                <w:color w:val="auto"/>
              </w:rPr>
              <w:t>$[_______]</w:t>
            </w:r>
          </w:p>
        </w:tc>
      </w:tr>
      <w:tr>
        <w:trPr>
          <w:trHeight w:val="216"/>
        </w:trPr>
        <w:tc>
          <w:tcPr>
            <w:tcW w:w="400" w:type="dxa"/>
            <w:vAlign w:val="bottom"/>
          </w:tcPr>
          <w:p>
            <w:pPr>
              <w:spacing w:after="0"/>
              <w:rPr>
                <w:sz w:val="20"/>
                <w:szCs w:val="20"/>
                <w:color w:val="auto"/>
              </w:rPr>
            </w:pPr>
            <w:r>
              <w:rPr>
                <w:rFonts w:ascii="Arial" w:cs="Arial" w:eastAsia="Arial" w:hAnsi="Arial"/>
                <w:sz w:val="18"/>
                <w:szCs w:val="18"/>
                <w:b w:val="1"/>
                <w:bCs w:val="1"/>
                <w:color w:val="auto"/>
              </w:rPr>
              <w:t>(d)</w:t>
            </w:r>
          </w:p>
        </w:tc>
        <w:tc>
          <w:tcPr>
            <w:tcW w:w="8020" w:type="dxa"/>
            <w:vAlign w:val="bottom"/>
            <w:gridSpan w:val="3"/>
          </w:tcPr>
          <w:p>
            <w:pPr>
              <w:ind w:left="180"/>
              <w:spacing w:after="0"/>
              <w:rPr>
                <w:sz w:val="20"/>
                <w:szCs w:val="20"/>
                <w:color w:val="auto"/>
              </w:rPr>
            </w:pPr>
            <w:r>
              <w:rPr>
                <w:rFonts w:ascii="Arial" w:cs="Arial" w:eastAsia="Arial" w:hAnsi="Arial"/>
                <w:sz w:val="18"/>
                <w:szCs w:val="18"/>
                <w:b w:val="1"/>
                <w:bCs w:val="1"/>
                <w:color w:val="auto"/>
              </w:rPr>
              <w:t>Touch Annual Platform Revenue: Item (c) multiplied by four (4):</w:t>
            </w:r>
          </w:p>
        </w:tc>
        <w:tc>
          <w:tcPr>
            <w:tcW w:w="2820" w:type="dxa"/>
            <w:vAlign w:val="bottom"/>
          </w:tcPr>
          <w:p>
            <w:pPr>
              <w:jc w:val="right"/>
              <w:ind w:right="190"/>
              <w:spacing w:after="0"/>
              <w:rPr>
                <w:sz w:val="20"/>
                <w:szCs w:val="20"/>
                <w:color w:val="auto"/>
              </w:rPr>
            </w:pPr>
            <w:r>
              <w:rPr>
                <w:rFonts w:ascii="Arial" w:cs="Arial" w:eastAsia="Arial" w:hAnsi="Arial"/>
                <w:sz w:val="18"/>
                <w:szCs w:val="18"/>
                <w:b w:val="1"/>
                <w:bCs w:val="1"/>
                <w:color w:val="auto"/>
              </w:rPr>
              <w:t>$[_______]</w:t>
            </w:r>
          </w:p>
        </w:tc>
      </w:tr>
      <w:tr>
        <w:trPr>
          <w:trHeight w:val="216"/>
        </w:trPr>
        <w:tc>
          <w:tcPr>
            <w:tcW w:w="400" w:type="dxa"/>
            <w:vAlign w:val="bottom"/>
          </w:tcPr>
          <w:p>
            <w:pPr>
              <w:spacing w:after="0"/>
              <w:rPr>
                <w:sz w:val="20"/>
                <w:szCs w:val="20"/>
                <w:color w:val="auto"/>
              </w:rPr>
            </w:pPr>
            <w:r>
              <w:rPr>
                <w:rFonts w:ascii="Arial" w:cs="Arial" w:eastAsia="Arial" w:hAnsi="Arial"/>
                <w:sz w:val="18"/>
                <w:szCs w:val="18"/>
                <w:b w:val="1"/>
                <w:bCs w:val="1"/>
                <w:color w:val="auto"/>
              </w:rPr>
              <w:t>(e)</w:t>
            </w:r>
          </w:p>
        </w:tc>
        <w:tc>
          <w:tcPr>
            <w:tcW w:w="8020" w:type="dxa"/>
            <w:vAlign w:val="bottom"/>
            <w:gridSpan w:val="3"/>
          </w:tcPr>
          <w:p>
            <w:pPr>
              <w:ind w:left="180"/>
              <w:spacing w:after="0"/>
              <w:rPr>
                <w:sz w:val="20"/>
                <w:szCs w:val="20"/>
                <w:color w:val="auto"/>
              </w:rPr>
            </w:pPr>
            <w:r>
              <w:rPr>
                <w:rFonts w:ascii="Arial" w:cs="Arial" w:eastAsia="Arial" w:hAnsi="Arial"/>
                <w:sz w:val="18"/>
                <w:szCs w:val="18"/>
                <w:b w:val="1"/>
                <w:bCs w:val="1"/>
                <w:color w:val="auto"/>
              </w:rPr>
              <w:t>Voice Platform Revenue for the three (3) consecutive month period ending as of such date:</w:t>
            </w:r>
          </w:p>
        </w:tc>
        <w:tc>
          <w:tcPr>
            <w:tcW w:w="2820" w:type="dxa"/>
            <w:vAlign w:val="bottom"/>
          </w:tcPr>
          <w:p>
            <w:pPr>
              <w:jc w:val="right"/>
              <w:ind w:right="190"/>
              <w:spacing w:after="0"/>
              <w:rPr>
                <w:sz w:val="20"/>
                <w:szCs w:val="20"/>
                <w:color w:val="auto"/>
              </w:rPr>
            </w:pPr>
            <w:r>
              <w:rPr>
                <w:rFonts w:ascii="Arial" w:cs="Arial" w:eastAsia="Arial" w:hAnsi="Arial"/>
                <w:sz w:val="18"/>
                <w:szCs w:val="18"/>
                <w:b w:val="1"/>
                <w:bCs w:val="1"/>
                <w:color w:val="auto"/>
              </w:rPr>
              <w:t>$[_______]</w:t>
            </w:r>
          </w:p>
        </w:tc>
      </w:tr>
      <w:tr>
        <w:trPr>
          <w:trHeight w:val="216"/>
        </w:trPr>
        <w:tc>
          <w:tcPr>
            <w:tcW w:w="400" w:type="dxa"/>
            <w:vAlign w:val="bottom"/>
          </w:tcPr>
          <w:p>
            <w:pPr>
              <w:spacing w:after="0"/>
              <w:rPr>
                <w:sz w:val="20"/>
                <w:szCs w:val="20"/>
                <w:color w:val="auto"/>
              </w:rPr>
            </w:pPr>
            <w:r>
              <w:rPr>
                <w:rFonts w:ascii="Arial" w:cs="Arial" w:eastAsia="Arial" w:hAnsi="Arial"/>
                <w:sz w:val="18"/>
                <w:szCs w:val="18"/>
                <w:b w:val="1"/>
                <w:bCs w:val="1"/>
                <w:color w:val="auto"/>
              </w:rPr>
              <w:t>(f)</w:t>
            </w:r>
          </w:p>
        </w:tc>
        <w:tc>
          <w:tcPr>
            <w:tcW w:w="8020" w:type="dxa"/>
            <w:vAlign w:val="bottom"/>
            <w:gridSpan w:val="3"/>
          </w:tcPr>
          <w:p>
            <w:pPr>
              <w:ind w:left="180"/>
              <w:spacing w:after="0"/>
              <w:rPr>
                <w:sz w:val="20"/>
                <w:szCs w:val="20"/>
                <w:color w:val="auto"/>
              </w:rPr>
            </w:pPr>
            <w:r>
              <w:rPr>
                <w:rFonts w:ascii="Arial" w:cs="Arial" w:eastAsia="Arial" w:hAnsi="Arial"/>
                <w:sz w:val="18"/>
                <w:szCs w:val="18"/>
                <w:b w:val="1"/>
                <w:bCs w:val="1"/>
                <w:color w:val="auto"/>
              </w:rPr>
              <w:t>Voice Annual Platform Revenue: item (e) multiplied by four (4):</w:t>
            </w:r>
          </w:p>
        </w:tc>
        <w:tc>
          <w:tcPr>
            <w:tcW w:w="2820" w:type="dxa"/>
            <w:vAlign w:val="bottom"/>
          </w:tcPr>
          <w:p>
            <w:pPr>
              <w:jc w:val="right"/>
              <w:ind w:right="190"/>
              <w:spacing w:after="0"/>
              <w:rPr>
                <w:sz w:val="20"/>
                <w:szCs w:val="20"/>
                <w:color w:val="auto"/>
              </w:rPr>
            </w:pPr>
            <w:r>
              <w:rPr>
                <w:rFonts w:ascii="Arial" w:cs="Arial" w:eastAsia="Arial" w:hAnsi="Arial"/>
                <w:sz w:val="18"/>
                <w:szCs w:val="18"/>
                <w:b w:val="1"/>
                <w:bCs w:val="1"/>
                <w:color w:val="auto"/>
              </w:rPr>
              <w:t>$[_______]</w:t>
            </w:r>
          </w:p>
        </w:tc>
      </w:tr>
      <w:tr>
        <w:trPr>
          <w:trHeight w:val="216"/>
        </w:trPr>
        <w:tc>
          <w:tcPr>
            <w:tcW w:w="400" w:type="dxa"/>
            <w:vAlign w:val="bottom"/>
          </w:tcPr>
          <w:p>
            <w:pPr>
              <w:spacing w:after="0"/>
              <w:rPr>
                <w:sz w:val="20"/>
                <w:szCs w:val="20"/>
                <w:color w:val="auto"/>
              </w:rPr>
            </w:pPr>
            <w:r>
              <w:rPr>
                <w:rFonts w:ascii="Arial" w:cs="Arial" w:eastAsia="Arial" w:hAnsi="Arial"/>
                <w:sz w:val="18"/>
                <w:szCs w:val="18"/>
                <w:b w:val="1"/>
                <w:bCs w:val="1"/>
                <w:color w:val="auto"/>
              </w:rPr>
              <w:t>(g)</w:t>
            </w:r>
          </w:p>
        </w:tc>
        <w:tc>
          <w:tcPr>
            <w:tcW w:w="8020" w:type="dxa"/>
            <w:vAlign w:val="bottom"/>
            <w:gridSpan w:val="3"/>
          </w:tcPr>
          <w:p>
            <w:pPr>
              <w:ind w:left="180"/>
              <w:spacing w:after="0"/>
              <w:rPr>
                <w:sz w:val="20"/>
                <w:szCs w:val="20"/>
                <w:color w:val="auto"/>
              </w:rPr>
            </w:pPr>
            <w:r>
              <w:rPr>
                <w:rFonts w:ascii="Arial" w:cs="Arial" w:eastAsia="Arial" w:hAnsi="Arial"/>
                <w:sz w:val="18"/>
                <w:szCs w:val="18"/>
                <w:b w:val="1"/>
                <w:bCs w:val="1"/>
                <w:color w:val="auto"/>
              </w:rPr>
              <w:t>Annual Platform Revenue: Sum of Items (b), (d) and (f):</w:t>
            </w:r>
          </w:p>
        </w:tc>
        <w:tc>
          <w:tcPr>
            <w:tcW w:w="2820" w:type="dxa"/>
            <w:vAlign w:val="bottom"/>
          </w:tcPr>
          <w:p>
            <w:pPr>
              <w:jc w:val="right"/>
              <w:ind w:right="190"/>
              <w:spacing w:after="0"/>
              <w:rPr>
                <w:sz w:val="20"/>
                <w:szCs w:val="20"/>
                <w:color w:val="auto"/>
              </w:rPr>
            </w:pPr>
            <w:r>
              <w:rPr>
                <w:rFonts w:ascii="Arial" w:cs="Arial" w:eastAsia="Arial" w:hAnsi="Arial"/>
                <w:sz w:val="18"/>
                <w:szCs w:val="18"/>
                <w:b w:val="1"/>
                <w:bCs w:val="1"/>
                <w:color w:val="auto"/>
              </w:rPr>
              <w:t>$[_______]</w:t>
            </w:r>
          </w:p>
        </w:tc>
      </w:tr>
      <w:tr>
        <w:trPr>
          <w:trHeight w:val="234"/>
        </w:trPr>
        <w:tc>
          <w:tcPr>
            <w:tcW w:w="400" w:type="dxa"/>
            <w:vAlign w:val="bottom"/>
          </w:tcPr>
          <w:p>
            <w:pPr>
              <w:spacing w:after="0"/>
              <w:rPr>
                <w:sz w:val="20"/>
                <w:szCs w:val="20"/>
                <w:color w:val="auto"/>
              </w:rPr>
            </w:pPr>
            <w:r>
              <w:rPr>
                <w:rFonts w:ascii="Arial" w:cs="Arial" w:eastAsia="Arial" w:hAnsi="Arial"/>
                <w:sz w:val="18"/>
                <w:szCs w:val="18"/>
                <w:b w:val="1"/>
                <w:bCs w:val="1"/>
                <w:color w:val="auto"/>
              </w:rPr>
              <w:t>(h)</w:t>
            </w:r>
          </w:p>
        </w:tc>
        <w:tc>
          <w:tcPr>
            <w:tcW w:w="8020" w:type="dxa"/>
            <w:vAlign w:val="bottom"/>
            <w:gridSpan w:val="3"/>
          </w:tcPr>
          <w:p>
            <w:pPr>
              <w:ind w:left="180"/>
              <w:spacing w:after="0"/>
              <w:rPr>
                <w:sz w:val="20"/>
                <w:szCs w:val="20"/>
                <w:color w:val="auto"/>
              </w:rPr>
            </w:pPr>
            <w:r>
              <w:rPr>
                <w:rFonts w:ascii="Arial" w:cs="Arial" w:eastAsia="Arial" w:hAnsi="Arial"/>
                <w:sz w:val="18"/>
                <w:szCs w:val="18"/>
                <w:b w:val="1"/>
                <w:bCs w:val="1"/>
                <w:color w:val="auto"/>
              </w:rPr>
              <w:t>Minimum Unrestricted Cash Amount:</w:t>
            </w:r>
          </w:p>
        </w:tc>
        <w:tc>
          <w:tcPr>
            <w:tcW w:w="2820" w:type="dxa"/>
            <w:vAlign w:val="bottom"/>
          </w:tcPr>
          <w:p>
            <w:pPr>
              <w:jc w:val="right"/>
              <w:ind w:right="190"/>
              <w:spacing w:after="0"/>
              <w:rPr>
                <w:sz w:val="20"/>
                <w:szCs w:val="20"/>
                <w:color w:val="auto"/>
              </w:rPr>
            </w:pPr>
            <w:r>
              <w:rPr>
                <w:rFonts w:ascii="Arial" w:cs="Arial" w:eastAsia="Arial" w:hAnsi="Arial"/>
                <w:sz w:val="18"/>
                <w:szCs w:val="18"/>
                <w:b w:val="1"/>
                <w:bCs w:val="1"/>
                <w:color w:val="auto"/>
              </w:rPr>
              <w:t>$[_______]</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60" w:type="dxa"/>
            <w:vAlign w:val="bottom"/>
            <w:gridSpan w:val="4"/>
          </w:tcPr>
          <w:p>
            <w:pPr>
              <w:spacing w:after="0"/>
              <w:rPr>
                <w:sz w:val="20"/>
                <w:szCs w:val="20"/>
                <w:color w:val="auto"/>
              </w:rPr>
            </w:pPr>
            <w:r>
              <w:rPr>
                <w:rFonts w:ascii="Arial" w:cs="Arial" w:eastAsia="Arial" w:hAnsi="Arial"/>
                <w:sz w:val="18"/>
                <w:szCs w:val="18"/>
                <w:color w:val="auto"/>
              </w:rPr>
              <w:t>Section 6.17(a) – Minimum Unrestricted Cash</w:t>
            </w:r>
          </w:p>
        </w:tc>
        <w:tc>
          <w:tcPr>
            <w:tcW w:w="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30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53"/>
        </w:trPr>
        <w:tc>
          <w:tcPr>
            <w:tcW w:w="3060" w:type="dxa"/>
            <w:vAlign w:val="bottom"/>
          </w:tcPr>
          <w:p>
            <w:pPr>
              <w:ind w:left="2820"/>
              <w:spacing w:after="0"/>
              <w:rPr>
                <w:sz w:val="20"/>
                <w:szCs w:val="20"/>
                <w:color w:val="auto"/>
              </w:rPr>
            </w:pPr>
            <w:r>
              <w:rPr>
                <w:rFonts w:ascii="Arial" w:cs="Arial" w:eastAsia="Arial" w:hAnsi="Arial"/>
                <w:sz w:val="18"/>
                <w:szCs w:val="18"/>
                <w:color w:val="auto"/>
                <w:w w:val="99"/>
              </w:rPr>
              <w:t>(1)</w:t>
            </w:r>
          </w:p>
        </w:tc>
        <w:tc>
          <w:tcPr>
            <w:tcW w:w="3900" w:type="dxa"/>
            <w:vAlign w:val="bottom"/>
            <w:gridSpan w:val="3"/>
          </w:tcPr>
          <w:p>
            <w:pPr>
              <w:ind w:left="20"/>
              <w:spacing w:after="0"/>
              <w:rPr>
                <w:sz w:val="20"/>
                <w:szCs w:val="20"/>
                <w:color w:val="auto"/>
              </w:rPr>
            </w:pPr>
            <w:r>
              <w:rPr>
                <w:rFonts w:ascii="Arial" w:cs="Arial" w:eastAsia="Arial" w:hAnsi="Arial"/>
                <w:sz w:val="18"/>
                <w:szCs w:val="18"/>
                <w:color w:val="auto"/>
              </w:rPr>
              <w:t>Unrestricted Cash:</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$[_________]</w:t>
            </w:r>
          </w:p>
        </w:tc>
      </w:tr>
      <w:tr>
        <w:trPr>
          <w:trHeight w:val="595"/>
        </w:trPr>
        <w:tc>
          <w:tcPr>
            <w:tcW w:w="3060" w:type="dxa"/>
            <w:vAlign w:val="bottom"/>
          </w:tcPr>
          <w:p>
            <w:pPr>
              <w:ind w:left="2820"/>
              <w:spacing w:after="0"/>
              <w:rPr>
                <w:sz w:val="20"/>
                <w:szCs w:val="20"/>
                <w:color w:val="auto"/>
              </w:rPr>
            </w:pPr>
            <w:r>
              <w:rPr>
                <w:rFonts w:ascii="Arial" w:cs="Arial" w:eastAsia="Arial" w:hAnsi="Arial"/>
                <w:sz w:val="18"/>
                <w:szCs w:val="18"/>
                <w:color w:val="auto"/>
                <w:w w:val="99"/>
              </w:rPr>
              <w:t>(2)</w:t>
            </w:r>
          </w:p>
        </w:tc>
        <w:tc>
          <w:tcPr>
            <w:tcW w:w="3900" w:type="dxa"/>
            <w:vAlign w:val="bottom"/>
            <w:gridSpan w:val="3"/>
          </w:tcPr>
          <w:p>
            <w:pPr>
              <w:ind w:left="20"/>
              <w:spacing w:after="0"/>
              <w:rPr>
                <w:sz w:val="20"/>
                <w:szCs w:val="20"/>
                <w:color w:val="auto"/>
              </w:rPr>
            </w:pPr>
            <w:r>
              <w:rPr>
                <w:rFonts w:ascii="Arial" w:cs="Arial" w:eastAsia="Arial" w:hAnsi="Arial"/>
                <w:sz w:val="18"/>
                <w:szCs w:val="18"/>
                <w:color w:val="auto"/>
              </w:rPr>
              <w:t>Minimum Unrestricted Cash Amount:</w:t>
            </w:r>
            <w:r>
              <w:rPr>
                <w:rFonts w:ascii="Arial" w:cs="Arial" w:eastAsia="Arial" w:hAnsi="Arial"/>
                <w:sz w:val="29"/>
                <w:szCs w:val="29"/>
                <w:color w:val="auto"/>
                <w:vertAlign w:val="superscript"/>
              </w:rPr>
              <w:t>1</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$[_________]</w:t>
            </w:r>
          </w:p>
        </w:tc>
      </w:tr>
      <w:tr>
        <w:trPr>
          <w:trHeight w:val="269"/>
        </w:trPr>
        <w:tc>
          <w:tcPr>
            <w:tcW w:w="43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89"/>
              </w:rPr>
              <w:t>Section 6.17(c) – Net Adjusted Decrease in Operating Cash</w:t>
            </w:r>
          </w:p>
        </w:tc>
        <w:tc>
          <w:tcPr>
            <w:tcW w:w="26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438"/>
        </w:trPr>
        <w:tc>
          <w:tcPr>
            <w:tcW w:w="3060" w:type="dxa"/>
            <w:vAlign w:val="bottom"/>
          </w:tcPr>
          <w:p>
            <w:pPr>
              <w:ind w:left="2820"/>
              <w:spacing w:after="0"/>
              <w:rPr>
                <w:sz w:val="20"/>
                <w:szCs w:val="20"/>
                <w:color w:val="auto"/>
              </w:rPr>
            </w:pPr>
            <w:r>
              <w:rPr>
                <w:rFonts w:ascii="Arial" w:cs="Arial" w:eastAsia="Arial" w:hAnsi="Arial"/>
                <w:sz w:val="18"/>
                <w:szCs w:val="18"/>
                <w:color w:val="auto"/>
                <w:w w:val="99"/>
              </w:rPr>
              <w:t>(1)</w:t>
            </w:r>
          </w:p>
        </w:tc>
        <w:tc>
          <w:tcPr>
            <w:tcW w:w="3900" w:type="dxa"/>
            <w:vAlign w:val="bottom"/>
            <w:gridSpan w:val="3"/>
          </w:tcPr>
          <w:p>
            <w:pPr>
              <w:ind w:left="20"/>
              <w:spacing w:after="0"/>
              <w:rPr>
                <w:sz w:val="20"/>
                <w:szCs w:val="20"/>
                <w:color w:val="auto"/>
              </w:rPr>
            </w:pPr>
            <w:r>
              <w:rPr>
                <w:rFonts w:ascii="Arial" w:cs="Arial" w:eastAsia="Arial" w:hAnsi="Arial"/>
                <w:sz w:val="18"/>
                <w:szCs w:val="18"/>
                <w:color w:val="auto"/>
                <w:w w:val="98"/>
              </w:rPr>
              <w:t>Borrower’s cash on hand as of the last day of the</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$[_________]</w:t>
            </w:r>
          </w:p>
        </w:tc>
      </w:tr>
      <w:tr>
        <w:trPr>
          <w:trHeight w:val="230"/>
        </w:trPr>
        <w:tc>
          <w:tcPr>
            <w:tcW w:w="6960" w:type="dxa"/>
            <w:vAlign w:val="bottom"/>
            <w:gridSpan w:val="4"/>
          </w:tcPr>
          <w:p>
            <w:pPr>
              <w:ind w:left="2820"/>
              <w:spacing w:after="0"/>
              <w:rPr>
                <w:sz w:val="20"/>
                <w:szCs w:val="20"/>
                <w:color w:val="auto"/>
              </w:rPr>
            </w:pPr>
            <w:r>
              <w:rPr>
                <w:rFonts w:ascii="Arial" w:cs="Arial" w:eastAsia="Arial" w:hAnsi="Arial"/>
                <w:sz w:val="18"/>
                <w:szCs w:val="18"/>
                <w:color w:val="auto"/>
              </w:rPr>
              <w:t xml:space="preserve">applicable period; </w:t>
            </w:r>
            <w:r>
              <w:rPr>
                <w:rFonts w:ascii="Arial" w:cs="Arial" w:eastAsia="Arial" w:hAnsi="Arial"/>
                <w:sz w:val="18"/>
                <w:szCs w:val="18"/>
                <w:b w:val="1"/>
                <w:bCs w:val="1"/>
                <w:i w:val="1"/>
                <w:iCs w:val="1"/>
                <w:color w:val="auto"/>
              </w:rPr>
              <w:t>minus</w:t>
            </w:r>
          </w:p>
        </w:tc>
        <w:tc>
          <w:tcPr>
            <w:tcW w:w="5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92"/>
        </w:trPr>
        <w:tc>
          <w:tcPr>
            <w:tcW w:w="3060" w:type="dxa"/>
            <w:vAlign w:val="bottom"/>
          </w:tcPr>
          <w:p>
            <w:pPr>
              <w:ind w:left="2820"/>
              <w:spacing w:after="0"/>
              <w:rPr>
                <w:sz w:val="20"/>
                <w:szCs w:val="20"/>
                <w:color w:val="auto"/>
              </w:rPr>
            </w:pPr>
            <w:r>
              <w:rPr>
                <w:rFonts w:ascii="Arial" w:cs="Arial" w:eastAsia="Arial" w:hAnsi="Arial"/>
                <w:sz w:val="18"/>
                <w:szCs w:val="18"/>
                <w:color w:val="auto"/>
                <w:w w:val="99"/>
              </w:rPr>
              <w:t>(2)</w:t>
            </w:r>
          </w:p>
        </w:tc>
        <w:tc>
          <w:tcPr>
            <w:tcW w:w="3900" w:type="dxa"/>
            <w:vAlign w:val="bottom"/>
            <w:gridSpan w:val="3"/>
          </w:tcPr>
          <w:p>
            <w:pPr>
              <w:ind w:left="20"/>
              <w:spacing w:after="0"/>
              <w:rPr>
                <w:sz w:val="20"/>
                <w:szCs w:val="20"/>
                <w:color w:val="auto"/>
              </w:rPr>
            </w:pPr>
            <w:r>
              <w:rPr>
                <w:rFonts w:ascii="Arial" w:cs="Arial" w:eastAsia="Arial" w:hAnsi="Arial"/>
                <w:sz w:val="18"/>
                <w:szCs w:val="18"/>
                <w:color w:val="auto"/>
              </w:rPr>
              <w:t xml:space="preserve">Borrower’s Starting Cash; </w:t>
            </w:r>
            <w:r>
              <w:rPr>
                <w:rFonts w:ascii="Arial" w:cs="Arial" w:eastAsia="Arial" w:hAnsi="Arial"/>
                <w:sz w:val="18"/>
                <w:szCs w:val="18"/>
                <w:b w:val="1"/>
                <w:bCs w:val="1"/>
                <w:i w:val="1"/>
                <w:iCs w:val="1"/>
                <w:color w:val="auto"/>
              </w:rPr>
              <w:t>plus</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$[_________]</w:t>
            </w:r>
          </w:p>
        </w:tc>
      </w:tr>
      <w:tr>
        <w:trPr>
          <w:trHeight w:val="20"/>
        </w:trPr>
        <w:tc>
          <w:tcPr>
            <w:tcW w:w="3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178308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left="340" w:hanging="332"/>
        <w:spacing w:after="0"/>
        <w:tabs>
          <w:tab w:leader="none" w:pos="340" w:val="left"/>
        </w:tabs>
        <w:numPr>
          <w:ilvl w:val="0"/>
          <w:numId w:val="160"/>
        </w:numPr>
        <w:rPr>
          <w:rFonts w:ascii="Arial" w:cs="Arial" w:eastAsia="Arial" w:hAnsi="Arial"/>
          <w:sz w:val="30"/>
          <w:szCs w:val="30"/>
          <w:color w:val="auto"/>
          <w:vertAlign w:val="superscript"/>
        </w:rPr>
      </w:pPr>
      <w:r>
        <w:rPr>
          <w:rFonts w:ascii="Arial" w:cs="Arial" w:eastAsia="Arial" w:hAnsi="Arial"/>
          <w:sz w:val="18"/>
          <w:szCs w:val="18"/>
          <w:color w:val="auto"/>
        </w:rPr>
        <w:t>NTD: For all periods after the Second Amendment Effective Date, Minimum Unrestricted Cash Amount should be $10,000,000.</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75" w:name="page176"/>
    <w:bookmarkEnd w:id="175"/>
    <w:p>
      <w:pPr>
        <w:ind w:left="2812" w:right="100" w:firstLine="9"/>
        <w:spacing w:after="0" w:line="258" w:lineRule="auto"/>
        <w:tabs>
          <w:tab w:leader="none" w:pos="3067"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aggregate amount paid in cash during the applicable period of:</w:t>
      </w:r>
    </w:p>
    <w:p>
      <w:pPr>
        <w:spacing w:after="0" w:line="1" w:lineRule="exact"/>
        <w:rPr>
          <w:rFonts w:ascii="Arial" w:cs="Arial" w:eastAsia="Arial" w:hAnsi="Arial"/>
          <w:sz w:val="18"/>
          <w:szCs w:val="18"/>
          <w:color w:val="auto"/>
        </w:rPr>
      </w:pPr>
    </w:p>
    <w:p>
      <w:pPr>
        <w:ind w:left="2812" w:right="1660"/>
        <w:spacing w:after="0" w:line="281" w:lineRule="auto"/>
        <w:rPr>
          <w:rFonts w:ascii="Arial" w:cs="Arial" w:eastAsia="Arial" w:hAnsi="Arial"/>
          <w:sz w:val="18"/>
          <w:szCs w:val="18"/>
          <w:color w:val="auto"/>
        </w:rPr>
      </w:pPr>
      <w:r>
        <w:rPr>
          <w:rFonts w:ascii="Arial" w:cs="Arial" w:eastAsia="Arial" w:hAnsi="Arial"/>
          <w:sz w:val="16"/>
          <w:szCs w:val="16"/>
          <w:color w:val="auto"/>
        </w:rPr>
        <w:t>(i) accrued interest on the Term Loan, (ii) principal on the Term Loan,</w:t>
      </w:r>
    </w:p>
    <w:p>
      <w:pPr>
        <w:spacing w:after="0" w:line="1" w:lineRule="exact"/>
        <w:rPr>
          <w:rFonts w:ascii="Arial" w:cs="Arial" w:eastAsia="Arial" w:hAnsi="Arial"/>
          <w:sz w:val="18"/>
          <w:szCs w:val="18"/>
          <w:color w:val="auto"/>
        </w:rPr>
      </w:pPr>
    </w:p>
    <w:p>
      <w:pPr>
        <w:ind w:left="2812"/>
        <w:spacing w:after="0" w:line="255" w:lineRule="auto"/>
        <w:rPr>
          <w:rFonts w:ascii="Arial" w:cs="Arial" w:eastAsia="Arial" w:hAnsi="Arial"/>
          <w:sz w:val="18"/>
          <w:szCs w:val="18"/>
          <w:color w:val="auto"/>
        </w:rPr>
      </w:pPr>
      <w:r>
        <w:rPr>
          <w:rFonts w:ascii="Arial" w:cs="Arial" w:eastAsia="Arial" w:hAnsi="Arial"/>
          <w:sz w:val="18"/>
          <w:szCs w:val="18"/>
          <w:color w:val="auto"/>
        </w:rPr>
        <w:t xml:space="preserve">(iii) monitoring fees paid pursuant to the Fee Letter, and (iv) fees, costs and expenses of the Agent and Lenders under the Loan Documents; </w:t>
      </w:r>
      <w:r>
        <w:rPr>
          <w:rFonts w:ascii="Arial" w:cs="Arial" w:eastAsia="Arial" w:hAnsi="Arial"/>
          <w:sz w:val="18"/>
          <w:szCs w:val="18"/>
          <w:b w:val="1"/>
          <w:bCs w:val="1"/>
          <w:i w:val="1"/>
          <w:iCs w:val="1"/>
          <w:color w:val="auto"/>
        </w:rPr>
        <w:t>minus</w:t>
      </w:r>
    </w:p>
    <w:p>
      <w:pPr>
        <w:spacing w:after="0" w:line="189" w:lineRule="exact"/>
        <w:rPr>
          <w:rFonts w:ascii="Arial" w:cs="Arial" w:eastAsia="Arial" w:hAnsi="Arial"/>
          <w:sz w:val="18"/>
          <w:szCs w:val="18"/>
          <w:color w:val="auto"/>
        </w:rPr>
      </w:pPr>
    </w:p>
    <w:p>
      <w:pPr>
        <w:ind w:left="2812" w:firstLine="9"/>
        <w:spacing w:after="0" w:line="277" w:lineRule="auto"/>
        <w:tabs>
          <w:tab w:leader="none" w:pos="3067" w:val="left"/>
        </w:tabs>
        <w:numPr>
          <w:ilvl w:val="0"/>
          <w:numId w:val="161"/>
        </w:numPr>
        <w:rPr>
          <w:rFonts w:ascii="Arial" w:cs="Arial" w:eastAsia="Arial" w:hAnsi="Arial"/>
          <w:sz w:val="18"/>
          <w:szCs w:val="18"/>
          <w:color w:val="auto"/>
        </w:rPr>
      </w:pPr>
      <w:r>
        <w:rPr>
          <w:rFonts w:ascii="Arial" w:cs="Arial" w:eastAsia="Arial" w:hAnsi="Arial"/>
          <w:sz w:val="18"/>
          <w:szCs w:val="18"/>
          <w:color w:val="auto"/>
        </w:rPr>
        <w:t xml:space="preserve">accounts payable aged in excess of 60 days or more as of the last day of the applicable period; </w:t>
      </w:r>
      <w:r>
        <w:rPr>
          <w:rFonts w:ascii="Arial" w:cs="Arial" w:eastAsia="Arial" w:hAnsi="Arial"/>
          <w:sz w:val="18"/>
          <w:szCs w:val="18"/>
          <w:b w:val="1"/>
          <w:bCs w:val="1"/>
          <w:i w:val="1"/>
          <w:iCs w:val="1"/>
          <w:color w:val="auto"/>
        </w:rPr>
        <w:t>minus</w:t>
      </w:r>
    </w:p>
    <w:p>
      <w:pPr>
        <w:spacing w:after="0" w:line="170" w:lineRule="exact"/>
        <w:rPr>
          <w:rFonts w:ascii="Arial" w:cs="Arial" w:eastAsia="Arial" w:hAnsi="Arial"/>
          <w:sz w:val="18"/>
          <w:szCs w:val="18"/>
          <w:color w:val="auto"/>
        </w:rPr>
      </w:pPr>
    </w:p>
    <w:p>
      <w:pPr>
        <w:ind w:left="2812" w:right="180" w:firstLine="9"/>
        <w:spacing w:after="0" w:line="342" w:lineRule="auto"/>
        <w:tabs>
          <w:tab w:leader="none" w:pos="3067" w:val="left"/>
        </w:tabs>
        <w:numPr>
          <w:ilvl w:val="0"/>
          <w:numId w:val="161"/>
        </w:numPr>
        <w:rPr>
          <w:rFonts w:ascii="Arial" w:cs="Arial" w:eastAsia="Arial" w:hAnsi="Arial"/>
          <w:sz w:val="16"/>
          <w:szCs w:val="16"/>
          <w:color w:val="auto"/>
        </w:rPr>
      </w:pPr>
      <w:r>
        <w:rPr>
          <w:rFonts w:ascii="Arial" w:cs="Arial" w:eastAsia="Arial" w:hAnsi="Arial"/>
          <w:sz w:val="16"/>
          <w:szCs w:val="16"/>
          <w:color w:val="auto"/>
        </w:rPr>
        <w:t xml:space="preserve">all cash proceeds of the issuance or incurrence of Indebtedness or Equity Interests since May 31, 2023; </w:t>
      </w:r>
      <w:r>
        <w:rPr>
          <w:rFonts w:ascii="Arial" w:cs="Arial" w:eastAsia="Arial" w:hAnsi="Arial"/>
          <w:sz w:val="16"/>
          <w:szCs w:val="16"/>
          <w:b w:val="1"/>
          <w:bCs w:val="1"/>
          <w:i w:val="1"/>
          <w:iCs w:val="1"/>
          <w:color w:val="auto"/>
        </w:rPr>
        <w:t>plus</w:t>
      </w:r>
    </w:p>
    <w:p>
      <w:pPr>
        <w:spacing w:after="0" w:line="123" w:lineRule="exact"/>
        <w:rPr>
          <w:rFonts w:ascii="Arial" w:cs="Arial" w:eastAsia="Arial" w:hAnsi="Arial"/>
          <w:sz w:val="16"/>
          <w:szCs w:val="16"/>
          <w:color w:val="auto"/>
        </w:rPr>
      </w:pPr>
    </w:p>
    <w:p>
      <w:pPr>
        <w:ind w:left="3072" w:hanging="251"/>
        <w:spacing w:after="0"/>
        <w:tabs>
          <w:tab w:leader="none" w:pos="3072" w:val="left"/>
        </w:tabs>
        <w:numPr>
          <w:ilvl w:val="0"/>
          <w:numId w:val="161"/>
        </w:numPr>
        <w:rPr>
          <w:rFonts w:ascii="Arial" w:cs="Arial" w:eastAsia="Arial" w:hAnsi="Arial"/>
          <w:sz w:val="17"/>
          <w:szCs w:val="17"/>
          <w:color w:val="auto"/>
        </w:rPr>
      </w:pPr>
      <w:r>
        <w:rPr>
          <w:rFonts w:ascii="Arial" w:cs="Arial" w:eastAsia="Arial" w:hAnsi="Arial"/>
          <w:sz w:val="17"/>
          <w:szCs w:val="17"/>
          <w:color w:val="auto"/>
        </w:rPr>
        <w:t>solely for periods ending on or after October 31, 2023:</w:t>
      </w:r>
    </w:p>
    <w:p>
      <w:pPr>
        <w:spacing w:after="0" w:line="34" w:lineRule="exact"/>
        <w:rPr>
          <w:rFonts w:ascii="Arial" w:cs="Arial" w:eastAsia="Arial" w:hAnsi="Arial"/>
          <w:sz w:val="17"/>
          <w:szCs w:val="17"/>
          <w:color w:val="auto"/>
        </w:rPr>
      </w:pPr>
    </w:p>
    <w:p>
      <w:pPr>
        <w:ind w:left="2812" w:right="180"/>
        <w:spacing w:after="0" w:line="250" w:lineRule="auto"/>
        <w:rPr>
          <w:rFonts w:ascii="Arial" w:cs="Arial" w:eastAsia="Arial" w:hAnsi="Arial"/>
          <w:sz w:val="17"/>
          <w:szCs w:val="17"/>
          <w:color w:val="auto"/>
        </w:rPr>
      </w:pPr>
      <w:r>
        <w:rPr>
          <w:rFonts w:ascii="Arial" w:cs="Arial" w:eastAsia="Arial" w:hAnsi="Arial"/>
          <w:sz w:val="18"/>
          <w:szCs w:val="18"/>
          <w:color w:val="auto"/>
        </w:rPr>
        <w:t>(i) fees, costs and expenses of White &amp; Case LLP actually paid in cash during such period,</w:t>
      </w:r>
    </w:p>
    <w:p>
      <w:pPr>
        <w:ind w:left="2812" w:right="180"/>
        <w:spacing w:after="0" w:line="250" w:lineRule="auto"/>
        <w:rPr>
          <w:rFonts w:ascii="Arial" w:cs="Arial" w:eastAsia="Arial" w:hAnsi="Arial"/>
          <w:sz w:val="17"/>
          <w:szCs w:val="17"/>
          <w:color w:val="auto"/>
        </w:rPr>
      </w:pPr>
      <w:r>
        <w:rPr>
          <w:rFonts w:ascii="Arial" w:cs="Arial" w:eastAsia="Arial" w:hAnsi="Arial"/>
          <w:sz w:val="18"/>
          <w:szCs w:val="18"/>
          <w:color w:val="auto"/>
        </w:rPr>
        <w:t>(ii) fees, costs and expenses of Teneo actually paid in cash during such period, and</w:t>
      </w:r>
    </w:p>
    <w:p>
      <w:pPr>
        <w:ind w:left="2812" w:right="420"/>
        <w:spacing w:after="0" w:line="290" w:lineRule="auto"/>
        <w:rPr>
          <w:rFonts w:ascii="Arial" w:cs="Arial" w:eastAsia="Arial" w:hAnsi="Arial"/>
          <w:sz w:val="17"/>
          <w:szCs w:val="17"/>
          <w:color w:val="auto"/>
        </w:rPr>
      </w:pPr>
      <w:r>
        <w:rPr>
          <w:rFonts w:ascii="Arial" w:cs="Arial" w:eastAsia="Arial" w:hAnsi="Arial"/>
          <w:sz w:val="17"/>
          <w:szCs w:val="17"/>
          <w:color w:val="auto"/>
        </w:rPr>
        <w:t>(iii) charges and costs in respect of severance expenses actually paid in cash during such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_________</w:t>
      </w:r>
      <w:r>
        <w:rPr>
          <w:rFonts w:ascii="Arial" w:cs="Arial" w:eastAsia="Arial" w:hAnsi="Arial"/>
          <w:sz w:val="16"/>
          <w:szCs w:val="16"/>
          <w:color w:val="auto"/>
        </w:rPr>
        <w:t>]</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$[_________]</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$[_________]</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$[_________]</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_________</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_________</w:t>
      </w:r>
      <w:r>
        <w:rPr>
          <w:rFonts w:ascii="Arial" w:cs="Arial" w:eastAsia="Arial" w:hAnsi="Arial"/>
          <w:sz w:val="16"/>
          <w:szCs w:val="16"/>
          <w:color w:val="auto"/>
        </w:rPr>
        <w:t>]</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$[_________]</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$[_________]</w:t>
      </w:r>
    </w:p>
    <w:p>
      <w:pPr>
        <w:spacing w:after="0" w:line="243" w:lineRule="exact"/>
        <w:rPr>
          <w:sz w:val="20"/>
          <w:szCs w:val="20"/>
          <w:color w:val="auto"/>
        </w:rPr>
      </w:pPr>
    </w:p>
    <w:p>
      <w:pPr>
        <w:sectPr>
          <w:pgSz w:w="11900" w:h="16838" w:orient="portrait"/>
          <w:cols w:equalWidth="0" w:num="2">
            <w:col w:w="7192" w:space="120"/>
            <w:col w:w="2819"/>
          </w:cols>
          <w:pgMar w:left="328" w:top="935" w:right="1440" w:bottom="1440" w:gutter="0" w:footer="0" w:header="0"/>
        </w:sectPr>
      </w:pPr>
    </w:p>
    <w:p>
      <w:pPr>
        <w:ind w:left="2812"/>
        <w:spacing w:after="0"/>
        <w:rPr>
          <w:sz w:val="20"/>
          <w:szCs w:val="20"/>
          <w:color w:val="auto"/>
        </w:rPr>
      </w:pPr>
      <w:r>
        <w:rPr>
          <w:rFonts w:ascii="Arial" w:cs="Arial" w:eastAsia="Arial" w:hAnsi="Arial"/>
          <w:sz w:val="18"/>
          <w:szCs w:val="18"/>
          <w:b w:val="1"/>
          <w:bCs w:val="1"/>
          <w:color w:val="auto"/>
        </w:rPr>
        <w:t>Net Adjusted Decrease in Operating Cash: (1) - (2) + (3) -</w:t>
      </w:r>
    </w:p>
    <w:p>
      <w:pPr>
        <w:spacing w:after="0" w:line="27" w:lineRule="exact"/>
        <w:rPr>
          <w:sz w:val="20"/>
          <w:szCs w:val="20"/>
          <w:color w:val="auto"/>
        </w:rPr>
      </w:pPr>
    </w:p>
    <w:p>
      <w:pPr>
        <w:ind w:left="2812"/>
        <w:spacing w:after="0"/>
        <w:tabs>
          <w:tab w:leader="none" w:pos="7292" w:val="left"/>
        </w:tabs>
        <w:rPr>
          <w:sz w:val="20"/>
          <w:szCs w:val="20"/>
          <w:color w:val="auto"/>
        </w:rPr>
      </w:pPr>
      <w:r>
        <w:rPr>
          <w:rFonts w:ascii="Arial" w:cs="Arial" w:eastAsia="Arial" w:hAnsi="Arial"/>
          <w:sz w:val="18"/>
          <w:szCs w:val="18"/>
          <w:b w:val="1"/>
          <w:bCs w:val="1"/>
          <w:color w:val="auto"/>
        </w:rPr>
        <w:t>(4) - (5) + (6)</w:t>
      </w:r>
      <w:r>
        <w:rPr>
          <w:rFonts w:ascii="Arial" w:cs="Arial" w:eastAsia="Arial" w:hAnsi="Arial"/>
          <w:sz w:val="29"/>
          <w:szCs w:val="29"/>
          <w:b w:val="1"/>
          <w:bCs w:val="1"/>
          <w:color w:val="auto"/>
          <w:vertAlign w:val="superscript"/>
        </w:rPr>
        <w:t>2</w:t>
      </w:r>
      <w:r>
        <w:rPr>
          <w:rFonts w:ascii="Arial" w:cs="Arial" w:eastAsia="Arial" w:hAnsi="Arial"/>
          <w:sz w:val="18"/>
          <w:szCs w:val="18"/>
          <w:b w:val="1"/>
          <w:bCs w:val="1"/>
          <w:color w:val="auto"/>
        </w:rPr>
        <w:t xml:space="preserve"> =</w:t>
      </w:r>
      <w:r>
        <w:rPr>
          <w:sz w:val="20"/>
          <w:szCs w:val="20"/>
          <w:color w:val="auto"/>
        </w:rPr>
        <w:tab/>
      </w:r>
      <w:r>
        <w:rPr>
          <w:rFonts w:ascii="Arial" w:cs="Arial" w:eastAsia="Arial" w:hAnsi="Arial"/>
          <w:sz w:val="16"/>
          <w:szCs w:val="16"/>
          <w:b w:val="1"/>
          <w:bCs w:val="1"/>
          <w:color w:val="auto"/>
        </w:rPr>
        <w:t>$[_________]</w:t>
      </w:r>
    </w:p>
    <w:p>
      <w:pPr>
        <w:spacing w:after="0" w:line="46" w:lineRule="exact"/>
        <w:rPr>
          <w:sz w:val="20"/>
          <w:szCs w:val="20"/>
          <w:color w:val="auto"/>
        </w:rPr>
      </w:pPr>
    </w:p>
    <w:p>
      <w:pPr>
        <w:ind w:left="2812"/>
        <w:spacing w:after="0"/>
        <w:tabs>
          <w:tab w:leader="none" w:pos="7292" w:val="left"/>
        </w:tabs>
        <w:rPr>
          <w:sz w:val="20"/>
          <w:szCs w:val="20"/>
          <w:color w:val="auto"/>
        </w:rPr>
      </w:pPr>
      <w:r>
        <w:rPr>
          <w:rFonts w:ascii="Arial" w:cs="Arial" w:eastAsia="Arial" w:hAnsi="Arial"/>
          <w:sz w:val="18"/>
          <w:szCs w:val="18"/>
          <w:b w:val="1"/>
          <w:bCs w:val="1"/>
          <w:color w:val="auto"/>
        </w:rPr>
        <w:t>Permitted Net Adjusted Decrease in Operating Cash:</w:t>
      </w:r>
      <w:r>
        <w:rPr>
          <w:sz w:val="20"/>
          <w:szCs w:val="20"/>
          <w:color w:val="auto"/>
        </w:rPr>
        <w:tab/>
      </w:r>
      <w:r>
        <w:rPr>
          <w:rFonts w:ascii="Arial" w:cs="Arial" w:eastAsia="Arial" w:hAnsi="Arial"/>
          <w:sz w:val="24"/>
          <w:szCs w:val="24"/>
          <w:b w:val="1"/>
          <w:bCs w:val="1"/>
          <w:color w:val="auto"/>
          <w:vertAlign w:val="subscript"/>
        </w:rPr>
        <w:t>$[_________]</w:t>
      </w:r>
      <w:r>
        <w:rPr>
          <w:rFonts w:ascii="Arial" w:cs="Arial" w:eastAsia="Arial" w:hAnsi="Arial"/>
          <w:sz w:val="20"/>
          <w:szCs w:val="20"/>
          <w:color w:val="auto"/>
          <w:vertAlign w:val="superscript"/>
        </w:rPr>
        <w:t>3</w:t>
      </w:r>
    </w:p>
    <w:p>
      <w:pPr>
        <w:spacing w:after="0" w:line="275" w:lineRule="exact"/>
        <w:rPr>
          <w:sz w:val="20"/>
          <w:szCs w:val="20"/>
          <w:color w:val="auto"/>
        </w:rPr>
      </w:pPr>
    </w:p>
    <w:p>
      <w:pPr>
        <w:ind w:left="2812"/>
        <w:spacing w:after="0"/>
        <w:tabs>
          <w:tab w:leader="none" w:pos="7292" w:val="left"/>
        </w:tabs>
        <w:rPr>
          <w:sz w:val="20"/>
          <w:szCs w:val="20"/>
          <w:color w:val="auto"/>
        </w:rPr>
      </w:pPr>
      <w:r>
        <w:rPr>
          <w:rFonts w:ascii="Arial" w:cs="Arial" w:eastAsia="Arial" w:hAnsi="Arial"/>
          <w:sz w:val="18"/>
          <w:szCs w:val="18"/>
          <w:color w:val="auto"/>
        </w:rPr>
        <w:t>Compliant</w:t>
      </w:r>
      <w:r>
        <w:rPr>
          <w:sz w:val="20"/>
          <w:szCs w:val="20"/>
          <w:color w:val="auto"/>
        </w:rPr>
        <w:tab/>
      </w:r>
      <w:r>
        <w:rPr>
          <w:rFonts w:ascii="Arial" w:cs="Arial" w:eastAsia="Arial" w:hAnsi="Arial"/>
          <w:sz w:val="18"/>
          <w:szCs w:val="18"/>
          <w:color w:val="auto"/>
        </w:rPr>
        <w:t>[Yes] or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151765</wp:posOffset>
            </wp:positionV>
            <wp:extent cx="178308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31" w:lineRule="exact"/>
        <w:rPr>
          <w:sz w:val="20"/>
          <w:szCs w:val="20"/>
          <w:color w:val="auto"/>
        </w:rPr>
      </w:pPr>
    </w:p>
    <w:p>
      <w:pPr>
        <w:ind w:left="332" w:hanging="332"/>
        <w:spacing w:after="0"/>
        <w:tabs>
          <w:tab w:leader="none" w:pos="332" w:val="left"/>
        </w:tabs>
        <w:numPr>
          <w:ilvl w:val="0"/>
          <w:numId w:val="162"/>
        </w:numPr>
        <w:rPr>
          <w:rFonts w:ascii="Arial" w:cs="Arial" w:eastAsia="Arial" w:hAnsi="Arial"/>
          <w:sz w:val="30"/>
          <w:szCs w:val="30"/>
          <w:color w:val="auto"/>
          <w:vertAlign w:val="superscript"/>
        </w:rPr>
      </w:pPr>
      <w:r>
        <w:rPr>
          <w:rFonts w:ascii="Arial" w:cs="Arial" w:eastAsia="Arial" w:hAnsi="Arial"/>
          <w:sz w:val="18"/>
          <w:szCs w:val="18"/>
          <w:color w:val="auto"/>
        </w:rPr>
        <w:t>Only calculations for periods ending after October 31, 2023 should include clause (6).</w:t>
      </w:r>
    </w:p>
    <w:p>
      <w:pPr>
        <w:ind w:left="332" w:hanging="332"/>
        <w:spacing w:after="0" w:line="180" w:lineRule="auto"/>
        <w:tabs>
          <w:tab w:leader="none" w:pos="332" w:val="left"/>
        </w:tabs>
        <w:numPr>
          <w:ilvl w:val="0"/>
          <w:numId w:val="163"/>
        </w:numPr>
        <w:rPr>
          <w:rFonts w:ascii="Arial" w:cs="Arial" w:eastAsia="Arial" w:hAnsi="Arial"/>
          <w:sz w:val="25"/>
          <w:szCs w:val="25"/>
          <w:color w:val="auto"/>
          <w:vertAlign w:val="superscript"/>
        </w:rPr>
      </w:pPr>
      <w:r>
        <w:rPr>
          <w:rFonts w:ascii="Arial" w:cs="Arial" w:eastAsia="Arial" w:hAnsi="Arial"/>
          <w:sz w:val="15"/>
          <w:szCs w:val="15"/>
          <w:color w:val="auto"/>
        </w:rPr>
        <w:t>Please refer to the Net Adjusted Decrease in Operating Cash listed in the chart to Section 6.17(c) of the Credit Agreement.</w:t>
      </w:r>
    </w:p>
    <w:p>
      <w:pPr>
        <w:spacing w:after="0" w:line="200" w:lineRule="exact"/>
        <w:rPr>
          <w:sz w:val="20"/>
          <w:szCs w:val="20"/>
          <w:color w:val="auto"/>
        </w:rPr>
      </w:pPr>
    </w:p>
    <w:p>
      <w:pPr>
        <w:spacing w:after="0" w:line="238" w:lineRule="exact"/>
        <w:rPr>
          <w:sz w:val="20"/>
          <w:szCs w:val="20"/>
          <w:color w:val="auto"/>
        </w:rPr>
      </w:pPr>
    </w:p>
    <w:p>
      <w:pPr>
        <w:ind w:left="5452"/>
        <w:spacing w:after="0"/>
        <w:rPr>
          <w:sz w:val="20"/>
          <w:szCs w:val="20"/>
          <w:color w:val="auto"/>
        </w:rPr>
      </w:pPr>
      <w:r>
        <w:rPr>
          <w:rFonts w:ascii="Arial" w:cs="Arial" w:eastAsia="Arial" w:hAnsi="Arial"/>
          <w:sz w:val="22"/>
          <w:szCs w:val="22"/>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1"/>
          </w:cols>
          <w:pgMar w:left="328" w:top="935" w:right="1440" w:bottom="1440" w:gutter="0" w:footer="0" w:header="0"/>
          <w:type w:val="continuous"/>
        </w:sectPr>
      </w:pPr>
    </w:p>
    <w:bookmarkStart w:id="176" w:name="page177"/>
    <w:bookmarkEnd w:id="176"/>
    <w:p>
      <w:pPr>
        <w:jc w:val="center"/>
        <w:ind w:right="19"/>
        <w:spacing w:after="0"/>
        <w:rPr>
          <w:sz w:val="20"/>
          <w:szCs w:val="20"/>
          <w:color w:val="auto"/>
        </w:rPr>
      </w:pPr>
      <w:r>
        <w:rPr>
          <w:rFonts w:ascii="Arial" w:cs="Arial" w:eastAsia="Arial" w:hAnsi="Arial"/>
          <w:sz w:val="18"/>
          <w:szCs w:val="18"/>
          <w:b w:val="1"/>
          <w:bCs w:val="1"/>
          <w:u w:val="single" w:color="auto"/>
          <w:color w:val="auto"/>
        </w:rPr>
        <w:t>EXHIBIT 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FORM OF NOTICE OF BORROWING</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77" w:name="page178"/>
    <w:bookmarkEnd w:id="177"/>
    <w:p>
      <w:pPr>
        <w:jc w:val="center"/>
        <w:ind w:right="19"/>
        <w:spacing w:after="0"/>
        <w:rPr>
          <w:sz w:val="20"/>
          <w:szCs w:val="20"/>
          <w:color w:val="auto"/>
        </w:rPr>
      </w:pPr>
      <w:r>
        <w:rPr>
          <w:rFonts w:ascii="Arial" w:cs="Arial" w:eastAsia="Arial" w:hAnsi="Arial"/>
          <w:sz w:val="18"/>
          <w:szCs w:val="18"/>
          <w:b w:val="1"/>
          <w:bCs w:val="1"/>
          <w:u w:val="single" w:color="auto"/>
          <w:color w:val="auto"/>
        </w:rPr>
        <w:t>EXHIBIT 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FORM OF PAYMENT NOTICE</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20" w:right="1440" w:bottom="1440" w:gutter="0" w:footer="0" w:header="0"/>
        </w:sectPr>
      </w:pPr>
    </w:p>
    <w:bookmarkStart w:id="178" w:name="page179"/>
    <w:bookmarkEnd w:id="178"/>
    <w:p>
      <w:pPr>
        <w:jc w:val="center"/>
        <w:spacing w:after="0"/>
        <w:rPr>
          <w:sz w:val="20"/>
          <w:szCs w:val="20"/>
          <w:color w:val="auto"/>
        </w:rPr>
      </w:pPr>
      <w:r>
        <w:rPr>
          <w:rFonts w:ascii="Arial" w:cs="Arial" w:eastAsia="Arial" w:hAnsi="Arial"/>
          <w:sz w:val="18"/>
          <w:szCs w:val="18"/>
          <w:b w:val="1"/>
          <w:bCs w:val="1"/>
          <w:u w:val="single" w:color="auto"/>
          <w:color w:val="auto"/>
        </w:rPr>
        <w:t>EXHIBIT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PROMISSORY NOTE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Principal Amount: $[_____] [________], 2022</w:t>
      </w:r>
    </w:p>
    <w:p>
      <w:pPr>
        <w:spacing w:after="0" w:line="22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FOR VALUE RECEIVED, </w:t>
      </w:r>
      <w:r>
        <w:rPr>
          <w:rFonts w:ascii="Arial" w:cs="Arial" w:eastAsia="Arial" w:hAnsi="Arial"/>
          <w:sz w:val="17"/>
          <w:szCs w:val="17"/>
          <w:b w:val="1"/>
          <w:bCs w:val="1"/>
          <w:color w:val="auto"/>
        </w:rPr>
        <w:t>PRESTO AUTOMATION LLC</w:t>
      </w:r>
      <w:r>
        <w:rPr>
          <w:rFonts w:ascii="Arial" w:cs="Arial" w:eastAsia="Arial" w:hAnsi="Arial"/>
          <w:sz w:val="17"/>
          <w:szCs w:val="17"/>
          <w:color w:val="auto"/>
        </w:rPr>
        <w:t xml:space="preserve"> (f/k/a E La Carte, LLC, f/k/a Ventoux Merger Sub II LLC) a Delaware limited liability company (“</w:t>
      </w:r>
      <w:r>
        <w:rPr>
          <w:rFonts w:ascii="Arial" w:cs="Arial" w:eastAsia="Arial" w:hAnsi="Arial"/>
          <w:sz w:val="17"/>
          <w:szCs w:val="17"/>
          <w:b w:val="1"/>
          <w:bCs w:val="1"/>
          <w:i w:val="1"/>
          <w:iCs w:val="1"/>
          <w:color w:val="auto"/>
        </w:rPr>
        <w:t>Borrower</w:t>
      </w:r>
      <w:r>
        <w:rPr>
          <w:rFonts w:ascii="Arial" w:cs="Arial" w:eastAsia="Arial" w:hAnsi="Arial"/>
          <w:sz w:val="17"/>
          <w:szCs w:val="17"/>
          <w:color w:val="auto"/>
        </w:rPr>
        <w:t>”), hereby unconditionally promises to pay to the order of [_______________] (the “</w:t>
      </w:r>
      <w:r>
        <w:rPr>
          <w:rFonts w:ascii="Arial" w:cs="Arial" w:eastAsia="Arial" w:hAnsi="Arial"/>
          <w:sz w:val="17"/>
          <w:szCs w:val="17"/>
          <w:b w:val="1"/>
          <w:bCs w:val="1"/>
          <w:i w:val="1"/>
          <w:iCs w:val="1"/>
          <w:color w:val="auto"/>
        </w:rPr>
        <w:t>Lender</w:t>
      </w:r>
      <w:r>
        <w:rPr>
          <w:rFonts w:ascii="Arial" w:cs="Arial" w:eastAsia="Arial" w:hAnsi="Arial"/>
          <w:sz w:val="17"/>
          <w:szCs w:val="17"/>
          <w:color w:val="auto"/>
        </w:rPr>
        <w:t>”), the principal amount of</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 and no/100 Dollars ($[________]), or, if less, the aggregate unpaid principal amount of the Term Loan of the Lender to the Borrower,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payable at such times and in such amounts as are specified in the Agreement (as defined below).</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Borrower promises to pay interest on the unpaid principal amount of the Loan from the date made until such principal amount is paid in full, payable at such times and at such interest rates as are specified in the Agreement. Demand, diligence, presentment, protest and notice of non-payment and protest are hereby waived by Borrower.</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 xml:space="preserve">Both principal and interest are payable in Dollars to </w:t>
      </w:r>
      <w:r>
        <w:rPr>
          <w:rFonts w:ascii="Arial" w:cs="Arial" w:eastAsia="Arial" w:hAnsi="Arial"/>
          <w:sz w:val="18"/>
          <w:szCs w:val="18"/>
          <w:b w:val="1"/>
          <w:bCs w:val="1"/>
          <w:color w:val="auto"/>
        </w:rPr>
        <w:t>METROPOLITAN PARTNERS GROUP ADMINISTRATION, LLC</w:t>
      </w:r>
      <w:r>
        <w:rPr>
          <w:rFonts w:ascii="Arial" w:cs="Arial" w:eastAsia="Arial" w:hAnsi="Arial"/>
          <w:sz w:val="18"/>
          <w:szCs w:val="18"/>
          <w:color w:val="auto"/>
        </w:rPr>
        <w:t>, as Agent, at the address set forth in the Agreement, in immediately available funds.</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This Promissory Note (this “</w:t>
      </w:r>
      <w:r>
        <w:rPr>
          <w:rFonts w:ascii="Arial" w:cs="Arial" w:eastAsia="Arial" w:hAnsi="Arial"/>
          <w:sz w:val="18"/>
          <w:szCs w:val="18"/>
          <w:b w:val="1"/>
          <w:bCs w:val="1"/>
          <w:i w:val="1"/>
          <w:iCs w:val="1"/>
          <w:color w:val="auto"/>
        </w:rPr>
        <w:t>Note</w:t>
      </w:r>
      <w:r>
        <w:rPr>
          <w:rFonts w:ascii="Arial" w:cs="Arial" w:eastAsia="Arial" w:hAnsi="Arial"/>
          <w:sz w:val="18"/>
          <w:szCs w:val="18"/>
          <w:color w:val="auto"/>
        </w:rPr>
        <w:t xml:space="preserve">”) is one of the Notes referred to in, and is entitled to the benefits of, that certain Credit Agreement, dated as of September 21, 2022, by and among the Borrower, </w:t>
      </w:r>
      <w:r>
        <w:rPr>
          <w:rFonts w:ascii="Arial" w:cs="Arial" w:eastAsia="Arial" w:hAnsi="Arial"/>
          <w:sz w:val="18"/>
          <w:szCs w:val="18"/>
          <w:b w:val="1"/>
          <w:bCs w:val="1"/>
          <w:color w:val="auto"/>
        </w:rPr>
        <w:t>PRESTO AUTOMATION INC.</w:t>
      </w:r>
      <w:r>
        <w:rPr>
          <w:rFonts w:ascii="Arial" w:cs="Arial" w:eastAsia="Arial" w:hAnsi="Arial"/>
          <w:sz w:val="18"/>
          <w:szCs w:val="18"/>
          <w:color w:val="auto"/>
        </w:rPr>
        <w:t>, a Delaware corporation (“</w:t>
      </w:r>
      <w:r>
        <w:rPr>
          <w:rFonts w:ascii="Arial" w:cs="Arial" w:eastAsia="Arial" w:hAnsi="Arial"/>
          <w:sz w:val="18"/>
          <w:szCs w:val="18"/>
          <w:b w:val="1"/>
          <w:bCs w:val="1"/>
          <w:i w:val="1"/>
          <w:iCs w:val="1"/>
          <w:color w:val="auto"/>
        </w:rPr>
        <w:t>Parent</w:t>
      </w:r>
      <w:r>
        <w:rPr>
          <w:rFonts w:ascii="Arial" w:cs="Arial" w:eastAsia="Arial" w:hAnsi="Arial"/>
          <w:sz w:val="18"/>
          <w:szCs w:val="18"/>
          <w:color w:val="auto"/>
        </w:rPr>
        <w:t xml:space="preserve">”), each of the other Guarantors from time to time party thereto, the financial institutions who are or hereafter become parties thereto as Lenders, and </w:t>
      </w:r>
      <w:r>
        <w:rPr>
          <w:rFonts w:ascii="Arial" w:cs="Arial" w:eastAsia="Arial" w:hAnsi="Arial"/>
          <w:sz w:val="18"/>
          <w:szCs w:val="18"/>
          <w:b w:val="1"/>
          <w:bCs w:val="1"/>
          <w:color w:val="auto"/>
        </w:rPr>
        <w:t>METROPOLITAN PARTNERS GROUP</w:t>
      </w:r>
      <w:r>
        <w:rPr>
          <w:rFonts w:ascii="Arial" w:cs="Arial" w:eastAsia="Arial" w:hAnsi="Arial"/>
          <w:sz w:val="18"/>
          <w:szCs w:val="18"/>
          <w:color w:val="auto"/>
        </w:rPr>
        <w:t xml:space="preserve"> </w:t>
      </w:r>
      <w:r>
        <w:rPr>
          <w:rFonts w:ascii="Arial" w:cs="Arial" w:eastAsia="Arial" w:hAnsi="Arial"/>
          <w:sz w:val="18"/>
          <w:szCs w:val="18"/>
          <w:b w:val="1"/>
          <w:bCs w:val="1"/>
          <w:color w:val="auto"/>
        </w:rPr>
        <w:t>ADMINISTRATION, LLC</w:t>
      </w:r>
      <w:r>
        <w:rPr>
          <w:rFonts w:ascii="Arial" w:cs="Arial" w:eastAsia="Arial" w:hAnsi="Arial"/>
          <w:sz w:val="18"/>
          <w:szCs w:val="18"/>
          <w:color w:val="auto"/>
        </w:rPr>
        <w:t>, as administrative, payment and collateral agent for itself, as a Lender, and for the other Lenders (in such capacities,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i w:val="1"/>
          <w:iCs w:val="1"/>
          <w:color w:val="auto"/>
        </w:rPr>
        <w:t>Agent</w:t>
      </w:r>
      <w:r>
        <w:rPr>
          <w:rFonts w:ascii="Arial" w:cs="Arial" w:eastAsia="Arial" w:hAnsi="Arial"/>
          <w:sz w:val="18"/>
          <w:szCs w:val="18"/>
          <w:color w:val="auto"/>
        </w:rPr>
        <w:t>”) (as the same may be amended, restated, supplemented or otherwise modified from time to time,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Capitalized terms used herein without definition are used as defined in the Agreement.</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Agreement, among other things, (a) provides for the making of the Term Loan by the Lender to Borrower in an aggregate amount not to exceed the Lender’s Term Loan Commitment, the indebtedness of Borrower resulting from such Term Loan being evidenced by this Note and any other such Notes issued by Borrower, and (b) contains provisions for acceleration of the maturity of the unpaid principal amount of this Note upon the happening of certain stated events and also for prepayments on account of the principal hereof prior to the maturity hereof upon the terms and conditions specified therein.</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This Note is a Loan Document, is entitled to the benefits of the Loan Documents and is subject to all of the provisions of the Agreement, including, without limitation, </w:t>
      </w:r>
      <w:r>
        <w:rPr>
          <w:rFonts w:ascii="Arial" w:cs="Arial" w:eastAsia="Arial" w:hAnsi="Arial"/>
          <w:sz w:val="17"/>
          <w:szCs w:val="17"/>
          <w:u w:val="single" w:color="auto"/>
          <w:color w:val="auto"/>
        </w:rPr>
        <w:t>Sections 8.12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8.13</w:t>
      </w:r>
      <w:r>
        <w:rPr>
          <w:rFonts w:ascii="Arial" w:cs="Arial" w:eastAsia="Arial" w:hAnsi="Arial"/>
          <w:sz w:val="17"/>
          <w:szCs w:val="17"/>
          <w:color w:val="auto"/>
        </w:rPr>
        <w:t xml:space="preserve"> thereof. The assignment, transfer or sale of this Note and the indebtedness evidenced hereby shall only be effective to the extent such assignment, transfer or sale is permitted by, and made in accordance with the terms of, the Agreement.</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laws of the State of New York shall govern all matters arising out of, in connection with or relating to this Note, including its validity, interpretation, construction, performance and enforcement (including any claims sounding in contract or tort law arising out of the subject matter hereof and any determinations with respect to post-judgment interest).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9" w:name="page180"/>
    <w:bookmarkEnd w:id="179"/>
    <w:p>
      <w:pPr>
        <w:ind w:firstLine="648"/>
        <w:spacing w:after="0" w:line="277" w:lineRule="auto"/>
        <w:rPr>
          <w:sz w:val="20"/>
          <w:szCs w:val="20"/>
          <w:color w:val="auto"/>
        </w:rPr>
      </w:pPr>
      <w:r>
        <w:rPr>
          <w:rFonts w:ascii="Arial" w:cs="Arial" w:eastAsia="Arial" w:hAnsi="Arial"/>
          <w:sz w:val="18"/>
          <w:szCs w:val="18"/>
          <w:color w:val="auto"/>
        </w:rPr>
        <w:t>IN WITNESS WHEREOF, the Borrower has caused this Promissory Note to be executed and delivered by its duly authorized officer as of the day and year set forth above.</w:t>
      </w:r>
    </w:p>
    <w:p>
      <w:pPr>
        <w:spacing w:after="0" w:line="17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BORROWER:</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PRESTO AUTOMATION LLC</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(F/K/A E LA CARTE, LLC, F/K/A VENTOUX MERGER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SUB II LLC)</w:t>
      </w:r>
    </w:p>
    <w:p>
      <w:pPr>
        <w:spacing w:after="0" w:line="21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0" w:name="page181"/>
    <w:bookmarkEnd w:id="180"/>
    <w:tbl>
      <w:tblPr>
        <w:tblLayout w:type="fixed"/>
        <w:tblInd w:w="0" w:type="dxa"/>
        <w:tblCellMar>
          <w:top w:w="0" w:type="dxa"/>
          <w:left w:w="0" w:type="dxa"/>
          <w:bottom w:w="0" w:type="dxa"/>
          <w:right w:w="0" w:type="dxa"/>
        </w:tblCellMar>
      </w:tblPr>
      <w:tr>
        <w:trPr>
          <w:trHeight w:val="207"/>
        </w:trPr>
        <w:tc>
          <w:tcPr>
            <w:tcW w:w="40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EXHIBIT E</w:t>
            </w:r>
          </w:p>
        </w:tc>
        <w:tc>
          <w:tcPr>
            <w:tcW w:w="3280" w:type="dxa"/>
            <w:vAlign w:val="bottom"/>
            <w:gridSpan w:val="2"/>
          </w:tcPr>
          <w:p>
            <w:pPr>
              <w:spacing w:after="0"/>
              <w:rPr>
                <w:sz w:val="17"/>
                <w:szCs w:val="17"/>
                <w:color w:val="auto"/>
              </w:rPr>
            </w:pPr>
          </w:p>
        </w:tc>
        <w:tc>
          <w:tcPr>
            <w:tcW w:w="1860" w:type="dxa"/>
            <w:vAlign w:val="bottom"/>
          </w:tcPr>
          <w:p>
            <w:pPr>
              <w:spacing w:after="0"/>
              <w:rPr>
                <w:sz w:val="17"/>
                <w:szCs w:val="17"/>
                <w:color w:val="auto"/>
              </w:rPr>
            </w:pPr>
          </w:p>
        </w:tc>
      </w:tr>
      <w:tr>
        <w:trPr>
          <w:trHeight w:val="453"/>
        </w:trPr>
        <w:tc>
          <w:tcPr>
            <w:tcW w:w="4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6020" w:type="dxa"/>
            <w:vAlign w:val="bottom"/>
            <w:gridSpan w:val="4"/>
          </w:tcPr>
          <w:p>
            <w:pPr>
              <w:jc w:val="center"/>
              <w:ind w:right="1480"/>
              <w:spacing w:after="0"/>
              <w:rPr>
                <w:sz w:val="20"/>
                <w:szCs w:val="20"/>
                <w:color w:val="auto"/>
              </w:rPr>
            </w:pPr>
            <w:r>
              <w:rPr>
                <w:rFonts w:ascii="Arial" w:cs="Arial" w:eastAsia="Arial" w:hAnsi="Arial"/>
                <w:sz w:val="18"/>
                <w:szCs w:val="18"/>
                <w:b w:val="1"/>
                <w:bCs w:val="1"/>
                <w:color w:val="auto"/>
              </w:rPr>
              <w:t>FORM OF FINANCIAL COVENANT CALCULATIONS</w:t>
            </w:r>
            <w:r>
              <w:rPr>
                <w:rFonts w:ascii="Arial" w:cs="Arial" w:eastAsia="Arial" w:hAnsi="Arial"/>
                <w:sz w:val="29"/>
                <w:szCs w:val="29"/>
                <w:b w:val="1"/>
                <w:bCs w:val="1"/>
                <w:color w:val="auto"/>
                <w:vertAlign w:val="superscript"/>
              </w:rPr>
              <w:t>4</w:t>
            </w:r>
          </w:p>
        </w:tc>
        <w:tc>
          <w:tcPr>
            <w:tcW w:w="1860" w:type="dxa"/>
            <w:vAlign w:val="bottom"/>
          </w:tcPr>
          <w:p>
            <w:pPr>
              <w:spacing w:after="0"/>
              <w:rPr>
                <w:sz w:val="24"/>
                <w:szCs w:val="24"/>
                <w:color w:val="auto"/>
              </w:rPr>
            </w:pPr>
          </w:p>
        </w:tc>
      </w:tr>
      <w:tr>
        <w:trPr>
          <w:trHeight w:val="20"/>
        </w:trPr>
        <w:tc>
          <w:tcPr>
            <w:tcW w:w="4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4460" w:type="dxa"/>
            <w:vAlign w:val="bottom"/>
            <w:gridSpan w:val="3"/>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434"/>
        </w:trPr>
        <w:tc>
          <w:tcPr>
            <w:tcW w:w="400" w:type="dxa"/>
            <w:vAlign w:val="bottom"/>
          </w:tcPr>
          <w:p>
            <w:pPr>
              <w:spacing w:after="0"/>
              <w:rPr>
                <w:sz w:val="20"/>
                <w:szCs w:val="20"/>
                <w:color w:val="auto"/>
              </w:rPr>
            </w:pPr>
            <w:r>
              <w:rPr>
                <w:rFonts w:ascii="Arial" w:cs="Arial" w:eastAsia="Arial" w:hAnsi="Arial"/>
                <w:sz w:val="18"/>
                <w:szCs w:val="18"/>
                <w:b w:val="1"/>
                <w:bCs w:val="1"/>
                <w:color w:val="auto"/>
              </w:rPr>
              <w:t>(a)</w:t>
            </w:r>
          </w:p>
        </w:tc>
        <w:tc>
          <w:tcPr>
            <w:tcW w:w="8980" w:type="dxa"/>
            <w:vAlign w:val="bottom"/>
            <w:gridSpan w:val="5"/>
          </w:tcPr>
          <w:p>
            <w:pPr>
              <w:ind w:left="220"/>
              <w:spacing w:after="0"/>
              <w:rPr>
                <w:sz w:val="20"/>
                <w:szCs w:val="20"/>
                <w:color w:val="auto"/>
              </w:rPr>
            </w:pPr>
            <w:r>
              <w:rPr>
                <w:rFonts w:ascii="Arial" w:cs="Arial" w:eastAsia="Arial" w:hAnsi="Arial"/>
                <w:sz w:val="18"/>
                <w:szCs w:val="18"/>
                <w:b w:val="1"/>
                <w:bCs w:val="1"/>
                <w:color w:val="auto"/>
                <w:w w:val="99"/>
              </w:rPr>
              <w:t>Computer Vision Products Revenue for the three (3) consecutive month period ending as of such date:</w:t>
            </w:r>
          </w:p>
        </w:tc>
        <w:tc>
          <w:tcPr>
            <w:tcW w:w="1860" w:type="dxa"/>
            <w:vAlign w:val="bottom"/>
          </w:tcPr>
          <w:p>
            <w:pPr>
              <w:jc w:val="right"/>
              <w:spacing w:after="0"/>
              <w:rPr>
                <w:sz w:val="20"/>
                <w:szCs w:val="20"/>
                <w:color w:val="auto"/>
              </w:rPr>
            </w:pPr>
            <w:r>
              <w:rPr>
                <w:rFonts w:ascii="Arial" w:cs="Arial" w:eastAsia="Arial" w:hAnsi="Arial"/>
                <w:sz w:val="18"/>
                <w:szCs w:val="18"/>
                <w:b w:val="1"/>
                <w:bCs w:val="1"/>
                <w:color w:val="auto"/>
              </w:rPr>
              <w:t>$32,288</w:t>
            </w:r>
          </w:p>
        </w:tc>
      </w:tr>
      <w:tr>
        <w:trPr>
          <w:trHeight w:val="216"/>
        </w:trPr>
        <w:tc>
          <w:tcPr>
            <w:tcW w:w="400" w:type="dxa"/>
            <w:vAlign w:val="bottom"/>
          </w:tcPr>
          <w:p>
            <w:pPr>
              <w:spacing w:after="0"/>
              <w:rPr>
                <w:sz w:val="20"/>
                <w:szCs w:val="20"/>
                <w:color w:val="auto"/>
              </w:rPr>
            </w:pPr>
            <w:r>
              <w:rPr>
                <w:rFonts w:ascii="Arial" w:cs="Arial" w:eastAsia="Arial" w:hAnsi="Arial"/>
                <w:sz w:val="18"/>
                <w:szCs w:val="18"/>
                <w:b w:val="1"/>
                <w:bCs w:val="1"/>
                <w:color w:val="auto"/>
              </w:rPr>
              <w:t>(b)</w:t>
            </w:r>
          </w:p>
        </w:tc>
        <w:tc>
          <w:tcPr>
            <w:tcW w:w="8980" w:type="dxa"/>
            <w:vAlign w:val="bottom"/>
            <w:gridSpan w:val="5"/>
          </w:tcPr>
          <w:p>
            <w:pPr>
              <w:ind w:left="180"/>
              <w:spacing w:after="0"/>
              <w:rPr>
                <w:sz w:val="20"/>
                <w:szCs w:val="20"/>
                <w:color w:val="auto"/>
              </w:rPr>
            </w:pPr>
            <w:r>
              <w:rPr>
                <w:rFonts w:ascii="Arial" w:cs="Arial" w:eastAsia="Arial" w:hAnsi="Arial"/>
                <w:sz w:val="18"/>
                <w:szCs w:val="18"/>
                <w:b w:val="1"/>
                <w:bCs w:val="1"/>
                <w:color w:val="auto"/>
              </w:rPr>
              <w:t>Computer Vision Annual Platform Revenue: Item (a) multiplied by four (4):</w:t>
            </w:r>
          </w:p>
        </w:tc>
        <w:tc>
          <w:tcPr>
            <w:tcW w:w="1860" w:type="dxa"/>
            <w:vAlign w:val="bottom"/>
          </w:tcPr>
          <w:p>
            <w:pPr>
              <w:jc w:val="right"/>
              <w:spacing w:after="0"/>
              <w:rPr>
                <w:sz w:val="20"/>
                <w:szCs w:val="20"/>
                <w:color w:val="auto"/>
              </w:rPr>
            </w:pPr>
            <w:r>
              <w:rPr>
                <w:rFonts w:ascii="Arial" w:cs="Arial" w:eastAsia="Arial" w:hAnsi="Arial"/>
                <w:sz w:val="18"/>
                <w:szCs w:val="18"/>
                <w:b w:val="1"/>
                <w:bCs w:val="1"/>
                <w:color w:val="auto"/>
              </w:rPr>
              <w:t>$129,152</w:t>
            </w:r>
          </w:p>
        </w:tc>
      </w:tr>
      <w:tr>
        <w:trPr>
          <w:trHeight w:val="216"/>
        </w:trPr>
        <w:tc>
          <w:tcPr>
            <w:tcW w:w="400" w:type="dxa"/>
            <w:vAlign w:val="bottom"/>
          </w:tcPr>
          <w:p>
            <w:pPr>
              <w:spacing w:after="0"/>
              <w:rPr>
                <w:sz w:val="20"/>
                <w:szCs w:val="20"/>
                <w:color w:val="auto"/>
              </w:rPr>
            </w:pPr>
            <w:r>
              <w:rPr>
                <w:rFonts w:ascii="Arial" w:cs="Arial" w:eastAsia="Arial" w:hAnsi="Arial"/>
                <w:sz w:val="18"/>
                <w:szCs w:val="18"/>
                <w:b w:val="1"/>
                <w:bCs w:val="1"/>
                <w:color w:val="auto"/>
              </w:rPr>
              <w:t>(c)</w:t>
            </w:r>
          </w:p>
        </w:tc>
        <w:tc>
          <w:tcPr>
            <w:tcW w:w="8980" w:type="dxa"/>
            <w:vAlign w:val="bottom"/>
            <w:gridSpan w:val="5"/>
          </w:tcPr>
          <w:p>
            <w:pPr>
              <w:ind w:left="180"/>
              <w:spacing w:after="0"/>
              <w:rPr>
                <w:sz w:val="20"/>
                <w:szCs w:val="20"/>
                <w:color w:val="auto"/>
              </w:rPr>
            </w:pPr>
            <w:r>
              <w:rPr>
                <w:rFonts w:ascii="Arial" w:cs="Arial" w:eastAsia="Arial" w:hAnsi="Arial"/>
                <w:sz w:val="18"/>
                <w:szCs w:val="18"/>
                <w:b w:val="1"/>
                <w:bCs w:val="1"/>
                <w:color w:val="auto"/>
              </w:rPr>
              <w:t>Touch Platform Revenue for the three (3) consecutive month period ending as of such date:</w:t>
            </w:r>
          </w:p>
        </w:tc>
        <w:tc>
          <w:tcPr>
            <w:tcW w:w="1860" w:type="dxa"/>
            <w:vAlign w:val="bottom"/>
          </w:tcPr>
          <w:p>
            <w:pPr>
              <w:jc w:val="right"/>
              <w:spacing w:after="0"/>
              <w:rPr>
                <w:sz w:val="20"/>
                <w:szCs w:val="20"/>
                <w:color w:val="auto"/>
              </w:rPr>
            </w:pPr>
            <w:r>
              <w:rPr>
                <w:rFonts w:ascii="Arial" w:cs="Arial" w:eastAsia="Arial" w:hAnsi="Arial"/>
                <w:sz w:val="18"/>
                <w:szCs w:val="18"/>
                <w:b w:val="1"/>
                <w:bCs w:val="1"/>
                <w:color w:val="auto"/>
              </w:rPr>
              <w:t>$5,037,873</w:t>
            </w:r>
          </w:p>
        </w:tc>
      </w:tr>
      <w:tr>
        <w:trPr>
          <w:trHeight w:val="216"/>
        </w:trPr>
        <w:tc>
          <w:tcPr>
            <w:tcW w:w="400" w:type="dxa"/>
            <w:vAlign w:val="bottom"/>
          </w:tcPr>
          <w:p>
            <w:pPr>
              <w:spacing w:after="0"/>
              <w:rPr>
                <w:sz w:val="20"/>
                <w:szCs w:val="20"/>
                <w:color w:val="auto"/>
              </w:rPr>
            </w:pPr>
            <w:r>
              <w:rPr>
                <w:rFonts w:ascii="Arial" w:cs="Arial" w:eastAsia="Arial" w:hAnsi="Arial"/>
                <w:sz w:val="18"/>
                <w:szCs w:val="18"/>
                <w:b w:val="1"/>
                <w:bCs w:val="1"/>
                <w:color w:val="auto"/>
              </w:rPr>
              <w:t>(d)</w:t>
            </w:r>
          </w:p>
        </w:tc>
        <w:tc>
          <w:tcPr>
            <w:tcW w:w="8980" w:type="dxa"/>
            <w:vAlign w:val="bottom"/>
            <w:gridSpan w:val="5"/>
          </w:tcPr>
          <w:p>
            <w:pPr>
              <w:ind w:left="180"/>
              <w:spacing w:after="0"/>
              <w:rPr>
                <w:sz w:val="20"/>
                <w:szCs w:val="20"/>
                <w:color w:val="auto"/>
              </w:rPr>
            </w:pPr>
            <w:r>
              <w:rPr>
                <w:rFonts w:ascii="Arial" w:cs="Arial" w:eastAsia="Arial" w:hAnsi="Arial"/>
                <w:sz w:val="18"/>
                <w:szCs w:val="18"/>
                <w:b w:val="1"/>
                <w:bCs w:val="1"/>
                <w:color w:val="auto"/>
              </w:rPr>
              <w:t>Touch Annual Platform Revenue: Item (c) multiplied by four (4):</w:t>
            </w:r>
          </w:p>
        </w:tc>
        <w:tc>
          <w:tcPr>
            <w:tcW w:w="1860" w:type="dxa"/>
            <w:vAlign w:val="bottom"/>
          </w:tcPr>
          <w:p>
            <w:pPr>
              <w:jc w:val="right"/>
              <w:spacing w:after="0"/>
              <w:rPr>
                <w:sz w:val="20"/>
                <w:szCs w:val="20"/>
                <w:color w:val="auto"/>
              </w:rPr>
            </w:pPr>
            <w:r>
              <w:rPr>
                <w:rFonts w:ascii="Arial" w:cs="Arial" w:eastAsia="Arial" w:hAnsi="Arial"/>
                <w:sz w:val="18"/>
                <w:szCs w:val="18"/>
                <w:b w:val="1"/>
                <w:bCs w:val="1"/>
                <w:color w:val="auto"/>
              </w:rPr>
              <w:t>$20,151,492</w:t>
            </w:r>
          </w:p>
        </w:tc>
      </w:tr>
      <w:tr>
        <w:trPr>
          <w:trHeight w:val="216"/>
        </w:trPr>
        <w:tc>
          <w:tcPr>
            <w:tcW w:w="400" w:type="dxa"/>
            <w:vAlign w:val="bottom"/>
          </w:tcPr>
          <w:p>
            <w:pPr>
              <w:spacing w:after="0"/>
              <w:rPr>
                <w:sz w:val="20"/>
                <w:szCs w:val="20"/>
                <w:color w:val="auto"/>
              </w:rPr>
            </w:pPr>
            <w:r>
              <w:rPr>
                <w:rFonts w:ascii="Arial" w:cs="Arial" w:eastAsia="Arial" w:hAnsi="Arial"/>
                <w:sz w:val="18"/>
                <w:szCs w:val="18"/>
                <w:b w:val="1"/>
                <w:bCs w:val="1"/>
                <w:color w:val="auto"/>
              </w:rPr>
              <w:t>(e)</w:t>
            </w:r>
          </w:p>
        </w:tc>
        <w:tc>
          <w:tcPr>
            <w:tcW w:w="8980" w:type="dxa"/>
            <w:vAlign w:val="bottom"/>
            <w:gridSpan w:val="5"/>
          </w:tcPr>
          <w:p>
            <w:pPr>
              <w:ind w:left="180"/>
              <w:spacing w:after="0"/>
              <w:rPr>
                <w:sz w:val="20"/>
                <w:szCs w:val="20"/>
                <w:color w:val="auto"/>
              </w:rPr>
            </w:pPr>
            <w:r>
              <w:rPr>
                <w:rFonts w:ascii="Arial" w:cs="Arial" w:eastAsia="Arial" w:hAnsi="Arial"/>
                <w:sz w:val="18"/>
                <w:szCs w:val="18"/>
                <w:b w:val="1"/>
                <w:bCs w:val="1"/>
                <w:color w:val="auto"/>
              </w:rPr>
              <w:t>Voice Platform Revenue for the three (3) consecutive month period ending as of such date:</w:t>
            </w:r>
          </w:p>
        </w:tc>
        <w:tc>
          <w:tcPr>
            <w:tcW w:w="1860" w:type="dxa"/>
            <w:vAlign w:val="bottom"/>
          </w:tcPr>
          <w:p>
            <w:pPr>
              <w:jc w:val="right"/>
              <w:spacing w:after="0"/>
              <w:rPr>
                <w:sz w:val="20"/>
                <w:szCs w:val="20"/>
                <w:color w:val="auto"/>
              </w:rPr>
            </w:pPr>
            <w:r>
              <w:rPr>
                <w:rFonts w:ascii="Arial" w:cs="Arial" w:eastAsia="Arial" w:hAnsi="Arial"/>
                <w:sz w:val="18"/>
                <w:szCs w:val="18"/>
                <w:b w:val="1"/>
                <w:bCs w:val="1"/>
                <w:color w:val="auto"/>
              </w:rPr>
              <w:t>$201,211</w:t>
            </w:r>
          </w:p>
        </w:tc>
      </w:tr>
      <w:tr>
        <w:trPr>
          <w:trHeight w:val="216"/>
        </w:trPr>
        <w:tc>
          <w:tcPr>
            <w:tcW w:w="400" w:type="dxa"/>
            <w:vAlign w:val="bottom"/>
          </w:tcPr>
          <w:p>
            <w:pPr>
              <w:spacing w:after="0"/>
              <w:rPr>
                <w:sz w:val="20"/>
                <w:szCs w:val="20"/>
                <w:color w:val="auto"/>
              </w:rPr>
            </w:pPr>
            <w:r>
              <w:rPr>
                <w:rFonts w:ascii="Arial" w:cs="Arial" w:eastAsia="Arial" w:hAnsi="Arial"/>
                <w:sz w:val="18"/>
                <w:szCs w:val="18"/>
                <w:b w:val="1"/>
                <w:bCs w:val="1"/>
                <w:color w:val="auto"/>
              </w:rPr>
              <w:t>(f)</w:t>
            </w:r>
          </w:p>
        </w:tc>
        <w:tc>
          <w:tcPr>
            <w:tcW w:w="8980" w:type="dxa"/>
            <w:vAlign w:val="bottom"/>
            <w:gridSpan w:val="5"/>
          </w:tcPr>
          <w:p>
            <w:pPr>
              <w:ind w:left="180"/>
              <w:spacing w:after="0"/>
              <w:rPr>
                <w:sz w:val="20"/>
                <w:szCs w:val="20"/>
                <w:color w:val="auto"/>
              </w:rPr>
            </w:pPr>
            <w:r>
              <w:rPr>
                <w:rFonts w:ascii="Arial" w:cs="Arial" w:eastAsia="Arial" w:hAnsi="Arial"/>
                <w:sz w:val="18"/>
                <w:szCs w:val="18"/>
                <w:b w:val="1"/>
                <w:bCs w:val="1"/>
                <w:color w:val="auto"/>
              </w:rPr>
              <w:t>Voice Annual Platform Revenue: item (e) multiplied by four (4):</w:t>
            </w:r>
          </w:p>
        </w:tc>
        <w:tc>
          <w:tcPr>
            <w:tcW w:w="1860" w:type="dxa"/>
            <w:vAlign w:val="bottom"/>
          </w:tcPr>
          <w:p>
            <w:pPr>
              <w:jc w:val="right"/>
              <w:spacing w:after="0"/>
              <w:rPr>
                <w:sz w:val="20"/>
                <w:szCs w:val="20"/>
                <w:color w:val="auto"/>
              </w:rPr>
            </w:pPr>
            <w:r>
              <w:rPr>
                <w:rFonts w:ascii="Arial" w:cs="Arial" w:eastAsia="Arial" w:hAnsi="Arial"/>
                <w:sz w:val="18"/>
                <w:szCs w:val="18"/>
                <w:b w:val="1"/>
                <w:bCs w:val="1"/>
                <w:color w:val="auto"/>
              </w:rPr>
              <w:t>$804,844</w:t>
            </w:r>
          </w:p>
        </w:tc>
      </w:tr>
      <w:tr>
        <w:trPr>
          <w:trHeight w:val="216"/>
        </w:trPr>
        <w:tc>
          <w:tcPr>
            <w:tcW w:w="400" w:type="dxa"/>
            <w:vAlign w:val="bottom"/>
          </w:tcPr>
          <w:p>
            <w:pPr>
              <w:spacing w:after="0"/>
              <w:rPr>
                <w:sz w:val="20"/>
                <w:szCs w:val="20"/>
                <w:color w:val="auto"/>
              </w:rPr>
            </w:pPr>
            <w:r>
              <w:rPr>
                <w:rFonts w:ascii="Arial" w:cs="Arial" w:eastAsia="Arial" w:hAnsi="Arial"/>
                <w:sz w:val="18"/>
                <w:szCs w:val="18"/>
                <w:b w:val="1"/>
                <w:bCs w:val="1"/>
                <w:color w:val="auto"/>
              </w:rPr>
              <w:t>(g)</w:t>
            </w:r>
          </w:p>
        </w:tc>
        <w:tc>
          <w:tcPr>
            <w:tcW w:w="8980" w:type="dxa"/>
            <w:vAlign w:val="bottom"/>
            <w:gridSpan w:val="5"/>
          </w:tcPr>
          <w:p>
            <w:pPr>
              <w:ind w:left="180"/>
              <w:spacing w:after="0"/>
              <w:rPr>
                <w:sz w:val="20"/>
                <w:szCs w:val="20"/>
                <w:color w:val="auto"/>
              </w:rPr>
            </w:pPr>
            <w:r>
              <w:rPr>
                <w:rFonts w:ascii="Arial" w:cs="Arial" w:eastAsia="Arial" w:hAnsi="Arial"/>
                <w:sz w:val="18"/>
                <w:szCs w:val="18"/>
                <w:b w:val="1"/>
                <w:bCs w:val="1"/>
                <w:color w:val="auto"/>
              </w:rPr>
              <w:t>Annual Platform Revenue: Sum of Items (b), (d) and (f):</w:t>
            </w:r>
          </w:p>
        </w:tc>
        <w:tc>
          <w:tcPr>
            <w:tcW w:w="1860" w:type="dxa"/>
            <w:vAlign w:val="bottom"/>
          </w:tcPr>
          <w:p>
            <w:pPr>
              <w:jc w:val="right"/>
              <w:spacing w:after="0"/>
              <w:rPr>
                <w:sz w:val="20"/>
                <w:szCs w:val="20"/>
                <w:color w:val="auto"/>
              </w:rPr>
            </w:pPr>
            <w:r>
              <w:rPr>
                <w:rFonts w:ascii="Arial" w:cs="Arial" w:eastAsia="Arial" w:hAnsi="Arial"/>
                <w:sz w:val="18"/>
                <w:szCs w:val="18"/>
                <w:b w:val="1"/>
                <w:bCs w:val="1"/>
                <w:color w:val="auto"/>
              </w:rPr>
              <w:t>$21,085,488</w:t>
            </w:r>
          </w:p>
        </w:tc>
      </w:tr>
      <w:tr>
        <w:trPr>
          <w:trHeight w:val="234"/>
        </w:trPr>
        <w:tc>
          <w:tcPr>
            <w:tcW w:w="400" w:type="dxa"/>
            <w:vAlign w:val="bottom"/>
          </w:tcPr>
          <w:p>
            <w:pPr>
              <w:spacing w:after="0"/>
              <w:rPr>
                <w:sz w:val="20"/>
                <w:szCs w:val="20"/>
                <w:color w:val="auto"/>
              </w:rPr>
            </w:pPr>
            <w:r>
              <w:rPr>
                <w:rFonts w:ascii="Arial" w:cs="Arial" w:eastAsia="Arial" w:hAnsi="Arial"/>
                <w:sz w:val="18"/>
                <w:szCs w:val="18"/>
                <w:b w:val="1"/>
                <w:bCs w:val="1"/>
                <w:color w:val="auto"/>
              </w:rPr>
              <w:t>(h)</w:t>
            </w:r>
          </w:p>
        </w:tc>
        <w:tc>
          <w:tcPr>
            <w:tcW w:w="8980" w:type="dxa"/>
            <w:vAlign w:val="bottom"/>
            <w:gridSpan w:val="5"/>
          </w:tcPr>
          <w:p>
            <w:pPr>
              <w:ind w:left="180"/>
              <w:spacing w:after="0"/>
              <w:rPr>
                <w:sz w:val="20"/>
                <w:szCs w:val="20"/>
                <w:color w:val="auto"/>
              </w:rPr>
            </w:pPr>
            <w:r>
              <w:rPr>
                <w:rFonts w:ascii="Arial" w:cs="Arial" w:eastAsia="Arial" w:hAnsi="Arial"/>
                <w:sz w:val="18"/>
                <w:szCs w:val="18"/>
                <w:b w:val="1"/>
                <w:bCs w:val="1"/>
                <w:color w:val="auto"/>
              </w:rPr>
              <w:t>Minimum Unrestricted Cash Amount:</w:t>
            </w:r>
          </w:p>
        </w:tc>
        <w:tc>
          <w:tcPr>
            <w:tcW w:w="1860" w:type="dxa"/>
            <w:vAlign w:val="bottom"/>
          </w:tcPr>
          <w:p>
            <w:pPr>
              <w:jc w:val="right"/>
              <w:spacing w:after="0"/>
              <w:rPr>
                <w:sz w:val="20"/>
                <w:szCs w:val="20"/>
                <w:color w:val="auto"/>
              </w:rPr>
            </w:pPr>
            <w:r>
              <w:rPr>
                <w:rFonts w:ascii="Arial" w:cs="Arial" w:eastAsia="Arial" w:hAnsi="Arial"/>
                <w:sz w:val="18"/>
                <w:szCs w:val="18"/>
                <w:b w:val="1"/>
                <w:bCs w:val="1"/>
                <w:color w:val="auto"/>
              </w:rPr>
              <w:t>$19,718,701</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60" w:type="dxa"/>
            <w:vAlign w:val="bottom"/>
            <w:gridSpan w:val="3"/>
          </w:tcPr>
          <w:p>
            <w:pPr>
              <w:spacing w:after="0"/>
              <w:rPr>
                <w:sz w:val="20"/>
                <w:szCs w:val="20"/>
                <w:color w:val="auto"/>
              </w:rPr>
            </w:pPr>
            <w:r>
              <w:rPr>
                <w:rFonts w:ascii="Arial" w:cs="Arial" w:eastAsia="Arial" w:hAnsi="Arial"/>
                <w:sz w:val="18"/>
                <w:szCs w:val="18"/>
                <w:color w:val="auto"/>
              </w:rPr>
              <w:t>Section 6.17(a) – Minimum Unrestricted Cash</w:t>
            </w:r>
          </w:p>
        </w:tc>
        <w:tc>
          <w:tcPr>
            <w:tcW w:w="1660" w:type="dxa"/>
            <w:vAlign w:val="bottom"/>
          </w:tcPr>
          <w:p>
            <w:pPr>
              <w:spacing w:after="0"/>
              <w:rPr>
                <w:sz w:val="17"/>
                <w:szCs w:val="17"/>
                <w:color w:val="auto"/>
              </w:rPr>
            </w:pPr>
          </w:p>
        </w:tc>
      </w:tr>
      <w:tr>
        <w:trPr>
          <w:trHeight w:val="20"/>
        </w:trPr>
        <w:tc>
          <w:tcPr>
            <w:tcW w:w="30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453"/>
        </w:trPr>
        <w:tc>
          <w:tcPr>
            <w:tcW w:w="3060" w:type="dxa"/>
            <w:vAlign w:val="bottom"/>
          </w:tcPr>
          <w:p>
            <w:pPr>
              <w:jc w:val="right"/>
              <w:spacing w:after="0"/>
              <w:rPr>
                <w:sz w:val="20"/>
                <w:szCs w:val="20"/>
                <w:color w:val="auto"/>
              </w:rPr>
            </w:pPr>
            <w:r>
              <w:rPr>
                <w:rFonts w:ascii="Arial" w:cs="Arial" w:eastAsia="Arial" w:hAnsi="Arial"/>
                <w:sz w:val="18"/>
                <w:szCs w:val="18"/>
                <w:color w:val="auto"/>
              </w:rPr>
              <w:t>(1)</w:t>
            </w:r>
          </w:p>
        </w:tc>
        <w:tc>
          <w:tcPr>
            <w:tcW w:w="3500" w:type="dxa"/>
            <w:vAlign w:val="bottom"/>
            <w:gridSpan w:val="2"/>
          </w:tcPr>
          <w:p>
            <w:pPr>
              <w:ind w:left="20"/>
              <w:spacing w:after="0"/>
              <w:rPr>
                <w:sz w:val="20"/>
                <w:szCs w:val="20"/>
                <w:color w:val="auto"/>
              </w:rPr>
            </w:pPr>
            <w:r>
              <w:rPr>
                <w:rFonts w:ascii="Arial" w:cs="Arial" w:eastAsia="Arial" w:hAnsi="Arial"/>
                <w:sz w:val="18"/>
                <w:szCs w:val="18"/>
                <w:color w:val="auto"/>
              </w:rPr>
              <w:t>Unrestricted Cash:</w:t>
            </w:r>
          </w:p>
        </w:tc>
        <w:tc>
          <w:tcPr>
            <w:tcW w:w="1660" w:type="dxa"/>
            <w:vAlign w:val="bottom"/>
          </w:tcPr>
          <w:p>
            <w:pPr>
              <w:jc w:val="right"/>
              <w:spacing w:after="0"/>
              <w:rPr>
                <w:sz w:val="20"/>
                <w:szCs w:val="20"/>
                <w:color w:val="auto"/>
              </w:rPr>
            </w:pPr>
            <w:r>
              <w:rPr>
                <w:rFonts w:ascii="Arial" w:cs="Arial" w:eastAsia="Arial" w:hAnsi="Arial"/>
                <w:sz w:val="18"/>
                <w:szCs w:val="18"/>
                <w:color w:val="auto"/>
              </w:rPr>
              <w:t>$65,056,373</w:t>
            </w:r>
          </w:p>
        </w:tc>
      </w:tr>
      <w:tr>
        <w:trPr>
          <w:trHeight w:val="432"/>
        </w:trPr>
        <w:tc>
          <w:tcPr>
            <w:tcW w:w="3060" w:type="dxa"/>
            <w:vAlign w:val="bottom"/>
          </w:tcPr>
          <w:p>
            <w:pPr>
              <w:jc w:val="right"/>
              <w:spacing w:after="0"/>
              <w:rPr>
                <w:sz w:val="20"/>
                <w:szCs w:val="20"/>
                <w:color w:val="auto"/>
              </w:rPr>
            </w:pPr>
            <w:r>
              <w:rPr>
                <w:rFonts w:ascii="Arial" w:cs="Arial" w:eastAsia="Arial" w:hAnsi="Arial"/>
                <w:sz w:val="18"/>
                <w:szCs w:val="18"/>
                <w:color w:val="auto"/>
              </w:rPr>
              <w:t>(2)</w:t>
            </w:r>
          </w:p>
        </w:tc>
        <w:tc>
          <w:tcPr>
            <w:tcW w:w="3500" w:type="dxa"/>
            <w:vAlign w:val="bottom"/>
            <w:gridSpan w:val="2"/>
          </w:tcPr>
          <w:p>
            <w:pPr>
              <w:ind w:left="20"/>
              <w:spacing w:after="0"/>
              <w:rPr>
                <w:sz w:val="20"/>
                <w:szCs w:val="20"/>
                <w:color w:val="auto"/>
              </w:rPr>
            </w:pPr>
            <w:r>
              <w:rPr>
                <w:rFonts w:ascii="Arial" w:cs="Arial" w:eastAsia="Arial" w:hAnsi="Arial"/>
                <w:sz w:val="18"/>
                <w:szCs w:val="18"/>
                <w:color w:val="auto"/>
              </w:rPr>
              <w:t>Minimum Unrestricted Cash Amount:</w:t>
            </w:r>
          </w:p>
        </w:tc>
        <w:tc>
          <w:tcPr>
            <w:tcW w:w="1660" w:type="dxa"/>
            <w:vAlign w:val="bottom"/>
          </w:tcPr>
          <w:p>
            <w:pPr>
              <w:jc w:val="right"/>
              <w:spacing w:after="0"/>
              <w:rPr>
                <w:sz w:val="20"/>
                <w:szCs w:val="20"/>
                <w:color w:val="auto"/>
              </w:rPr>
            </w:pPr>
            <w:r>
              <w:rPr>
                <w:rFonts w:ascii="Arial" w:cs="Arial" w:eastAsia="Arial" w:hAnsi="Arial"/>
                <w:sz w:val="18"/>
                <w:szCs w:val="18"/>
                <w:color w:val="auto"/>
              </w:rPr>
              <w:t>$19,718,701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178308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340" w:hanging="332"/>
        <w:spacing w:after="0" w:line="194" w:lineRule="auto"/>
        <w:tabs>
          <w:tab w:leader="none" w:pos="340" w:val="left"/>
        </w:tabs>
        <w:numPr>
          <w:ilvl w:val="0"/>
          <w:numId w:val="164"/>
        </w:numPr>
        <w:rPr>
          <w:rFonts w:ascii="Arial" w:cs="Arial" w:eastAsia="Arial" w:hAnsi="Arial"/>
          <w:sz w:val="30"/>
          <w:szCs w:val="30"/>
          <w:color w:val="auto"/>
          <w:vertAlign w:val="superscript"/>
        </w:rPr>
      </w:pPr>
      <w:r>
        <w:rPr>
          <w:rFonts w:ascii="Arial" w:cs="Arial" w:eastAsia="Arial" w:hAnsi="Arial"/>
          <w:sz w:val="18"/>
          <w:szCs w:val="18"/>
          <w:color w:val="auto"/>
        </w:rPr>
        <w:t>Note: This Exhibit E shows an illustrative calculation of the financial covenants in Section 6.17(a), as if such calculations were being made for the period ending as of June 30, 2022.</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81" w:name="page182"/>
    <w:bookmarkEnd w:id="181"/>
    <w:p>
      <w:pPr>
        <w:jc w:val="center"/>
        <w:spacing w:after="0"/>
        <w:rPr>
          <w:sz w:val="20"/>
          <w:szCs w:val="20"/>
          <w:color w:val="auto"/>
        </w:rPr>
      </w:pPr>
      <w:r>
        <w:rPr>
          <w:rFonts w:ascii="Arial" w:cs="Arial" w:eastAsia="Arial" w:hAnsi="Arial"/>
          <w:sz w:val="18"/>
          <w:szCs w:val="18"/>
          <w:b w:val="1"/>
          <w:bCs w:val="1"/>
          <w:u w:val="single" w:color="auto"/>
          <w:color w:val="auto"/>
        </w:rPr>
        <w:t>EXHIBIT 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NOTICE OF PIK INTEREST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Metropolitan Partners Group Administration,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850 Third Avenue 18th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Paul Lisiak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No.: (212) 561-1250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plisiak@metpg.com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undersigned executes and delivers this Notice of PIK Interest (“</w:t>
      </w:r>
      <w:r>
        <w:rPr>
          <w:rFonts w:ascii="Arial" w:cs="Arial" w:eastAsia="Arial" w:hAnsi="Arial"/>
          <w:sz w:val="16"/>
          <w:szCs w:val="16"/>
          <w:b w:val="1"/>
          <w:bCs w:val="1"/>
          <w:i w:val="1"/>
          <w:iCs w:val="1"/>
          <w:color w:val="auto"/>
        </w:rPr>
        <w:t>Notice</w:t>
      </w:r>
      <w:r>
        <w:rPr>
          <w:rFonts w:ascii="Arial" w:cs="Arial" w:eastAsia="Arial" w:hAnsi="Arial"/>
          <w:sz w:val="16"/>
          <w:szCs w:val="16"/>
          <w:color w:val="auto"/>
        </w:rPr>
        <w:t>”) as of [_____]</w:t>
      </w:r>
      <w:r>
        <w:rPr>
          <w:rFonts w:ascii="Arial" w:cs="Arial" w:eastAsia="Arial" w:hAnsi="Arial"/>
          <w:sz w:val="26"/>
          <w:szCs w:val="26"/>
          <w:color w:val="auto"/>
          <w:vertAlign w:val="superscript"/>
        </w:rPr>
        <w:t>[5]</w:t>
      </w:r>
      <w:r>
        <w:rPr>
          <w:rFonts w:ascii="Arial" w:cs="Arial" w:eastAsia="Arial" w:hAnsi="Arial"/>
          <w:sz w:val="16"/>
          <w:szCs w:val="16"/>
          <w:color w:val="auto"/>
        </w:rPr>
        <w:t>, 2023, in connection with the Credit Agreement (as</w:t>
      </w:r>
    </w:p>
    <w:p>
      <w:pPr>
        <w:jc w:val="both"/>
        <w:spacing w:after="0" w:line="252" w:lineRule="auto"/>
        <w:rPr>
          <w:sz w:val="20"/>
          <w:szCs w:val="20"/>
          <w:color w:val="auto"/>
        </w:rPr>
      </w:pPr>
      <w:r>
        <w:rPr>
          <w:rFonts w:ascii="Arial" w:cs="Arial" w:eastAsia="Arial" w:hAnsi="Arial"/>
          <w:sz w:val="18"/>
          <w:szCs w:val="18"/>
          <w:color w:val="auto"/>
        </w:rPr>
        <w:t>amended, restated or extended from time to time,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xml:space="preserve">”), dated as of September 21, 2022, by and among </w:t>
      </w:r>
      <w:r>
        <w:rPr>
          <w:rFonts w:ascii="Arial" w:cs="Arial" w:eastAsia="Arial" w:hAnsi="Arial"/>
          <w:sz w:val="18"/>
          <w:szCs w:val="18"/>
          <w:b w:val="1"/>
          <w:bCs w:val="1"/>
          <w:color w:val="auto"/>
        </w:rPr>
        <w:t>PRESTO AUTOMATION LLC</w:t>
      </w:r>
      <w:r>
        <w:rPr>
          <w:rFonts w:ascii="Arial" w:cs="Arial" w:eastAsia="Arial" w:hAnsi="Arial"/>
          <w:sz w:val="18"/>
          <w:szCs w:val="18"/>
          <w:color w:val="auto"/>
        </w:rPr>
        <w:t xml:space="preserve"> (f/k/a E La Carte, LLC, f/k/a Ventoux Merger Sub II LLC) a Delaware limited liability company (“</w:t>
      </w:r>
      <w:r>
        <w:rPr>
          <w:rFonts w:ascii="Arial" w:cs="Arial" w:eastAsia="Arial" w:hAnsi="Arial"/>
          <w:sz w:val="18"/>
          <w:szCs w:val="18"/>
          <w:b w:val="1"/>
          <w:bCs w:val="1"/>
          <w:i w:val="1"/>
          <w:iCs w:val="1"/>
          <w:color w:val="auto"/>
        </w:rPr>
        <w:t>Borrower</w:t>
      </w:r>
      <w:r>
        <w:rPr>
          <w:rFonts w:ascii="Arial" w:cs="Arial" w:eastAsia="Arial" w:hAnsi="Arial"/>
          <w:sz w:val="18"/>
          <w:szCs w:val="18"/>
          <w:color w:val="auto"/>
        </w:rPr>
        <w:t xml:space="preserve">”), </w:t>
      </w:r>
      <w:r>
        <w:rPr>
          <w:rFonts w:ascii="Arial" w:cs="Arial" w:eastAsia="Arial" w:hAnsi="Arial"/>
          <w:sz w:val="18"/>
          <w:szCs w:val="18"/>
          <w:b w:val="1"/>
          <w:bCs w:val="1"/>
          <w:color w:val="auto"/>
        </w:rPr>
        <w:t>PRESTO AUTOMATION INC.</w:t>
      </w:r>
      <w:r>
        <w:rPr>
          <w:rFonts w:ascii="Arial" w:cs="Arial" w:eastAsia="Arial" w:hAnsi="Arial"/>
          <w:sz w:val="18"/>
          <w:szCs w:val="18"/>
          <w:color w:val="auto"/>
        </w:rPr>
        <w:t>, a Delaware corporation (“</w:t>
      </w:r>
      <w:r>
        <w:rPr>
          <w:rFonts w:ascii="Arial" w:cs="Arial" w:eastAsia="Arial" w:hAnsi="Arial"/>
          <w:sz w:val="18"/>
          <w:szCs w:val="18"/>
          <w:b w:val="1"/>
          <w:bCs w:val="1"/>
          <w:i w:val="1"/>
          <w:iCs w:val="1"/>
          <w:color w:val="auto"/>
        </w:rPr>
        <w:t>Parent</w:t>
      </w:r>
      <w:r>
        <w:rPr>
          <w:rFonts w:ascii="Arial" w:cs="Arial" w:eastAsia="Arial" w:hAnsi="Arial"/>
          <w:sz w:val="18"/>
          <w:szCs w:val="18"/>
          <w:color w:val="auto"/>
        </w:rPr>
        <w:t>”), each of the other Guarantors from time to time party thereto, the lenders from time to time party thereto (the “</w:t>
      </w:r>
      <w:r>
        <w:rPr>
          <w:rFonts w:ascii="Arial" w:cs="Arial" w:eastAsia="Arial" w:hAnsi="Arial"/>
          <w:sz w:val="18"/>
          <w:szCs w:val="18"/>
          <w:b w:val="1"/>
          <w:bCs w:val="1"/>
          <w:i w:val="1"/>
          <w:iCs w:val="1"/>
          <w:color w:val="auto"/>
        </w:rPr>
        <w:t>Lenders</w:t>
      </w:r>
      <w:r>
        <w:rPr>
          <w:rFonts w:ascii="Arial" w:cs="Arial" w:eastAsia="Arial" w:hAnsi="Arial"/>
          <w:sz w:val="18"/>
          <w:szCs w:val="18"/>
          <w:color w:val="auto"/>
        </w:rPr>
        <w:t>” and each a “</w:t>
      </w:r>
      <w:r>
        <w:rPr>
          <w:rFonts w:ascii="Arial" w:cs="Arial" w:eastAsia="Arial" w:hAnsi="Arial"/>
          <w:sz w:val="18"/>
          <w:szCs w:val="18"/>
          <w:b w:val="1"/>
          <w:bCs w:val="1"/>
          <w:i w:val="1"/>
          <w:iCs w:val="1"/>
          <w:color w:val="auto"/>
        </w:rPr>
        <w:t>Lender</w:t>
      </w:r>
      <w:r>
        <w:rPr>
          <w:rFonts w:ascii="Arial" w:cs="Arial" w:eastAsia="Arial" w:hAnsi="Arial"/>
          <w:sz w:val="18"/>
          <w:szCs w:val="18"/>
          <w:color w:val="auto"/>
        </w:rPr>
        <w:t xml:space="preserve">”) and </w:t>
      </w:r>
      <w:r>
        <w:rPr>
          <w:rFonts w:ascii="Arial" w:cs="Arial" w:eastAsia="Arial" w:hAnsi="Arial"/>
          <w:sz w:val="18"/>
          <w:szCs w:val="18"/>
          <w:b w:val="1"/>
          <w:bCs w:val="1"/>
          <w:color w:val="auto"/>
        </w:rPr>
        <w:t>METROPOLITAN PARTNERS GROUP ADMINISTRATION, LLC</w:t>
      </w:r>
      <w:r>
        <w:rPr>
          <w:rFonts w:ascii="Arial" w:cs="Arial" w:eastAsia="Arial" w:hAnsi="Arial"/>
          <w:sz w:val="18"/>
          <w:szCs w:val="18"/>
          <w:color w:val="auto"/>
        </w:rPr>
        <w:t>, as administrative, payment and collateral agent itself, as a Lender and for the other Lenders (in such capacities, the “</w:t>
      </w:r>
      <w:r>
        <w:rPr>
          <w:rFonts w:ascii="Arial" w:cs="Arial" w:eastAsia="Arial" w:hAnsi="Arial"/>
          <w:sz w:val="18"/>
          <w:szCs w:val="18"/>
          <w:b w:val="1"/>
          <w:bCs w:val="1"/>
          <w:i w:val="1"/>
          <w:iCs w:val="1"/>
          <w:color w:val="auto"/>
        </w:rPr>
        <w:t>Agent</w:t>
      </w:r>
      <w:r>
        <w:rPr>
          <w:rFonts w:ascii="Arial" w:cs="Arial" w:eastAsia="Arial" w:hAnsi="Arial"/>
          <w:sz w:val="18"/>
          <w:szCs w:val="18"/>
          <w:color w:val="auto"/>
        </w:rPr>
        <w:t>”). Each capitalized term used in this Notice without definition shall have the meaning ascribed to it in the Agreement.</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Pursuant to </w:t>
      </w:r>
      <w:r>
        <w:rPr>
          <w:rFonts w:ascii="Arial" w:cs="Arial" w:eastAsia="Arial" w:hAnsi="Arial"/>
          <w:sz w:val="18"/>
          <w:szCs w:val="18"/>
          <w:u w:val="single" w:color="auto"/>
          <w:color w:val="auto"/>
        </w:rPr>
        <w:t>Section 2.4(c)</w:t>
      </w:r>
      <w:r>
        <w:rPr>
          <w:rFonts w:ascii="Arial" w:cs="Arial" w:eastAsia="Arial" w:hAnsi="Arial"/>
          <w:sz w:val="18"/>
          <w:szCs w:val="18"/>
          <w:color w:val="auto"/>
        </w:rPr>
        <w:t xml:space="preserve"> of the Agreement, Borrower hereby delivers this Notice to inform Agent that it elects to apply “PIK” Interest in an amount equal to the PIK Limit for the Interest Payment Date ending [ ], 202__.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178308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76" w:lineRule="exact"/>
        <w:rPr>
          <w:sz w:val="20"/>
          <w:szCs w:val="20"/>
          <w:color w:val="auto"/>
        </w:rPr>
      </w:pPr>
    </w:p>
    <w:p>
      <w:pPr>
        <w:ind w:left="340" w:hanging="332"/>
        <w:spacing w:after="0"/>
        <w:tabs>
          <w:tab w:leader="none" w:pos="340" w:val="left"/>
        </w:tabs>
        <w:numPr>
          <w:ilvl w:val="0"/>
          <w:numId w:val="165"/>
        </w:numPr>
        <w:rPr>
          <w:rFonts w:ascii="Arial" w:cs="Arial" w:eastAsia="Arial" w:hAnsi="Arial"/>
          <w:sz w:val="30"/>
          <w:szCs w:val="30"/>
          <w:color w:val="auto"/>
          <w:vertAlign w:val="superscript"/>
        </w:rPr>
      </w:pPr>
      <w:r>
        <w:rPr>
          <w:rFonts w:ascii="Arial" w:cs="Arial" w:eastAsia="Arial" w:hAnsi="Arial"/>
          <w:sz w:val="18"/>
          <w:szCs w:val="18"/>
          <w:color w:val="auto"/>
        </w:rPr>
        <w:t>NTD: To be delivered not less than ten (10) Business Days prior to the applicable Interest Payment Date.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2" w:name="page183"/>
    <w:bookmarkEnd w:id="182"/>
    <w:p>
      <w:pPr>
        <w:ind w:firstLine="648"/>
        <w:spacing w:after="0" w:line="277" w:lineRule="auto"/>
        <w:rPr>
          <w:sz w:val="20"/>
          <w:szCs w:val="20"/>
          <w:color w:val="auto"/>
        </w:rPr>
      </w:pPr>
      <w:r>
        <w:rPr>
          <w:rFonts w:ascii="Arial" w:cs="Arial" w:eastAsia="Arial" w:hAnsi="Arial"/>
          <w:sz w:val="18"/>
          <w:szCs w:val="18"/>
          <w:color w:val="auto"/>
        </w:rPr>
        <w:t>IN WITNESS WHEREOF, the Borrower has caused this Notice to be executed and delivered by its duly authorized officer as of the day and year set forth above.</w:t>
      </w:r>
    </w:p>
    <w:p>
      <w:pPr>
        <w:spacing w:after="0" w:line="17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BORROWER:</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PRESTO AUTOMATION LLC</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(F/K/A E LA CARTE, LLC, F/K/A VENTOUX MERGER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SUB II LLC)</w:t>
      </w:r>
    </w:p>
    <w:p>
      <w:pPr>
        <w:spacing w:after="0" w:line="21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14605</wp:posOffset>
            </wp:positionV>
            <wp:extent cx="241744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2417445" cy="1714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3" w:name="page184"/>
    <w:bookmarkEnd w:id="183"/>
    <w:p>
      <w:pPr>
        <w:ind w:left="10260"/>
        <w:spacing w:after="0"/>
        <w:rPr>
          <w:sz w:val="20"/>
          <w:szCs w:val="20"/>
          <w:color w:val="auto"/>
        </w:rPr>
      </w:pPr>
      <w:r>
        <w:rPr>
          <w:rFonts w:ascii="Arial" w:cs="Arial" w:eastAsia="Arial" w:hAnsi="Arial"/>
          <w:sz w:val="17"/>
          <w:szCs w:val="17"/>
          <w:b w:val="1"/>
          <w:bCs w:val="1"/>
          <w:color w:val="auto"/>
        </w:rPr>
        <w:t>Exhibit 10.3</w:t>
      </w: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Presto Automation LLC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816 Hamilton St.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Redwood City, CA 94063</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THIRD AMENDED AND RESTATED FEE LETTER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October 10,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Metropolitan Partners Group Administration,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850 Third Avenue, 18th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Paul Lisiak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 Credit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Reference is hereby made to, and this fee letter (as amended, restated, supplemented or otherwise modified from time to time, the “</w:t>
      </w:r>
      <w:r>
        <w:rPr>
          <w:rFonts w:ascii="Arial" w:cs="Arial" w:eastAsia="Arial" w:hAnsi="Arial"/>
          <w:sz w:val="17"/>
          <w:szCs w:val="17"/>
          <w:b w:val="1"/>
          <w:bCs w:val="1"/>
          <w:i w:val="1"/>
          <w:iCs w:val="1"/>
          <w:color w:val="auto"/>
        </w:rPr>
        <w:t>Fee Letter</w:t>
      </w:r>
      <w:r>
        <w:rPr>
          <w:rFonts w:ascii="Arial" w:cs="Arial" w:eastAsia="Arial" w:hAnsi="Arial"/>
          <w:sz w:val="17"/>
          <w:szCs w:val="17"/>
          <w:color w:val="auto"/>
        </w:rPr>
        <w:t>”) is hereby incorporated by reference into, the Credit Agreement, dated as of September 21, 2022 (as amended, restated, supplemented or otherwise modified from time to time, the “</w:t>
      </w:r>
      <w:r>
        <w:rPr>
          <w:rFonts w:ascii="Arial" w:cs="Arial" w:eastAsia="Arial" w:hAnsi="Arial"/>
          <w:sz w:val="17"/>
          <w:szCs w:val="17"/>
          <w:b w:val="1"/>
          <w:bCs w:val="1"/>
          <w:i w:val="1"/>
          <w:iCs w:val="1"/>
          <w:color w:val="auto"/>
        </w:rPr>
        <w:t>Credit Agreement</w:t>
      </w:r>
      <w:r>
        <w:rPr>
          <w:rFonts w:ascii="Arial" w:cs="Arial" w:eastAsia="Arial" w:hAnsi="Arial"/>
          <w:sz w:val="17"/>
          <w:szCs w:val="17"/>
          <w:color w:val="auto"/>
        </w:rPr>
        <w:t>”), among Presto Automation LLC (f/k/a E La Carte, LLC), a Delaware limited liability company (the “</w:t>
      </w:r>
      <w:r>
        <w:rPr>
          <w:rFonts w:ascii="Arial" w:cs="Arial" w:eastAsia="Arial" w:hAnsi="Arial"/>
          <w:sz w:val="17"/>
          <w:szCs w:val="17"/>
          <w:b w:val="1"/>
          <w:bCs w:val="1"/>
          <w:i w:val="1"/>
          <w:iCs w:val="1"/>
          <w:color w:val="auto"/>
        </w:rPr>
        <w:t>Borrower</w:t>
      </w:r>
      <w:r>
        <w:rPr>
          <w:rFonts w:ascii="Arial" w:cs="Arial" w:eastAsia="Arial" w:hAnsi="Arial"/>
          <w:sz w:val="17"/>
          <w:szCs w:val="17"/>
          <w:color w:val="auto"/>
        </w:rPr>
        <w:t>”), Presto Automation Inc., a Delaware corporation, the lenders from time to time party thereto (the “</w:t>
      </w:r>
      <w:r>
        <w:rPr>
          <w:rFonts w:ascii="Arial" w:cs="Arial" w:eastAsia="Arial" w:hAnsi="Arial"/>
          <w:sz w:val="17"/>
          <w:szCs w:val="17"/>
          <w:b w:val="1"/>
          <w:bCs w:val="1"/>
          <w:i w:val="1"/>
          <w:iCs w:val="1"/>
          <w:color w:val="auto"/>
        </w:rPr>
        <w:t>Lenders</w:t>
      </w:r>
      <w:r>
        <w:rPr>
          <w:rFonts w:ascii="Arial" w:cs="Arial" w:eastAsia="Arial" w:hAnsi="Arial"/>
          <w:sz w:val="17"/>
          <w:szCs w:val="17"/>
          <w:color w:val="auto"/>
        </w:rPr>
        <w:t>”), Metropolitan Partners Group Administration LLC, as administrative, payment and collateral agent for itself, as a Lender and for the other Lenders (the “</w:t>
      </w:r>
      <w:r>
        <w:rPr>
          <w:rFonts w:ascii="Arial" w:cs="Arial" w:eastAsia="Arial" w:hAnsi="Arial"/>
          <w:sz w:val="17"/>
          <w:szCs w:val="17"/>
          <w:b w:val="1"/>
          <w:bCs w:val="1"/>
          <w:i w:val="1"/>
          <w:iCs w:val="1"/>
          <w:color w:val="auto"/>
        </w:rPr>
        <w:t>Agent</w:t>
      </w:r>
      <w:r>
        <w:rPr>
          <w:rFonts w:ascii="Arial" w:cs="Arial" w:eastAsia="Arial" w:hAnsi="Arial"/>
          <w:sz w:val="17"/>
          <w:szCs w:val="17"/>
          <w:color w:val="auto"/>
        </w:rPr>
        <w:t>”). Any capitalized term used but not defined herein shall have the meaning assigned to such term in the Credit Agreement.</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parties hereto desire to set forth certain agreements and understandings with respect to payments to be made in connection with the Credit Agreement.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in consideration of the mutual agreements contained herein, and other good and valuable consideration, the receipt and sufficiency of which are hereby acknowledged, the parties hereto agree as follows: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Onboarding Fee</w:t>
      </w:r>
      <w:r>
        <w:rPr>
          <w:rFonts w:ascii="Arial" w:cs="Arial" w:eastAsia="Arial" w:hAnsi="Arial"/>
          <w:sz w:val="18"/>
          <w:szCs w:val="18"/>
          <w:color w:val="auto"/>
        </w:rPr>
        <w:t>. In connection with and in consideration of entering into the Credit Agreement and related Loan Documents upon the terms set forth therein, the Borrower agrees to pay to the Agent on the Closing Date (for its own account) an onboarding fee equal to $500,000 (the “</w:t>
      </w:r>
      <w:r>
        <w:rPr>
          <w:rFonts w:ascii="Arial" w:cs="Arial" w:eastAsia="Arial" w:hAnsi="Arial"/>
          <w:sz w:val="18"/>
          <w:szCs w:val="18"/>
          <w:b w:val="1"/>
          <w:bCs w:val="1"/>
          <w:i w:val="1"/>
          <w:iCs w:val="1"/>
          <w:color w:val="auto"/>
        </w:rPr>
        <w:t>Onboarding Fee</w:t>
      </w:r>
      <w:r>
        <w:rPr>
          <w:rFonts w:ascii="Arial" w:cs="Arial" w:eastAsia="Arial" w:hAnsi="Arial"/>
          <w:sz w:val="18"/>
          <w:szCs w:val="18"/>
          <w:color w:val="auto"/>
        </w:rPr>
        <w:t>”), which Onboarding Fee shall be non-refundable for any reason and fully earned and paid on the Closing Date. Payment of the Onboarding Fee shall be made in Dollars, by wire transfer of immediately available funds, to the account designated by Agent in writing to Borrower, without deduction, set-off or counterclaim.</w:t>
      </w:r>
    </w:p>
    <w:p>
      <w:pPr>
        <w:spacing w:after="0" w:line="18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Monitoring Fee</w:t>
      </w:r>
      <w:r>
        <w:rPr>
          <w:rFonts w:ascii="Arial" w:cs="Arial" w:eastAsia="Arial" w:hAnsi="Arial"/>
          <w:sz w:val="16"/>
          <w:szCs w:val="16"/>
          <w:color w:val="auto"/>
        </w:rPr>
        <w:t>. In connection with and in consideration of entering into the Credit Agreement and the related Loan Documents upon the terms set forth therein, Borrower shall pay Agent (for its own account), in immediately available funds, which shall be non-refundable and fully earned when paid, a quarterly fee (the “</w:t>
      </w:r>
      <w:r>
        <w:rPr>
          <w:rFonts w:ascii="Arial" w:cs="Arial" w:eastAsia="Arial" w:hAnsi="Arial"/>
          <w:sz w:val="16"/>
          <w:szCs w:val="16"/>
          <w:b w:val="1"/>
          <w:bCs w:val="1"/>
          <w:i w:val="1"/>
          <w:iCs w:val="1"/>
          <w:color w:val="auto"/>
        </w:rPr>
        <w:t>Monitoring Fee</w:t>
      </w:r>
      <w:r>
        <w:rPr>
          <w:rFonts w:ascii="Arial" w:cs="Arial" w:eastAsia="Arial" w:hAnsi="Arial"/>
          <w:sz w:val="16"/>
          <w:szCs w:val="16"/>
          <w:color w:val="auto"/>
        </w:rPr>
        <w:t>”) in the amount of $125,000, paid quarterly in arrears on the first day of each Fiscal Quarter of the Loan Parties in respect of the immediately preceding Fiscal Quarter, commencing on the first day of the first full Fiscal Quarter immediately following the Closing Date; provided, that, notwithstanding the foregoing, the Monitoring Fee for the first Fiscal Quarter shall be immediately earned and due and payable on the Closing Date and shall be non-refundable. Upon the occurrence and during the continuance of an Event of Default, the Monitoring Fee shall be increased to $187,500. The Borrower and Parent each acknowledge and agrees that the Monitoring Fee constitutes compensation for services rendered and does not constitute interest or a charge for the use of money. All payments of the Monitoring Fee shall be made in Dollars, by wire transfer of immediately available funds, to the account designated by Agent in writing to the Borrower without deduction, set off or counterclaim.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4" w:name="page185"/>
    <w:bookmarkEnd w:id="184"/>
    <w:p>
      <w:pPr>
        <w:jc w:val="both"/>
        <w:ind w:firstLine="648"/>
        <w:spacing w:after="0" w:line="257"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First Amendment Fee</w:t>
      </w:r>
      <w:r>
        <w:rPr>
          <w:rFonts w:ascii="Arial" w:cs="Arial" w:eastAsia="Arial" w:hAnsi="Arial"/>
          <w:sz w:val="18"/>
          <w:szCs w:val="18"/>
          <w:color w:val="auto"/>
        </w:rPr>
        <w:t>. In connection with and in consideration of entering into the First Amendment and the related Loan Documents upon the terms set forth therein, Borrower shall pay to the Agent on the First Amendment Effective Date (for its own account), an amendment fee equal to $200,000 (the “</w:t>
      </w:r>
      <w:r>
        <w:rPr>
          <w:rFonts w:ascii="Arial" w:cs="Arial" w:eastAsia="Arial" w:hAnsi="Arial"/>
          <w:sz w:val="18"/>
          <w:szCs w:val="18"/>
          <w:b w:val="1"/>
          <w:bCs w:val="1"/>
          <w:i w:val="1"/>
          <w:iCs w:val="1"/>
          <w:color w:val="auto"/>
        </w:rPr>
        <w:t>Amendment Fee</w:t>
      </w:r>
      <w:r>
        <w:rPr>
          <w:rFonts w:ascii="Arial" w:cs="Arial" w:eastAsia="Arial" w:hAnsi="Arial"/>
          <w:sz w:val="18"/>
          <w:szCs w:val="18"/>
          <w:color w:val="auto"/>
        </w:rPr>
        <w:t>”), which Amendment Fee shall be non-refundable for any reason and fully earned and paid on the First Amendment Effective Date. Payment of the Amendment Fee shall be made in Dollars, by wire transfer of immediately available funds, to the account designated by Agent in writing to Borrower, without deduction, set-off or counterclaim.</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First Amendment Warrants</w:t>
      </w:r>
      <w:r>
        <w:rPr>
          <w:rFonts w:ascii="Arial" w:cs="Arial" w:eastAsia="Arial" w:hAnsi="Arial"/>
          <w:sz w:val="18"/>
          <w:szCs w:val="18"/>
          <w:color w:val="auto"/>
        </w:rPr>
        <w:t>. In connection with and as additional consideration for entering into the First Amendment and the related Loan Documents upon the terms set forth therein, on the First Amendment Effect Date, Parent shall execute and deliver to each Lender in proportion to each Lender’s Term Loan Commitment as of the First Amendment Effective Date, the First Amendment Warrants. The First Amendment Warrants shall be non-refundable for any reason and fully earned on the First Amendment Effective Date.</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Section 5. </w:t>
      </w:r>
      <w:r>
        <w:rPr>
          <w:rFonts w:ascii="Arial" w:cs="Arial" w:eastAsia="Arial" w:hAnsi="Arial"/>
          <w:sz w:val="17"/>
          <w:szCs w:val="17"/>
          <w:u w:val="single" w:color="auto"/>
          <w:color w:val="auto"/>
        </w:rPr>
        <w:t>Second Amendment Warrants</w:t>
      </w:r>
      <w:r>
        <w:rPr>
          <w:rFonts w:ascii="Arial" w:cs="Arial" w:eastAsia="Arial" w:hAnsi="Arial"/>
          <w:sz w:val="17"/>
          <w:szCs w:val="17"/>
          <w:color w:val="auto"/>
        </w:rPr>
        <w:t>. In connection with and as additional consideration for entering into the Second Amendment and the related Loan Documents upon the terms set forth therein, on the Second Amendment Effective Date, Parent shall execute and deliver to each Lender in proportion to each Lender’s Term Loan Commitment as of the Second Amendment Effective Date, the Second Amendment Warrants. The Second Amendment Warrants shall be non-refundable for any reason and fully earned on the Second Amendment Effective Date.</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Third Amendment Fee</w:t>
      </w:r>
      <w:r>
        <w:rPr>
          <w:rFonts w:ascii="Arial" w:cs="Arial" w:eastAsia="Arial" w:hAnsi="Arial"/>
          <w:sz w:val="18"/>
          <w:szCs w:val="18"/>
          <w:color w:val="auto"/>
        </w:rPr>
        <w:t>. In connection with and in consideration of entering into the Third Amendment and the related Loan Documents upon the terms set forth therein, Borrower shall pay to the Agent on the Third Amendment Effective Date (for its own account), an amendment fee equal to $100,000 (the “</w:t>
      </w:r>
      <w:r>
        <w:rPr>
          <w:rFonts w:ascii="Arial" w:cs="Arial" w:eastAsia="Arial" w:hAnsi="Arial"/>
          <w:sz w:val="18"/>
          <w:szCs w:val="18"/>
          <w:b w:val="1"/>
          <w:bCs w:val="1"/>
          <w:i w:val="1"/>
          <w:iCs w:val="1"/>
          <w:color w:val="auto"/>
        </w:rPr>
        <w:t>Amendment Fee</w:t>
      </w:r>
      <w:r>
        <w:rPr>
          <w:rFonts w:ascii="Arial" w:cs="Arial" w:eastAsia="Arial" w:hAnsi="Arial"/>
          <w:sz w:val="18"/>
          <w:szCs w:val="18"/>
          <w:color w:val="auto"/>
        </w:rPr>
        <w:t>”), which Amendment Fee shall be non-refundable for any reason and fully earned and paid on the Third Amendment Effective Date. Payment of the Amendment Fee shall be made in Dollars, by wire transfer of immediately available funds, to the account designated by Agent in writing to Borrower, without deduction, set-off or counterclaim.</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85" w:name="page186"/>
    <w:bookmarkEnd w:id="185"/>
    <w:p>
      <w:pPr>
        <w:jc w:val="both"/>
        <w:ind w:firstLine="648"/>
        <w:spacing w:after="0" w:line="259"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Third Amendment Warrants</w:t>
      </w:r>
      <w:r>
        <w:rPr>
          <w:rFonts w:ascii="Arial" w:cs="Arial" w:eastAsia="Arial" w:hAnsi="Arial"/>
          <w:sz w:val="18"/>
          <w:szCs w:val="18"/>
          <w:color w:val="auto"/>
        </w:rPr>
        <w:t>. In connection with and as additional consideration for entering into the Third Amendment and the related Loan Documents upon the terms set forth therein, on the Third Amendment Effective Date, Parent shall execute and deliver to each Lender in proportion to each Lender’s Term Loan Commitment as of the Third Amendment Effective Date, the Third Amendment Warrants. The Third Amendment Warrants shall be non-refundable for any reason and fully earned on the Third Amendment Effective Date.</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Severability</w:t>
      </w:r>
      <w:r>
        <w:rPr>
          <w:rFonts w:ascii="Arial" w:cs="Arial" w:eastAsia="Arial" w:hAnsi="Arial"/>
          <w:sz w:val="18"/>
          <w:szCs w:val="18"/>
          <w:color w:val="auto"/>
        </w:rPr>
        <w:t>. Each provision and agreement herein shall be treated as separate and independent from any other provision or agreement herein and shall be enforceable notwithstanding the unenforceability of any such other provision or agreement.</w:t>
      </w:r>
    </w:p>
    <w:p>
      <w:pPr>
        <w:spacing w:after="0" w:line="16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 xml:space="preserve">. </w:t>
      </w:r>
      <w:r>
        <w:rPr>
          <w:rFonts w:ascii="Arial" w:cs="Arial" w:eastAsia="Arial" w:hAnsi="Arial"/>
          <w:sz w:val="18"/>
          <w:szCs w:val="18"/>
          <w:b w:val="1"/>
          <w:bCs w:val="1"/>
          <w:color w:val="auto"/>
        </w:rPr>
        <w:t>THIS FEE LETTER SHALL BE GOVERNED BY, AND CONSTRUED AND INTERPRETED IN</w:t>
      </w:r>
      <w:r>
        <w:rPr>
          <w:rFonts w:ascii="Arial" w:cs="Arial" w:eastAsia="Arial" w:hAnsi="Arial"/>
          <w:sz w:val="18"/>
          <w:szCs w:val="18"/>
          <w:color w:val="auto"/>
        </w:rPr>
        <w:t xml:space="preserve"> </w:t>
      </w:r>
      <w:r>
        <w:rPr>
          <w:rFonts w:ascii="Arial" w:cs="Arial" w:eastAsia="Arial" w:hAnsi="Arial"/>
          <w:sz w:val="18"/>
          <w:szCs w:val="18"/>
          <w:b w:val="1"/>
          <w:bCs w:val="1"/>
          <w:color w:val="auto"/>
        </w:rPr>
        <w:t>ACCORDANCE WITH, THE LAW OF THE STATE OF NEW YORK WITHOUT REGARD TO CONFLICT OF LAWS PRINCIPLES (OTHER THAN SECTIONS 5-1401 AND 5-1402 OF THE NEW YORK GENERAL OBLIGATIONS LAW) THEREOF.</w:t>
      </w:r>
    </w:p>
    <w:p>
      <w:pPr>
        <w:spacing w:after="0" w:line="18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Section 10. </w:t>
      </w:r>
      <w:r>
        <w:rPr>
          <w:rFonts w:ascii="Arial" w:cs="Arial" w:eastAsia="Arial" w:hAnsi="Arial"/>
          <w:sz w:val="17"/>
          <w:szCs w:val="17"/>
          <w:u w:val="single" w:color="auto"/>
          <w:color w:val="auto"/>
        </w:rPr>
        <w:t>Counterparts</w:t>
      </w:r>
      <w:r>
        <w:rPr>
          <w:rFonts w:ascii="Arial" w:cs="Arial" w:eastAsia="Arial" w:hAnsi="Arial"/>
          <w:sz w:val="17"/>
          <w:szCs w:val="17"/>
          <w:color w:val="auto"/>
        </w:rPr>
        <w:t>. This Fee Letter may be executed by one or more of the parties to this Fee Letter on any number of separate counterparts, and all of said counterparts taken together shall be deemed to constitute one and the same instrument. Delivery of an executed signature page of this Fee Letter by electronic mail transmission shall be effective as delivery of a manually executed counterpart hereof.</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6" w:name="page187"/>
    <w:bookmarkEnd w:id="186"/>
    <w:p>
      <w:pPr>
        <w:spacing w:after="0"/>
        <w:rPr>
          <w:sz w:val="20"/>
          <w:szCs w:val="20"/>
          <w:color w:val="auto"/>
        </w:rPr>
      </w:pPr>
      <w:r>
        <w:rPr>
          <w:rFonts w:ascii="Arial" w:cs="Arial" w:eastAsia="Arial" w:hAnsi="Arial"/>
          <w:sz w:val="18"/>
          <w:szCs w:val="18"/>
          <w:color w:val="auto"/>
        </w:rPr>
        <w:t>IN WITNESS WHEREOF, the parties have entered into this Fee Letter as of the date set forth above.</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Sincerely,</w:t>
      </w:r>
    </w:p>
    <w:p>
      <w:pPr>
        <w:spacing w:after="0" w:line="221"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PRESTO AUTOMATION LLC</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Stanley Mbugua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Stanley Mbugua</w:t>
      </w:r>
    </w:p>
    <w:p>
      <w:pPr>
        <w:spacing w:after="0" w:line="36"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Interim Chief Financial Officer</w:t>
      </w:r>
    </w:p>
    <w:p>
      <w:pPr>
        <w:spacing w:after="0" w:line="207"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PRESTO AUTOMATION INC.</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Stanley Mbugua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Stanley Mbugua</w:t>
      </w:r>
    </w:p>
    <w:p>
      <w:pPr>
        <w:spacing w:after="0" w:line="36" w:lineRule="exact"/>
        <w:rPr>
          <w:sz w:val="20"/>
          <w:szCs w:val="20"/>
          <w:color w:val="auto"/>
        </w:rPr>
      </w:pPr>
    </w:p>
    <w:p>
      <w:pPr>
        <w:jc w:val="right"/>
        <w:ind w:right="579"/>
        <w:spacing w:after="0"/>
        <w:tabs>
          <w:tab w:leader="none" w:pos="22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Interim Chief Financial Officer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i w:val="1"/>
          <w:iCs w:val="1"/>
          <w:color w:val="auto"/>
        </w:rPr>
        <w:t>[Signature Page to Fee Letter]</w:t>
      </w:r>
    </w:p>
    <w:p>
      <w:pPr>
        <w:spacing w:after="0" w:line="200" w:lineRule="exact"/>
        <w:rPr>
          <w:sz w:val="20"/>
          <w:szCs w:val="20"/>
          <w:color w:val="auto"/>
        </w:rPr>
      </w:pPr>
    </w:p>
    <w:p>
      <w:pPr>
        <w:spacing w:after="0" w:line="24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187" w:name="page188"/>
    <w:bookmarkEnd w:id="187"/>
    <w:p>
      <w:pPr>
        <w:spacing w:after="0"/>
        <w:rPr>
          <w:sz w:val="20"/>
          <w:szCs w:val="20"/>
          <w:color w:val="auto"/>
        </w:rPr>
      </w:pPr>
      <w:r>
        <w:rPr>
          <w:rFonts w:ascii="Arial" w:cs="Arial" w:eastAsia="Arial" w:hAnsi="Arial"/>
          <w:sz w:val="18"/>
          <w:szCs w:val="18"/>
          <w:color w:val="auto"/>
        </w:rPr>
        <w:t>Accepted and agreed to as of the date first above written:</w:t>
      </w:r>
    </w:p>
    <w:p>
      <w:pPr>
        <w:spacing w:after="0" w:line="221" w:lineRule="exact"/>
        <w:rPr>
          <w:sz w:val="20"/>
          <w:szCs w:val="20"/>
          <w:color w:val="auto"/>
        </w:rPr>
      </w:pPr>
    </w:p>
    <w:p>
      <w:pPr>
        <w:ind w:right="4779"/>
        <w:spacing w:after="0" w:line="282" w:lineRule="auto"/>
        <w:rPr>
          <w:sz w:val="20"/>
          <w:szCs w:val="20"/>
          <w:color w:val="auto"/>
        </w:rPr>
      </w:pPr>
      <w:r>
        <w:rPr>
          <w:rFonts w:ascii="Arial" w:cs="Arial" w:eastAsia="Arial" w:hAnsi="Arial"/>
          <w:sz w:val="18"/>
          <w:szCs w:val="18"/>
          <w:b w:val="1"/>
          <w:bCs w:val="1"/>
          <w:color w:val="auto"/>
        </w:rPr>
        <w:t xml:space="preserve">METROPOLITAN PARTNERS GROUP ADMINISTRATION, LLC, </w:t>
      </w:r>
      <w:r>
        <w:rPr>
          <w:rFonts w:ascii="Arial" w:cs="Arial" w:eastAsia="Arial" w:hAnsi="Arial"/>
          <w:sz w:val="18"/>
          <w:szCs w:val="18"/>
          <w:color w:val="auto"/>
        </w:rPr>
        <w:t>as Agent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Paul K. Lisiak</w:t>
            </w: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Paul K. Lisiak</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Managing Partner</w:t>
            </w:r>
          </w:p>
        </w:tc>
      </w:tr>
    </w:tbl>
    <w:p>
      <w:pPr>
        <w:spacing w:after="0" w:line="202" w:lineRule="exact"/>
        <w:rPr>
          <w:sz w:val="20"/>
          <w:szCs w:val="20"/>
          <w:color w:val="auto"/>
        </w:rPr>
      </w:pPr>
    </w:p>
    <w:p>
      <w:pPr>
        <w:jc w:val="right"/>
        <w:ind w:right="3399"/>
        <w:spacing w:after="0"/>
        <w:rPr>
          <w:sz w:val="20"/>
          <w:szCs w:val="20"/>
          <w:color w:val="auto"/>
        </w:rPr>
      </w:pPr>
      <w:r>
        <w:rPr>
          <w:rFonts w:ascii="Arial" w:cs="Arial" w:eastAsia="Arial" w:hAnsi="Arial"/>
          <w:sz w:val="18"/>
          <w:szCs w:val="18"/>
          <w:i w:val="1"/>
          <w:iCs w:val="1"/>
          <w:color w:val="auto"/>
        </w:rPr>
        <w:t>[Signature Page to Fee Letter]</w:t>
      </w:r>
    </w:p>
    <w:p>
      <w:pPr>
        <w:spacing w:after="0" w:line="200" w:lineRule="exact"/>
        <w:rPr>
          <w:sz w:val="20"/>
          <w:szCs w:val="20"/>
          <w:color w:val="auto"/>
        </w:rPr>
      </w:pPr>
    </w:p>
    <w:p>
      <w:pPr>
        <w:spacing w:after="0" w:line="24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188" w:name="page189"/>
    <w:bookmarkEnd w:id="188"/>
    <w:p>
      <w:pPr>
        <w:jc w:val="right"/>
        <w:spacing w:after="0"/>
        <w:rPr>
          <w:sz w:val="20"/>
          <w:szCs w:val="20"/>
          <w:color w:val="auto"/>
        </w:rPr>
      </w:pPr>
      <w:r>
        <w:rPr>
          <w:rFonts w:ascii="Arial" w:cs="Arial" w:eastAsia="Arial" w:hAnsi="Arial"/>
          <w:sz w:val="18"/>
          <w:szCs w:val="18"/>
          <w:b w:val="1"/>
          <w:bCs w:val="1"/>
          <w:color w:val="auto"/>
        </w:rPr>
        <w:t>Exhibit 10.4</w:t>
      </w:r>
    </w:p>
    <w:p>
      <w:pPr>
        <w:spacing w:after="0" w:line="229" w:lineRule="exact"/>
        <w:rPr>
          <w:sz w:val="20"/>
          <w:szCs w:val="20"/>
          <w:color w:val="auto"/>
        </w:rPr>
      </w:pPr>
    </w:p>
    <w:p>
      <w:pPr>
        <w:ind w:left="10220"/>
        <w:spacing w:after="0"/>
        <w:rPr>
          <w:sz w:val="20"/>
          <w:szCs w:val="20"/>
          <w:color w:val="auto"/>
        </w:rPr>
      </w:pPr>
      <w:r>
        <w:rPr>
          <w:rFonts w:ascii="Arial" w:cs="Arial" w:eastAsia="Arial" w:hAnsi="Arial"/>
          <w:sz w:val="16"/>
          <w:szCs w:val="16"/>
          <w:b w:val="1"/>
          <w:bCs w:val="1"/>
          <w:i w:val="1"/>
          <w:iCs w:val="1"/>
          <w:color w:val="auto"/>
        </w:rPr>
        <w:t>Final Version</w:t>
      </w:r>
    </w:p>
    <w:p>
      <w:pPr>
        <w:spacing w:after="0" w:line="24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NEITHER THIS WARRANT, NOR THE SECURITIES ISSUABLE UPON EXERCISE OF THIS WARRANT (COLLECTIVELY, THE “SECURITIES”), HAVE BEEN REGISTERED UNDER THE SECURITIES ACT OF 1933, AS AMENDED (THE “SECURITIES ACT”), OR UNDER ANY STATE SECURITIES OR BLUE SKY LAWS. THE SECURITIES ARE SUBJECT TO RESTRICTIONS ON TRANSFERABILITY AND RESALE AND MAY NOT BE OFFERED, FOR SALE, SOLD, PLEDGED, HYPOTHECATED OR OTHERWISE TRANSFERRED OR ASSIGNED EXCEPT AS PERMITTED UNDER THE SECURITIES ACT AND APPLICABLE STATE SECURITIES OR BLUE SKY LAWS, PURSUANT TO REGISTRATION OR QUALIFICATION OR EXEMPTION THEREFROM. INVESTORS SHOULD BE AWARE THAT THEY MAY BE REQUIRED TO BEAR THE FINANCIAL RISKS OF THIS INVESTMENT FOR AN INDEFINITE PERIOD OF TIME. THE COMPANY MAY REQUIRE AN OPINION OF COUNSEL IN FORM AND SUBSTANCE REASONABLY SATISFACTORY TO THE COMPANY TO THE EFFECT THAT ANY PROPOSED TRANSFER IS IN COMPLIANCE WITH THE SECURITIES ACT AND ANY APPLICABLE STATE SECURITIES OR BLUE SKY LAWS.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PRESTO AUTOMATION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2"/>
          <w:szCs w:val="12"/>
          <w:b w:val="1"/>
          <w:bCs w:val="1"/>
          <w:color w:val="auto"/>
        </w:rPr>
        <w:t>arrant</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o</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urchase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ommon</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Warrant No.: 2023-11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of Common Stock: 962,100</w:t>
      </w:r>
    </w:p>
    <w:p>
      <w:pPr>
        <w:spacing w:after="0" w:line="9" w:lineRule="exact"/>
        <w:rPr>
          <w:sz w:val="20"/>
          <w:szCs w:val="20"/>
          <w:color w:val="auto"/>
        </w:rPr>
      </w:pPr>
    </w:p>
    <w:p>
      <w:pPr>
        <w:spacing w:after="0"/>
        <w:tabs>
          <w:tab w:leader="none" w:pos="2320" w:val="left"/>
        </w:tabs>
        <w:rPr>
          <w:sz w:val="20"/>
          <w:szCs w:val="20"/>
          <w:color w:val="auto"/>
        </w:rPr>
      </w:pPr>
      <w:r>
        <w:rPr>
          <w:rFonts w:ascii="Arial" w:cs="Arial" w:eastAsia="Arial" w:hAnsi="Arial"/>
          <w:sz w:val="18"/>
          <w:szCs w:val="18"/>
          <w:color w:val="auto"/>
        </w:rPr>
        <w:t>Date of Issuance:</w:t>
      </w:r>
      <w:r>
        <w:rPr>
          <w:sz w:val="20"/>
          <w:szCs w:val="20"/>
          <w:color w:val="auto"/>
        </w:rPr>
        <w:tab/>
      </w:r>
      <w:r>
        <w:rPr>
          <w:rFonts w:ascii="Arial" w:cs="Arial" w:eastAsia="Arial" w:hAnsi="Arial"/>
          <w:sz w:val="16"/>
          <w:szCs w:val="16"/>
          <w:color w:val="auto"/>
        </w:rPr>
        <w:t>, 2023 (“</w:t>
      </w:r>
      <w:r>
        <w:rPr>
          <w:rFonts w:ascii="Arial" w:cs="Arial" w:eastAsia="Arial" w:hAnsi="Arial"/>
          <w:sz w:val="16"/>
          <w:szCs w:val="16"/>
          <w:b w:val="1"/>
          <w:bCs w:val="1"/>
          <w:color w:val="auto"/>
        </w:rPr>
        <w:t>Issuance Date</w:t>
      </w:r>
      <w:r>
        <w:rPr>
          <w:rFonts w:ascii="Arial" w:cs="Arial" w:eastAsia="Arial" w:hAnsi="Arial"/>
          <w:sz w:val="16"/>
          <w:szCs w:val="16"/>
          <w:color w:val="auto"/>
        </w:rPr>
        <w:t>”)</w:t>
      </w:r>
    </w:p>
    <w:p>
      <w:pPr>
        <w:spacing w:after="0" w:line="207" w:lineRule="exact"/>
        <w:rPr>
          <w:sz w:val="20"/>
          <w:szCs w:val="20"/>
          <w:color w:val="auto"/>
        </w:rPr>
      </w:pPr>
    </w:p>
    <w:p>
      <w:pPr>
        <w:jc w:val="both"/>
        <w:ind w:firstLine="1296"/>
        <w:spacing w:after="0" w:line="288" w:lineRule="auto"/>
        <w:rPr>
          <w:sz w:val="20"/>
          <w:szCs w:val="20"/>
          <w:color w:val="auto"/>
        </w:rPr>
      </w:pPr>
      <w:r>
        <w:rPr>
          <w:rFonts w:ascii="Arial" w:cs="Arial" w:eastAsia="Arial" w:hAnsi="Arial"/>
          <w:sz w:val="16"/>
          <w:szCs w:val="16"/>
          <w:color w:val="auto"/>
        </w:rPr>
        <w:t>Presto Automation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hereby certifies that, for good and valuable consideration, the receipt and sufficiency of which are hereby acknowledged, Metropolitan Levered Partners Fund VII, LP, the registered holder hereof or its permitted assigns (the “</w:t>
      </w:r>
      <w:r>
        <w:rPr>
          <w:rFonts w:ascii="Arial" w:cs="Arial" w:eastAsia="Arial" w:hAnsi="Arial"/>
          <w:sz w:val="16"/>
          <w:szCs w:val="16"/>
          <w:b w:val="1"/>
          <w:bCs w:val="1"/>
          <w:color w:val="auto"/>
        </w:rPr>
        <w:t>Holder</w:t>
      </w:r>
      <w:r>
        <w:rPr>
          <w:rFonts w:ascii="Arial" w:cs="Arial" w:eastAsia="Arial" w:hAnsi="Arial"/>
          <w:sz w:val="16"/>
          <w:szCs w:val="16"/>
          <w:color w:val="auto"/>
        </w:rPr>
        <w:t>”), is entitled, subject to the terms set forth below, to purchase from the Company, at the Exercise Price (as defined below) then in effect, at any time or times on or after the Issuance Date, but not after 11:59 p.m., New York time, on the Expiration Date, (as defined below), 962,100 duly authorized, validly issued, fully paid, nonassessable shares of Common Stock, subject to adjustment as provided herein (the “</w:t>
      </w:r>
      <w:r>
        <w:rPr>
          <w:rFonts w:ascii="Arial" w:cs="Arial" w:eastAsia="Arial" w:hAnsi="Arial"/>
          <w:sz w:val="16"/>
          <w:szCs w:val="16"/>
          <w:b w:val="1"/>
          <w:bCs w:val="1"/>
          <w:color w:val="auto"/>
        </w:rPr>
        <w:t>Warrant Shares</w:t>
      </w:r>
      <w:r>
        <w:rPr>
          <w:rFonts w:ascii="Arial" w:cs="Arial" w:eastAsia="Arial" w:hAnsi="Arial"/>
          <w:sz w:val="16"/>
          <w:szCs w:val="16"/>
          <w:color w:val="auto"/>
        </w:rPr>
        <w:t>”). Except as otherwise defined herein, capitalized terms in this Warrant to Purchase Common Stock (including any Warrants to Purchase Common Stock issued in exchange, transfer or replacement hereof, this “</w:t>
      </w:r>
      <w:r>
        <w:rPr>
          <w:rFonts w:ascii="Arial" w:cs="Arial" w:eastAsia="Arial" w:hAnsi="Arial"/>
          <w:sz w:val="16"/>
          <w:szCs w:val="16"/>
          <w:b w:val="1"/>
          <w:bCs w:val="1"/>
          <w:color w:val="auto"/>
        </w:rPr>
        <w:t>Warrant</w:t>
      </w:r>
      <w:r>
        <w:rPr>
          <w:rFonts w:ascii="Arial" w:cs="Arial" w:eastAsia="Arial" w:hAnsi="Arial"/>
          <w:sz w:val="16"/>
          <w:szCs w:val="16"/>
          <w:color w:val="auto"/>
        </w:rPr>
        <w:t>”) shall have the meanings set forth in Section 17‎. This Warrant is being issued pursuant to Section 3 of that certain Third Amendment to Credit Agreement, dated October 10, 2023, among E La Carte, LLC, the Company and Metropolitan Partners Group Administration, LLC, as agent (the “</w:t>
      </w:r>
      <w:r>
        <w:rPr>
          <w:rFonts w:ascii="Arial" w:cs="Arial" w:eastAsia="Arial" w:hAnsi="Arial"/>
          <w:sz w:val="16"/>
          <w:szCs w:val="16"/>
          <w:b w:val="1"/>
          <w:bCs w:val="1"/>
          <w:color w:val="auto"/>
        </w:rPr>
        <w:t>Third Amendment</w:t>
      </w:r>
      <w:r>
        <w:rPr>
          <w:rFonts w:ascii="Arial" w:cs="Arial" w:eastAsia="Arial" w:hAnsi="Arial"/>
          <w:sz w:val="16"/>
          <w:szCs w:val="16"/>
          <w:color w:val="auto"/>
        </w:rPr>
        <w:t>”), and to Section 7 of that certain Third Amended and Restated Fee Letter, dated October 10, 2023, among E La Carte, LLC, the Company and Metropolitan Partners Group Administration (the “</w:t>
      </w:r>
      <w:r>
        <w:rPr>
          <w:rFonts w:ascii="Arial" w:cs="Arial" w:eastAsia="Arial" w:hAnsi="Arial"/>
          <w:sz w:val="16"/>
          <w:szCs w:val="16"/>
          <w:b w:val="1"/>
          <w:bCs w:val="1"/>
          <w:color w:val="auto"/>
        </w:rPr>
        <w:t>Fee Letter</w:t>
      </w:r>
      <w:r>
        <w:rPr>
          <w:rFonts w:ascii="Arial" w:cs="Arial" w:eastAsia="Arial" w:hAnsi="Arial"/>
          <w:sz w:val="16"/>
          <w:szCs w:val="16"/>
          <w:color w:val="auto"/>
        </w:rPr>
        <w:t>”). Capitalized terms used herein and not otherwise defined shall have the definitions ascribed to such terms in the Credit Agreement (as defined in the Fee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407035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9" w:name="page190"/>
    <w:bookmarkEnd w:id="189"/>
    <w:p>
      <w:pPr>
        <w:ind w:left="1480" w:hanging="176"/>
        <w:spacing w:after="0"/>
        <w:tabs>
          <w:tab w:leader="none" w:pos="14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EXERCISE OF WARRANT.</w:t>
      </w:r>
    </w:p>
    <w:p>
      <w:pPr>
        <w:spacing w:after="0" w:line="225" w:lineRule="exact"/>
        <w:rPr>
          <w:rFonts w:ascii="Arial" w:cs="Arial" w:eastAsia="Arial" w:hAnsi="Arial"/>
          <w:sz w:val="18"/>
          <w:szCs w:val="18"/>
          <w:color w:val="auto"/>
        </w:rPr>
      </w:pPr>
    </w:p>
    <w:p>
      <w:pPr>
        <w:jc w:val="both"/>
        <w:ind w:firstLine="1952"/>
        <w:spacing w:after="0" w:line="282" w:lineRule="auto"/>
        <w:tabs>
          <w:tab w:leader="none" w:pos="2188" w:val="left"/>
        </w:tabs>
        <w:numPr>
          <w:ilvl w:val="1"/>
          <w:numId w:val="166"/>
        </w:numPr>
        <w:rPr>
          <w:rFonts w:ascii="Arial" w:cs="Arial" w:eastAsia="Arial" w:hAnsi="Arial"/>
          <w:sz w:val="16"/>
          <w:szCs w:val="16"/>
          <w:color w:val="auto"/>
        </w:rPr>
      </w:pPr>
      <w:r>
        <w:rPr>
          <w:rFonts w:ascii="Arial" w:cs="Arial" w:eastAsia="Arial" w:hAnsi="Arial"/>
          <w:sz w:val="16"/>
          <w:szCs w:val="16"/>
          <w:u w:val="single" w:color="auto"/>
          <w:color w:val="auto"/>
        </w:rPr>
        <w:t>Mechanics of Exercise</w:t>
      </w:r>
      <w:r>
        <w:rPr>
          <w:rFonts w:ascii="Arial" w:cs="Arial" w:eastAsia="Arial" w:hAnsi="Arial"/>
          <w:sz w:val="16"/>
          <w:szCs w:val="16"/>
          <w:color w:val="auto"/>
        </w:rPr>
        <w:t xml:space="preserve">. Subject to the terms and conditions hereof (including, without limitation, the limitations set forth in Section </w:t>
      </w:r>
      <w:r>
        <w:rPr>
          <w:rFonts w:ascii="Arial" w:cs="Arial" w:eastAsia="Arial" w:hAnsi="Arial"/>
          <w:sz w:val="19"/>
          <w:szCs w:val="19"/>
          <w:b w:val="1"/>
          <w:bCs w:val="1"/>
          <w:color w:val="auto"/>
        </w:rPr>
        <w:t>‎</w:t>
      </w:r>
      <w:r>
        <w:rPr>
          <w:rFonts w:ascii="Arial" w:cs="Arial" w:eastAsia="Arial" w:hAnsi="Arial"/>
          <w:sz w:val="16"/>
          <w:szCs w:val="16"/>
          <w:color w:val="auto"/>
        </w:rPr>
        <w:t xml:space="preserve">1(f)), this Warrant may be exercised by the Holder at any time or times on or after the Issuance Date, in whole or in part, by (i) delivery (whether via facsimile or otherwise) of a written notice, in the form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(the “</w:t>
      </w:r>
      <w:r>
        <w:rPr>
          <w:rFonts w:ascii="Arial" w:cs="Arial" w:eastAsia="Arial" w:hAnsi="Arial"/>
          <w:sz w:val="16"/>
          <w:szCs w:val="16"/>
          <w:b w:val="1"/>
          <w:bCs w:val="1"/>
          <w:color w:val="auto"/>
        </w:rPr>
        <w:t>Exercise Notice</w:t>
      </w:r>
      <w:r>
        <w:rPr>
          <w:rFonts w:ascii="Arial" w:cs="Arial" w:eastAsia="Arial" w:hAnsi="Arial"/>
          <w:sz w:val="16"/>
          <w:szCs w:val="16"/>
          <w:color w:val="auto"/>
        </w:rPr>
        <w:t>”), of the Holder’s election to exercise this Warrant and (ii) (A) payment to the Company of an amount equal to the applicable Exercise Price multiplied by the number of Warrant Shares as to which this Warrant is being exercised (the “</w:t>
      </w:r>
      <w:r>
        <w:rPr>
          <w:rFonts w:ascii="Arial" w:cs="Arial" w:eastAsia="Arial" w:hAnsi="Arial"/>
          <w:sz w:val="16"/>
          <w:szCs w:val="16"/>
          <w:b w:val="1"/>
          <w:bCs w:val="1"/>
          <w:color w:val="auto"/>
        </w:rPr>
        <w:t>Aggregate Exercise Price</w:t>
      </w:r>
      <w:r>
        <w:rPr>
          <w:rFonts w:ascii="Arial" w:cs="Arial" w:eastAsia="Arial" w:hAnsi="Arial"/>
          <w:sz w:val="16"/>
          <w:szCs w:val="16"/>
          <w:color w:val="auto"/>
        </w:rPr>
        <w:t xml:space="preserve">”) in cash by wire transfer of immediately available funds or (B) if the provisions of Section 1(d) are applicable, by notifying the Company that this Warrant is being exercised pursuant to a Cashless Exercise.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after the date the Warrant Shares which are the subject of the Exercise Notice being delivered to the Holder.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w:t>
      </w:r>
      <w:r>
        <w:rPr>
          <w:rFonts w:ascii="Arial" w:cs="Arial" w:eastAsia="Arial" w:hAnsi="Arial"/>
          <w:sz w:val="16"/>
          <w:szCs w:val="16"/>
          <w:b w:val="1"/>
          <w:bCs w:val="1"/>
          <w:color w:val="auto"/>
        </w:rPr>
        <w:t>The Holder and any assignee, by acceptance of this Warrant, acknowledge and</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agree that, by reason of the provisions of this paragraph, following the purchase of a portion of the Warrant Shares hereunder, the number of Warrant Shares available for purchase hereunder at any given time may be less than the amount stated on the face hereof. </w:t>
      </w:r>
      <w:r>
        <w:rPr>
          <w:rFonts w:ascii="Arial" w:cs="Arial" w:eastAsia="Arial" w:hAnsi="Arial"/>
          <w:sz w:val="16"/>
          <w:szCs w:val="16"/>
          <w:color w:val="auto"/>
        </w:rPr>
        <w:t>On or before the third</w:t>
      </w:r>
      <w:r>
        <w:rPr>
          <w:rFonts w:ascii="Arial" w:cs="Arial" w:eastAsia="Arial" w:hAnsi="Arial"/>
          <w:sz w:val="16"/>
          <w:szCs w:val="16"/>
          <w:b w:val="1"/>
          <w:bCs w:val="1"/>
          <w:color w:val="auto"/>
        </w:rPr>
        <w:t xml:space="preserve"> </w:t>
      </w:r>
      <w:r>
        <w:rPr>
          <w:rFonts w:ascii="Arial" w:cs="Arial" w:eastAsia="Arial" w:hAnsi="Arial"/>
          <w:sz w:val="16"/>
          <w:szCs w:val="16"/>
          <w:color w:val="auto"/>
        </w:rPr>
        <w:t>(3rd) Trading Day following the date on which the Company has received the Exercise Notice (the “</w:t>
      </w:r>
      <w:r>
        <w:rPr>
          <w:rFonts w:ascii="Arial" w:cs="Arial" w:eastAsia="Arial" w:hAnsi="Arial"/>
          <w:sz w:val="16"/>
          <w:szCs w:val="16"/>
          <w:b w:val="1"/>
          <w:bCs w:val="1"/>
          <w:color w:val="auto"/>
        </w:rPr>
        <w:t>Share Delivery Date</w:t>
      </w:r>
      <w:r>
        <w:rPr>
          <w:rFonts w:ascii="Arial" w:cs="Arial" w:eastAsia="Arial" w:hAnsi="Arial"/>
          <w:sz w:val="16"/>
          <w:szCs w:val="16"/>
          <w:color w:val="auto"/>
        </w:rPr>
        <w:t>”), so long as the Holder delivers the Aggregate Exercise Price (or notice of a Cashless Exercise) on or prior to the second (2nd) Trading Day following the date on which the Company has received the Exercise Notice (provided that if the Aggregate Exercise Price (or notice of a Cashless Exercise) has not been delivered by such date, the Share Delivery Date shall be extended one (1) Trading Day after the Aggregate Exercise Price (or notice of a Cashless Exercise) is delivered), the Company shall (X) provided that the Company’s transfer agent (“</w:t>
      </w:r>
      <w:r>
        <w:rPr>
          <w:rFonts w:ascii="Arial" w:cs="Arial" w:eastAsia="Arial" w:hAnsi="Arial"/>
          <w:sz w:val="16"/>
          <w:szCs w:val="16"/>
          <w:b w:val="1"/>
          <w:bCs w:val="1"/>
          <w:color w:val="auto"/>
        </w:rPr>
        <w:t>Transfer Agent</w:t>
      </w:r>
      <w:r>
        <w:rPr>
          <w:rFonts w:ascii="Arial" w:cs="Arial" w:eastAsia="Arial" w:hAnsi="Arial"/>
          <w:sz w:val="16"/>
          <w:szCs w:val="16"/>
          <w:color w:val="auto"/>
        </w:rPr>
        <w:t>”) is participating in The Depository Trust Company (“</w:t>
      </w:r>
      <w:r>
        <w:rPr>
          <w:rFonts w:ascii="Arial" w:cs="Arial" w:eastAsia="Arial" w:hAnsi="Arial"/>
          <w:sz w:val="16"/>
          <w:szCs w:val="16"/>
          <w:b w:val="1"/>
          <w:bCs w:val="1"/>
          <w:color w:val="auto"/>
        </w:rPr>
        <w:t>DTC</w:t>
      </w:r>
      <w:r>
        <w:rPr>
          <w:rFonts w:ascii="Arial" w:cs="Arial" w:eastAsia="Arial" w:hAnsi="Arial"/>
          <w:sz w:val="16"/>
          <w:szCs w:val="16"/>
          <w:color w:val="auto"/>
        </w:rPr>
        <w:t>”) Fast Automated Securities Transfer Program (“</w:t>
      </w:r>
      <w:r>
        <w:rPr>
          <w:rFonts w:ascii="Arial" w:cs="Arial" w:eastAsia="Arial" w:hAnsi="Arial"/>
          <w:sz w:val="16"/>
          <w:szCs w:val="16"/>
          <w:b w:val="1"/>
          <w:bCs w:val="1"/>
          <w:color w:val="auto"/>
        </w:rPr>
        <w:t>FAST</w:t>
      </w:r>
      <w:r>
        <w:rPr>
          <w:rFonts w:ascii="Arial" w:cs="Arial" w:eastAsia="Arial" w:hAnsi="Arial"/>
          <w:sz w:val="16"/>
          <w:szCs w:val="16"/>
          <w:color w:val="auto"/>
        </w:rPr>
        <w:t xml:space="preserve">”) and the Warrant Shares are eligible to be issued without a restrictive legend, credit such aggregate number of Warrant Shares to which the Holder is entitled pursuant to such exercise to the Holder’s or its designee’s balance account with DTC through its Deposit/Withdrawal At Custodian system, or (Y) if the Transfer Agent is not participating in FAST or the Warrant Shares are not eligible to be issued without a restrictive legend, issue and dispatch by overnight courier to the address as specified in the Exercise Notice, a certificate, registered in the Company’s share register in the name of the Holder or its designee, for the number of Warrant Shares to which the Holder is entitled pursuant to such exercise. The Company shall be responsible for all fees and expenses of the Transfer Agent and all fees and expenses with respect to the issuance of Warrant Shares via DTC, if any. Upon delivery of the Exercise Notice and the Aggregate Exercise Price (or notice of a Cashless Exercise), the Holder shall be deemed for all corporate purposes to have become the holder of record of the Warrant Shares with respect to which this Warrant has been exercised, irrespective of the date such Warrant Shares are credited to the Holder’s DTC account or the date of delivery of the certificates evidencing such Warrant Shares, as the case may be. If this Warrant is submitted in connection with any exercise pursuant to this Section </w:t>
      </w:r>
      <w:r>
        <w:rPr>
          <w:rFonts w:ascii="Arial" w:cs="Arial" w:eastAsia="Arial" w:hAnsi="Arial"/>
          <w:sz w:val="19"/>
          <w:szCs w:val="19"/>
          <w:b w:val="1"/>
          <w:bCs w:val="1"/>
          <w:color w:val="auto"/>
        </w:rPr>
        <w:t>‎</w:t>
      </w:r>
      <w:r>
        <w:rPr>
          <w:rFonts w:ascii="Arial" w:cs="Arial" w:eastAsia="Arial" w:hAnsi="Arial"/>
          <w:sz w:val="16"/>
          <w:szCs w:val="16"/>
          <w:color w:val="auto"/>
        </w:rPr>
        <w:t xml:space="preserve">1(a) and the number of Warrant Shares represented by this Warrant submitted for exercise is greater than the number of Warrant Shares being acquired upon an exercise, then the Company shall as soon as reasonably practicable and in no event later than three (3) Trading Days after any exercise and at its own expense, issue a new Warrant (in accordance with Section </w:t>
      </w:r>
      <w:r>
        <w:rPr>
          <w:rFonts w:ascii="Arial" w:cs="Arial" w:eastAsia="Arial" w:hAnsi="Arial"/>
          <w:sz w:val="19"/>
          <w:szCs w:val="19"/>
          <w:b w:val="1"/>
          <w:bCs w:val="1"/>
          <w:color w:val="auto"/>
        </w:rPr>
        <w:t>‎</w:t>
      </w:r>
      <w:r>
        <w:rPr>
          <w:rFonts w:ascii="Arial" w:cs="Arial" w:eastAsia="Arial" w:hAnsi="Arial"/>
          <w:sz w:val="16"/>
          <w:szCs w:val="16"/>
          <w:color w:val="auto"/>
        </w:rPr>
        <w:t>1(d)) representing the right to purchase the number of Warrant Shares issuable immediately prior to such exercise under this Warrant, less the number of Warrant Shares with respect to which this Warrant is exercised upon surrender of the Warrant so exercised. No fractional Warrant Shares are to be issued upon the exercise of this Warrant, but rather the number of Warrant Shares to be issued shall be rounded down to the nearest whole number. The Company shall pay any and all transfer, stamp, issuance and similar taxes (but not any United States federal, state or local income taxes) that may be payable with respect to the issuance and delivery of Warrant Shares upon exercise of this Warrant. The Company’s obligations to issue and deliver Warrant Shares in accordance with the terms and subject to the conditions hereof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0" w:name="page191"/>
    <w:bookmarkEnd w:id="190"/>
    <w:p>
      <w:pPr>
        <w:ind w:left="2200" w:hanging="248"/>
        <w:spacing w:after="0"/>
        <w:tabs>
          <w:tab w:leader="none" w:pos="2200" w:val="left"/>
        </w:tabs>
        <w:numPr>
          <w:ilvl w:val="0"/>
          <w:numId w:val="167"/>
        </w:numPr>
        <w:rPr>
          <w:rFonts w:ascii="Arial" w:cs="Arial" w:eastAsia="Arial" w:hAnsi="Arial"/>
          <w:sz w:val="17"/>
          <w:szCs w:val="17"/>
          <w:color w:val="auto"/>
        </w:rPr>
      </w:pPr>
      <w:r>
        <w:rPr>
          <w:rFonts w:ascii="Arial" w:cs="Arial" w:eastAsia="Arial" w:hAnsi="Arial"/>
          <w:sz w:val="17"/>
          <w:szCs w:val="17"/>
          <w:u w:val="single" w:color="auto"/>
          <w:color w:val="auto"/>
        </w:rPr>
        <w:t>Exercise Price</w:t>
      </w:r>
      <w:r>
        <w:rPr>
          <w:rFonts w:ascii="Arial" w:cs="Arial" w:eastAsia="Arial" w:hAnsi="Arial"/>
          <w:sz w:val="17"/>
          <w:szCs w:val="17"/>
          <w:color w:val="auto"/>
        </w:rPr>
        <w:t>. For purposes of this Warrant, “</w:t>
      </w:r>
      <w:r>
        <w:rPr>
          <w:rFonts w:ascii="Arial" w:cs="Arial" w:eastAsia="Arial" w:hAnsi="Arial"/>
          <w:sz w:val="17"/>
          <w:szCs w:val="17"/>
          <w:b w:val="1"/>
          <w:bCs w:val="1"/>
          <w:color w:val="auto"/>
        </w:rPr>
        <w:t>Exercise Price</w:t>
      </w:r>
      <w:r>
        <w:rPr>
          <w:rFonts w:ascii="Arial" w:cs="Arial" w:eastAsia="Arial" w:hAnsi="Arial"/>
          <w:sz w:val="17"/>
          <w:szCs w:val="17"/>
          <w:color w:val="auto"/>
        </w:rPr>
        <w:t>” means $0.01, subject to adjustment as provided herein.</w:t>
      </w:r>
    </w:p>
    <w:p>
      <w:pPr>
        <w:spacing w:after="0" w:line="240" w:lineRule="exact"/>
        <w:rPr>
          <w:rFonts w:ascii="Arial" w:cs="Arial" w:eastAsia="Arial" w:hAnsi="Arial"/>
          <w:sz w:val="17"/>
          <w:szCs w:val="17"/>
          <w:color w:val="auto"/>
        </w:rPr>
      </w:pPr>
    </w:p>
    <w:p>
      <w:pPr>
        <w:jc w:val="both"/>
        <w:ind w:firstLine="1952"/>
        <w:spacing w:after="0" w:line="283" w:lineRule="auto"/>
        <w:tabs>
          <w:tab w:leader="none" w:pos="2188" w:val="left"/>
        </w:tabs>
        <w:numPr>
          <w:ilvl w:val="0"/>
          <w:numId w:val="167"/>
        </w:numPr>
        <w:rPr>
          <w:rFonts w:ascii="Arial" w:cs="Arial" w:eastAsia="Arial" w:hAnsi="Arial"/>
          <w:sz w:val="16"/>
          <w:szCs w:val="16"/>
          <w:color w:val="auto"/>
        </w:rPr>
      </w:pPr>
      <w:r>
        <w:rPr>
          <w:rFonts w:ascii="Arial" w:cs="Arial" w:eastAsia="Arial" w:hAnsi="Arial"/>
          <w:sz w:val="16"/>
          <w:szCs w:val="16"/>
          <w:u w:val="single" w:color="auto"/>
          <w:color w:val="auto"/>
        </w:rPr>
        <w:t>Company’s Failure to Timely Deliver Securities</w:t>
      </w:r>
      <w:r>
        <w:rPr>
          <w:rFonts w:ascii="Arial" w:cs="Arial" w:eastAsia="Arial" w:hAnsi="Arial"/>
          <w:sz w:val="16"/>
          <w:szCs w:val="16"/>
          <w:color w:val="auto"/>
        </w:rPr>
        <w:t>. If the Company shall fail, for any reason or for no reason, on or prior to the Share Delivery Date, if the Transfer Agent is not participating in FAST or such shares of Common Stock may not be issued without legends under the Securities Act, to issue and deliver to the Holder (or its designee) a certificate for the number of Warrant Shares to which the Holder is entitled and register such Warrant Shares on the Company’s share register or, if the Transfer Agent is participating in FAST and such shares of Common Stock may not be issued without legends under the Securities Act, to credit the balance account of the Holder or the Holder’s designee with DTC for such number of Warrant Shares to which the Holder is entitled upon the Holder’s exercise of this Warrant (as the case may be) (a “</w:t>
      </w:r>
      <w:r>
        <w:rPr>
          <w:rFonts w:ascii="Arial" w:cs="Arial" w:eastAsia="Arial" w:hAnsi="Arial"/>
          <w:sz w:val="16"/>
          <w:szCs w:val="16"/>
          <w:b w:val="1"/>
          <w:bCs w:val="1"/>
          <w:color w:val="auto"/>
        </w:rPr>
        <w:t>Delivery Failure</w:t>
      </w:r>
      <w:r>
        <w:rPr>
          <w:rFonts w:ascii="Arial" w:cs="Arial" w:eastAsia="Arial" w:hAnsi="Arial"/>
          <w:sz w:val="16"/>
          <w:szCs w:val="16"/>
          <w:color w:val="auto"/>
        </w:rPr>
        <w:t xml:space="preserve">”), then, in addition to all other remedies available to the Holder, (X) the Company shall pay in cash to the Holder on each day after the Share Delivery Date and during such Delivery Failure an amount in cash, as liquidated damages and not as a penalty, equal to 2.0% of the product of (A) the sum of the number of shares of Common Stock not issued to the Holder on or prior to the Share Delivery Date and to which the Holder is entitled, and (B) any trading price of the Common Stock selected by the Holder in writing as in effect at any time during the period beginning on the applicable exercise date and ending on the applicable Share Delivery Date, and (Y) the Holder, upon written notice to the Company, may void its Exercise Notice with respect to, and retain or have returned, as the case may be, any portion of this Warrant that has not been exercised pursuant to such Exercise Notice; provided that the voiding of an Exercise Notice shall not affect the Company’s obligations to make any payments which have accrued prior to the date of such notice pursuant to this Section </w:t>
      </w:r>
      <w:r>
        <w:rPr>
          <w:rFonts w:ascii="Arial" w:cs="Arial" w:eastAsia="Arial" w:hAnsi="Arial"/>
          <w:sz w:val="19"/>
          <w:szCs w:val="19"/>
          <w:b w:val="1"/>
          <w:bCs w:val="1"/>
          <w:color w:val="auto"/>
        </w:rPr>
        <w:t>‎</w:t>
      </w:r>
      <w:r>
        <w:rPr>
          <w:rFonts w:ascii="Arial" w:cs="Arial" w:eastAsia="Arial" w:hAnsi="Arial"/>
          <w:sz w:val="16"/>
          <w:szCs w:val="16"/>
          <w:color w:val="auto"/>
        </w:rPr>
        <w:t>1(c) or otherwise. In addition to the foregoing, if on or after such Share Delivery Date the Holder purchases (in an open market transaction or otherwise) shares of Common Stock to deliver in satisfaction of a sale by the Holder of all or any portion of the number of shares of Common Stock issuable upon such exercise that the Holder is entitled to receive from the Company (a “</w:t>
      </w:r>
      <w:r>
        <w:rPr>
          <w:rFonts w:ascii="Arial" w:cs="Arial" w:eastAsia="Arial" w:hAnsi="Arial"/>
          <w:sz w:val="16"/>
          <w:szCs w:val="16"/>
          <w:b w:val="1"/>
          <w:bCs w:val="1"/>
          <w:color w:val="auto"/>
        </w:rPr>
        <w:t>Buy-In</w:t>
      </w:r>
      <w:r>
        <w:rPr>
          <w:rFonts w:ascii="Arial" w:cs="Arial" w:eastAsia="Arial" w:hAnsi="Arial"/>
          <w:sz w:val="16"/>
          <w:szCs w:val="16"/>
          <w:color w:val="auto"/>
        </w:rPr>
        <w:t>”), then, in addition to all other remedies available to the Holder, the Company shall, within three (3) Business Days after the Holder’s request and in the Holder’s discretion, either (i) pay cash to the Holder in an amount equal to the Holder’s total purchase price (including brokerage commissions and other out-of-pocket expenses, if any) for the shares of Common Stock so purchased (including, without limitation, by any other Person in respect, or on behalf, of the Holder) (the “</w:t>
      </w:r>
      <w:r>
        <w:rPr>
          <w:rFonts w:ascii="Arial" w:cs="Arial" w:eastAsia="Arial" w:hAnsi="Arial"/>
          <w:sz w:val="16"/>
          <w:szCs w:val="16"/>
          <w:b w:val="1"/>
          <w:bCs w:val="1"/>
          <w:color w:val="auto"/>
        </w:rPr>
        <w:t>Buy-In Price</w:t>
      </w:r>
      <w:r>
        <w:rPr>
          <w:rFonts w:ascii="Arial" w:cs="Arial" w:eastAsia="Arial" w:hAnsi="Arial"/>
          <w:sz w:val="16"/>
          <w:szCs w:val="16"/>
          <w:color w:val="auto"/>
        </w:rPr>
        <w:t>”), at which point the Company’s obligation to so issue and deliver such certificate (and to issue such shares of Common Stock) or credit the balance account of such Holder or such Holder’s designee, as applicable, with DTC for the number of Warrant Shares to which the Holder is entitled upon the Holder’s exercise hereunder (as the case may be) (and to issue such Warrant Shares) shall terminate, or (ii) promptly honor its obligation to so issue and deliver to the Holder a certificate or certificates representing such Warrant Shares or credit the balance account of such Holder or such Holder’s designee, as applicable, with DTC for the number of Warrant Shares to which the Holder is entitled upon the Holder’s exercise hereunder (as the case may be) and pay cash to the Holder in an amount equal to the excess (if any) of the Buy-In Price over the product of (A) such number of Warrant Shares multiplied by (B) the Closing Sale Price of the Common Stock on the Share Delivery Date with respect to the related Exercise Notice (the “</w:t>
      </w:r>
      <w:r>
        <w:rPr>
          <w:rFonts w:ascii="Arial" w:cs="Arial" w:eastAsia="Arial" w:hAnsi="Arial"/>
          <w:sz w:val="16"/>
          <w:szCs w:val="16"/>
          <w:b w:val="1"/>
          <w:bCs w:val="1"/>
          <w:color w:val="auto"/>
        </w:rPr>
        <w:t>Buy-In Payment Amount</w:t>
      </w:r>
      <w:r>
        <w:rPr>
          <w:rFonts w:ascii="Arial" w:cs="Arial" w:eastAsia="Arial" w:hAnsi="Arial"/>
          <w:sz w:val="16"/>
          <w:szCs w:val="16"/>
          <w:color w:val="auto"/>
        </w:rPr>
        <w:t>”). The Holder shall provide the Company written notice indicating the amounts payable to the Holder in respect of the Buy-In and, upon request of the Company, evidence of the amount of such loss. Nothing shall limit the Holder’s right to pursue any other remedies available to it hereunder, at law or in equity, including, without limitation, a decree of specific performance and/or injunctive relief with respect to the Company’s failure to timely deliver certificates representing shares of Common Stock (or to electronically deliver such shares of Common Stock) upon the exercise of this Warrant as required pursuant to the terms hereof.</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1" w:name="page192"/>
    <w:bookmarkEnd w:id="191"/>
    <w:p>
      <w:pPr>
        <w:jc w:val="both"/>
        <w:ind w:firstLine="1952"/>
        <w:spacing w:after="0" w:line="255" w:lineRule="auto"/>
        <w:tabs>
          <w:tab w:leader="none" w:pos="2212" w:val="left"/>
        </w:tabs>
        <w:numPr>
          <w:ilvl w:val="0"/>
          <w:numId w:val="168"/>
        </w:numPr>
        <w:rPr>
          <w:rFonts w:ascii="Arial" w:cs="Arial" w:eastAsia="Arial" w:hAnsi="Arial"/>
          <w:sz w:val="18"/>
          <w:szCs w:val="18"/>
          <w:color w:val="auto"/>
        </w:rPr>
      </w:pPr>
      <w:r>
        <w:rPr>
          <w:rFonts w:ascii="Arial" w:cs="Arial" w:eastAsia="Arial" w:hAnsi="Arial"/>
          <w:sz w:val="18"/>
          <w:szCs w:val="18"/>
          <w:u w:val="single" w:color="auto"/>
          <w:color w:val="auto"/>
        </w:rPr>
        <w:t>Cashless Exercise</w:t>
      </w:r>
      <w:r>
        <w:rPr>
          <w:rFonts w:ascii="Arial" w:cs="Arial" w:eastAsia="Arial" w:hAnsi="Arial"/>
          <w:sz w:val="18"/>
          <w:szCs w:val="18"/>
          <w:color w:val="auto"/>
        </w:rPr>
        <w:t xml:space="preserve">. Notwithstanding anything contained herein to the contrary (other than Section </w:t>
      </w:r>
      <w:r>
        <w:rPr>
          <w:rFonts w:ascii="Arial" w:cs="Arial" w:eastAsia="Arial" w:hAnsi="Arial"/>
          <w:sz w:val="21"/>
          <w:szCs w:val="21"/>
          <w:b w:val="1"/>
          <w:bCs w:val="1"/>
          <w:color w:val="auto"/>
        </w:rPr>
        <w:t>‎</w:t>
      </w:r>
      <w:r>
        <w:rPr>
          <w:rFonts w:ascii="Arial" w:cs="Arial" w:eastAsia="Arial" w:hAnsi="Arial"/>
          <w:sz w:val="18"/>
          <w:szCs w:val="18"/>
          <w:color w:val="auto"/>
        </w:rPr>
        <w:t xml:space="preserve">1(f) below), the Holder may, in its sole discretion (and without limiting the Holder’s rights and remedies contained herein), exercise this Warrant in whole or in part and, subject to the provisions of Section </w:t>
      </w:r>
      <w:r>
        <w:rPr>
          <w:rFonts w:ascii="Arial" w:cs="Arial" w:eastAsia="Arial" w:hAnsi="Arial"/>
          <w:sz w:val="21"/>
          <w:szCs w:val="21"/>
          <w:b w:val="1"/>
          <w:bCs w:val="1"/>
          <w:color w:val="auto"/>
        </w:rPr>
        <w:t>‎</w:t>
      </w:r>
      <w:r>
        <w:rPr>
          <w:rFonts w:ascii="Arial" w:cs="Arial" w:eastAsia="Arial" w:hAnsi="Arial"/>
          <w:sz w:val="18"/>
          <w:szCs w:val="18"/>
          <w:color w:val="auto"/>
        </w:rPr>
        <w:t>1(a), in lieu of making the cash payment otherwise contemplated to be made to the Company upon such exercise in payment of the Aggregate Exercise Price, elect instead to receive upon such exercise the “Net Number” of Warrant Shares determined according to the following formula:</w:t>
      </w:r>
    </w:p>
    <w:p>
      <w:pPr>
        <w:spacing w:after="0" w:line="19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Net Number = </w:t>
      </w:r>
      <w:r>
        <w:rPr>
          <w:rFonts w:ascii="Arial" w:cs="Arial" w:eastAsia="Arial" w:hAnsi="Arial"/>
          <w:sz w:val="18"/>
          <w:szCs w:val="18"/>
          <w:u w:val="single" w:color="auto"/>
          <w:color w:val="auto"/>
        </w:rPr>
        <w:t>(A x B) - (A x C)</w:t>
      </w:r>
    </w:p>
    <w:p>
      <w:pPr>
        <w:spacing w:after="0" w:line="23"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B</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For purposes of the foregoing formula: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 the total number of shares with respect to which this Warrant is then being exercised.</w:t>
      </w:r>
    </w:p>
    <w:p>
      <w:pPr>
        <w:spacing w:after="0" w:line="225" w:lineRule="exact"/>
        <w:rPr>
          <w:sz w:val="20"/>
          <w:szCs w:val="20"/>
          <w:color w:val="auto"/>
        </w:rPr>
      </w:pPr>
    </w:p>
    <w:p>
      <w:pPr>
        <w:ind w:left="1300" w:right="20"/>
        <w:spacing w:after="0" w:line="342" w:lineRule="auto"/>
        <w:rPr>
          <w:sz w:val="20"/>
          <w:szCs w:val="20"/>
          <w:color w:val="auto"/>
        </w:rPr>
      </w:pPr>
      <w:r>
        <w:rPr>
          <w:rFonts w:ascii="Arial" w:cs="Arial" w:eastAsia="Arial" w:hAnsi="Arial"/>
          <w:sz w:val="16"/>
          <w:szCs w:val="16"/>
          <w:color w:val="auto"/>
        </w:rPr>
        <w:t>B = the quotient of (x) the sum of the VWAP of the Common Stock of each of the five (5) Trading Days ending at the close of business on the Principal Market immediately prior to the time of exercise as set forth in the applicable Exercise Notice, divided by (y) five (5).</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 = the Exercise Price then in effect for the applicable Warrant Shares at the time of such exercise.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purposes of Rule 144(d) promulgated under the Securities Act, as in effect on the date hereof, it is intended that the Warrant Shares issued in a Cashless Exercise shall be deemed to have been acquired by the Holder, and the holding period for the Warrant Shares shall be deemed to have commenced, on the date this Warrant was originally issued pursuant to the Credit Agreement.</w:t>
      </w:r>
    </w:p>
    <w:p>
      <w:pPr>
        <w:spacing w:after="0" w:line="184" w:lineRule="exact"/>
        <w:rPr>
          <w:sz w:val="20"/>
          <w:szCs w:val="20"/>
          <w:color w:val="auto"/>
        </w:rPr>
      </w:pPr>
    </w:p>
    <w:p>
      <w:pPr>
        <w:jc w:val="both"/>
        <w:ind w:firstLine="1952"/>
        <w:spacing w:after="0" w:line="263" w:lineRule="auto"/>
        <w:tabs>
          <w:tab w:leader="none" w:pos="2188" w:val="left"/>
        </w:tabs>
        <w:numPr>
          <w:ilvl w:val="0"/>
          <w:numId w:val="169"/>
        </w:numPr>
        <w:rPr>
          <w:rFonts w:ascii="Arial" w:cs="Arial" w:eastAsia="Arial" w:hAnsi="Arial"/>
          <w:sz w:val="18"/>
          <w:szCs w:val="18"/>
          <w:color w:val="auto"/>
        </w:rPr>
      </w:pPr>
      <w:r>
        <w:rPr>
          <w:rFonts w:ascii="Arial" w:cs="Arial" w:eastAsia="Arial" w:hAnsi="Arial"/>
          <w:sz w:val="18"/>
          <w:szCs w:val="18"/>
          <w:u w:val="single" w:color="auto"/>
          <w:color w:val="auto"/>
        </w:rPr>
        <w:t>Disputes</w:t>
      </w:r>
      <w:r>
        <w:rPr>
          <w:rFonts w:ascii="Arial" w:cs="Arial" w:eastAsia="Arial" w:hAnsi="Arial"/>
          <w:sz w:val="18"/>
          <w:szCs w:val="18"/>
          <w:color w:val="auto"/>
        </w:rPr>
        <w:t xml:space="preserve">. In the case of a dispute as to the determination of the Exercise Price or the arithmetic calculation of the number of Warrant Shares to be issued pursuant to the terms hereof, the Company shall promptly issue to the Holder the number of Warrant Shares that are not disputed and resolve such dispute in accordance with Section </w:t>
      </w:r>
      <w:r>
        <w:rPr>
          <w:rFonts w:ascii="Arial" w:cs="Arial" w:eastAsia="Arial" w:hAnsi="Arial"/>
          <w:sz w:val="21"/>
          <w:szCs w:val="21"/>
          <w:b w:val="1"/>
          <w:bCs w:val="1"/>
          <w:color w:val="auto"/>
        </w:rPr>
        <w:t>‎</w:t>
      </w:r>
      <w:r>
        <w:rPr>
          <w:rFonts w:ascii="Arial" w:cs="Arial" w:eastAsia="Arial" w:hAnsi="Arial"/>
          <w:sz w:val="18"/>
          <w:szCs w:val="18"/>
          <w:color w:val="auto"/>
        </w:rPr>
        <w:t>12.</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92" w:name="page193"/>
    <w:bookmarkEnd w:id="192"/>
    <w:p>
      <w:pPr>
        <w:jc w:val="both"/>
        <w:ind w:firstLine="1952"/>
        <w:spacing w:after="0" w:line="281" w:lineRule="auto"/>
        <w:tabs>
          <w:tab w:leader="none" w:pos="2196" w:val="left"/>
        </w:tabs>
        <w:numPr>
          <w:ilvl w:val="1"/>
          <w:numId w:val="170"/>
        </w:numPr>
        <w:rPr>
          <w:rFonts w:ascii="Arial" w:cs="Arial" w:eastAsia="Arial" w:hAnsi="Arial"/>
          <w:sz w:val="16"/>
          <w:szCs w:val="16"/>
          <w:color w:val="auto"/>
        </w:rPr>
      </w:pPr>
      <w:r>
        <w:rPr>
          <w:rFonts w:ascii="Arial" w:cs="Arial" w:eastAsia="Arial" w:hAnsi="Arial"/>
          <w:sz w:val="16"/>
          <w:szCs w:val="16"/>
          <w:u w:val="single" w:color="auto"/>
          <w:color w:val="auto"/>
        </w:rPr>
        <w:t>Limitations on Exercises</w:t>
      </w:r>
      <w:r>
        <w:rPr>
          <w:rFonts w:ascii="Arial" w:cs="Arial" w:eastAsia="Arial" w:hAnsi="Arial"/>
          <w:sz w:val="16"/>
          <w:szCs w:val="16"/>
          <w:color w:val="auto"/>
        </w:rPr>
        <w:t>. Notwithstanding anything to the contrary contained herein, the Company shall not effect the exercise of any portion of this Warrant, and the Holder shall not have the right to exercise any portion of this Warrant, pursuant to the terms and conditions of this Warrant and any such exercise shall be null and void and treated as if never made, to the extent that after giving effect to such exercise, the Holder together with the other Attribution Parties collectively would beneficially own in excess of 4.99% (the “</w:t>
      </w:r>
      <w:r>
        <w:rPr>
          <w:rFonts w:ascii="Arial" w:cs="Arial" w:eastAsia="Arial" w:hAnsi="Arial"/>
          <w:sz w:val="16"/>
          <w:szCs w:val="16"/>
          <w:b w:val="1"/>
          <w:bCs w:val="1"/>
          <w:color w:val="auto"/>
        </w:rPr>
        <w:t>Maximum Percentage</w:t>
      </w:r>
      <w:r>
        <w:rPr>
          <w:rFonts w:ascii="Arial" w:cs="Arial" w:eastAsia="Arial" w:hAnsi="Arial"/>
          <w:sz w:val="16"/>
          <w:szCs w:val="16"/>
          <w:color w:val="auto"/>
        </w:rPr>
        <w:t xml:space="preserve">”) of the number of shares of Common Stock outstanding immediately after giving effect to such exercise. For purposes of the foregoing sentence, the aggregate number of shares of Common Stock beneficially owned by the Holder and the other Attribution Parties shall include the number of shares of Common Stock held by the Holder and all other Attribution Parties plus the number of shares of Common Stock issuable upon exercise of this Warrant with respect to which the determination of such sentence is being made, but shall exclude the number of shares of Common Stock which would be issuable upon (A) exercise of the remaining, unexercised portion of this Warrant beneficially owned by the Holder or any of the other Attribution Parties and (B) exercise or conversion of the unexercised or unconverted portion of any other securities of the Company (including, without limitation, any convertible notes or convertible preferred stock or warrants) beneficially owned by the Holder or any other Attribution Party subject to a limitation on conversion or exercise analogous to the limitation contained in this Section </w:t>
      </w:r>
      <w:r>
        <w:rPr>
          <w:rFonts w:ascii="Arial" w:cs="Arial" w:eastAsia="Arial" w:hAnsi="Arial"/>
          <w:sz w:val="19"/>
          <w:szCs w:val="19"/>
          <w:b w:val="1"/>
          <w:bCs w:val="1"/>
          <w:color w:val="auto"/>
        </w:rPr>
        <w:t>‎</w:t>
      </w:r>
      <w:r>
        <w:rPr>
          <w:rFonts w:ascii="Arial" w:cs="Arial" w:eastAsia="Arial" w:hAnsi="Arial"/>
          <w:sz w:val="16"/>
          <w:szCs w:val="16"/>
          <w:color w:val="auto"/>
        </w:rPr>
        <w:t xml:space="preserve">1(f). For purposes of this Section </w:t>
      </w:r>
      <w:r>
        <w:rPr>
          <w:rFonts w:ascii="Arial" w:cs="Arial" w:eastAsia="Arial" w:hAnsi="Arial"/>
          <w:sz w:val="19"/>
          <w:szCs w:val="19"/>
          <w:b w:val="1"/>
          <w:bCs w:val="1"/>
          <w:color w:val="auto"/>
        </w:rPr>
        <w:t>‎</w:t>
      </w:r>
      <w:r>
        <w:rPr>
          <w:rFonts w:ascii="Arial" w:cs="Arial" w:eastAsia="Arial" w:hAnsi="Arial"/>
          <w:sz w:val="16"/>
          <w:szCs w:val="16"/>
          <w:color w:val="auto"/>
        </w:rPr>
        <w:t>1(f), beneficial ownership shall be calculated in accordance with Section 13(d) of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For purposes of this Warrant, in determining the number of outstanding shares of Common Stock the Holder may acquire upon the exercise of this Warrant without exceeding the Maximum Percentage, the Holder may rely on the number of outstanding shares of Common Stock as reflected in (x) the Company’s most recent Annual Report on Form 10-K, Quarterly Report on Form 10-Q, Current Report on Form 8-K or other public filing with the Securities and Exchange Commission (the “</w:t>
      </w:r>
      <w:r>
        <w:rPr>
          <w:rFonts w:ascii="Arial" w:cs="Arial" w:eastAsia="Arial" w:hAnsi="Arial"/>
          <w:sz w:val="16"/>
          <w:szCs w:val="16"/>
          <w:b w:val="1"/>
          <w:bCs w:val="1"/>
          <w:color w:val="auto"/>
        </w:rPr>
        <w:t>SEC</w:t>
      </w:r>
      <w:r>
        <w:rPr>
          <w:rFonts w:ascii="Arial" w:cs="Arial" w:eastAsia="Arial" w:hAnsi="Arial"/>
          <w:sz w:val="16"/>
          <w:szCs w:val="16"/>
          <w:color w:val="auto"/>
        </w:rPr>
        <w:t>”), as the case may be, (y) a more recent public announcement by the Company or (z) any other written notice by the Company or the Transfer Agent, if any, setting forth the number of shares of Common Stock outstanding (the “</w:t>
      </w:r>
      <w:r>
        <w:rPr>
          <w:rFonts w:ascii="Arial" w:cs="Arial" w:eastAsia="Arial" w:hAnsi="Arial"/>
          <w:sz w:val="16"/>
          <w:szCs w:val="16"/>
          <w:b w:val="1"/>
          <w:bCs w:val="1"/>
          <w:color w:val="auto"/>
        </w:rPr>
        <w:t>Reported Outstanding Share Number</w:t>
      </w:r>
      <w:r>
        <w:rPr>
          <w:rFonts w:ascii="Arial" w:cs="Arial" w:eastAsia="Arial" w:hAnsi="Arial"/>
          <w:sz w:val="16"/>
          <w:szCs w:val="16"/>
          <w:color w:val="auto"/>
        </w:rPr>
        <w:t xml:space="preserve">”). If the Company receives an Exercise Notice from the Holder at a time when the actual number of outstanding shares of Common Stock is less than the Reported Outstanding Share Number, the Company shall (i) notify the Holder in writing of the number of shares of Common Stock then outstanding and, to the extent that such Exercise Notice would otherwise cause the Holder’s beneficial ownership, as determined pursuant to this Section </w:t>
      </w:r>
      <w:r>
        <w:rPr>
          <w:rFonts w:ascii="Arial" w:cs="Arial" w:eastAsia="Arial" w:hAnsi="Arial"/>
          <w:sz w:val="19"/>
          <w:szCs w:val="19"/>
          <w:b w:val="1"/>
          <w:bCs w:val="1"/>
          <w:color w:val="auto"/>
        </w:rPr>
        <w:t>‎</w:t>
      </w:r>
      <w:r>
        <w:rPr>
          <w:rFonts w:ascii="Arial" w:cs="Arial" w:eastAsia="Arial" w:hAnsi="Arial"/>
          <w:sz w:val="16"/>
          <w:szCs w:val="16"/>
          <w:color w:val="auto"/>
        </w:rPr>
        <w:t>1(f), to exceed the Maximum Percentage, the Holder must notify the Company of a reduced number of Warrant Shares to be purchased pursuant to such Exercise Notice (the number of shares by which such purchase is reduced, the “</w:t>
      </w:r>
      <w:r>
        <w:rPr>
          <w:rFonts w:ascii="Arial" w:cs="Arial" w:eastAsia="Arial" w:hAnsi="Arial"/>
          <w:sz w:val="16"/>
          <w:szCs w:val="16"/>
          <w:b w:val="1"/>
          <w:bCs w:val="1"/>
          <w:color w:val="auto"/>
        </w:rPr>
        <w:t>Reduction Shares</w:t>
      </w:r>
      <w:r>
        <w:rPr>
          <w:rFonts w:ascii="Arial" w:cs="Arial" w:eastAsia="Arial" w:hAnsi="Arial"/>
          <w:sz w:val="16"/>
          <w:szCs w:val="16"/>
          <w:color w:val="auto"/>
        </w:rPr>
        <w:t>”) and</w:t>
      </w:r>
    </w:p>
    <w:p>
      <w:pPr>
        <w:jc w:val="both"/>
        <w:ind w:firstLine="8"/>
        <w:spacing w:after="0" w:line="280" w:lineRule="auto"/>
        <w:tabs>
          <w:tab w:leader="none" w:pos="283" w:val="left"/>
        </w:tabs>
        <w:numPr>
          <w:ilvl w:val="0"/>
          <w:numId w:val="171"/>
        </w:numPr>
        <w:rPr>
          <w:rFonts w:ascii="Arial" w:cs="Arial" w:eastAsia="Arial" w:hAnsi="Arial"/>
          <w:sz w:val="16"/>
          <w:szCs w:val="16"/>
          <w:color w:val="auto"/>
        </w:rPr>
      </w:pPr>
      <w:r>
        <w:rPr>
          <w:rFonts w:ascii="Arial" w:cs="Arial" w:eastAsia="Arial" w:hAnsi="Arial"/>
          <w:sz w:val="16"/>
          <w:szCs w:val="16"/>
          <w:color w:val="auto"/>
        </w:rPr>
        <w:t>as soon as reasonably practicable, the Company shall return to the Holder any exercise price paid by the Holder for the Reduction Shares. For any reason at any time, upon the written or oral request of the Holder, the Company shall within one (1) Business Day confirm orally and in writing or by electronic mail to the Holder the number of shares of Common Stock then outstanding. In any case, the number of outstanding shares of Common Stock shall be determined after giving effect to the conversion or exercise of securities of the Company, including this Warrant, by the Holder and any other Attribution Party since the date as of which the Reported Outstanding Share Number was reported. In the event that the issuance of shares of Common Stock to the Holder upon exercise of this Warrant results in the Holder and the other Attribution Parties being deemed to beneficially own, in the aggregate, more than the Maximum Percentage of the number of outstanding shares of Common Stock (as determined under Section 13(d) of the Exchange Act), the number of shares so issued by which the Holder’s and the other Attribution Parties’ aggregate beneficial ownership exceeds the Maximum Percentage (the “</w:t>
      </w:r>
      <w:r>
        <w:rPr>
          <w:rFonts w:ascii="Arial" w:cs="Arial" w:eastAsia="Arial" w:hAnsi="Arial"/>
          <w:sz w:val="16"/>
          <w:szCs w:val="16"/>
          <w:b w:val="1"/>
          <w:bCs w:val="1"/>
          <w:color w:val="auto"/>
        </w:rPr>
        <w:t>Excess Shares</w:t>
      </w:r>
      <w:r>
        <w:rPr>
          <w:rFonts w:ascii="Arial" w:cs="Arial" w:eastAsia="Arial" w:hAnsi="Arial"/>
          <w:sz w:val="16"/>
          <w:szCs w:val="16"/>
          <w:color w:val="auto"/>
        </w:rPr>
        <w:t xml:space="preserve">”) shall be deemed null and void and shall be cancelled ab initio, and the Holder shall not have the power to vote or to transfer the Excess Shares. As soon as reasonably practicable after the issuance of the Excess Shares has been deemed null and void, the Company shall return to the Holder the exercise price paid by the Holder for the Excess Shares. Upon delivery of a written notice to the Company, the Holder may from time to time increase (with such increase not effective until the sixty-first (61st) day after delivery of such notice) or decrease the Maximum Percentage to any other percentage not in excess of 9.99% as specified in such notice; provided that (i) any such increase in the Maximum Percentage will not be effective until the sixty-first (61st) day after such notice is delivered to the Company and (ii) any such increase or decrease will apply only to the Holder and the other Attribution Parties and not to any other holder that is not an Attribution Party of the Holder. For purposes of clarity, the shares of Common Stock issuable pursuant to the terms of this Warrant in excess of the Maximum Percentage shall not be deemed to be beneficially owned by the Holder for any purpose including for purposes of Section 13(d) or Rule 16a-1(a)(1) of the Exchange Act. No prior inability to exercise this Warrant pursuant to this paragraph shall have any effect on the applicability of the provisions of this paragraph with respect to any subsequent determination of exercisability. The provisions of this paragraph shall be construed and implemented in a manner otherwise than in strict conformity with the terms of this Section </w:t>
      </w:r>
      <w:r>
        <w:rPr>
          <w:rFonts w:ascii="Arial" w:cs="Arial" w:eastAsia="Arial" w:hAnsi="Arial"/>
          <w:sz w:val="19"/>
          <w:szCs w:val="19"/>
          <w:b w:val="1"/>
          <w:bCs w:val="1"/>
          <w:color w:val="auto"/>
        </w:rPr>
        <w:t>‎</w:t>
      </w:r>
      <w:r>
        <w:rPr>
          <w:rFonts w:ascii="Arial" w:cs="Arial" w:eastAsia="Arial" w:hAnsi="Arial"/>
          <w:sz w:val="16"/>
          <w:szCs w:val="16"/>
          <w:color w:val="auto"/>
        </w:rPr>
        <w:t xml:space="preserve">1(f) to the extent necessary to correct this paragraph or any portion of this paragraph which may be defective or inconsistent with the intended beneficial ownership limitation contained in this Section </w:t>
      </w:r>
      <w:r>
        <w:rPr>
          <w:rFonts w:ascii="Arial" w:cs="Arial" w:eastAsia="Arial" w:hAnsi="Arial"/>
          <w:sz w:val="19"/>
          <w:szCs w:val="19"/>
          <w:b w:val="1"/>
          <w:bCs w:val="1"/>
          <w:color w:val="auto"/>
        </w:rPr>
        <w:t>‎</w:t>
      </w:r>
      <w:r>
        <w:rPr>
          <w:rFonts w:ascii="Arial" w:cs="Arial" w:eastAsia="Arial" w:hAnsi="Arial"/>
          <w:sz w:val="16"/>
          <w:szCs w:val="16"/>
          <w:color w:val="auto"/>
        </w:rPr>
        <w:t>1(f) or to make changes or supplements necessary or desirable to properly give effect to such limitation. The limitation contained in this paragraph may not be waived and shall apply to a successor holder of this Warrant. Notwithstanding anything to the contrary contained herein, the Holder and the Company agree that the total number of shares of Common Stock issuable pursuant to the terms of this Warrant and the other warrants issued in connection with the Third Amendment (together with this Warrant, the “</w:t>
      </w:r>
      <w:r>
        <w:rPr>
          <w:rFonts w:ascii="Arial" w:cs="Arial" w:eastAsia="Arial" w:hAnsi="Arial"/>
          <w:sz w:val="16"/>
          <w:szCs w:val="16"/>
          <w:b w:val="1"/>
          <w:bCs w:val="1"/>
          <w:color w:val="auto"/>
        </w:rPr>
        <w:t>Third Amendment Warrants</w:t>
      </w:r>
      <w:r>
        <w:rPr>
          <w:rFonts w:ascii="Arial" w:cs="Arial" w:eastAsia="Arial" w:hAnsi="Arial"/>
          <w:sz w:val="16"/>
          <w:szCs w:val="16"/>
          <w:color w:val="auto"/>
        </w:rPr>
        <w:t>”), together with the total number of shares of Common Stock issued pursuant to Section 4.11 of the stock purchase agreement, dated October 10, 2023 (the “</w:t>
      </w:r>
      <w:r>
        <w:rPr>
          <w:rFonts w:ascii="Arial" w:cs="Arial" w:eastAsia="Arial" w:hAnsi="Arial"/>
          <w:sz w:val="16"/>
          <w:szCs w:val="16"/>
          <w:b w:val="1"/>
          <w:bCs w:val="1"/>
          <w:color w:val="auto"/>
        </w:rPr>
        <w:t>Cleveland Avenue Purchase Agreement</w:t>
      </w:r>
      <w:r>
        <w:rPr>
          <w:rFonts w:ascii="Arial" w:cs="Arial" w:eastAsia="Arial" w:hAnsi="Arial"/>
          <w:sz w:val="16"/>
          <w:szCs w:val="16"/>
          <w:color w:val="auto"/>
        </w:rPr>
        <w:t>”), by and between the Company and Presto CA LLC (“</w:t>
      </w:r>
      <w:r>
        <w:rPr>
          <w:rFonts w:ascii="Arial" w:cs="Arial" w:eastAsia="Arial" w:hAnsi="Arial"/>
          <w:sz w:val="16"/>
          <w:szCs w:val="16"/>
          <w:b w:val="1"/>
          <w:bCs w:val="1"/>
          <w:color w:val="auto"/>
        </w:rPr>
        <w:t>Cleveland Avenue</w:t>
      </w:r>
      <w:r>
        <w:rPr>
          <w:rFonts w:ascii="Arial" w:cs="Arial" w:eastAsia="Arial" w:hAnsi="Arial"/>
          <w:sz w:val="16"/>
          <w:szCs w:val="16"/>
          <w:color w:val="auto"/>
        </w:rPr>
        <w:t>”), may not exceed the requirements of Nasdaq Listing Rule 5635(d) (“</w:t>
      </w:r>
      <w:r>
        <w:rPr>
          <w:rFonts w:ascii="Arial" w:cs="Arial" w:eastAsia="Arial" w:hAnsi="Arial"/>
          <w:sz w:val="16"/>
          <w:szCs w:val="16"/>
          <w:b w:val="1"/>
          <w:bCs w:val="1"/>
          <w:color w:val="auto"/>
        </w:rPr>
        <w:t>Nasdaq</w:t>
      </w:r>
      <w:r>
        <w:rPr>
          <w:rFonts w:ascii="Arial" w:cs="Arial" w:eastAsia="Arial" w:hAnsi="Arial"/>
          <w:sz w:val="16"/>
          <w:szCs w:val="16"/>
          <w:color w:val="auto"/>
        </w:rPr>
        <w:t xml:space="preserve"> </w:t>
      </w:r>
      <w:r>
        <w:rPr>
          <w:rFonts w:ascii="Arial" w:cs="Arial" w:eastAsia="Arial" w:hAnsi="Arial"/>
          <w:sz w:val="16"/>
          <w:szCs w:val="16"/>
          <w:b w:val="1"/>
          <w:bCs w:val="1"/>
          <w:color w:val="auto"/>
        </w:rPr>
        <w:t>19.99% Cap</w:t>
      </w:r>
      <w:r>
        <w:rPr>
          <w:rFonts w:ascii="Arial" w:cs="Arial" w:eastAsia="Arial" w:hAnsi="Arial"/>
          <w:sz w:val="16"/>
          <w:szCs w:val="16"/>
          <w:color w:val="auto"/>
        </w:rPr>
        <w:t>”), except that such limitation will not apply following Approval (defined below). If the aggregate number of shares of Common Stock issued</w:t>
      </w:r>
      <w:r>
        <w:rPr>
          <w:rFonts w:ascii="Arial" w:cs="Arial" w:eastAsia="Arial" w:hAnsi="Arial"/>
          <w:sz w:val="16"/>
          <w:szCs w:val="16"/>
          <w:b w:val="1"/>
          <w:bCs w:val="1"/>
          <w:color w:val="auto"/>
        </w:rPr>
        <w:t xml:space="preserve"> </w:t>
      </w:r>
      <w:r>
        <w:rPr>
          <w:rFonts w:ascii="Arial" w:cs="Arial" w:eastAsia="Arial" w:hAnsi="Arial"/>
          <w:sz w:val="16"/>
          <w:szCs w:val="16"/>
          <w:color w:val="auto"/>
        </w:rPr>
        <w:t>to the holders of the Third Amendment Warrants and Cleveland Avenue reaches the Nasdaq 19.99% Cap, so as not to violate the 20% limit established in Listing Rule 5635(d), the Company shall as soon as reasonably practicable take all action necessary to obtain stockholder approval of the issuance of additional shares of Common Stock issuable upon the exercise of the Third Amendment Warrants and pursuant to the terms of the Cleveland Avenue Purchase Agreement, if necessary, in accordance with the requirements of Nasdaq Listing Rule 5635(d) (the “</w:t>
      </w:r>
      <w:r>
        <w:rPr>
          <w:rFonts w:ascii="Arial" w:cs="Arial" w:eastAsia="Arial" w:hAnsi="Arial"/>
          <w:sz w:val="16"/>
          <w:szCs w:val="16"/>
          <w:b w:val="1"/>
          <w:bCs w:val="1"/>
          <w:color w:val="auto"/>
        </w:rPr>
        <w:t>Approval</w:t>
      </w:r>
      <w:r>
        <w:rPr>
          <w:rFonts w:ascii="Arial" w:cs="Arial" w:eastAsia="Arial" w:hAnsi="Arial"/>
          <w:sz w:val="16"/>
          <w:szCs w:val="16"/>
          <w:color w:val="auto"/>
        </w:rPr>
        <w:t>”). Without limiting the generality of the foregoing sentence, as soon as reasonably practicable after the date of the application of the Nasdaq 19.99% Cap, but in no event later than seventy-five (75) days after such occurrence, the Company shall hold a meeting of its stockholders to seek the Approval. In connection with such meeting, the Company shall provide each stockholder with a proxy statement and shall use its reasonable best efforts to solicit the Approval and to cause its board of directors to recommend to the stockholders that they provide the Approval. Until Approval is obtained, (i) increases to the Warrant Shares pursuant to Section 2(b) hereof and (ii) issuances of Common Stock pursuant to Section 4.11 of the Cleveland Avenue Purchase Agreement shall be made between</w:t>
      </w:r>
    </w:p>
    <w:p>
      <w:pPr>
        <w:spacing w:after="0" w:line="22" w:lineRule="exact"/>
        <w:rPr>
          <w:rFonts w:ascii="Arial" w:cs="Arial" w:eastAsia="Arial" w:hAnsi="Arial"/>
          <w:sz w:val="16"/>
          <w:szCs w:val="16"/>
          <w:color w:val="auto"/>
        </w:rPr>
      </w:pPr>
    </w:p>
    <w:p>
      <w:pPr>
        <w:jc w:val="both"/>
        <w:ind w:firstLine="8"/>
        <w:spacing w:after="0" w:line="295" w:lineRule="auto"/>
        <w:tabs>
          <w:tab w:leader="none" w:pos="256" w:val="left"/>
        </w:tabs>
        <w:numPr>
          <w:ilvl w:val="0"/>
          <w:numId w:val="172"/>
        </w:numPr>
        <w:rPr>
          <w:rFonts w:ascii="Arial" w:cs="Arial" w:eastAsia="Arial" w:hAnsi="Arial"/>
          <w:sz w:val="16"/>
          <w:szCs w:val="16"/>
          <w:color w:val="auto"/>
        </w:rPr>
      </w:pPr>
      <w:r>
        <w:rPr>
          <w:rFonts w:ascii="Arial" w:cs="Arial" w:eastAsia="Arial" w:hAnsi="Arial"/>
          <w:sz w:val="16"/>
          <w:szCs w:val="16"/>
          <w:color w:val="auto"/>
        </w:rPr>
        <w:t>the holders of the Third Amendment Warrants, and (y) Cleveland Avenue as nearly as possible on a pro rata basis based on the total amount of shares of Common Stock issued or issuable to such party (i.e. at any given time, the amount of Third Amendment Warrants (without regard to the Maximum Percentage limitation herein, but subject to the Nasdaq 19.99% Cap) which may be exercised is equal to two (2) times the sum of (i) the shares of Common Stock originally issued pursuant to the Cleveland Avenue Purchase Agreement and (ii) the shares issued pursuant to Section 4.11 thereof).</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3" w:name="page194"/>
    <w:bookmarkEnd w:id="193"/>
    <w:p>
      <w:pPr>
        <w:jc w:val="both"/>
        <w:ind w:firstLine="1952"/>
        <w:spacing w:after="0" w:line="285" w:lineRule="auto"/>
        <w:tabs>
          <w:tab w:leader="none" w:pos="2199" w:val="left"/>
        </w:tabs>
        <w:numPr>
          <w:ilvl w:val="1"/>
          <w:numId w:val="173"/>
        </w:numPr>
        <w:rPr>
          <w:rFonts w:ascii="Arial" w:cs="Arial" w:eastAsia="Arial" w:hAnsi="Arial"/>
          <w:sz w:val="16"/>
          <w:szCs w:val="16"/>
          <w:color w:val="auto"/>
        </w:rPr>
      </w:pPr>
      <w:r>
        <w:rPr>
          <w:rFonts w:ascii="Arial" w:cs="Arial" w:eastAsia="Arial" w:hAnsi="Arial"/>
          <w:sz w:val="16"/>
          <w:szCs w:val="16"/>
          <w:u w:val="single" w:color="auto"/>
          <w:color w:val="auto"/>
        </w:rPr>
        <w:t>Insufficient Authorized Shares</w:t>
      </w:r>
      <w:r>
        <w:rPr>
          <w:rFonts w:ascii="Arial" w:cs="Arial" w:eastAsia="Arial" w:hAnsi="Arial"/>
          <w:sz w:val="16"/>
          <w:szCs w:val="16"/>
          <w:color w:val="auto"/>
        </w:rPr>
        <w:t>. If at any time while this Warrant remains outstanding the Company does not have a sufficient number of authorized and unreserved shares of Common Stock to satisfy its obligation to reserve for issuance upon exercise of this Warrant at least a number of shares of Common Stock equal to the number of shares of Common Stock as shall from time to time be necessary to effect the exercise of all of this Warrant then outstanding (the “</w:t>
      </w:r>
      <w:r>
        <w:rPr>
          <w:rFonts w:ascii="Arial" w:cs="Arial" w:eastAsia="Arial" w:hAnsi="Arial"/>
          <w:sz w:val="16"/>
          <w:szCs w:val="16"/>
          <w:b w:val="1"/>
          <w:bCs w:val="1"/>
          <w:color w:val="auto"/>
        </w:rPr>
        <w:t>Required Reserve Amount</w:t>
      </w:r>
      <w:r>
        <w:rPr>
          <w:rFonts w:ascii="Arial" w:cs="Arial" w:eastAsia="Arial" w:hAnsi="Arial"/>
          <w:sz w:val="16"/>
          <w:szCs w:val="16"/>
          <w:color w:val="auto"/>
        </w:rPr>
        <w:t>” and the failure to have such sufficient number of authorized and unreserved shares of Common Stock, an “</w:t>
      </w:r>
      <w:r>
        <w:rPr>
          <w:rFonts w:ascii="Arial" w:cs="Arial" w:eastAsia="Arial" w:hAnsi="Arial"/>
          <w:sz w:val="16"/>
          <w:szCs w:val="16"/>
          <w:b w:val="1"/>
          <w:bCs w:val="1"/>
          <w:color w:val="auto"/>
        </w:rPr>
        <w:t>Authorized Share Failure</w:t>
      </w:r>
      <w:r>
        <w:rPr>
          <w:rFonts w:ascii="Arial" w:cs="Arial" w:eastAsia="Arial" w:hAnsi="Arial"/>
          <w:sz w:val="16"/>
          <w:szCs w:val="16"/>
          <w:color w:val="auto"/>
        </w:rPr>
        <w:t>”), then the Company shall as soon as reasonably practicable take all action necessary to increase the Company’s authorized shares of Common Stock to an amount sufficient to allow the Company to reserve the Required Reserve Amount for this Warrant then outstanding. Without limiting the generality of the foregoing sentence, as soon as reasonably practicable after the date of the occurrence of an Authorized Share Failure, but in no event later than seventy-five (75) days after the occurrence of such Authorized Share Failure, the Company shall hold a meeting of its stockholders for the approval of an increase in the number of authorized shares of Common Stock. In connection with such meeting, the Company shall provide each stockholder with a proxy statement and shall use its reasonable best efforts to solicit its stockholders’ approval of such increase in authorized shares of Common Stock and to cause its board of directors to recommend to the stockholders that they approve such proposal. In the event that the Company is prohibited from issuing shares of Common Stock upon an exercise of this Warrant due to the failure by the Company to have sufficient shares of Common Stock available out of the authorized but unissued shares of Common Stock (such unavailable number of shares of Common Stock, the “</w:t>
      </w:r>
      <w:r>
        <w:rPr>
          <w:rFonts w:ascii="Arial" w:cs="Arial" w:eastAsia="Arial" w:hAnsi="Arial"/>
          <w:sz w:val="16"/>
          <w:szCs w:val="16"/>
          <w:b w:val="1"/>
          <w:bCs w:val="1"/>
          <w:color w:val="auto"/>
        </w:rPr>
        <w:t>Authorization Failure Shares</w:t>
      </w:r>
      <w:r>
        <w:rPr>
          <w:rFonts w:ascii="Arial" w:cs="Arial" w:eastAsia="Arial" w:hAnsi="Arial"/>
          <w:sz w:val="16"/>
          <w:szCs w:val="16"/>
          <w:color w:val="auto"/>
        </w:rPr>
        <w:t xml:space="preserve">”), in lieu of delivering such Authorization Failure Shares to the Holder, the Company shall pay cash in exchange for the cancellation of such portion of this Warrant exercisable into such Authorization Failure Shares at a price equal to the sum of (i) the product of (x) such number of Authorization Failure Shares and (y) the Closing Sale Price of the Common Stock on the date the Holder delivers the applicable Exercise Notice with respect to such Authorization Failure Shares to the Company; and (ii) to the extent the Holder purchases (in an open market transaction or otherwise) shares of Common Stock to deliver in satisfaction of a sale by the Holder of Authorization Failure Shares, any Buy-In Payment Amount, brokerage commissions and other out-of-pocket expenses, if any, of the Holder incurred in connection therewith. Nothing contained in this Section </w:t>
      </w:r>
      <w:r>
        <w:rPr>
          <w:rFonts w:ascii="Arial" w:cs="Arial" w:eastAsia="Arial" w:hAnsi="Arial"/>
          <w:sz w:val="19"/>
          <w:szCs w:val="19"/>
          <w:b w:val="1"/>
          <w:bCs w:val="1"/>
          <w:color w:val="auto"/>
        </w:rPr>
        <w:t>‎</w:t>
      </w:r>
      <w:r>
        <w:rPr>
          <w:rFonts w:ascii="Arial" w:cs="Arial" w:eastAsia="Arial" w:hAnsi="Arial"/>
          <w:sz w:val="16"/>
          <w:szCs w:val="16"/>
          <w:color w:val="auto"/>
        </w:rPr>
        <w:t>1(g) shall limit any obligations of the Company under any provision of the Credit Agreement.</w:t>
      </w:r>
    </w:p>
    <w:p>
      <w:pPr>
        <w:spacing w:after="0" w:line="152" w:lineRule="exact"/>
        <w:rPr>
          <w:rFonts w:ascii="Arial" w:cs="Arial" w:eastAsia="Arial" w:hAnsi="Arial"/>
          <w:sz w:val="16"/>
          <w:szCs w:val="16"/>
          <w:color w:val="auto"/>
        </w:rPr>
      </w:pPr>
    </w:p>
    <w:p>
      <w:pPr>
        <w:ind w:firstLine="1304"/>
        <w:spacing w:after="0" w:line="277" w:lineRule="auto"/>
        <w:tabs>
          <w:tab w:leader="none" w:pos="1476" w:val="left"/>
        </w:tabs>
        <w:numPr>
          <w:ilvl w:val="0"/>
          <w:numId w:val="174"/>
        </w:numPr>
        <w:rPr>
          <w:rFonts w:ascii="Arial" w:cs="Arial" w:eastAsia="Arial" w:hAnsi="Arial"/>
          <w:sz w:val="18"/>
          <w:szCs w:val="18"/>
          <w:color w:val="auto"/>
        </w:rPr>
      </w:pPr>
      <w:r>
        <w:rPr>
          <w:rFonts w:ascii="Arial" w:cs="Arial" w:eastAsia="Arial" w:hAnsi="Arial"/>
          <w:sz w:val="18"/>
          <w:szCs w:val="18"/>
          <w:u w:val="single" w:color="auto"/>
          <w:color w:val="auto"/>
        </w:rPr>
        <w:t>ADJUSTMENT OF EXERCISE PRICE AND NUMBER OF WARRANT SHARES</w:t>
      </w:r>
      <w:r>
        <w:rPr>
          <w:rFonts w:ascii="Arial" w:cs="Arial" w:eastAsia="Arial" w:hAnsi="Arial"/>
          <w:sz w:val="18"/>
          <w:szCs w:val="18"/>
          <w:color w:val="auto"/>
        </w:rPr>
        <w:t>. The Exercise Price and the number of Warrant Shares issuable upon exercise of this Warrant are subject to adjustments from time to time as set forth in this Section 2.</w:t>
      </w:r>
    </w:p>
    <w:p>
      <w:pPr>
        <w:spacing w:after="0" w:line="170" w:lineRule="exact"/>
        <w:rPr>
          <w:rFonts w:ascii="Arial" w:cs="Arial" w:eastAsia="Arial" w:hAnsi="Arial"/>
          <w:sz w:val="18"/>
          <w:szCs w:val="18"/>
          <w:color w:val="auto"/>
        </w:rPr>
      </w:pPr>
    </w:p>
    <w:p>
      <w:pPr>
        <w:jc w:val="both"/>
        <w:ind w:firstLine="1952"/>
        <w:spacing w:after="0" w:line="269" w:lineRule="auto"/>
        <w:tabs>
          <w:tab w:leader="none" w:pos="2202" w:val="left"/>
        </w:tabs>
        <w:numPr>
          <w:ilvl w:val="1"/>
          <w:numId w:val="174"/>
        </w:numPr>
        <w:rPr>
          <w:rFonts w:ascii="Arial" w:cs="Arial" w:eastAsia="Arial" w:hAnsi="Arial"/>
          <w:sz w:val="17"/>
          <w:szCs w:val="17"/>
          <w:color w:val="auto"/>
        </w:rPr>
      </w:pPr>
      <w:r>
        <w:rPr>
          <w:rFonts w:ascii="Arial" w:cs="Arial" w:eastAsia="Arial" w:hAnsi="Arial"/>
          <w:sz w:val="17"/>
          <w:szCs w:val="17"/>
          <w:u w:val="single" w:color="auto"/>
          <w:color w:val="auto"/>
        </w:rPr>
        <w:t>Adjustment Upon Subdivision or Combination of Shares of Common Stock</w:t>
      </w:r>
      <w:r>
        <w:rPr>
          <w:rFonts w:ascii="Arial" w:cs="Arial" w:eastAsia="Arial" w:hAnsi="Arial"/>
          <w:sz w:val="17"/>
          <w:szCs w:val="17"/>
          <w:color w:val="auto"/>
        </w:rPr>
        <w:t>. If the Company at any time on or after the Issuance Date subdivides (by any stock split, stock dividend, recapitalization or otherwise) one or more classes of its outstanding shares of Common Stock into a greater number of shares, the Exercise Price in effect immediately prior to such subdivision will be proportionately reduced and the number of Warrant Shares will be proportionately increased, so that after such adjustment the aggregate Exercise Price payable hereunder for the adjusted number of Warrant Shares shall be the same as the aggregate Exercise Price in effect immediately prior to such adjustment (without regard to any limitations on exercise contained herein). If the Company at any time on or after the Issuance Date combines (by combination, reverse stock split or otherwise) one or more classes of its outstanding shares of Common Stock into a smaller number of shares, the Exercise Price in effect immediately prior to such combination will be proportionately increased and the number of Warrant Shares will be proportionately decreased, so that after such adjustment the aggregate Exercise Price payable hereunder for the adjusted number of Warrant Shares shall be the same as the aggregate Exercise Price in effect immediately prior to such adjustment (without regard to any limitations on exercise contained herein). Any adjustment under this Section 2(a) shall become effective at the close of business on the date the subdivision or combination becomes effective. Corresponding adjustments shall be made to the Applicable Price (as defined below).</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4" w:name="page195"/>
    <w:bookmarkEnd w:id="194"/>
    <w:p>
      <w:pPr>
        <w:jc w:val="both"/>
        <w:ind w:firstLine="1952"/>
        <w:spacing w:after="0" w:line="254" w:lineRule="auto"/>
        <w:tabs>
          <w:tab w:leader="none" w:pos="2199" w:val="left"/>
        </w:tabs>
        <w:numPr>
          <w:ilvl w:val="0"/>
          <w:numId w:val="175"/>
        </w:numPr>
        <w:rPr>
          <w:rFonts w:ascii="Arial" w:cs="Arial" w:eastAsia="Arial" w:hAnsi="Arial"/>
          <w:sz w:val="18"/>
          <w:szCs w:val="18"/>
          <w:color w:val="auto"/>
        </w:rPr>
      </w:pPr>
      <w:r>
        <w:rPr>
          <w:rFonts w:ascii="Arial" w:cs="Arial" w:eastAsia="Arial" w:hAnsi="Arial"/>
          <w:sz w:val="18"/>
          <w:szCs w:val="18"/>
          <w:u w:val="single" w:color="auto"/>
          <w:color w:val="auto"/>
        </w:rPr>
        <w:t>Adjustment Upon Issuance of Shares of Common Stock</w:t>
      </w:r>
      <w:r>
        <w:rPr>
          <w:rFonts w:ascii="Arial" w:cs="Arial" w:eastAsia="Arial" w:hAnsi="Arial"/>
          <w:sz w:val="18"/>
          <w:szCs w:val="18"/>
          <w:color w:val="auto"/>
        </w:rPr>
        <w:t>. If and whenever on or after the Issuance Date but prior to April 1, 2024 (the “</w:t>
      </w:r>
      <w:r>
        <w:rPr>
          <w:rFonts w:ascii="Arial" w:cs="Arial" w:eastAsia="Arial" w:hAnsi="Arial"/>
          <w:sz w:val="18"/>
          <w:szCs w:val="18"/>
          <w:b w:val="1"/>
          <w:bCs w:val="1"/>
          <w:color w:val="auto"/>
        </w:rPr>
        <w:t>Anti-Dilution Period</w:t>
      </w:r>
      <w:r>
        <w:rPr>
          <w:rFonts w:ascii="Arial" w:cs="Arial" w:eastAsia="Arial" w:hAnsi="Arial"/>
          <w:sz w:val="18"/>
          <w:szCs w:val="18"/>
          <w:color w:val="auto"/>
        </w:rPr>
        <w:t>”), the Company issues or sells, or in accordance with this Section 2 is deemed to have issued or sold, any shares of Common Stock (including the issuance or sale of shares of Common Stock owned or held by or for the account of the Company, but excluding Excluded Securities) for a consideration per share (the “</w:t>
      </w:r>
      <w:r>
        <w:rPr>
          <w:rFonts w:ascii="Arial" w:cs="Arial" w:eastAsia="Arial" w:hAnsi="Arial"/>
          <w:sz w:val="18"/>
          <w:szCs w:val="18"/>
          <w:b w:val="1"/>
          <w:bCs w:val="1"/>
          <w:color w:val="auto"/>
        </w:rPr>
        <w:t>New Issuance Price</w:t>
      </w:r>
      <w:r>
        <w:rPr>
          <w:rFonts w:ascii="Arial" w:cs="Arial" w:eastAsia="Arial" w:hAnsi="Arial"/>
          <w:sz w:val="18"/>
          <w:szCs w:val="18"/>
          <w:color w:val="auto"/>
        </w:rPr>
        <w:t>”) less than $2.00 per share (the “</w:t>
      </w:r>
      <w:r>
        <w:rPr>
          <w:rFonts w:ascii="Arial" w:cs="Arial" w:eastAsia="Arial" w:hAnsi="Arial"/>
          <w:sz w:val="18"/>
          <w:szCs w:val="18"/>
          <w:b w:val="1"/>
          <w:bCs w:val="1"/>
          <w:color w:val="auto"/>
        </w:rPr>
        <w:t>Applicable Price</w:t>
      </w:r>
      <w:r>
        <w:rPr>
          <w:rFonts w:ascii="Arial" w:cs="Arial" w:eastAsia="Arial" w:hAnsi="Arial"/>
          <w:sz w:val="18"/>
          <w:szCs w:val="18"/>
          <w:color w:val="auto"/>
        </w:rPr>
        <w:t>”, and the foregoing a “</w:t>
      </w:r>
      <w:r>
        <w:rPr>
          <w:rFonts w:ascii="Arial" w:cs="Arial" w:eastAsia="Arial" w:hAnsi="Arial"/>
          <w:sz w:val="18"/>
          <w:szCs w:val="18"/>
          <w:b w:val="1"/>
          <w:bCs w:val="1"/>
          <w:color w:val="auto"/>
        </w:rPr>
        <w:t>Dilutive</w:t>
      </w:r>
      <w:r>
        <w:rPr>
          <w:rFonts w:ascii="Arial" w:cs="Arial" w:eastAsia="Arial" w:hAnsi="Arial"/>
          <w:sz w:val="18"/>
          <w:szCs w:val="18"/>
          <w:color w:val="auto"/>
        </w:rPr>
        <w:t xml:space="preserve"> </w:t>
      </w:r>
      <w:r>
        <w:rPr>
          <w:rFonts w:ascii="Arial" w:cs="Arial" w:eastAsia="Arial" w:hAnsi="Arial"/>
          <w:sz w:val="18"/>
          <w:szCs w:val="18"/>
          <w:b w:val="1"/>
          <w:bCs w:val="1"/>
          <w:color w:val="auto"/>
        </w:rPr>
        <w:t>Issuance</w:t>
      </w:r>
      <w:r>
        <w:rPr>
          <w:rFonts w:ascii="Arial" w:cs="Arial" w:eastAsia="Arial" w:hAnsi="Arial"/>
          <w:sz w:val="18"/>
          <w:szCs w:val="18"/>
          <w:color w:val="auto"/>
        </w:rPr>
        <w:t>”), then immediately after such Dilutive Issuance, the number of Warrant Shares shall be increased to an amount equal to (x) the number of</w:t>
      </w:r>
      <w:r>
        <w:rPr>
          <w:rFonts w:ascii="Arial" w:cs="Arial" w:eastAsia="Arial" w:hAnsi="Arial"/>
          <w:sz w:val="18"/>
          <w:szCs w:val="18"/>
          <w:b w:val="1"/>
          <w:bCs w:val="1"/>
          <w:color w:val="auto"/>
        </w:rPr>
        <w:t xml:space="preserve"> </w:t>
      </w:r>
      <w:r>
        <w:rPr>
          <w:rFonts w:ascii="Arial" w:cs="Arial" w:eastAsia="Arial" w:hAnsi="Arial"/>
          <w:sz w:val="18"/>
          <w:szCs w:val="18"/>
          <w:color w:val="auto"/>
        </w:rPr>
        <w:t>Warrant Shares prior to such Dilutive Issuance, multiplied by (y) the quotient of the Applicable Price divided by the New Issuance Price. For all purposes of the foregoing (including, without limitation, determining the adjusted number of Warrant Shares and the New Issuance Price under this Section 2(b)), the following shall be applicable:</w:t>
      </w:r>
    </w:p>
    <w:p>
      <w:pPr>
        <w:spacing w:after="0" w:line="191" w:lineRule="exact"/>
        <w:rPr>
          <w:rFonts w:ascii="Arial" w:cs="Arial" w:eastAsia="Arial" w:hAnsi="Arial"/>
          <w:sz w:val="18"/>
          <w:szCs w:val="18"/>
          <w:color w:val="auto"/>
        </w:rPr>
      </w:pPr>
    </w:p>
    <w:p>
      <w:pPr>
        <w:jc w:val="both"/>
        <w:ind w:firstLine="2600"/>
        <w:spacing w:after="0" w:line="267" w:lineRule="auto"/>
        <w:tabs>
          <w:tab w:leader="none" w:pos="2807" w:val="left"/>
        </w:tabs>
        <w:numPr>
          <w:ilvl w:val="1"/>
          <w:numId w:val="175"/>
        </w:numPr>
        <w:rPr>
          <w:rFonts w:ascii="Arial" w:cs="Arial" w:eastAsia="Arial" w:hAnsi="Arial"/>
          <w:sz w:val="17"/>
          <w:szCs w:val="17"/>
          <w:color w:val="auto"/>
        </w:rPr>
      </w:pPr>
      <w:r>
        <w:rPr>
          <w:rFonts w:ascii="Arial" w:cs="Arial" w:eastAsia="Arial" w:hAnsi="Arial"/>
          <w:sz w:val="17"/>
          <w:szCs w:val="17"/>
          <w:u w:val="single" w:color="auto"/>
          <w:color w:val="auto"/>
        </w:rPr>
        <w:t>Issuance of Options</w:t>
      </w:r>
      <w:r>
        <w:rPr>
          <w:rFonts w:ascii="Arial" w:cs="Arial" w:eastAsia="Arial" w:hAnsi="Arial"/>
          <w:sz w:val="17"/>
          <w:szCs w:val="17"/>
          <w:color w:val="auto"/>
        </w:rPr>
        <w:t>. If, during the Anti-Dilution Period, the Company in any manner grants or sells any Options and the lowest price per share for which one share of Common Stock is at any time issuable upon the exercise of any such Option or upon conversion, exercise or exchange of any Convertible Securities issuable upon exercise of any such Option or otherwise pursuant to the terms thereof is less than the Applicable Price, then such share of Common Stock shall be deemed to be outstanding and to have been issued and sold by the Company at the time of the granting or sale of such Option for such price per share. For purposes of this Section 2(b)(i), the “lowest price per share for which one share of Common Stock is at any time issuable upon the exercise of any such Options or upon conversion, exercise or exchange of any Convertible Securities issuable upon exercise of any such Option or otherwise pursuant to the terms thereof” shall be equal to (1) the lower of (x) the sum of the lowest amounts of consideration (if any) received or receivable by the Company with respect to any one share of Common Stock upon the granting or sale of such Option, upon exercise of such Option and upon conversion, exercise or exchange of any Convertible Security issuable upon exercise of such Option or otherwise pursuant to the terms thereof and (y) the lowest exercise price set forth in such Option for which one share of Common Stock is issuable (or may become issuable assuming all possible market conditions) upon the exercise of any such Options or upon conversion, exercise or exchange of any Convertible Securities issuable upon exercise of any such Option or otherwise pursuant to the terms thereof minus (2) the sum of all amounts paid or payable to the holder of such Option (or any other Person) upon the granting or sale of such Option, upon exercise of such Option and upon conversion, exercise or exchange of any Convertible Security issuable upon exercise of such Option or otherwise pursuant to the terms thereof plus the value of any other consideration received or receivable by, or benefit conferred on, the holder of such Option (or any other Person). Except as contemplated below, no further increase in the Warrant Shares shall be made upon the actual issuance of such shares of Common Stock or of such Convertible Securities upon the exercise of such Options or otherwise pursuant to the terms of or upon the actual issuance of such shares of Common Stock upon conversion, exercise or exchange of such Convertible Securities.</w:t>
      </w:r>
    </w:p>
    <w:p>
      <w:pPr>
        <w:spacing w:after="0" w:line="189" w:lineRule="exact"/>
        <w:rPr>
          <w:rFonts w:ascii="Arial" w:cs="Arial" w:eastAsia="Arial" w:hAnsi="Arial"/>
          <w:sz w:val="17"/>
          <w:szCs w:val="17"/>
          <w:color w:val="auto"/>
        </w:rPr>
      </w:pPr>
    </w:p>
    <w:p>
      <w:pPr>
        <w:jc w:val="both"/>
        <w:ind w:firstLine="2600"/>
        <w:spacing w:after="0" w:line="285" w:lineRule="auto"/>
        <w:tabs>
          <w:tab w:leader="none" w:pos="2857" w:val="left"/>
        </w:tabs>
        <w:numPr>
          <w:ilvl w:val="1"/>
          <w:numId w:val="175"/>
        </w:numPr>
        <w:rPr>
          <w:rFonts w:ascii="Arial" w:cs="Arial" w:eastAsia="Arial" w:hAnsi="Arial"/>
          <w:sz w:val="16"/>
          <w:szCs w:val="16"/>
          <w:color w:val="auto"/>
        </w:rPr>
      </w:pPr>
      <w:r>
        <w:rPr>
          <w:rFonts w:ascii="Arial" w:cs="Arial" w:eastAsia="Arial" w:hAnsi="Arial"/>
          <w:sz w:val="16"/>
          <w:szCs w:val="16"/>
          <w:u w:val="single" w:color="auto"/>
          <w:color w:val="auto"/>
        </w:rPr>
        <w:t>Issuance of Convertible Securities</w:t>
      </w:r>
      <w:r>
        <w:rPr>
          <w:rFonts w:ascii="Arial" w:cs="Arial" w:eastAsia="Arial" w:hAnsi="Arial"/>
          <w:sz w:val="16"/>
          <w:szCs w:val="16"/>
          <w:color w:val="auto"/>
        </w:rPr>
        <w:t>. If, during the Anti-Dilution Period, the Company in any manner issues or sells any Convertible Securities and the lowest price per share for which one share of Common Stock is at any time issuable upon the conversion, exercise or exchange thereof or otherwise pursuant to the terms thereof is less than the Applicable Price, then such share of Common Stock shall be deemed to be outstanding and to have been issued and sold by the Company at the time of the issuance or sale of such Convertible Securities for such price per share. For the purposes of this Section 2(b)(ii), the “lowest price per share for which one share of Common Stock is at any time issuable upon the conversion, exercise or exchange thereof or otherwise pursuant to the terms thereof” shall be equal to (1) the lower of (x) the sum of the lowest amounts of consideration (if any) received or receivable by the Company with respect to one share of Common Stock upon the issuance or sale of the Convertible Security and upon conversion, exercise or exchange of such Convertible Security or otherwise pursuant to the terms thereof and (y) the lowest conversion price set forth in such Convertible Security for which one share of Common Stock is issuable (or may become issuable assuming all possible market conditions) upon conversion, exercise or exchange thereof or otherwise pursuant to the terms thereof minus (2) the sum of all amounts paid or payable to the holder of such Convertible Security (or any other Person) upon the issuance or sale of such Convertible Security plus the value of any other consideration received or receivable by, or benefit conferred on, the holder of such Convertible Security (or any other Person). Except as contemplated below, no further increase of the Warrant Shares shall be made upon the actual issuance of such shares of Common Stock upon conversion, exercise or exchange of such Convertible Securities or otherwise pursuant to the terms thereof, and if any such issuance or sale of such Convertible Securities is made upon exercise of any Options for which adjustment of this Warrant has been or is to be made pursuant to other provisions of this Section 2(b), except as contemplated below, no further increase of the Warrant Shares shall be made by reason of such issuance or sale.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5" w:name="page196"/>
    <w:bookmarkEnd w:id="195"/>
    <w:p>
      <w:pPr>
        <w:jc w:val="both"/>
        <w:ind w:firstLine="2600"/>
        <w:spacing w:after="0" w:line="269" w:lineRule="auto"/>
        <w:tabs>
          <w:tab w:leader="none" w:pos="2907" w:val="left"/>
        </w:tabs>
        <w:numPr>
          <w:ilvl w:val="1"/>
          <w:numId w:val="176"/>
        </w:numPr>
        <w:rPr>
          <w:rFonts w:ascii="Arial" w:cs="Arial" w:eastAsia="Arial" w:hAnsi="Arial"/>
          <w:sz w:val="17"/>
          <w:szCs w:val="17"/>
          <w:color w:val="auto"/>
        </w:rPr>
      </w:pPr>
      <w:r>
        <w:rPr>
          <w:rFonts w:ascii="Arial" w:cs="Arial" w:eastAsia="Arial" w:hAnsi="Arial"/>
          <w:sz w:val="17"/>
          <w:szCs w:val="17"/>
          <w:u w:val="single" w:color="auto"/>
          <w:color w:val="auto"/>
        </w:rPr>
        <w:t>Change in Option Price or Rate of Conversion</w:t>
      </w:r>
      <w:r>
        <w:rPr>
          <w:rFonts w:ascii="Arial" w:cs="Arial" w:eastAsia="Arial" w:hAnsi="Arial"/>
          <w:sz w:val="17"/>
          <w:szCs w:val="17"/>
          <w:color w:val="auto"/>
        </w:rPr>
        <w:t>. If the purchase or exercise price provided for in any Options, the additional consideration, if any, payable upon the issue, conversion, exercise or exchange of any Convertible Securities, or the rate at which any Convertible Securities are convertible into or exercisable or exchangeable for shares of Common Stock increases or decreases at any time (other than proportional changes in conversion or exercise prices, as applicable, in connection with an event referred to in Section 2(b)), the number of Warrant Shares in effect at the time of such increase or decrease shall be increased to the number of Warrant Shares which would have been in effect at such time had such Options or Convertible Securities provided for such increased or decreased purchase price, additional consideration or increased or decreased conversion rate, as the case may be, at the time initially granted, issued or sold. For purposes of this Section 2(b)(iii), if the terms of any Option or Convertible Security that was outstanding as of the Issuance Date are increased or decreased in the manner described in the immediately preceding sentence, then such Option or Convertible Security and the shares of Common Stock deemed issuable upon exercise, conversion or exchange thereof shall be deemed to have been issued as of the date of such increase or decrease. No adjustment pursuant to this Section 2(b) shall be made if such adjustment would result in a decrease of the number of Warrant Shares.</w:t>
      </w:r>
    </w:p>
    <w:p>
      <w:pPr>
        <w:spacing w:after="0" w:line="181" w:lineRule="exact"/>
        <w:rPr>
          <w:rFonts w:ascii="Arial" w:cs="Arial" w:eastAsia="Arial" w:hAnsi="Arial"/>
          <w:sz w:val="17"/>
          <w:szCs w:val="17"/>
          <w:color w:val="auto"/>
        </w:rPr>
      </w:pPr>
    </w:p>
    <w:p>
      <w:pPr>
        <w:jc w:val="both"/>
        <w:ind w:firstLine="2600"/>
        <w:spacing w:after="0" w:line="283" w:lineRule="auto"/>
        <w:tabs>
          <w:tab w:leader="none" w:pos="2924" w:val="left"/>
        </w:tabs>
        <w:numPr>
          <w:ilvl w:val="1"/>
          <w:numId w:val="176"/>
        </w:numPr>
        <w:rPr>
          <w:rFonts w:ascii="Arial" w:cs="Arial" w:eastAsia="Arial" w:hAnsi="Arial"/>
          <w:sz w:val="16"/>
          <w:szCs w:val="16"/>
          <w:color w:val="auto"/>
        </w:rPr>
      </w:pPr>
      <w:r>
        <w:rPr>
          <w:rFonts w:ascii="Arial" w:cs="Arial" w:eastAsia="Arial" w:hAnsi="Arial"/>
          <w:sz w:val="16"/>
          <w:szCs w:val="16"/>
          <w:u w:val="single" w:color="auto"/>
          <w:color w:val="auto"/>
        </w:rPr>
        <w:t>Calculation of Consideration Received</w:t>
      </w:r>
      <w:r>
        <w:rPr>
          <w:rFonts w:ascii="Arial" w:cs="Arial" w:eastAsia="Arial" w:hAnsi="Arial"/>
          <w:sz w:val="16"/>
          <w:szCs w:val="16"/>
          <w:color w:val="auto"/>
        </w:rPr>
        <w:t>. If any Option and/or Convertible Security and/or Adjustment Right is issued in connection with the issuance or sale or deemed issuance or sale of any other securities of the Company (as determined by the Holder, the “</w:t>
      </w:r>
      <w:r>
        <w:rPr>
          <w:rFonts w:ascii="Arial" w:cs="Arial" w:eastAsia="Arial" w:hAnsi="Arial"/>
          <w:sz w:val="16"/>
          <w:szCs w:val="16"/>
          <w:b w:val="1"/>
          <w:bCs w:val="1"/>
          <w:color w:val="auto"/>
        </w:rPr>
        <w:t>Primary Security</w:t>
      </w:r>
      <w:r>
        <w:rPr>
          <w:rFonts w:ascii="Arial" w:cs="Arial" w:eastAsia="Arial" w:hAnsi="Arial"/>
          <w:sz w:val="16"/>
          <w:szCs w:val="16"/>
          <w:color w:val="auto"/>
        </w:rPr>
        <w:t>”, and such Option and/or Convertible Security and/or Adjustment Right, the “</w:t>
      </w:r>
      <w:r>
        <w:rPr>
          <w:rFonts w:ascii="Arial" w:cs="Arial" w:eastAsia="Arial" w:hAnsi="Arial"/>
          <w:sz w:val="16"/>
          <w:szCs w:val="16"/>
          <w:b w:val="1"/>
          <w:bCs w:val="1"/>
          <w:color w:val="auto"/>
        </w:rPr>
        <w:t>Secondary Securities</w:t>
      </w:r>
      <w:r>
        <w:rPr>
          <w:rFonts w:ascii="Arial" w:cs="Arial" w:eastAsia="Arial" w:hAnsi="Arial"/>
          <w:sz w:val="16"/>
          <w:szCs w:val="16"/>
          <w:color w:val="auto"/>
        </w:rPr>
        <w:t>” and together with the Primary Security, each a “</w:t>
      </w:r>
      <w:r>
        <w:rPr>
          <w:rFonts w:ascii="Arial" w:cs="Arial" w:eastAsia="Arial" w:hAnsi="Arial"/>
          <w:sz w:val="16"/>
          <w:szCs w:val="16"/>
          <w:b w:val="1"/>
          <w:bCs w:val="1"/>
          <w:color w:val="auto"/>
        </w:rPr>
        <w:t>Unit</w:t>
      </w:r>
      <w:r>
        <w:rPr>
          <w:rFonts w:ascii="Arial" w:cs="Arial" w:eastAsia="Arial" w:hAnsi="Arial"/>
          <w:sz w:val="16"/>
          <w:szCs w:val="16"/>
          <w:color w:val="auto"/>
        </w:rPr>
        <w:t>”), together comprising one integrated transaction (or one or more transactions if such issuances or sales or deemed issuances or sales of securities of the Company either (A) have at least one investor or purchaser in common, (B) are consummated in reasonable proximity to each other and/or (C) are consummated under the same plan of financing), the aggregate consideration per share of Common Stock with respect to such Primary Security shall be deemed to be the lowest of (x) the purchase price of such Unit, (y) if such Primary Security is an Option and/or Convertible Security, the lowest price per share for which one share of Common Stock is at any time issuable upon the exercise or conversion of the Primary Security in accordance with Section 2(b)(i), 2(b)(ii) or 2(b)(iii) above and (z) the quotient of (I) the sum of the three (3) lowest VWAPs of the Common Stock during the five (5) Trading Day period immediately following the public announcement of such Dilutive Issuance, divided by (II) three (3) (for the avoidance of doubt, if such public announcement is released prior to the opening of the Principal Market on a Trading Day, such Trading Day shall be the first Trading Day in such five</w:t>
      </w:r>
    </w:p>
    <w:p>
      <w:pPr>
        <w:spacing w:after="0" w:line="3" w:lineRule="exact"/>
        <w:rPr>
          <w:rFonts w:ascii="Arial" w:cs="Arial" w:eastAsia="Arial" w:hAnsi="Arial"/>
          <w:sz w:val="16"/>
          <w:szCs w:val="16"/>
          <w:color w:val="auto"/>
        </w:rPr>
      </w:pPr>
    </w:p>
    <w:p>
      <w:pPr>
        <w:jc w:val="both"/>
        <w:ind w:firstLine="8"/>
        <w:spacing w:after="0" w:line="281" w:lineRule="auto"/>
        <w:tabs>
          <w:tab w:leader="none" w:pos="266" w:val="left"/>
        </w:tabs>
        <w:numPr>
          <w:ilvl w:val="0"/>
          <w:numId w:val="177"/>
        </w:numPr>
        <w:rPr>
          <w:rFonts w:ascii="Arial" w:cs="Arial" w:eastAsia="Arial" w:hAnsi="Arial"/>
          <w:sz w:val="16"/>
          <w:szCs w:val="16"/>
          <w:color w:val="auto"/>
        </w:rPr>
      </w:pPr>
      <w:r>
        <w:rPr>
          <w:rFonts w:ascii="Arial" w:cs="Arial" w:eastAsia="Arial" w:hAnsi="Arial"/>
          <w:sz w:val="16"/>
          <w:szCs w:val="16"/>
          <w:color w:val="auto"/>
        </w:rPr>
        <w:t>Trading Day period). If any shares of Common Stock, Options or Convertible Securities are issued or sold or deemed to have been issued or sold for cash, the consideration received therefor will be deemed to be the net amount of consideration received by the Company therefor. If any shares of Common Stock, Options or Convertible Securities are issued or sold for a consideration other than cash, the amount of such consideration received by the Company will be the fair value of such consideration, except where such consideration consists of publicly traded securities, in which case the amount of consideration received by the Company for such securities will be the arithmetic average of the VWAPs of such security for each of the five (5) Trading Days immediately preceding the date of receipt. If any shares of Common Stock, Options or Convertible Securities are issued to the owners of the non-surviving entity in connection with any merger in which the Company is the surviving entity, the amount of consideration therefor will be deemed to be the fair value of such portion of the net assets and business of the non-surviving entity as is attributable to such shares of Common Stock, Options or Convertible Securities (as the case may be). The fair value of any consideration other than cash or publicly traded securities will be determined jointly by the Company and the Holder. If such parties are unable to reach agreement within 10 days after the occurrence of an event requiring valuation (the</w:t>
      </w:r>
    </w:p>
    <w:p>
      <w:pPr>
        <w:spacing w:after="0" w:line="6"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“Valuation Event”), the fair value of such consideration will be determined within five Trading Days after the 10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following such Valuation Event by an independent, reputable appraiser jointly selected by the Company and the Holder. The determination of such appraiser shall be final and binding upon all parties absent manifest error and the fees and expenses of such appraiser shall be borne by the Company.</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6" w:name="page197"/>
    <w:bookmarkEnd w:id="196"/>
    <w:p>
      <w:pPr>
        <w:jc w:val="both"/>
        <w:ind w:firstLine="2600"/>
        <w:spacing w:after="0" w:line="257" w:lineRule="auto"/>
        <w:tabs>
          <w:tab w:leader="none" w:pos="2847" w:val="left"/>
        </w:tabs>
        <w:numPr>
          <w:ilvl w:val="2"/>
          <w:numId w:val="178"/>
        </w:numPr>
        <w:rPr>
          <w:rFonts w:ascii="Arial" w:cs="Arial" w:eastAsia="Arial" w:hAnsi="Arial"/>
          <w:sz w:val="18"/>
          <w:szCs w:val="18"/>
          <w:color w:val="auto"/>
        </w:rPr>
      </w:pPr>
      <w:r>
        <w:rPr>
          <w:rFonts w:ascii="Arial" w:cs="Arial" w:eastAsia="Arial" w:hAnsi="Arial"/>
          <w:sz w:val="18"/>
          <w:szCs w:val="18"/>
          <w:u w:val="single" w:color="auto"/>
          <w:color w:val="auto"/>
        </w:rPr>
        <w:t>Record Date</w:t>
      </w:r>
      <w:r>
        <w:rPr>
          <w:rFonts w:ascii="Arial" w:cs="Arial" w:eastAsia="Arial" w:hAnsi="Arial"/>
          <w:sz w:val="18"/>
          <w:szCs w:val="18"/>
          <w:color w:val="auto"/>
        </w:rPr>
        <w:t>. If the Company takes a record of the holders of shares of Common Stock for the purpose of entitling them (A) to receive a dividend or other distribution payable in shares of Common Stock, Options or in Convertible Securities or (B) to subscribe for or purchase shares of Common Stock, Options or Convertible Securities, then such record date will be deemed to be the date of the issuance or sale of the shares of Common Stock deemed to have been issued or sold upon the declaration of such dividend or the making of such other distribution or the date of the granting of such right of subscription or purchase (as the case may be).</w:t>
      </w:r>
    </w:p>
    <w:p>
      <w:pPr>
        <w:spacing w:after="0" w:line="187" w:lineRule="exact"/>
        <w:rPr>
          <w:rFonts w:ascii="Arial" w:cs="Arial" w:eastAsia="Arial" w:hAnsi="Arial"/>
          <w:sz w:val="18"/>
          <w:szCs w:val="18"/>
          <w:color w:val="auto"/>
        </w:rPr>
      </w:pPr>
    </w:p>
    <w:p>
      <w:pPr>
        <w:ind w:firstLine="1952"/>
        <w:spacing w:after="0" w:line="277" w:lineRule="auto"/>
        <w:tabs>
          <w:tab w:leader="none" w:pos="2188" w:val="left"/>
        </w:tabs>
        <w:numPr>
          <w:ilvl w:val="1"/>
          <w:numId w:val="179"/>
        </w:numPr>
        <w:rPr>
          <w:rFonts w:ascii="Arial" w:cs="Arial" w:eastAsia="Arial" w:hAnsi="Arial"/>
          <w:sz w:val="18"/>
          <w:szCs w:val="18"/>
          <w:color w:val="auto"/>
        </w:rPr>
      </w:pPr>
      <w:r>
        <w:rPr>
          <w:rFonts w:ascii="Arial" w:cs="Arial" w:eastAsia="Arial" w:hAnsi="Arial"/>
          <w:sz w:val="18"/>
          <w:szCs w:val="18"/>
          <w:u w:val="single" w:color="auto"/>
          <w:color w:val="auto"/>
        </w:rPr>
        <w:t>Par Value</w:t>
      </w:r>
      <w:r>
        <w:rPr>
          <w:rFonts w:ascii="Arial" w:cs="Arial" w:eastAsia="Arial" w:hAnsi="Arial"/>
          <w:sz w:val="18"/>
          <w:szCs w:val="18"/>
          <w:color w:val="auto"/>
        </w:rPr>
        <w:t>. Notwithstanding anything to the contrary in this Warrant, in no event shall the Exercise Price be reduced below the par value of the Company’s Common Stock.</w:t>
      </w:r>
    </w:p>
    <w:p>
      <w:pPr>
        <w:spacing w:after="0" w:line="170" w:lineRule="exact"/>
        <w:rPr>
          <w:rFonts w:ascii="Arial" w:cs="Arial" w:eastAsia="Arial" w:hAnsi="Arial"/>
          <w:sz w:val="18"/>
          <w:szCs w:val="18"/>
          <w:color w:val="auto"/>
        </w:rPr>
      </w:pPr>
    </w:p>
    <w:p>
      <w:pPr>
        <w:jc w:val="both"/>
        <w:ind w:firstLine="1952"/>
        <w:spacing w:after="0" w:line="263" w:lineRule="auto"/>
        <w:tabs>
          <w:tab w:leader="none" w:pos="2199" w:val="left"/>
        </w:tabs>
        <w:numPr>
          <w:ilvl w:val="1"/>
          <w:numId w:val="179"/>
        </w:numPr>
        <w:rPr>
          <w:rFonts w:ascii="Arial" w:cs="Arial" w:eastAsia="Arial" w:hAnsi="Arial"/>
          <w:sz w:val="18"/>
          <w:szCs w:val="18"/>
          <w:color w:val="auto"/>
        </w:rPr>
      </w:pPr>
      <w:r>
        <w:rPr>
          <w:rFonts w:ascii="Arial" w:cs="Arial" w:eastAsia="Arial" w:hAnsi="Arial"/>
          <w:sz w:val="18"/>
          <w:szCs w:val="18"/>
          <w:u w:val="single" w:color="auto"/>
          <w:color w:val="auto"/>
        </w:rPr>
        <w:t>Voluntary Adjustment by Company</w:t>
      </w:r>
      <w:r>
        <w:rPr>
          <w:rFonts w:ascii="Arial" w:cs="Arial" w:eastAsia="Arial" w:hAnsi="Arial"/>
          <w:sz w:val="18"/>
          <w:szCs w:val="18"/>
          <w:color w:val="auto"/>
        </w:rPr>
        <w:t>. Subject to Section 2(c), the Company may at any time during the term of this Warrant, with prior written notice to the Holder, reduce the then current Exercise Price to any amount and for any period of time deemed appropriate by the board of directors of the Company.</w:t>
      </w:r>
    </w:p>
    <w:p>
      <w:pPr>
        <w:spacing w:after="0" w:line="170" w:lineRule="exact"/>
        <w:rPr>
          <w:rFonts w:ascii="Arial" w:cs="Arial" w:eastAsia="Arial" w:hAnsi="Arial"/>
          <w:sz w:val="18"/>
          <w:szCs w:val="18"/>
          <w:color w:val="auto"/>
        </w:rPr>
      </w:pPr>
    </w:p>
    <w:p>
      <w:pPr>
        <w:jc w:val="both"/>
        <w:ind w:firstLine="1304"/>
        <w:spacing w:after="0" w:line="268" w:lineRule="auto"/>
        <w:tabs>
          <w:tab w:leader="none" w:pos="1489" w:val="left"/>
        </w:tabs>
        <w:numPr>
          <w:ilvl w:val="0"/>
          <w:numId w:val="180"/>
        </w:numPr>
        <w:rPr>
          <w:rFonts w:ascii="Arial" w:cs="Arial" w:eastAsia="Arial" w:hAnsi="Arial"/>
          <w:sz w:val="17"/>
          <w:szCs w:val="17"/>
          <w:color w:val="auto"/>
        </w:rPr>
      </w:pPr>
      <w:r>
        <w:rPr>
          <w:rFonts w:ascii="Arial" w:cs="Arial" w:eastAsia="Arial" w:hAnsi="Arial"/>
          <w:sz w:val="17"/>
          <w:szCs w:val="17"/>
          <w:u w:val="single" w:color="auto"/>
          <w:color w:val="auto"/>
        </w:rPr>
        <w:t>RIGHTS UPON DISTRIBUTION OF ASSETS</w:t>
      </w:r>
      <w:r>
        <w:rPr>
          <w:rFonts w:ascii="Arial" w:cs="Arial" w:eastAsia="Arial" w:hAnsi="Arial"/>
          <w:sz w:val="17"/>
          <w:szCs w:val="17"/>
          <w:color w:val="auto"/>
        </w:rPr>
        <w:t xml:space="preserve">. In addition to any adjustments pursuant to Section </w:t>
      </w:r>
      <w:r>
        <w:rPr>
          <w:rFonts w:ascii="Arial" w:cs="Arial" w:eastAsia="Arial" w:hAnsi="Arial"/>
          <w:sz w:val="20"/>
          <w:szCs w:val="20"/>
          <w:b w:val="1"/>
          <w:bCs w:val="1"/>
          <w:color w:val="auto"/>
        </w:rPr>
        <w:t>‎</w:t>
      </w:r>
      <w:r>
        <w:rPr>
          <w:rFonts w:ascii="Arial" w:cs="Arial" w:eastAsia="Arial" w:hAnsi="Arial"/>
          <w:sz w:val="17"/>
          <w:szCs w:val="17"/>
          <w:color w:val="auto"/>
        </w:rPr>
        <w:t>2 above,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(a “</w:t>
      </w:r>
      <w:r>
        <w:rPr>
          <w:rFonts w:ascii="Arial" w:cs="Arial" w:eastAsia="Arial" w:hAnsi="Arial"/>
          <w:sz w:val="17"/>
          <w:szCs w:val="17"/>
          <w:b w:val="1"/>
          <w:bCs w:val="1"/>
          <w:color w:val="auto"/>
        </w:rPr>
        <w:t>Distribution</w:t>
      </w:r>
      <w:r>
        <w:rPr>
          <w:rFonts w:ascii="Arial" w:cs="Arial" w:eastAsia="Arial" w:hAnsi="Arial"/>
          <w:sz w:val="17"/>
          <w:szCs w:val="17"/>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such Distribution, or, if no such record is taken, the date as of which the record holders of shares of Common Stock are to be determined for the participation in such Distribution (provided, however, that to the extent that the Holder’s right to participate in any such Distribution would result in the Holder and the other Attribution Parties exceeding the Maximum Percentage, then the Holder shall not be entitled to participate in such Distribution to the extent of the Maximum Percentage (and shall not be entitled to beneficial ownership of such shares of Common Stock as a result of such Distribution (and beneficial ownership) to the extent of any such excess) and the portion of such Distribution shall be held in abeyance for the benefit of the Holder until such time or times, if ever,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held similarly in abeyance) to the same extent as if there had been no such limitation).</w:t>
      </w:r>
    </w:p>
    <w:p>
      <w:pPr>
        <w:spacing w:after="0" w:line="181" w:lineRule="exact"/>
        <w:rPr>
          <w:rFonts w:ascii="Arial" w:cs="Arial" w:eastAsia="Arial" w:hAnsi="Arial"/>
          <w:sz w:val="17"/>
          <w:szCs w:val="17"/>
          <w:color w:val="auto"/>
        </w:rPr>
      </w:pPr>
    </w:p>
    <w:p>
      <w:pPr>
        <w:ind w:left="1480" w:hanging="176"/>
        <w:spacing w:after="0"/>
        <w:tabs>
          <w:tab w:leader="none" w:pos="1480" w:val="left"/>
        </w:tabs>
        <w:numPr>
          <w:ilvl w:val="0"/>
          <w:numId w:val="180"/>
        </w:numPr>
        <w:rPr>
          <w:rFonts w:ascii="Arial" w:cs="Arial" w:eastAsia="Arial" w:hAnsi="Arial"/>
          <w:sz w:val="18"/>
          <w:szCs w:val="18"/>
          <w:color w:val="auto"/>
        </w:rPr>
      </w:pPr>
      <w:r>
        <w:rPr>
          <w:rFonts w:ascii="Arial" w:cs="Arial" w:eastAsia="Arial" w:hAnsi="Arial"/>
          <w:sz w:val="18"/>
          <w:szCs w:val="18"/>
          <w:u w:val="single" w:color="auto"/>
          <w:color w:val="auto"/>
        </w:rPr>
        <w:t>PURCHASE RIGHTS; FUNDAMENTAL TRANSACTIONS</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jc w:val="both"/>
        <w:ind w:firstLine="1952"/>
        <w:spacing w:after="0" w:line="268" w:lineRule="auto"/>
        <w:tabs>
          <w:tab w:leader="none" w:pos="2202" w:val="left"/>
        </w:tabs>
        <w:numPr>
          <w:ilvl w:val="1"/>
          <w:numId w:val="180"/>
        </w:numPr>
        <w:rPr>
          <w:rFonts w:ascii="Arial" w:cs="Arial" w:eastAsia="Arial" w:hAnsi="Arial"/>
          <w:sz w:val="17"/>
          <w:szCs w:val="17"/>
          <w:color w:val="auto"/>
        </w:rPr>
      </w:pPr>
      <w:r>
        <w:rPr>
          <w:rFonts w:ascii="Arial" w:cs="Arial" w:eastAsia="Arial" w:hAnsi="Arial"/>
          <w:sz w:val="17"/>
          <w:szCs w:val="17"/>
          <w:u w:val="single" w:color="auto"/>
          <w:color w:val="auto"/>
        </w:rPr>
        <w:t>Purchase Rights</w:t>
      </w:r>
      <w:r>
        <w:rPr>
          <w:rFonts w:ascii="Arial" w:cs="Arial" w:eastAsia="Arial" w:hAnsi="Arial"/>
          <w:sz w:val="17"/>
          <w:szCs w:val="17"/>
          <w:color w:val="auto"/>
        </w:rPr>
        <w:t xml:space="preserve">. In addition to any adjustments pursuant to Section </w:t>
      </w:r>
      <w:r>
        <w:rPr>
          <w:rFonts w:ascii="Arial" w:cs="Arial" w:eastAsia="Arial" w:hAnsi="Arial"/>
          <w:sz w:val="20"/>
          <w:szCs w:val="20"/>
          <w:b w:val="1"/>
          <w:bCs w:val="1"/>
          <w:color w:val="auto"/>
        </w:rPr>
        <w:t>‎</w:t>
      </w:r>
      <w:r>
        <w:rPr>
          <w:rFonts w:ascii="Arial" w:cs="Arial" w:eastAsia="Arial" w:hAnsi="Arial"/>
          <w:sz w:val="17"/>
          <w:szCs w:val="17"/>
          <w:color w:val="auto"/>
        </w:rPr>
        <w:t>2 above, if at any time the Company grants, issues or sells any Options, Convertible Securities or rights to purchase stock, warrants, securities or other property pro rata to the record holders of any class of Common Stock (the “</w:t>
      </w:r>
      <w:r>
        <w:rPr>
          <w:rFonts w:ascii="Arial" w:cs="Arial" w:eastAsia="Arial" w:hAnsi="Arial"/>
          <w:sz w:val="17"/>
          <w:szCs w:val="17"/>
          <w:b w:val="1"/>
          <w:bCs w:val="1"/>
          <w:color w:val="auto"/>
        </w:rPr>
        <w:t>Purchase Rights</w:t>
      </w:r>
      <w:r>
        <w:rPr>
          <w:rFonts w:ascii="Arial" w:cs="Arial" w:eastAsia="Arial" w:hAnsi="Arial"/>
          <w:sz w:val="17"/>
          <w:szCs w:val="17"/>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the grant, issuance or sale of such Purchase Rights, or, if no such record is taken, the date as of which the record holders of shares of Common Stock are to be determined for the grant, issuance or sale of such Purchase Rights (provided, however, that to the extent that the Holder’s right to participate in any such Purchase Right would result in the Holder and the other Attribution Parties exceeding the Maximum Percentage, then the Holder shall not be entitled to participate in such Purchase Right to the extent of the Maximum Percentage (and shall not be entitled to beneficial ownership of such shares of Common Stock as a result of such Purchase Right (and beneficial ownership) to the extent of any such excess) and such Purchase Right to such extent shall be held in abeyance for the benefit of the Holder until such time or times, if ever,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held similarly in abeyance) to the same extent as if there had been no such limitation).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7" w:name="page198"/>
    <w:bookmarkEnd w:id="197"/>
    <w:p>
      <w:pPr>
        <w:ind w:left="2200" w:hanging="248"/>
        <w:spacing w:after="0"/>
        <w:tabs>
          <w:tab w:leader="none" w:pos="2200" w:val="left"/>
        </w:tabs>
        <w:numPr>
          <w:ilvl w:val="0"/>
          <w:numId w:val="181"/>
        </w:numPr>
        <w:rPr>
          <w:rFonts w:ascii="Arial" w:cs="Arial" w:eastAsia="Arial" w:hAnsi="Arial"/>
          <w:sz w:val="18"/>
          <w:szCs w:val="18"/>
          <w:color w:val="auto"/>
        </w:rPr>
      </w:pPr>
      <w:r>
        <w:rPr>
          <w:rFonts w:ascii="Arial" w:cs="Arial" w:eastAsia="Arial" w:hAnsi="Arial"/>
          <w:sz w:val="18"/>
          <w:szCs w:val="18"/>
          <w:u w:val="single" w:color="auto"/>
          <w:color w:val="auto"/>
        </w:rPr>
        <w:t>Fundamental Transactions</w:t>
      </w:r>
      <w:r>
        <w:rPr>
          <w:rFonts w:ascii="Arial" w:cs="Arial" w:eastAsia="Arial" w:hAnsi="Arial"/>
          <w:sz w:val="18"/>
          <w:szCs w:val="18"/>
          <w:color w:val="auto"/>
        </w:rPr>
        <w:t>. The Company shall not enter into or be party to a Fundamental Transaction unless:</w:t>
      </w:r>
    </w:p>
    <w:p>
      <w:pPr>
        <w:spacing w:after="0" w:line="225" w:lineRule="exact"/>
        <w:rPr>
          <w:rFonts w:ascii="Arial" w:cs="Arial" w:eastAsia="Arial" w:hAnsi="Arial"/>
          <w:sz w:val="18"/>
          <w:szCs w:val="18"/>
          <w:color w:val="auto"/>
        </w:rPr>
      </w:pPr>
    </w:p>
    <w:p>
      <w:pPr>
        <w:jc w:val="both"/>
        <w:ind w:firstLine="2600"/>
        <w:spacing w:after="0" w:line="273" w:lineRule="auto"/>
        <w:tabs>
          <w:tab w:leader="none" w:pos="2807" w:val="left"/>
        </w:tabs>
        <w:numPr>
          <w:ilvl w:val="1"/>
          <w:numId w:val="181"/>
        </w:numPr>
        <w:rPr>
          <w:rFonts w:ascii="Arial" w:cs="Arial" w:eastAsia="Arial" w:hAnsi="Arial"/>
          <w:sz w:val="17"/>
          <w:szCs w:val="17"/>
          <w:color w:val="auto"/>
        </w:rPr>
      </w:pPr>
      <w:r>
        <w:rPr>
          <w:rFonts w:ascii="Arial" w:cs="Arial" w:eastAsia="Arial" w:hAnsi="Arial"/>
          <w:sz w:val="17"/>
          <w:szCs w:val="17"/>
          <w:color w:val="auto"/>
        </w:rPr>
        <w:t>in the event that the Successor Entity (including its Parent Entity) is not a publicly traded entity with common equity quoted on or listed for trading on an Eligible Market and registered under the Exchange Act, the Company or the Successor Entity, as applicable, shall, on or prior to the date of consummation of such Fundamental Transaction, purchase this Warrant from the Holder by paying to the Holder cash in an amount equal to the Black Scholes Going Private Value (without regard to the limitation set forth in Section 1(f))</w:t>
      </w:r>
      <w:r>
        <w:rPr>
          <w:rFonts w:ascii="Arial" w:cs="Arial" w:eastAsia="Arial" w:hAnsi="Arial"/>
          <w:sz w:val="17"/>
          <w:szCs w:val="17"/>
          <w:b w:val="1"/>
          <w:bCs w:val="1"/>
          <w:color w:val="auto"/>
        </w:rPr>
        <w:t>‎</w:t>
      </w:r>
      <w:r>
        <w:rPr>
          <w:rFonts w:ascii="Arial" w:cs="Arial" w:eastAsia="Arial" w:hAnsi="Arial"/>
          <w:sz w:val="17"/>
          <w:szCs w:val="17"/>
          <w:color w:val="auto"/>
        </w:rPr>
        <w:t xml:space="preserve"> whereupon the Successor Entity shall have no obligation to assume the obligations of the Company under this Warrant and the other Loan Documents, including any obligation to deliver to the Holder in exchange for this Warrant any security of the Successor Entity, and</w:t>
      </w:r>
    </w:p>
    <w:p>
      <w:pPr>
        <w:spacing w:after="0" w:line="177" w:lineRule="exact"/>
        <w:rPr>
          <w:rFonts w:ascii="Arial" w:cs="Arial" w:eastAsia="Arial" w:hAnsi="Arial"/>
          <w:sz w:val="17"/>
          <w:szCs w:val="17"/>
          <w:color w:val="auto"/>
        </w:rPr>
      </w:pPr>
    </w:p>
    <w:p>
      <w:pPr>
        <w:jc w:val="both"/>
        <w:ind w:firstLine="2600"/>
        <w:spacing w:after="0" w:line="291" w:lineRule="auto"/>
        <w:tabs>
          <w:tab w:leader="none" w:pos="2857" w:val="left"/>
        </w:tabs>
        <w:numPr>
          <w:ilvl w:val="1"/>
          <w:numId w:val="181"/>
        </w:numPr>
        <w:rPr>
          <w:rFonts w:ascii="Arial" w:cs="Arial" w:eastAsia="Arial" w:hAnsi="Arial"/>
          <w:sz w:val="16"/>
          <w:szCs w:val="16"/>
          <w:color w:val="auto"/>
        </w:rPr>
      </w:pPr>
      <w:r>
        <w:rPr>
          <w:rFonts w:ascii="Arial" w:cs="Arial" w:eastAsia="Arial" w:hAnsi="Arial"/>
          <w:sz w:val="16"/>
          <w:szCs w:val="16"/>
          <w:color w:val="auto"/>
        </w:rPr>
        <w:t>in the event that the Successor Entity (including its Parent Entity) is a publicly traded entity with common equity quoted on or listed for trading on an Eligible Market and registered under the Exchange Act, the Successor Entity assumes in writing all of the obligations</w:t>
      </w:r>
    </w:p>
    <w:p>
      <w:pPr>
        <w:jc w:val="both"/>
        <w:spacing w:after="0" w:line="281" w:lineRule="auto"/>
        <w:rPr>
          <w:rFonts w:ascii="Arial" w:cs="Arial" w:eastAsia="Arial" w:hAnsi="Arial"/>
          <w:sz w:val="16"/>
          <w:szCs w:val="16"/>
          <w:color w:val="auto"/>
        </w:rPr>
      </w:pPr>
      <w:r>
        <w:rPr>
          <w:rFonts w:ascii="Arial" w:cs="Arial" w:eastAsia="Arial" w:hAnsi="Arial"/>
          <w:sz w:val="16"/>
          <w:szCs w:val="16"/>
          <w:color w:val="auto"/>
        </w:rPr>
        <w:t>of the Company under this Warrant and the other Loan Documents in accordance with the provisions of this Section 4(b)(ii)</w:t>
      </w:r>
      <w:r>
        <w:rPr>
          <w:rFonts w:ascii="Arial" w:cs="Arial" w:eastAsia="Arial" w:hAnsi="Arial"/>
          <w:sz w:val="16"/>
          <w:szCs w:val="16"/>
          <w:b w:val="1"/>
          <w:bCs w:val="1"/>
          <w:color w:val="auto"/>
        </w:rPr>
        <w:t>‎</w:t>
      </w:r>
      <w:r>
        <w:rPr>
          <w:rFonts w:ascii="Arial" w:cs="Arial" w:eastAsia="Arial" w:hAnsi="Arial"/>
          <w:sz w:val="16"/>
          <w:szCs w:val="16"/>
          <w:color w:val="auto"/>
        </w:rPr>
        <w:t xml:space="preserve"> pursuant to written agreements in form and substance satisfactory to the Holder and approved by the Holder prior to such Fundamental Transaction, including agreements to deliver to the Holder in exchange for this Warrant a security of the Successor Entity evidenced by a written instrument substantially similar in form and substance to this Warrant, including, without limitation, which is exercisable for a corresponding number of shares of capital stock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adjustments to the number of shares of capital stock and such exercise price being for the purpose of protecting the economic value of this Warrant immediately prior to the</w:t>
      </w:r>
    </w:p>
    <w:p>
      <w:pPr>
        <w:spacing w:after="0" w:line="4" w:lineRule="exact"/>
        <w:rPr>
          <w:rFonts w:ascii="Arial" w:cs="Arial" w:eastAsia="Arial" w:hAnsi="Arial"/>
          <w:sz w:val="16"/>
          <w:szCs w:val="16"/>
          <w:color w:val="auto"/>
        </w:rPr>
      </w:pPr>
    </w:p>
    <w:p>
      <w:pPr>
        <w:jc w:val="both"/>
        <w:spacing w:after="0" w:line="281" w:lineRule="auto"/>
        <w:rPr>
          <w:rFonts w:ascii="Arial" w:cs="Arial" w:eastAsia="Arial" w:hAnsi="Arial"/>
          <w:sz w:val="16"/>
          <w:szCs w:val="16"/>
          <w:color w:val="auto"/>
        </w:rPr>
      </w:pPr>
      <w:r>
        <w:rPr>
          <w:rFonts w:ascii="Arial" w:cs="Arial" w:eastAsia="Arial" w:hAnsi="Arial"/>
          <w:sz w:val="16"/>
          <w:szCs w:val="16"/>
          <w:color w:val="auto"/>
        </w:rPr>
        <w:t>consummation of such Fundamental Transaction). Upon the consummation of each Fundamental Transaction described in this Section 4(b)(ii)</w:t>
      </w:r>
      <w:r>
        <w:rPr>
          <w:rFonts w:ascii="Arial" w:cs="Arial" w:eastAsia="Arial" w:hAnsi="Arial"/>
          <w:sz w:val="16"/>
          <w:szCs w:val="16"/>
          <w:b w:val="1"/>
          <w:bCs w:val="1"/>
          <w:color w:val="auto"/>
        </w:rPr>
        <w:t>‎</w:t>
      </w:r>
      <w:r>
        <w:rPr>
          <w:rFonts w:ascii="Arial" w:cs="Arial" w:eastAsia="Arial" w:hAnsi="Arial"/>
          <w:sz w:val="16"/>
          <w:szCs w:val="16"/>
          <w:color w:val="auto"/>
        </w:rPr>
        <w:t xml:space="preserve"> (each such Fundamental Transaction, a “</w:t>
      </w:r>
      <w:r>
        <w:rPr>
          <w:rFonts w:ascii="Arial" w:cs="Arial" w:eastAsia="Arial" w:hAnsi="Arial"/>
          <w:sz w:val="16"/>
          <w:szCs w:val="16"/>
          <w:b w:val="1"/>
          <w:bCs w:val="1"/>
          <w:color w:val="auto"/>
        </w:rPr>
        <w:t>Public Fundamental Transaction</w:t>
      </w:r>
      <w:r>
        <w:rPr>
          <w:rFonts w:ascii="Arial" w:cs="Arial" w:eastAsia="Arial" w:hAnsi="Arial"/>
          <w:sz w:val="16"/>
          <w:szCs w:val="16"/>
          <w:color w:val="auto"/>
        </w:rPr>
        <w:t>”), the Successor Entity shall (x) succeed to, and be substituted for (so that from and after the date of the applicable Public Fundamental Transaction, the provisions of this Warrant and the other Loan Documents referring to the “Company” or the “Borrower” shall refer instead to the Successor Entity), and may exercise every right and power of the Company and shall assume all of the obligations of the Company under this Warrant and the other Loan Documents with the same effect as if such Successor Entity had been named as the Company herein or therein, and (y) deliver to the Holder confirmation that there shall be issued upon exercise of this Warrant at any time after the consummation of the applicable Public Fundamental Transaction, in lieu of the shares of Common Stock (or other securities, cash, assets or other property (except such items still issuable under Sections 3</w:t>
      </w:r>
      <w:r>
        <w:rPr>
          <w:rFonts w:ascii="Arial" w:cs="Arial" w:eastAsia="Arial" w:hAnsi="Arial"/>
          <w:sz w:val="16"/>
          <w:szCs w:val="16"/>
          <w:b w:val="1"/>
          <w:bCs w:val="1"/>
          <w:color w:val="auto"/>
        </w:rPr>
        <w:t>‎</w:t>
      </w:r>
      <w:r>
        <w:rPr>
          <w:rFonts w:ascii="Arial" w:cs="Arial" w:eastAsia="Arial" w:hAnsi="Arial"/>
          <w:sz w:val="16"/>
          <w:szCs w:val="16"/>
          <w:color w:val="auto"/>
        </w:rPr>
        <w:t xml:space="preserve"> and 4(a)</w:t>
      </w:r>
      <w:r>
        <w:rPr>
          <w:rFonts w:ascii="Arial" w:cs="Arial" w:eastAsia="Arial" w:hAnsi="Arial"/>
          <w:sz w:val="16"/>
          <w:szCs w:val="16"/>
          <w:b w:val="1"/>
          <w:bCs w:val="1"/>
          <w:color w:val="auto"/>
        </w:rPr>
        <w:t>‎</w:t>
      </w:r>
      <w:r>
        <w:rPr>
          <w:rFonts w:ascii="Arial" w:cs="Arial" w:eastAsia="Arial" w:hAnsi="Arial"/>
          <w:sz w:val="16"/>
          <w:szCs w:val="16"/>
          <w:color w:val="auto"/>
        </w:rPr>
        <w:t xml:space="preserve"> above, which shall continue to be receivable thereafter)) issuable upon the exercise of this Warrant prior to the applicable Public Fundamental Transaction, such shares of publicly traded common stock (or its equivalent) of the Successor Entity (including its Parent Entity) which the Holder would have been entitled to receive upon the happening of the applicable Public Fundamental Transaction had this Warrant been exercised immediately prior to the applicable Public Fundamental Transaction (without regard to any limitations on the exercise of this Warrant), as adjusted in accordance with the provisions of this Warrant. Notwithstanding the foregoing, and without limiting Section 1(f)</w:t>
      </w:r>
      <w:r>
        <w:rPr>
          <w:rFonts w:ascii="Arial" w:cs="Arial" w:eastAsia="Arial" w:hAnsi="Arial"/>
          <w:sz w:val="16"/>
          <w:szCs w:val="16"/>
          <w:b w:val="1"/>
          <w:bCs w:val="1"/>
          <w:color w:val="auto"/>
        </w:rPr>
        <w:t>‎</w:t>
      </w:r>
      <w:r>
        <w:rPr>
          <w:rFonts w:ascii="Arial" w:cs="Arial" w:eastAsia="Arial" w:hAnsi="Arial"/>
          <w:sz w:val="16"/>
          <w:szCs w:val="16"/>
          <w:color w:val="auto"/>
        </w:rPr>
        <w:t xml:space="preserve"> hereof, the Holder may elect,</w:t>
      </w:r>
    </w:p>
    <w:p>
      <w:pPr>
        <w:spacing w:after="0" w:line="7" w:lineRule="exact"/>
        <w:rPr>
          <w:rFonts w:ascii="Arial" w:cs="Arial" w:eastAsia="Arial" w:hAnsi="Arial"/>
          <w:sz w:val="16"/>
          <w:szCs w:val="16"/>
          <w:color w:val="auto"/>
        </w:rPr>
      </w:pPr>
    </w:p>
    <w:p>
      <w:pPr>
        <w:spacing w:after="0" w:line="260" w:lineRule="auto"/>
        <w:rPr>
          <w:rFonts w:ascii="Arial" w:cs="Arial" w:eastAsia="Arial" w:hAnsi="Arial"/>
          <w:sz w:val="16"/>
          <w:szCs w:val="16"/>
          <w:color w:val="auto"/>
        </w:rPr>
      </w:pPr>
      <w:r>
        <w:rPr>
          <w:rFonts w:ascii="Arial" w:cs="Arial" w:eastAsia="Arial" w:hAnsi="Arial"/>
          <w:sz w:val="18"/>
          <w:szCs w:val="18"/>
          <w:color w:val="auto"/>
        </w:rPr>
        <w:t>at its sole option, by delivery of written notice to the Company to waive this Section 4(b)(ii)</w:t>
      </w:r>
      <w:r>
        <w:rPr>
          <w:rFonts w:ascii="Arial" w:cs="Arial" w:eastAsia="Arial" w:hAnsi="Arial"/>
          <w:sz w:val="18"/>
          <w:szCs w:val="18"/>
          <w:b w:val="1"/>
          <w:bCs w:val="1"/>
          <w:color w:val="auto"/>
        </w:rPr>
        <w:t>‎</w:t>
      </w:r>
      <w:r>
        <w:rPr>
          <w:rFonts w:ascii="Arial" w:cs="Arial" w:eastAsia="Arial" w:hAnsi="Arial"/>
          <w:sz w:val="18"/>
          <w:szCs w:val="18"/>
          <w:color w:val="auto"/>
        </w:rPr>
        <w:t xml:space="preserve"> to permit the Public Fundamental Transaction without the assumption of this Warrant.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8" w:name="page199"/>
    <w:bookmarkEnd w:id="198"/>
    <w:p>
      <w:pPr>
        <w:jc w:val="both"/>
        <w:spacing w:after="0" w:line="269" w:lineRule="auto"/>
        <w:rPr>
          <w:sz w:val="20"/>
          <w:szCs w:val="20"/>
          <w:color w:val="auto"/>
        </w:rPr>
      </w:pPr>
      <w:r>
        <w:rPr>
          <w:rFonts w:ascii="Arial" w:cs="Arial" w:eastAsia="Arial" w:hAnsi="Arial"/>
          <w:sz w:val="17"/>
          <w:szCs w:val="17"/>
          <w:color w:val="auto"/>
        </w:rPr>
        <w:t>In addition to and not in substitution for any other rights hereunder, prior to the consummation of each Fundamental Transaction pursuant to which holders of shares of Common Stock are entitled to receive securities or other assets with respect to or in exchange for shares of Common Stock (a “</w:t>
      </w:r>
      <w:r>
        <w:rPr>
          <w:rFonts w:ascii="Arial" w:cs="Arial" w:eastAsia="Arial" w:hAnsi="Arial"/>
          <w:sz w:val="17"/>
          <w:szCs w:val="17"/>
          <w:b w:val="1"/>
          <w:bCs w:val="1"/>
          <w:color w:val="auto"/>
        </w:rPr>
        <w:t>Corporate</w:t>
      </w:r>
      <w:r>
        <w:rPr>
          <w:rFonts w:ascii="Arial" w:cs="Arial" w:eastAsia="Arial" w:hAnsi="Arial"/>
          <w:sz w:val="17"/>
          <w:szCs w:val="17"/>
          <w:color w:val="auto"/>
        </w:rPr>
        <w:t xml:space="preserve"> </w:t>
      </w:r>
      <w:r>
        <w:rPr>
          <w:rFonts w:ascii="Arial" w:cs="Arial" w:eastAsia="Arial" w:hAnsi="Arial"/>
          <w:sz w:val="17"/>
          <w:szCs w:val="17"/>
          <w:b w:val="1"/>
          <w:bCs w:val="1"/>
          <w:color w:val="auto"/>
        </w:rPr>
        <w:t>Event</w:t>
      </w:r>
      <w:r>
        <w:rPr>
          <w:rFonts w:ascii="Arial" w:cs="Arial" w:eastAsia="Arial" w:hAnsi="Arial"/>
          <w:sz w:val="17"/>
          <w:szCs w:val="17"/>
          <w:color w:val="auto"/>
        </w:rPr>
        <w:t>”), the Company shall make appropriate provision to insure that the Holder will thereafter have the right to receive upon an exercise of this Warrant</w:t>
      </w:r>
      <w:r>
        <w:rPr>
          <w:rFonts w:ascii="Arial" w:cs="Arial" w:eastAsia="Arial" w:hAnsi="Arial"/>
          <w:sz w:val="17"/>
          <w:szCs w:val="17"/>
          <w:b w:val="1"/>
          <w:bCs w:val="1"/>
          <w:color w:val="auto"/>
        </w:rPr>
        <w:t xml:space="preserve"> </w:t>
      </w:r>
      <w:r>
        <w:rPr>
          <w:rFonts w:ascii="Arial" w:cs="Arial" w:eastAsia="Arial" w:hAnsi="Arial"/>
          <w:sz w:val="17"/>
          <w:szCs w:val="17"/>
          <w:color w:val="auto"/>
        </w:rPr>
        <w:t>at any time after the consummation of the applicable Fundamental Transaction but prior to the Expiration Date, in lieu of the shares of the Common Stock (or other securities, cash, assets or other property (except such items still issuable under Sections 3‎ and 4(a)‎ above, which shall continue to be receivable thereafter)) issuable upon the exercise of the Warrant prior to such Fundamental Transaction, such shares of stock, securities, cash, assets or any other property whatsoever (including warrants or other purchase or subscription rights) which the Holder would have been entitled to receive upon the happening of the applicable Fundamental Transaction had this Warrant been exercised immediately prior to the applicable Fundamental Transaction (without regard to any limitations on the exercise of this Warrant). Provision made pursuant to the preceding sentence shall be in a form and substance reasonably satisfactory to the Holder.</w:t>
      </w:r>
    </w:p>
    <w:p>
      <w:pPr>
        <w:spacing w:after="0" w:line="172" w:lineRule="exact"/>
        <w:rPr>
          <w:sz w:val="20"/>
          <w:szCs w:val="20"/>
          <w:color w:val="auto"/>
        </w:rPr>
      </w:pPr>
    </w:p>
    <w:p>
      <w:pPr>
        <w:jc w:val="both"/>
        <w:ind w:firstLine="1952"/>
        <w:spacing w:after="0" w:line="271" w:lineRule="auto"/>
        <w:tabs>
          <w:tab w:leader="none" w:pos="2188" w:val="left"/>
        </w:tabs>
        <w:numPr>
          <w:ilvl w:val="1"/>
          <w:numId w:val="182"/>
        </w:numPr>
        <w:rPr>
          <w:rFonts w:ascii="Arial" w:cs="Arial" w:eastAsia="Arial" w:hAnsi="Arial"/>
          <w:sz w:val="17"/>
          <w:szCs w:val="17"/>
          <w:color w:val="auto"/>
        </w:rPr>
      </w:pPr>
      <w:r>
        <w:rPr>
          <w:rFonts w:ascii="Arial" w:cs="Arial" w:eastAsia="Arial" w:hAnsi="Arial"/>
          <w:sz w:val="17"/>
          <w:szCs w:val="17"/>
          <w:u w:val="single" w:color="auto"/>
          <w:color w:val="auto"/>
        </w:rPr>
        <w:t>Holder Optional Redemptions</w:t>
      </w:r>
      <w:r>
        <w:rPr>
          <w:rFonts w:ascii="Arial" w:cs="Arial" w:eastAsia="Arial" w:hAnsi="Arial"/>
          <w:sz w:val="17"/>
          <w:szCs w:val="17"/>
          <w:color w:val="auto"/>
        </w:rPr>
        <w:t xml:space="preserve">. Notwithstanding the foregoing and the provisions of Section </w:t>
      </w:r>
      <w:r>
        <w:rPr>
          <w:rFonts w:ascii="Arial" w:cs="Arial" w:eastAsia="Arial" w:hAnsi="Arial"/>
          <w:sz w:val="20"/>
          <w:szCs w:val="20"/>
          <w:b w:val="1"/>
          <w:bCs w:val="1"/>
          <w:color w:val="auto"/>
        </w:rPr>
        <w:t>‎</w:t>
      </w:r>
      <w:r>
        <w:rPr>
          <w:rFonts w:ascii="Arial" w:cs="Arial" w:eastAsia="Arial" w:hAnsi="Arial"/>
          <w:sz w:val="17"/>
          <w:szCs w:val="17"/>
          <w:color w:val="auto"/>
        </w:rPr>
        <w:t>4(b)(ii) above, at the request of the Holder delivered at any time commencing on the earliest to occur of (x) the public disclosure of any Public Fundamental Transaction, (y) the consummation of any Public Fundamental Transaction and (z) the Holder first becoming aware of any Public Fundamental Transaction through the date that is ninety (90) days after the public disclosure of the consummation of such Public Fundamental Transaction by the Company pursuant to a Current Report on Form 8-K filed with the SEC, the Company or the Successor Entity (as the case may be) shall purchase this Warrant from the Holder on the date of such request by paying to the Holder cash in an amount equal to the Black Scholes Value. Payment of such amounts shall be made by the Company (or at the Company’s direction) to the Holder on or prior to the later of (x) the second (2nd) Trading Day after the date of such request and (y) the date of consummation of such Public Fundamental Transaction.</w:t>
      </w:r>
    </w:p>
    <w:p>
      <w:pPr>
        <w:spacing w:after="0" w:line="166" w:lineRule="exact"/>
        <w:rPr>
          <w:rFonts w:ascii="Arial" w:cs="Arial" w:eastAsia="Arial" w:hAnsi="Arial"/>
          <w:sz w:val="17"/>
          <w:szCs w:val="17"/>
          <w:color w:val="auto"/>
        </w:rPr>
      </w:pPr>
    </w:p>
    <w:p>
      <w:pPr>
        <w:jc w:val="both"/>
        <w:ind w:firstLine="1952"/>
        <w:spacing w:after="0" w:line="300" w:lineRule="auto"/>
        <w:tabs>
          <w:tab w:leader="none" w:pos="2199" w:val="left"/>
        </w:tabs>
        <w:numPr>
          <w:ilvl w:val="1"/>
          <w:numId w:val="182"/>
        </w:numPr>
        <w:rPr>
          <w:rFonts w:ascii="Arial" w:cs="Arial" w:eastAsia="Arial" w:hAnsi="Arial"/>
          <w:sz w:val="16"/>
          <w:szCs w:val="16"/>
          <w:color w:val="auto"/>
        </w:rPr>
      </w:pPr>
      <w:r>
        <w:rPr>
          <w:rFonts w:ascii="Arial" w:cs="Arial" w:eastAsia="Arial" w:hAnsi="Arial"/>
          <w:sz w:val="16"/>
          <w:szCs w:val="16"/>
          <w:u w:val="single" w:color="auto"/>
          <w:color w:val="auto"/>
        </w:rPr>
        <w:t>Application</w:t>
      </w:r>
      <w:r>
        <w:rPr>
          <w:rFonts w:ascii="Arial" w:cs="Arial" w:eastAsia="Arial" w:hAnsi="Arial"/>
          <w:sz w:val="16"/>
          <w:szCs w:val="16"/>
          <w:color w:val="auto"/>
        </w:rPr>
        <w:t xml:space="preserve">. The provisions of this Section </w:t>
      </w:r>
      <w:r>
        <w:rPr>
          <w:rFonts w:ascii="Arial" w:cs="Arial" w:eastAsia="Arial" w:hAnsi="Arial"/>
          <w:sz w:val="19"/>
          <w:szCs w:val="19"/>
          <w:b w:val="1"/>
          <w:bCs w:val="1"/>
          <w:color w:val="auto"/>
        </w:rPr>
        <w:t>‎</w:t>
      </w:r>
      <w:r>
        <w:rPr>
          <w:rFonts w:ascii="Arial" w:cs="Arial" w:eastAsia="Arial" w:hAnsi="Arial"/>
          <w:sz w:val="16"/>
          <w:szCs w:val="16"/>
          <w:color w:val="auto"/>
        </w:rPr>
        <w:t>4 shall apply similarly and equally to successive Fundamental Transactions and Corporate Events and shall be applied as if this Warrant (and any such subsequent warrants) were fully exercisable and without regard to any limitations on the exercise of this Warrant (provided that the Holder shall continue to be entitled to the benefit of the Maximum Percentage, applied however with respect to shares of capital stock registered under the Exchange Act and thereafter receivable upon exercise of this Warrant (or any such other warrant)).</w:t>
      </w:r>
    </w:p>
    <w:p>
      <w:pPr>
        <w:spacing w:after="0" w:line="157" w:lineRule="exact"/>
        <w:rPr>
          <w:rFonts w:ascii="Arial" w:cs="Arial" w:eastAsia="Arial" w:hAnsi="Arial"/>
          <w:sz w:val="16"/>
          <w:szCs w:val="16"/>
          <w:color w:val="auto"/>
        </w:rPr>
      </w:pPr>
    </w:p>
    <w:p>
      <w:pPr>
        <w:jc w:val="both"/>
        <w:ind w:firstLine="1304"/>
        <w:spacing w:after="0" w:line="268" w:lineRule="auto"/>
        <w:tabs>
          <w:tab w:leader="none" w:pos="1476" w:val="left"/>
        </w:tabs>
        <w:numPr>
          <w:ilvl w:val="0"/>
          <w:numId w:val="183"/>
        </w:numPr>
        <w:rPr>
          <w:rFonts w:ascii="Arial" w:cs="Arial" w:eastAsia="Arial" w:hAnsi="Arial"/>
          <w:sz w:val="17"/>
          <w:szCs w:val="17"/>
          <w:color w:val="auto"/>
        </w:rPr>
      </w:pPr>
      <w:r>
        <w:rPr>
          <w:rFonts w:ascii="Arial" w:cs="Arial" w:eastAsia="Arial" w:hAnsi="Arial"/>
          <w:sz w:val="17"/>
          <w:szCs w:val="17"/>
          <w:u w:val="single" w:color="auto"/>
          <w:color w:val="auto"/>
        </w:rPr>
        <w:t>NONCIRCUMVENTION</w:t>
      </w:r>
      <w:r>
        <w:rPr>
          <w:rFonts w:ascii="Arial" w:cs="Arial" w:eastAsia="Arial" w:hAnsi="Arial"/>
          <w:sz w:val="17"/>
          <w:szCs w:val="17"/>
          <w:color w:val="auto"/>
        </w:rPr>
        <w:t>. The Company hereby covenants and agrees that the Company will not, by amendment of its Certificate of Incorporation or Bylaws, or through any reorganization, transfer of assets, consolidation, merger, scheme of arrangement, dissolution, issuance or sale of securities, or any other voluntary action, avoid or seek to avoid the observance or performance of any of the terms of this Warrant, and will at all times in good faith carry out all of the provisions of this Warrant and take all action as may be required to protect the rights of the Holder. Without limiting the generality of the foregoing, the Company (i) shall not increase the par value of any shares of Common Stock receivable upon the exercise of this Warrant above the Exercise Price then in effect, (ii) shall take all such actions as may be necessary or appropriate in order that the Company may validly and legally issue fully paid and nonassessable shares of Common Stock upon the proper exercise of this Warrant by the Holder, and (iii) shall, so long as this Warrant is outstanding, take all action necessary to reserve and keep available out of its authorized and unissued shares of Common Stock, solely for the purpose of effecting the exercise of this Warrant, the number of shares of Common Stock as shall from time to time be necessary to effect the exercise of this Warrant (without regard to any limitations on exercise). Notwithstanding anything herein to the contrary, if after the sixty (60) calendar day anniversary of the Issuance Date, the Holder is not permitted to exercise this Warrant in full for any reason (other than pursuant to restrictions set forth in Section 1(f) hereof), the Company shall use its reasonable best efforts to promptly remedy such failure, including, without limitation, obtaining such consents or approvals as necessary to permit such exercise into shares of Common Stock.</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9" w:name="page200"/>
    <w:bookmarkEnd w:id="199"/>
    <w:p>
      <w:pPr>
        <w:jc w:val="both"/>
        <w:ind w:firstLine="1304"/>
        <w:spacing w:after="0" w:line="287" w:lineRule="auto"/>
        <w:tabs>
          <w:tab w:leader="none" w:pos="1476" w:val="left"/>
        </w:tabs>
        <w:numPr>
          <w:ilvl w:val="0"/>
          <w:numId w:val="184"/>
        </w:numPr>
        <w:rPr>
          <w:rFonts w:ascii="Arial" w:cs="Arial" w:eastAsia="Arial" w:hAnsi="Arial"/>
          <w:sz w:val="16"/>
          <w:szCs w:val="16"/>
          <w:color w:val="auto"/>
        </w:rPr>
      </w:pPr>
      <w:r>
        <w:rPr>
          <w:rFonts w:ascii="Arial" w:cs="Arial" w:eastAsia="Arial" w:hAnsi="Arial"/>
          <w:sz w:val="16"/>
          <w:szCs w:val="16"/>
          <w:u w:val="single" w:color="auto"/>
          <w:color w:val="auto"/>
        </w:rPr>
        <w:t>WARRANT HOLDER NOT DEEMED A STOCKHOLDER</w:t>
      </w:r>
      <w:r>
        <w:rPr>
          <w:rFonts w:ascii="Arial" w:cs="Arial" w:eastAsia="Arial" w:hAnsi="Arial"/>
          <w:sz w:val="16"/>
          <w:szCs w:val="16"/>
          <w:color w:val="auto"/>
        </w:rPr>
        <w:t xml:space="preserve">. Except as otherwise specifically provided herein, the Holder, solely in such Person’s capacity as a holder of this Warrant, shall not be entitled to vote or receive dividends or be deemed the holder of share capital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 Notwithstanding this Section </w:t>
      </w:r>
      <w:r>
        <w:rPr>
          <w:rFonts w:ascii="Arial" w:cs="Arial" w:eastAsia="Arial" w:hAnsi="Arial"/>
          <w:sz w:val="19"/>
          <w:szCs w:val="19"/>
          <w:b w:val="1"/>
          <w:bCs w:val="1"/>
          <w:color w:val="auto"/>
        </w:rPr>
        <w:t>‎</w:t>
      </w:r>
      <w:r>
        <w:rPr>
          <w:rFonts w:ascii="Arial" w:cs="Arial" w:eastAsia="Arial" w:hAnsi="Arial"/>
          <w:sz w:val="16"/>
          <w:szCs w:val="16"/>
          <w:color w:val="auto"/>
        </w:rPr>
        <w:t>6, the Company shall provide the Holder with copies of the same notices and other information given to the stockholders of the Company generally, contemporaneously with the giving thereof to the stockholders.</w:t>
      </w:r>
    </w:p>
    <w:p>
      <w:pPr>
        <w:spacing w:after="0" w:line="161" w:lineRule="exact"/>
        <w:rPr>
          <w:rFonts w:ascii="Arial" w:cs="Arial" w:eastAsia="Arial" w:hAnsi="Arial"/>
          <w:sz w:val="16"/>
          <w:szCs w:val="16"/>
          <w:color w:val="auto"/>
        </w:rPr>
      </w:pPr>
    </w:p>
    <w:p>
      <w:pPr>
        <w:ind w:left="1480" w:hanging="176"/>
        <w:spacing w:after="0"/>
        <w:tabs>
          <w:tab w:leader="none" w:pos="1480" w:val="left"/>
        </w:tabs>
        <w:numPr>
          <w:ilvl w:val="0"/>
          <w:numId w:val="184"/>
        </w:numPr>
        <w:rPr>
          <w:rFonts w:ascii="Arial" w:cs="Arial" w:eastAsia="Arial" w:hAnsi="Arial"/>
          <w:sz w:val="18"/>
          <w:szCs w:val="18"/>
          <w:color w:val="auto"/>
        </w:rPr>
      </w:pPr>
      <w:r>
        <w:rPr>
          <w:rFonts w:ascii="Arial" w:cs="Arial" w:eastAsia="Arial" w:hAnsi="Arial"/>
          <w:sz w:val="18"/>
          <w:szCs w:val="18"/>
          <w:u w:val="single" w:color="auto"/>
          <w:color w:val="auto"/>
        </w:rPr>
        <w:t>REISSUANCE OF WARRANTS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952"/>
        <w:spacing w:after="0" w:line="250" w:lineRule="auto"/>
        <w:tabs>
          <w:tab w:leader="none" w:pos="2188" w:val="left"/>
        </w:tabs>
        <w:numPr>
          <w:ilvl w:val="1"/>
          <w:numId w:val="184"/>
        </w:numPr>
        <w:rPr>
          <w:rFonts w:ascii="Arial" w:cs="Arial" w:eastAsia="Arial" w:hAnsi="Arial"/>
          <w:sz w:val="18"/>
          <w:szCs w:val="18"/>
          <w:color w:val="auto"/>
        </w:rPr>
      </w:pPr>
      <w:r>
        <w:rPr>
          <w:rFonts w:ascii="Arial" w:cs="Arial" w:eastAsia="Arial" w:hAnsi="Arial"/>
          <w:sz w:val="18"/>
          <w:szCs w:val="18"/>
          <w:u w:val="single" w:color="auto"/>
          <w:color w:val="auto"/>
        </w:rPr>
        <w:t>Transfer of Warrant</w:t>
      </w:r>
      <w:r>
        <w:rPr>
          <w:rFonts w:ascii="Arial" w:cs="Arial" w:eastAsia="Arial" w:hAnsi="Arial"/>
          <w:sz w:val="18"/>
          <w:szCs w:val="18"/>
          <w:color w:val="auto"/>
        </w:rPr>
        <w:t xml:space="preserve">. If this Warrant is to be transferred and reissued to the transferee, the Holder shall surrender this Warrant to the Company together with a written assignment of this Warrant substantially in the form attached hereto duly executed by the Holder or its agent or attorney and funds sufficient to pay any transfer taxes payable upon the making of such transfer, whereupon the Company will forthwith issue and deliver upon the order of the Holder a new Warrant (in accordance with Section </w:t>
      </w:r>
      <w:r>
        <w:rPr>
          <w:rFonts w:ascii="Arial" w:cs="Arial" w:eastAsia="Arial" w:hAnsi="Arial"/>
          <w:sz w:val="21"/>
          <w:szCs w:val="21"/>
          <w:b w:val="1"/>
          <w:bCs w:val="1"/>
          <w:color w:val="auto"/>
        </w:rPr>
        <w:t>‎</w:t>
      </w:r>
      <w:r>
        <w:rPr>
          <w:rFonts w:ascii="Arial" w:cs="Arial" w:eastAsia="Arial" w:hAnsi="Arial"/>
          <w:sz w:val="18"/>
          <w:szCs w:val="18"/>
          <w:color w:val="auto"/>
        </w:rPr>
        <w:t xml:space="preserve">7(d)), registered as the Holder may request, representing the right to purchase the number of Warrant Shares being transferred by the Holder and, if less than the total number of Warrant Shares then underlying this Warrant is being transferred, a new Warrant (in accordance with Section </w:t>
      </w:r>
      <w:r>
        <w:rPr>
          <w:rFonts w:ascii="Arial" w:cs="Arial" w:eastAsia="Arial" w:hAnsi="Arial"/>
          <w:sz w:val="21"/>
          <w:szCs w:val="21"/>
          <w:b w:val="1"/>
          <w:bCs w:val="1"/>
          <w:color w:val="auto"/>
        </w:rPr>
        <w:t>‎</w:t>
      </w:r>
      <w:r>
        <w:rPr>
          <w:rFonts w:ascii="Arial" w:cs="Arial" w:eastAsia="Arial" w:hAnsi="Arial"/>
          <w:sz w:val="18"/>
          <w:szCs w:val="18"/>
          <w:color w:val="auto"/>
        </w:rPr>
        <w:t xml:space="preserve">7(d)) to the Holder representing the right to purchase the number of Warrant Shares not being transferred. For the avoidance of doubt, this Section </w:t>
      </w:r>
      <w:r>
        <w:rPr>
          <w:rFonts w:ascii="Arial" w:cs="Arial" w:eastAsia="Arial" w:hAnsi="Arial"/>
          <w:sz w:val="21"/>
          <w:szCs w:val="21"/>
          <w:b w:val="1"/>
          <w:bCs w:val="1"/>
          <w:color w:val="auto"/>
        </w:rPr>
        <w:t>‎</w:t>
      </w:r>
      <w:r>
        <w:rPr>
          <w:rFonts w:ascii="Arial" w:cs="Arial" w:eastAsia="Arial" w:hAnsi="Arial"/>
          <w:sz w:val="18"/>
          <w:szCs w:val="18"/>
          <w:color w:val="auto"/>
        </w:rPr>
        <w:t>7(a) will not apply to a sale, transfer, pledge or assignment of this Warrant that does not involve a reissuance of this Warrant.</w:t>
      </w:r>
    </w:p>
    <w:p>
      <w:pPr>
        <w:spacing w:after="0" w:line="192" w:lineRule="exact"/>
        <w:rPr>
          <w:rFonts w:ascii="Arial" w:cs="Arial" w:eastAsia="Arial" w:hAnsi="Arial"/>
          <w:sz w:val="18"/>
          <w:szCs w:val="18"/>
          <w:color w:val="auto"/>
        </w:rPr>
      </w:pPr>
    </w:p>
    <w:p>
      <w:pPr>
        <w:jc w:val="both"/>
        <w:ind w:firstLine="1952"/>
        <w:spacing w:after="0" w:line="275" w:lineRule="auto"/>
        <w:tabs>
          <w:tab w:leader="none" w:pos="2199" w:val="left"/>
        </w:tabs>
        <w:numPr>
          <w:ilvl w:val="1"/>
          <w:numId w:val="184"/>
        </w:numPr>
        <w:rPr>
          <w:rFonts w:ascii="Arial" w:cs="Arial" w:eastAsia="Arial" w:hAnsi="Arial"/>
          <w:sz w:val="17"/>
          <w:szCs w:val="17"/>
          <w:color w:val="auto"/>
        </w:rPr>
      </w:pPr>
      <w:r>
        <w:rPr>
          <w:rFonts w:ascii="Arial" w:cs="Arial" w:eastAsia="Arial" w:hAnsi="Arial"/>
          <w:sz w:val="17"/>
          <w:szCs w:val="17"/>
          <w:u w:val="single" w:color="auto"/>
          <w:color w:val="auto"/>
        </w:rPr>
        <w:t>Lost, Stolen or Mutilated Warrant</w:t>
      </w:r>
      <w:r>
        <w:rPr>
          <w:rFonts w:ascii="Arial" w:cs="Arial" w:eastAsia="Arial" w:hAnsi="Arial"/>
          <w:sz w:val="17"/>
          <w:szCs w:val="17"/>
          <w:color w:val="auto"/>
        </w:rPr>
        <w:t xml:space="preserve">. Upon receipt by the Company of evidence reasonably satisfactory to the Company of the loss, theft, destruction or mutilation of this Warrant (as to which a written certification and the indemnification contemplated below shall suffice as such evidence), and, in the case of loss, theft or destruction, of any indemnification undertaking by the Holder to the Company in customary and reasonable form and, in the case of mutilation, upon surrender and cancellation of this Warrant, the Company shall execute and deliver to the Holder a new Warrant (in accordance with Section </w:t>
      </w:r>
      <w:r>
        <w:rPr>
          <w:rFonts w:ascii="Arial" w:cs="Arial" w:eastAsia="Arial" w:hAnsi="Arial"/>
          <w:sz w:val="20"/>
          <w:szCs w:val="20"/>
          <w:b w:val="1"/>
          <w:bCs w:val="1"/>
          <w:color w:val="auto"/>
        </w:rPr>
        <w:t>‎</w:t>
      </w:r>
      <w:r>
        <w:rPr>
          <w:rFonts w:ascii="Arial" w:cs="Arial" w:eastAsia="Arial" w:hAnsi="Arial"/>
          <w:sz w:val="17"/>
          <w:szCs w:val="17"/>
          <w:color w:val="auto"/>
        </w:rPr>
        <w:t>7(d)) representing the right to purchase the Warrant Shares then underlying this Warrant.</w:t>
      </w:r>
    </w:p>
    <w:p>
      <w:pPr>
        <w:spacing w:after="0" w:line="163" w:lineRule="exact"/>
        <w:rPr>
          <w:rFonts w:ascii="Arial" w:cs="Arial" w:eastAsia="Arial" w:hAnsi="Arial"/>
          <w:sz w:val="17"/>
          <w:szCs w:val="17"/>
          <w:color w:val="auto"/>
        </w:rPr>
      </w:pPr>
    </w:p>
    <w:p>
      <w:pPr>
        <w:jc w:val="both"/>
        <w:ind w:firstLine="1952"/>
        <w:spacing w:after="0" w:line="295" w:lineRule="auto"/>
        <w:tabs>
          <w:tab w:leader="none" w:pos="2188" w:val="left"/>
        </w:tabs>
        <w:numPr>
          <w:ilvl w:val="1"/>
          <w:numId w:val="184"/>
        </w:numPr>
        <w:rPr>
          <w:rFonts w:ascii="Arial" w:cs="Arial" w:eastAsia="Arial" w:hAnsi="Arial"/>
          <w:sz w:val="16"/>
          <w:szCs w:val="16"/>
          <w:color w:val="auto"/>
        </w:rPr>
      </w:pPr>
      <w:r>
        <w:rPr>
          <w:rFonts w:ascii="Arial" w:cs="Arial" w:eastAsia="Arial" w:hAnsi="Arial"/>
          <w:sz w:val="16"/>
          <w:szCs w:val="16"/>
          <w:u w:val="single" w:color="auto"/>
          <w:color w:val="auto"/>
        </w:rPr>
        <w:t>Exchangeable for Multiple Warrants</w:t>
      </w:r>
      <w:r>
        <w:rPr>
          <w:rFonts w:ascii="Arial" w:cs="Arial" w:eastAsia="Arial" w:hAnsi="Arial"/>
          <w:sz w:val="16"/>
          <w:szCs w:val="16"/>
          <w:color w:val="auto"/>
        </w:rPr>
        <w:t xml:space="preserve">. This Warrant is exchangeable, upon the surrender hereof by the Holder at the principal office of the Company, for a new Warrant or Warrants (in accordance with Section </w:t>
      </w:r>
      <w:r>
        <w:rPr>
          <w:rFonts w:ascii="Arial" w:cs="Arial" w:eastAsia="Arial" w:hAnsi="Arial"/>
          <w:sz w:val="19"/>
          <w:szCs w:val="19"/>
          <w:b w:val="1"/>
          <w:bCs w:val="1"/>
          <w:color w:val="auto"/>
        </w:rPr>
        <w:t>‎</w:t>
      </w:r>
      <w:r>
        <w:rPr>
          <w:rFonts w:ascii="Arial" w:cs="Arial" w:eastAsia="Arial" w:hAnsi="Arial"/>
          <w:sz w:val="16"/>
          <w:szCs w:val="16"/>
          <w:color w:val="auto"/>
        </w:rPr>
        <w:t xml:space="preserve">7(d)) representing in the aggregate the right to purchase the number of Warrant Shares then underlying this Warrant, and each such new Warrant will represent the right to purchase such portion of such Warrant Shares as is designated by the Holder at the time of such surrender;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warrants for fractional shares of Common Stock shall be given.</w:t>
      </w:r>
    </w:p>
    <w:p>
      <w:pPr>
        <w:spacing w:after="0" w:line="159" w:lineRule="exact"/>
        <w:rPr>
          <w:rFonts w:ascii="Arial" w:cs="Arial" w:eastAsia="Arial" w:hAnsi="Arial"/>
          <w:sz w:val="16"/>
          <w:szCs w:val="16"/>
          <w:color w:val="auto"/>
        </w:rPr>
      </w:pPr>
    </w:p>
    <w:p>
      <w:pPr>
        <w:jc w:val="both"/>
        <w:ind w:firstLine="1952"/>
        <w:spacing w:after="0" w:line="290" w:lineRule="auto"/>
        <w:tabs>
          <w:tab w:leader="none" w:pos="2199" w:val="left"/>
        </w:tabs>
        <w:numPr>
          <w:ilvl w:val="1"/>
          <w:numId w:val="184"/>
        </w:numPr>
        <w:rPr>
          <w:rFonts w:ascii="Arial" w:cs="Arial" w:eastAsia="Arial" w:hAnsi="Arial"/>
          <w:sz w:val="16"/>
          <w:szCs w:val="16"/>
          <w:color w:val="auto"/>
        </w:rPr>
      </w:pPr>
      <w:r>
        <w:rPr>
          <w:rFonts w:ascii="Arial" w:cs="Arial" w:eastAsia="Arial" w:hAnsi="Arial"/>
          <w:sz w:val="16"/>
          <w:szCs w:val="16"/>
          <w:u w:val="single" w:color="auto"/>
          <w:color w:val="auto"/>
        </w:rPr>
        <w:t>Issuance of New Warrants</w:t>
      </w:r>
      <w:r>
        <w:rPr>
          <w:rFonts w:ascii="Arial" w:cs="Arial" w:eastAsia="Arial" w:hAnsi="Arial"/>
          <w:sz w:val="16"/>
          <w:szCs w:val="16"/>
          <w:color w:val="auto"/>
        </w:rPr>
        <w:t xml:space="preserve">. Whenever the Company is required to issue a new Warrant pursuant to the terms of this Warrant, such new Warrant (i) shall be of like tenor with this Warrant, (ii) shall represent, as indicated on the face of such new Warrant, the right to purchase the Warrant Shares then underlying this Warrant (or in the case of a new Warrant being issued pursuant to Section </w:t>
      </w:r>
      <w:r>
        <w:rPr>
          <w:rFonts w:ascii="Arial" w:cs="Arial" w:eastAsia="Arial" w:hAnsi="Arial"/>
          <w:sz w:val="19"/>
          <w:szCs w:val="19"/>
          <w:b w:val="1"/>
          <w:bCs w:val="1"/>
          <w:color w:val="auto"/>
        </w:rPr>
        <w:t>‎</w:t>
      </w:r>
      <w:r>
        <w:rPr>
          <w:rFonts w:ascii="Arial" w:cs="Arial" w:eastAsia="Arial" w:hAnsi="Arial"/>
          <w:sz w:val="16"/>
          <w:szCs w:val="16"/>
          <w:color w:val="auto"/>
        </w:rPr>
        <w:t xml:space="preserve">7(a) or Section </w:t>
      </w:r>
      <w:r>
        <w:rPr>
          <w:rFonts w:ascii="Arial" w:cs="Arial" w:eastAsia="Arial" w:hAnsi="Arial"/>
          <w:sz w:val="19"/>
          <w:szCs w:val="19"/>
          <w:b w:val="1"/>
          <w:bCs w:val="1"/>
          <w:color w:val="auto"/>
        </w:rPr>
        <w:t>‎</w:t>
      </w:r>
      <w:r>
        <w:rPr>
          <w:rFonts w:ascii="Arial" w:cs="Arial" w:eastAsia="Arial" w:hAnsi="Arial"/>
          <w:sz w:val="16"/>
          <w:szCs w:val="16"/>
          <w:color w:val="auto"/>
        </w:rPr>
        <w:t>7(c), the Warrant Shares designated by the Holder which, when added to the number of shares of Common Stock underlying the other new Warrants issued in connection with such issuance, does not exceed the number of Warrant Shares then underlying this Warrant), (iii) shall have an issuance date, as indicated on the face of such new Warrant which is the same as the Issuance Date, and (iv) shall have the same rights and conditions as this Warrant.</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0" w:name="page201"/>
    <w:bookmarkEnd w:id="200"/>
    <w:p>
      <w:pPr>
        <w:jc w:val="both"/>
        <w:ind w:firstLine="1304"/>
        <w:spacing w:after="0" w:line="296" w:lineRule="auto"/>
        <w:tabs>
          <w:tab w:leader="none" w:pos="1489" w:val="left"/>
        </w:tabs>
        <w:numPr>
          <w:ilvl w:val="0"/>
          <w:numId w:val="185"/>
        </w:numPr>
        <w:rPr>
          <w:rFonts w:ascii="Arial" w:cs="Arial" w:eastAsia="Arial" w:hAnsi="Arial"/>
          <w:sz w:val="16"/>
          <w:szCs w:val="16"/>
          <w:color w:val="auto"/>
        </w:rPr>
      </w:pPr>
      <w:r>
        <w:rPr>
          <w:rFonts w:ascii="Arial" w:cs="Arial" w:eastAsia="Arial" w:hAnsi="Arial"/>
          <w:sz w:val="16"/>
          <w:szCs w:val="16"/>
          <w:u w:val="single" w:color="auto"/>
          <w:color w:val="auto"/>
        </w:rPr>
        <w:t>NOTICES OF CHANGES IN WARRANT</w:t>
      </w:r>
      <w:r>
        <w:rPr>
          <w:rFonts w:ascii="Arial" w:cs="Arial" w:eastAsia="Arial" w:hAnsi="Arial"/>
          <w:sz w:val="16"/>
          <w:szCs w:val="16"/>
          <w:color w:val="auto"/>
        </w:rPr>
        <w:t>. Whenever notice is required to be given under this Warrant, unless otherwise provided herein, such notice shall be given in accordance with Section 8.2 of the Credit Agreement. Upon every adjustment of the Exercise Price or the number of shares of Common Stock issuable upon exercise of a Warrant, the Company shall give written notice thereof to the Holders, which notice shall state the Exercise Price resulting from such adjustment and the increase or decrease, if any, in the number of Warrant Shares purchasable at such price upon the exercise of a Warrant, setting forth in reasonable detail the method of calculation and the facts upon which such calculation is based.</w:t>
      </w:r>
    </w:p>
    <w:p>
      <w:pPr>
        <w:spacing w:after="0" w:line="161" w:lineRule="exact"/>
        <w:rPr>
          <w:rFonts w:ascii="Arial" w:cs="Arial" w:eastAsia="Arial" w:hAnsi="Arial"/>
          <w:sz w:val="16"/>
          <w:szCs w:val="16"/>
          <w:color w:val="auto"/>
        </w:rPr>
      </w:pPr>
    </w:p>
    <w:p>
      <w:pPr>
        <w:jc w:val="both"/>
        <w:ind w:firstLine="1304"/>
        <w:spacing w:after="0" w:line="301" w:lineRule="auto"/>
        <w:tabs>
          <w:tab w:leader="none" w:pos="1476" w:val="left"/>
        </w:tabs>
        <w:numPr>
          <w:ilvl w:val="0"/>
          <w:numId w:val="185"/>
        </w:numPr>
        <w:rPr>
          <w:rFonts w:ascii="Arial" w:cs="Arial" w:eastAsia="Arial" w:hAnsi="Arial"/>
          <w:sz w:val="16"/>
          <w:szCs w:val="16"/>
          <w:color w:val="auto"/>
        </w:rPr>
      </w:pPr>
      <w:r>
        <w:rPr>
          <w:rFonts w:ascii="Arial" w:cs="Arial" w:eastAsia="Arial" w:hAnsi="Arial"/>
          <w:sz w:val="16"/>
          <w:szCs w:val="16"/>
          <w:u w:val="single" w:color="auto"/>
          <w:color w:val="auto"/>
        </w:rPr>
        <w:t>AMENDMENT AND WAIVER</w:t>
      </w:r>
      <w:r>
        <w:rPr>
          <w:rFonts w:ascii="Arial" w:cs="Arial" w:eastAsia="Arial" w:hAnsi="Arial"/>
          <w:sz w:val="16"/>
          <w:szCs w:val="16"/>
          <w:color w:val="auto"/>
        </w:rPr>
        <w:t>. Except as otherwise provided herein, the provisions of this Warrant may be amended or waived and the Company may take any action herein prohibited, or omit to perform any act herein required to be performed by it, only if the Company has obtained the written consent of (i) the Holder, if there is one Holder, or (ii) the Holder or Holders of the Warrant or Warrants representing the majority of Warrant Shares if there is more than one Holder, and with respect to any amendment, the amendment is in writing and signed by the Company and the Holder.</w:t>
      </w:r>
    </w:p>
    <w:p>
      <w:pPr>
        <w:spacing w:after="0" w:line="157" w:lineRule="exact"/>
        <w:rPr>
          <w:rFonts w:ascii="Arial" w:cs="Arial" w:eastAsia="Arial" w:hAnsi="Arial"/>
          <w:sz w:val="16"/>
          <w:szCs w:val="16"/>
          <w:color w:val="auto"/>
        </w:rPr>
      </w:pPr>
    </w:p>
    <w:p>
      <w:pPr>
        <w:jc w:val="both"/>
        <w:ind w:firstLine="1304"/>
        <w:spacing w:after="0" w:line="283" w:lineRule="auto"/>
        <w:tabs>
          <w:tab w:leader="none" w:pos="1566" w:val="left"/>
        </w:tabs>
        <w:numPr>
          <w:ilvl w:val="0"/>
          <w:numId w:val="185"/>
        </w:numPr>
        <w:rPr>
          <w:rFonts w:ascii="Arial" w:cs="Arial" w:eastAsia="Arial" w:hAnsi="Arial"/>
          <w:sz w:val="16"/>
          <w:szCs w:val="16"/>
          <w:color w:val="auto"/>
        </w:rPr>
      </w:pPr>
      <w:r>
        <w:rPr>
          <w:rFonts w:ascii="Arial" w:cs="Arial" w:eastAsia="Arial" w:hAnsi="Arial"/>
          <w:sz w:val="16"/>
          <w:szCs w:val="16"/>
          <w:u w:val="single" w:color="auto"/>
          <w:color w:val="auto"/>
        </w:rPr>
        <w:t>GOVERNING LAW; JURISDICTION; JURY TRIAL</w:t>
      </w:r>
      <w:r>
        <w:rPr>
          <w:rFonts w:ascii="Arial" w:cs="Arial" w:eastAsia="Arial" w:hAnsi="Arial"/>
          <w:sz w:val="16"/>
          <w:szCs w:val="16"/>
          <w:color w:val="auto"/>
        </w:rPr>
        <w:t xml:space="preserve">. This Warrant shall be governed by and construed and enforced in accordance with, and all questions concerning the construction, validity, interpretation and performance of this Warrant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The Company and the Holder each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The Company and the Holder each hereby irrevocably waives personal service of process and consents to process being served in any such suit, action or proceeding by mailing a copy thereof to the Company or such Holder, as applicable at the address set forth in Section 8.2 of the Credit Agreement and agrees that such service shall constitute good and sufficient service of process and notice thereof. Nothing contained herein shall be deemed to limit in any way any right to serve process in any manner permitted by law. Nothing contained herein shall be deemed or operate to preclude the Holder from bringing suit or taking other legal action against the Company in any other jurisdiction to collect on the Company’s obligations to the Holder, to realize on any collateral or any other security for such obligations, or to enforce a judgment or other court ruling in favor of the Holder. </w:t>
      </w:r>
      <w:r>
        <w:rPr>
          <w:rFonts w:ascii="Arial" w:cs="Arial" w:eastAsia="Arial" w:hAnsi="Arial"/>
          <w:sz w:val="16"/>
          <w:szCs w:val="16"/>
          <w:b w:val="1"/>
          <w:bCs w:val="1"/>
          <w:color w:val="auto"/>
        </w:rPr>
        <w:t>THE COMPANY HEREBY AND THE HOLDER EACH</w:t>
      </w:r>
    </w:p>
    <w:p>
      <w:pPr>
        <w:spacing w:after="0" w:line="1" w:lineRule="exact"/>
        <w:rPr>
          <w:rFonts w:ascii="Arial" w:cs="Arial" w:eastAsia="Arial" w:hAnsi="Arial"/>
          <w:sz w:val="16"/>
          <w:szCs w:val="16"/>
          <w:color w:val="auto"/>
        </w:rPr>
      </w:pPr>
    </w:p>
    <w:p>
      <w:pPr>
        <w:jc w:val="both"/>
        <w:spacing w:after="0" w:line="255" w:lineRule="auto"/>
        <w:rPr>
          <w:rFonts w:ascii="Arial" w:cs="Arial" w:eastAsia="Arial" w:hAnsi="Arial"/>
          <w:sz w:val="16"/>
          <w:szCs w:val="16"/>
          <w:color w:val="auto"/>
        </w:rPr>
      </w:pPr>
      <w:r>
        <w:rPr>
          <w:rFonts w:ascii="Arial" w:cs="Arial" w:eastAsia="Arial" w:hAnsi="Arial"/>
          <w:sz w:val="18"/>
          <w:szCs w:val="18"/>
          <w:b w:val="1"/>
          <w:bCs w:val="1"/>
          <w:color w:val="auto"/>
        </w:rPr>
        <w:t>IRREVOCABLY WAIVES ANY RIGHT IT MAY HAVE, AND AGREES NOT TO REQUEST, A JURY TRIAL FOR THE ADJUDICATION OF ANY DISPUTE HEREUNDER OR IN CONNECTION WITH OR ARISING OUT OF THIS WARRANT OR ANY TRANSACTION CONTEMPLATED HEREBY.</w:t>
      </w:r>
    </w:p>
    <w:p>
      <w:pPr>
        <w:spacing w:after="0" w:line="189" w:lineRule="exact"/>
        <w:rPr>
          <w:rFonts w:ascii="Arial" w:cs="Arial" w:eastAsia="Arial" w:hAnsi="Arial"/>
          <w:sz w:val="16"/>
          <w:szCs w:val="16"/>
          <w:color w:val="auto"/>
        </w:rPr>
      </w:pPr>
    </w:p>
    <w:p>
      <w:pPr>
        <w:jc w:val="both"/>
        <w:ind w:firstLine="1304"/>
        <w:spacing w:after="0" w:line="301" w:lineRule="auto"/>
        <w:tabs>
          <w:tab w:leader="none" w:pos="1573" w:val="left"/>
        </w:tabs>
        <w:numPr>
          <w:ilvl w:val="0"/>
          <w:numId w:val="185"/>
        </w:numPr>
        <w:rPr>
          <w:rFonts w:ascii="Arial" w:cs="Arial" w:eastAsia="Arial" w:hAnsi="Arial"/>
          <w:sz w:val="16"/>
          <w:szCs w:val="16"/>
          <w:color w:val="auto"/>
        </w:rPr>
      </w:pPr>
      <w:r>
        <w:rPr>
          <w:rFonts w:ascii="Arial" w:cs="Arial" w:eastAsia="Arial" w:hAnsi="Arial"/>
          <w:sz w:val="16"/>
          <w:szCs w:val="16"/>
          <w:u w:val="single" w:color="auto"/>
          <w:color w:val="auto"/>
        </w:rPr>
        <w:t>CONSTRUCTION; HEADINGS; BUSINESS DAYS</w:t>
      </w:r>
      <w:r>
        <w:rPr>
          <w:rFonts w:ascii="Arial" w:cs="Arial" w:eastAsia="Arial" w:hAnsi="Arial"/>
          <w:sz w:val="16"/>
          <w:szCs w:val="16"/>
          <w:color w:val="auto"/>
        </w:rPr>
        <w:t>. This Warrant shall be deemed to be jointly drafted by the Company and the Holder and shall not be construed against any Person as the drafter hereof. The headings of this Warrant are for convenience of reference and shall not form part of, or affect the interpretation of, this Warrant.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1" w:name="page202"/>
    <w:bookmarkEnd w:id="201"/>
    <w:p>
      <w:pPr>
        <w:jc w:val="both"/>
        <w:ind w:firstLine="1304"/>
        <w:spacing w:after="0" w:line="268" w:lineRule="auto"/>
        <w:tabs>
          <w:tab w:leader="none" w:pos="1566" w:val="left"/>
        </w:tabs>
        <w:numPr>
          <w:ilvl w:val="0"/>
          <w:numId w:val="186"/>
        </w:numPr>
        <w:rPr>
          <w:rFonts w:ascii="Arial" w:cs="Arial" w:eastAsia="Arial" w:hAnsi="Arial"/>
          <w:sz w:val="17"/>
          <w:szCs w:val="17"/>
          <w:color w:val="auto"/>
        </w:rPr>
      </w:pPr>
      <w:r>
        <w:rPr>
          <w:rFonts w:ascii="Arial" w:cs="Arial" w:eastAsia="Arial" w:hAnsi="Arial"/>
          <w:sz w:val="17"/>
          <w:szCs w:val="17"/>
          <w:u w:val="single" w:color="auto"/>
          <w:color w:val="auto"/>
        </w:rPr>
        <w:t>DISPUTE RESOLUTION</w:t>
      </w:r>
      <w:r>
        <w:rPr>
          <w:rFonts w:ascii="Arial" w:cs="Arial" w:eastAsia="Arial" w:hAnsi="Arial"/>
          <w:sz w:val="17"/>
          <w:szCs w:val="17"/>
          <w:color w:val="auto"/>
        </w:rPr>
        <w:t xml:space="preserve">. In the case of a dispute as to the determination of the Exercise Price or the arithmetic calculation of the Warrant Shares, the Company shall submit the disputed determinations or arithmetic calculations via facsimile or electronic mail within two (2) Business Days of receipt of the Exercise Notice giving rise to such dispute, as the case may be, to the Holder. If the Holder and the Company are unable to agree upon such determination or calculation of the Exercise Price or the Warrant Shares within three (3) Business Days of such disputed determination or arithmetic calculation being submitted to the Holder, then the Company shall, within two (2) Business Days submit via facsimile or electronic mail the dispute to a nationally recognized accounting firm selected by the Holder and reasonably satisfactory to the Company. If the Company does not object in writing to the selection of the accounting firm within two (2) Business Days of notice of the Holder’s selection, the Company will have deemed to have consented to such selection. If the Company does object, the Company shall provide the Holder its rationale for such rejection and five (5) acceptable alternative firms. The Company shall cause at its expense the accepted accounting firm to perform the determinations or calculations and notify the Company and the Holder of the results no later than three (3) Business Days from the time it receives the disputed determinations or calculations. Such accounting firm’s determination or calculation, as the case may be, shall be binding upon all parties absent demonstrable error. In the event that the accounting firm resolves the dispute in the Holder’s favor, a Delivery Failure will be deemed to have occurred and the Buy-In and other remedies available to the Holder under Section </w:t>
      </w:r>
      <w:r>
        <w:rPr>
          <w:rFonts w:ascii="Arial" w:cs="Arial" w:eastAsia="Arial" w:hAnsi="Arial"/>
          <w:sz w:val="20"/>
          <w:szCs w:val="20"/>
          <w:b w:val="1"/>
          <w:bCs w:val="1"/>
          <w:color w:val="auto"/>
        </w:rPr>
        <w:t>‎</w:t>
      </w:r>
      <w:r>
        <w:rPr>
          <w:rFonts w:ascii="Arial" w:cs="Arial" w:eastAsia="Arial" w:hAnsi="Arial"/>
          <w:sz w:val="17"/>
          <w:szCs w:val="17"/>
          <w:color w:val="auto"/>
        </w:rPr>
        <w:t>1(c) will apply.</w:t>
      </w:r>
    </w:p>
    <w:p>
      <w:pPr>
        <w:spacing w:after="0" w:line="174" w:lineRule="exact"/>
        <w:rPr>
          <w:rFonts w:ascii="Arial" w:cs="Arial" w:eastAsia="Arial" w:hAnsi="Arial"/>
          <w:sz w:val="17"/>
          <w:szCs w:val="17"/>
          <w:color w:val="auto"/>
        </w:rPr>
      </w:pPr>
    </w:p>
    <w:p>
      <w:pPr>
        <w:jc w:val="both"/>
        <w:ind w:firstLine="1304"/>
        <w:spacing w:after="0" w:line="272" w:lineRule="auto"/>
        <w:tabs>
          <w:tab w:leader="none" w:pos="1566" w:val="left"/>
        </w:tabs>
        <w:numPr>
          <w:ilvl w:val="0"/>
          <w:numId w:val="186"/>
        </w:numPr>
        <w:rPr>
          <w:rFonts w:ascii="Arial" w:cs="Arial" w:eastAsia="Arial" w:hAnsi="Arial"/>
          <w:sz w:val="17"/>
          <w:szCs w:val="17"/>
          <w:color w:val="auto"/>
        </w:rPr>
      </w:pPr>
      <w:r>
        <w:rPr>
          <w:rFonts w:ascii="Arial" w:cs="Arial" w:eastAsia="Arial" w:hAnsi="Arial"/>
          <w:sz w:val="17"/>
          <w:szCs w:val="17"/>
          <w:u w:val="single" w:color="auto"/>
          <w:color w:val="auto"/>
        </w:rPr>
        <w:t>REMEDIES, OTHER OBLIGATIONS, BREACHES AND INJUNCTIVE RELIEF</w:t>
      </w:r>
      <w:r>
        <w:rPr>
          <w:rFonts w:ascii="Arial" w:cs="Arial" w:eastAsia="Arial" w:hAnsi="Arial"/>
          <w:sz w:val="17"/>
          <w:szCs w:val="17"/>
          <w:color w:val="auto"/>
        </w:rPr>
        <w:t>. The remedies provided in this Warrant shall be cumulative and in addition to all other remedies available under this Warrant and the other Loan Documents, at law or in equity (including a decree of specific performance and/or other injunctive relief), and nothing herein shall limit the right of the Holder to pursue actual damages for any failure by the Company to comply with the terms of this Warrant.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shall be entitled, in addition to all other available remedies, to an injunction restraining any breach, without the necessity of showing economic loss and without any bond or other security being required.</w:t>
      </w:r>
    </w:p>
    <w:p>
      <w:pPr>
        <w:spacing w:after="0" w:line="177" w:lineRule="exact"/>
        <w:rPr>
          <w:rFonts w:ascii="Arial" w:cs="Arial" w:eastAsia="Arial" w:hAnsi="Arial"/>
          <w:sz w:val="17"/>
          <w:szCs w:val="17"/>
          <w:color w:val="auto"/>
        </w:rPr>
      </w:pPr>
    </w:p>
    <w:p>
      <w:pPr>
        <w:jc w:val="both"/>
        <w:ind w:firstLine="1304"/>
        <w:spacing w:after="0" w:line="259" w:lineRule="auto"/>
        <w:tabs>
          <w:tab w:leader="none" w:pos="1566" w:val="left"/>
        </w:tabs>
        <w:numPr>
          <w:ilvl w:val="0"/>
          <w:numId w:val="186"/>
        </w:numPr>
        <w:rPr>
          <w:rFonts w:ascii="Arial" w:cs="Arial" w:eastAsia="Arial" w:hAnsi="Arial"/>
          <w:sz w:val="18"/>
          <w:szCs w:val="18"/>
          <w:color w:val="auto"/>
        </w:rPr>
      </w:pPr>
      <w:r>
        <w:rPr>
          <w:rFonts w:ascii="Arial" w:cs="Arial" w:eastAsia="Arial" w:hAnsi="Arial"/>
          <w:sz w:val="18"/>
          <w:szCs w:val="18"/>
          <w:u w:val="single" w:color="auto"/>
          <w:color w:val="auto"/>
        </w:rPr>
        <w:t>TRANSFER</w:t>
      </w:r>
      <w:r>
        <w:rPr>
          <w:rFonts w:ascii="Arial" w:cs="Arial" w:eastAsia="Arial" w:hAnsi="Arial"/>
          <w:sz w:val="18"/>
          <w:szCs w:val="18"/>
          <w:color w:val="auto"/>
        </w:rPr>
        <w:t>. This Warrant and the Warrant Shares may be offered for sale, sold, transferred, pledged or assigned without the consent of the Company, subject to compliance with applicable state and federal securities laws. The Holder acknowledges that the Warrant Shares acquired upon the exercise of this Warrant, if not registered, and the Holder does not utilize cashless exercise, will have restrictions upon resale imposed by state and federal securities laws.</w:t>
      </w:r>
    </w:p>
    <w:p>
      <w:pPr>
        <w:spacing w:after="0" w:line="186" w:lineRule="exact"/>
        <w:rPr>
          <w:rFonts w:ascii="Arial" w:cs="Arial" w:eastAsia="Arial" w:hAnsi="Arial"/>
          <w:sz w:val="18"/>
          <w:szCs w:val="18"/>
          <w:color w:val="auto"/>
        </w:rPr>
      </w:pPr>
    </w:p>
    <w:p>
      <w:pPr>
        <w:jc w:val="both"/>
        <w:ind w:firstLine="1304"/>
        <w:spacing w:after="0" w:line="271" w:lineRule="auto"/>
        <w:tabs>
          <w:tab w:leader="none" w:pos="1566" w:val="left"/>
        </w:tabs>
        <w:numPr>
          <w:ilvl w:val="0"/>
          <w:numId w:val="186"/>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of this Warrant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Warrant so long as this Warrant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2" w:name="page203"/>
    <w:bookmarkEnd w:id="202"/>
    <w:p>
      <w:pPr>
        <w:ind w:firstLine="1304"/>
        <w:spacing w:after="0" w:line="277" w:lineRule="auto"/>
        <w:tabs>
          <w:tab w:leader="none" w:pos="1566" w:val="left"/>
        </w:tabs>
        <w:numPr>
          <w:ilvl w:val="0"/>
          <w:numId w:val="187"/>
        </w:numPr>
        <w:rPr>
          <w:rFonts w:ascii="Arial" w:cs="Arial" w:eastAsia="Arial" w:hAnsi="Arial"/>
          <w:sz w:val="18"/>
          <w:szCs w:val="18"/>
          <w:color w:val="auto"/>
        </w:rPr>
      </w:pPr>
      <w:r>
        <w:rPr>
          <w:rFonts w:ascii="Arial" w:cs="Arial" w:eastAsia="Arial" w:hAnsi="Arial"/>
          <w:sz w:val="18"/>
          <w:szCs w:val="18"/>
          <w:u w:val="single" w:color="auto"/>
          <w:color w:val="auto"/>
        </w:rPr>
        <w:t>NO DISCLOSURE</w:t>
      </w:r>
      <w:r>
        <w:rPr>
          <w:rFonts w:ascii="Arial" w:cs="Arial" w:eastAsia="Arial" w:hAnsi="Arial"/>
          <w:sz w:val="18"/>
          <w:szCs w:val="18"/>
          <w:color w:val="auto"/>
        </w:rPr>
        <w:t>. The Company shall not provide material, non-public information or confidential or proprietary information to the Holder without such Holder’s written consent.</w:t>
      </w:r>
    </w:p>
    <w:p>
      <w:pPr>
        <w:spacing w:after="0" w:line="170" w:lineRule="exact"/>
        <w:rPr>
          <w:rFonts w:ascii="Arial" w:cs="Arial" w:eastAsia="Arial" w:hAnsi="Arial"/>
          <w:sz w:val="18"/>
          <w:szCs w:val="18"/>
          <w:color w:val="auto"/>
        </w:rPr>
      </w:pPr>
    </w:p>
    <w:p>
      <w:pPr>
        <w:ind w:left="1580" w:hanging="276"/>
        <w:spacing w:after="0"/>
        <w:tabs>
          <w:tab w:leader="none" w:pos="1580" w:val="left"/>
        </w:tabs>
        <w:numPr>
          <w:ilvl w:val="0"/>
          <w:numId w:val="187"/>
        </w:numPr>
        <w:rPr>
          <w:rFonts w:ascii="Arial" w:cs="Arial" w:eastAsia="Arial" w:hAnsi="Arial"/>
          <w:sz w:val="18"/>
          <w:szCs w:val="18"/>
          <w:color w:val="auto"/>
        </w:rPr>
      </w:pPr>
      <w:r>
        <w:rPr>
          <w:rFonts w:ascii="Arial" w:cs="Arial" w:eastAsia="Arial" w:hAnsi="Arial"/>
          <w:sz w:val="18"/>
          <w:szCs w:val="18"/>
          <w:u w:val="single" w:color="auto"/>
          <w:color w:val="auto"/>
        </w:rPr>
        <w:t>REPRESENTATIONS OF HOLDERS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952"/>
        <w:spacing w:after="0" w:line="263" w:lineRule="auto"/>
        <w:tabs>
          <w:tab w:leader="none" w:pos="2188" w:val="left"/>
        </w:tabs>
        <w:numPr>
          <w:ilvl w:val="1"/>
          <w:numId w:val="187"/>
        </w:numPr>
        <w:rPr>
          <w:rFonts w:ascii="Arial" w:cs="Arial" w:eastAsia="Arial" w:hAnsi="Arial"/>
          <w:sz w:val="18"/>
          <w:szCs w:val="18"/>
          <w:color w:val="auto"/>
        </w:rPr>
      </w:pPr>
      <w:r>
        <w:rPr>
          <w:rFonts w:ascii="Arial" w:cs="Arial" w:eastAsia="Arial" w:hAnsi="Arial"/>
          <w:sz w:val="18"/>
          <w:szCs w:val="18"/>
          <w:u w:val="single" w:color="auto"/>
          <w:color w:val="auto"/>
        </w:rPr>
        <w:t>Investment Intent</w:t>
      </w:r>
      <w:r>
        <w:rPr>
          <w:rFonts w:ascii="Arial" w:cs="Arial" w:eastAsia="Arial" w:hAnsi="Arial"/>
          <w:sz w:val="18"/>
          <w:szCs w:val="18"/>
          <w:color w:val="auto"/>
        </w:rPr>
        <w:t>. Each Holder represents and warrants that it is acquiring this Warrant and the Warrant Shares (collectively, the “</w:t>
      </w:r>
      <w:r>
        <w:rPr>
          <w:rFonts w:ascii="Arial" w:cs="Arial" w:eastAsia="Arial" w:hAnsi="Arial"/>
          <w:sz w:val="18"/>
          <w:szCs w:val="18"/>
          <w:b w:val="1"/>
          <w:bCs w:val="1"/>
          <w:color w:val="auto"/>
        </w:rPr>
        <w:t>Securities</w:t>
      </w:r>
      <w:r>
        <w:rPr>
          <w:rFonts w:ascii="Arial" w:cs="Arial" w:eastAsia="Arial" w:hAnsi="Arial"/>
          <w:sz w:val="18"/>
          <w:szCs w:val="18"/>
          <w:color w:val="auto"/>
        </w:rPr>
        <w:t>”), solely for its beneficial account, for investment purposes, and not with a view to, or for resale in connection with, any distribution of the Securities in violation of applicable securities laws.</w:t>
      </w:r>
    </w:p>
    <w:p>
      <w:pPr>
        <w:spacing w:after="0" w:line="183" w:lineRule="exact"/>
        <w:rPr>
          <w:rFonts w:ascii="Arial" w:cs="Arial" w:eastAsia="Arial" w:hAnsi="Arial"/>
          <w:sz w:val="18"/>
          <w:szCs w:val="18"/>
          <w:color w:val="auto"/>
        </w:rPr>
      </w:pPr>
    </w:p>
    <w:p>
      <w:pPr>
        <w:jc w:val="both"/>
        <w:ind w:firstLine="1952"/>
        <w:spacing w:after="0" w:line="286" w:lineRule="auto"/>
        <w:tabs>
          <w:tab w:leader="none" w:pos="2199" w:val="left"/>
        </w:tabs>
        <w:numPr>
          <w:ilvl w:val="1"/>
          <w:numId w:val="187"/>
        </w:numPr>
        <w:rPr>
          <w:rFonts w:ascii="Arial" w:cs="Arial" w:eastAsia="Arial" w:hAnsi="Arial"/>
          <w:sz w:val="17"/>
          <w:szCs w:val="17"/>
          <w:color w:val="auto"/>
        </w:rPr>
      </w:pPr>
      <w:r>
        <w:rPr>
          <w:rFonts w:ascii="Arial" w:cs="Arial" w:eastAsia="Arial" w:hAnsi="Arial"/>
          <w:sz w:val="17"/>
          <w:szCs w:val="17"/>
          <w:u w:val="single" w:color="auto"/>
          <w:color w:val="auto"/>
        </w:rPr>
        <w:t>Unregistered Securities</w:t>
      </w:r>
      <w:r>
        <w:rPr>
          <w:rFonts w:ascii="Arial" w:cs="Arial" w:eastAsia="Arial" w:hAnsi="Arial"/>
          <w:sz w:val="17"/>
          <w:szCs w:val="17"/>
          <w:color w:val="auto"/>
        </w:rPr>
        <w:t>. Each Holder represents and warrants that it understands that the Securities have not been registered under the Securities Act or any state securities laws by reason of specific exemptions under the provisions thereof, the availability of which depend in part upon the bona fide nature of its investment intent and upon the accuracy of its representations made herein.</w:t>
      </w:r>
    </w:p>
    <w:p>
      <w:pPr>
        <w:spacing w:after="0" w:line="165" w:lineRule="exact"/>
        <w:rPr>
          <w:rFonts w:ascii="Arial" w:cs="Arial" w:eastAsia="Arial" w:hAnsi="Arial"/>
          <w:sz w:val="17"/>
          <w:szCs w:val="17"/>
          <w:color w:val="auto"/>
        </w:rPr>
      </w:pPr>
    </w:p>
    <w:p>
      <w:pPr>
        <w:jc w:val="both"/>
        <w:ind w:firstLine="1952"/>
        <w:spacing w:after="0" w:line="263" w:lineRule="auto"/>
        <w:tabs>
          <w:tab w:leader="none" w:pos="2242" w:val="left"/>
        </w:tabs>
        <w:numPr>
          <w:ilvl w:val="1"/>
          <w:numId w:val="187"/>
        </w:numPr>
        <w:rPr>
          <w:rFonts w:ascii="Arial" w:cs="Arial" w:eastAsia="Arial" w:hAnsi="Arial"/>
          <w:sz w:val="18"/>
          <w:szCs w:val="18"/>
          <w:color w:val="auto"/>
        </w:rPr>
      </w:pPr>
      <w:r>
        <w:rPr>
          <w:rFonts w:ascii="Arial" w:cs="Arial" w:eastAsia="Arial" w:hAnsi="Arial"/>
          <w:sz w:val="18"/>
          <w:szCs w:val="18"/>
          <w:u w:val="single" w:color="auto"/>
          <w:color w:val="auto"/>
        </w:rPr>
        <w:t>Reliance</w:t>
      </w:r>
      <w:r>
        <w:rPr>
          <w:rFonts w:ascii="Arial" w:cs="Arial" w:eastAsia="Arial" w:hAnsi="Arial"/>
          <w:sz w:val="18"/>
          <w:szCs w:val="18"/>
          <w:color w:val="auto"/>
        </w:rPr>
        <w:t>. Each Holder represents and warrants that it understands that the Company is relying in part upon the representations and agreements of the Holders contained herein for the purpose of determining whether the offer, sale and issuance of the Securities meet the requirements for such exemptions described in Section 17(b).</w:t>
      </w:r>
    </w:p>
    <w:p>
      <w:pPr>
        <w:spacing w:after="0" w:line="183" w:lineRule="exact"/>
        <w:rPr>
          <w:rFonts w:ascii="Arial" w:cs="Arial" w:eastAsia="Arial" w:hAnsi="Arial"/>
          <w:sz w:val="18"/>
          <w:szCs w:val="18"/>
          <w:color w:val="auto"/>
        </w:rPr>
      </w:pPr>
    </w:p>
    <w:p>
      <w:pPr>
        <w:ind w:left="2200" w:hanging="248"/>
        <w:spacing w:after="0"/>
        <w:tabs>
          <w:tab w:leader="none" w:pos="2200" w:val="left"/>
        </w:tabs>
        <w:numPr>
          <w:ilvl w:val="1"/>
          <w:numId w:val="187"/>
        </w:numPr>
        <w:rPr>
          <w:rFonts w:ascii="Arial" w:cs="Arial" w:eastAsia="Arial" w:hAnsi="Arial"/>
          <w:sz w:val="16"/>
          <w:szCs w:val="16"/>
          <w:color w:val="auto"/>
        </w:rPr>
      </w:pPr>
      <w:r>
        <w:rPr>
          <w:rFonts w:ascii="Arial" w:cs="Arial" w:eastAsia="Arial" w:hAnsi="Arial"/>
          <w:sz w:val="16"/>
          <w:szCs w:val="16"/>
          <w:u w:val="single" w:color="auto"/>
          <w:color w:val="auto"/>
        </w:rPr>
        <w:t>Accredited Investor</w:t>
      </w:r>
      <w:r>
        <w:rPr>
          <w:rFonts w:ascii="Arial" w:cs="Arial" w:eastAsia="Arial" w:hAnsi="Arial"/>
          <w:sz w:val="16"/>
          <w:szCs w:val="16"/>
          <w:color w:val="auto"/>
        </w:rPr>
        <w:t>. Each Holder represents and warrants that it is an “accredited investor” as defined in Rule 501(a) under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Securities Act.</w:t>
      </w:r>
    </w:p>
    <w:p>
      <w:pPr>
        <w:spacing w:after="0" w:line="210" w:lineRule="exact"/>
        <w:rPr>
          <w:rFonts w:ascii="Arial" w:cs="Arial" w:eastAsia="Arial" w:hAnsi="Arial"/>
          <w:sz w:val="16"/>
          <w:szCs w:val="16"/>
          <w:color w:val="auto"/>
        </w:rPr>
      </w:pPr>
    </w:p>
    <w:p>
      <w:pPr>
        <w:jc w:val="both"/>
        <w:ind w:right="20" w:firstLine="1952"/>
        <w:spacing w:after="0" w:line="263" w:lineRule="auto"/>
        <w:tabs>
          <w:tab w:leader="none" w:pos="2202" w:val="left"/>
        </w:tabs>
        <w:numPr>
          <w:ilvl w:val="1"/>
          <w:numId w:val="187"/>
        </w:numPr>
        <w:rPr>
          <w:rFonts w:ascii="Arial" w:cs="Arial" w:eastAsia="Arial" w:hAnsi="Arial"/>
          <w:sz w:val="18"/>
          <w:szCs w:val="18"/>
          <w:color w:val="auto"/>
        </w:rPr>
      </w:pPr>
      <w:r>
        <w:rPr>
          <w:rFonts w:ascii="Arial" w:cs="Arial" w:eastAsia="Arial" w:hAnsi="Arial"/>
          <w:sz w:val="18"/>
          <w:szCs w:val="18"/>
          <w:u w:val="single" w:color="auto"/>
          <w:color w:val="auto"/>
        </w:rPr>
        <w:t>Sophisticated Investor</w:t>
      </w:r>
      <w:r>
        <w:rPr>
          <w:rFonts w:ascii="Arial" w:cs="Arial" w:eastAsia="Arial" w:hAnsi="Arial"/>
          <w:sz w:val="18"/>
          <w:szCs w:val="18"/>
          <w:color w:val="auto"/>
        </w:rPr>
        <w:t>. Each Holder represents and warrants that it has such knowledge, skill and experience in business, financial and investment matters that it is capable of evaluating the merits and risks of an investment in the Securities, including experience in and knowledge of the industry in which the Company operates.</w:t>
      </w:r>
    </w:p>
    <w:p>
      <w:pPr>
        <w:spacing w:after="0" w:line="183" w:lineRule="exact"/>
        <w:rPr>
          <w:rFonts w:ascii="Arial" w:cs="Arial" w:eastAsia="Arial" w:hAnsi="Arial"/>
          <w:sz w:val="18"/>
          <w:szCs w:val="18"/>
          <w:color w:val="auto"/>
        </w:rPr>
      </w:pPr>
    </w:p>
    <w:p>
      <w:pPr>
        <w:jc w:val="both"/>
        <w:ind w:firstLine="1952"/>
        <w:spacing w:after="0" w:line="263" w:lineRule="auto"/>
        <w:tabs>
          <w:tab w:leader="none" w:pos="2169" w:val="left"/>
        </w:tabs>
        <w:numPr>
          <w:ilvl w:val="1"/>
          <w:numId w:val="187"/>
        </w:numPr>
        <w:rPr>
          <w:rFonts w:ascii="Arial" w:cs="Arial" w:eastAsia="Arial" w:hAnsi="Arial"/>
          <w:sz w:val="18"/>
          <w:szCs w:val="18"/>
          <w:color w:val="auto"/>
        </w:rPr>
      </w:pPr>
      <w:r>
        <w:rPr>
          <w:rFonts w:ascii="Arial" w:cs="Arial" w:eastAsia="Arial" w:hAnsi="Arial"/>
          <w:sz w:val="18"/>
          <w:szCs w:val="18"/>
          <w:u w:val="single" w:color="auto"/>
          <w:color w:val="auto"/>
        </w:rPr>
        <w:t>Restricted Securities</w:t>
      </w:r>
      <w:r>
        <w:rPr>
          <w:rFonts w:ascii="Arial" w:cs="Arial" w:eastAsia="Arial" w:hAnsi="Arial"/>
          <w:sz w:val="18"/>
          <w:szCs w:val="18"/>
          <w:color w:val="auto"/>
        </w:rPr>
        <w:t>. Each Holder represents and warrants that it understand that the Securities will be “restricted securities” under applicable federal securities laws and that the Securities Act and the rules of the SEC provide in substance that it may dispose of the Securities only pursuant to an effective registration statement under the Securities Act or an exemption therefrom.</w:t>
      </w:r>
    </w:p>
    <w:p>
      <w:pPr>
        <w:spacing w:after="0" w:line="183" w:lineRule="exact"/>
        <w:rPr>
          <w:rFonts w:ascii="Arial" w:cs="Arial" w:eastAsia="Arial" w:hAnsi="Arial"/>
          <w:sz w:val="18"/>
          <w:szCs w:val="18"/>
          <w:color w:val="auto"/>
        </w:rPr>
      </w:pPr>
    </w:p>
    <w:p>
      <w:pPr>
        <w:jc w:val="both"/>
        <w:ind w:firstLine="1952"/>
        <w:spacing w:after="0" w:line="270" w:lineRule="auto"/>
        <w:tabs>
          <w:tab w:leader="none" w:pos="2212" w:val="left"/>
        </w:tabs>
        <w:numPr>
          <w:ilvl w:val="1"/>
          <w:numId w:val="187"/>
        </w:numPr>
        <w:rPr>
          <w:rFonts w:ascii="Arial" w:cs="Arial" w:eastAsia="Arial" w:hAnsi="Arial"/>
          <w:sz w:val="17"/>
          <w:szCs w:val="17"/>
          <w:color w:val="auto"/>
        </w:rPr>
      </w:pPr>
      <w:r>
        <w:rPr>
          <w:rFonts w:ascii="Arial" w:cs="Arial" w:eastAsia="Arial" w:hAnsi="Arial"/>
          <w:sz w:val="17"/>
          <w:szCs w:val="17"/>
          <w:u w:val="single" w:color="auto"/>
          <w:color w:val="auto"/>
        </w:rPr>
        <w:t>Information</w:t>
      </w:r>
      <w:r>
        <w:rPr>
          <w:rFonts w:ascii="Arial" w:cs="Arial" w:eastAsia="Arial" w:hAnsi="Arial"/>
          <w:sz w:val="17"/>
          <w:szCs w:val="17"/>
          <w:color w:val="auto"/>
        </w:rPr>
        <w:t>. Each Holder represents and warrants that it has been furnished by the Company all information (or provided access to all information) regarding the business and financial condition of the Company, the attributes of the Securities, and the merits and risks of an investment in such Securities which it has requested or otherwise needs to evaluate the investment in such Securities; that in making the proposed investment decision, such Holder is relying solely on such information, the representations, warranties and agreements of the Company and the other Loan Parties contained herein and in the other Loan Documents and on investigations made by it and its representatives; that the offer to sell the Securities hereunder was communicated to such Holder in such a manner that it was able to ask questions of and receive answers from the management of the Company concerning the terms and conditions of the proposed transaction and that at no time was it presented with or solicited by or through any leaflet, public promotional meeting, television advertisement or any other form of general or public advertising or solicitation; and such Holder recognizes that an investment in the Securities involves risks and can result in a total loss of all funds invested.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3" w:name="page204"/>
    <w:bookmarkEnd w:id="203"/>
    <w:p>
      <w:pPr>
        <w:jc w:val="both"/>
        <w:ind w:firstLine="1952"/>
        <w:spacing w:after="0" w:line="287" w:lineRule="auto"/>
        <w:tabs>
          <w:tab w:leader="none" w:pos="2199" w:val="left"/>
        </w:tabs>
        <w:numPr>
          <w:ilvl w:val="2"/>
          <w:numId w:val="188"/>
        </w:numPr>
        <w:rPr>
          <w:rFonts w:ascii="Arial" w:cs="Arial" w:eastAsia="Arial" w:hAnsi="Arial"/>
          <w:sz w:val="16"/>
          <w:szCs w:val="16"/>
          <w:color w:val="auto"/>
        </w:rPr>
      </w:pPr>
      <w:r>
        <w:rPr>
          <w:rFonts w:ascii="Arial" w:cs="Arial" w:eastAsia="Arial" w:hAnsi="Arial"/>
          <w:sz w:val="16"/>
          <w:szCs w:val="16"/>
          <w:u w:val="single" w:color="auto"/>
          <w:color w:val="auto"/>
        </w:rPr>
        <w:t>Non-Reliance</w:t>
      </w:r>
      <w:r>
        <w:rPr>
          <w:rFonts w:ascii="Arial" w:cs="Arial" w:eastAsia="Arial" w:hAnsi="Arial"/>
          <w:sz w:val="16"/>
          <w:szCs w:val="16"/>
          <w:color w:val="auto"/>
        </w:rPr>
        <w:t xml:space="preserve">. Notwithstanding anything in this Warrant to the contrary, each Holder hereby acknowledges, with respect to itself, that the Company may possess material non-public information with respect to the Company and/or its securities not known to each Holder as of the date hereof or at a time when each Holder exercises its right to purchase Warrant Shares pursuant to this Warrant and that any such information may impact the value of the Warrant and the Warrant Shares. Each Holder with respect to itself irrevocably waives any claim, or potential claim, that it may have based on the failure of the Company or its Affiliates, officers, directors, employees, agents or other representatives to disclose such information in connection with the execution and delivery of this Warrant or the purchase of Warrant Shares hereunder;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notwithstanding anything in this Section 17(h) or otherwise to the contrary, each Holder does not and shall not be deemed to have waived or otherwise compromised any rights or claims based upon or arising out of (i) the Company’s disclosure obligations under the federal securities laws with respect to any untrue statement of a material fact or omission to state a material fact necessary in order to make the statements made, in the light of the circumstances under which they were made, not misleading in any public statement or filing made by the Company pursuant to the Exchange Act, or (ii) any breach or inaccuracy of any representation or warranty of the Company or any other Loan Party in the Credit Agreement or any other Loan Document. Each Holder with respect to itself acknowledges that the Company would not enter into this Warrant in the absence of the agreements set forth in this Section 17.</w:t>
      </w:r>
    </w:p>
    <w:p>
      <w:pPr>
        <w:spacing w:after="0" w:line="167" w:lineRule="exact"/>
        <w:rPr>
          <w:rFonts w:ascii="Arial" w:cs="Arial" w:eastAsia="Arial" w:hAnsi="Arial"/>
          <w:sz w:val="16"/>
          <w:szCs w:val="16"/>
          <w:color w:val="auto"/>
        </w:rPr>
      </w:pPr>
    </w:p>
    <w:p>
      <w:pPr>
        <w:jc w:val="both"/>
        <w:ind w:firstLine="1304"/>
        <w:spacing w:after="0" w:line="263" w:lineRule="auto"/>
        <w:tabs>
          <w:tab w:leader="none" w:pos="1566" w:val="left"/>
        </w:tabs>
        <w:numPr>
          <w:ilvl w:val="1"/>
          <w:numId w:val="189"/>
        </w:numPr>
        <w:rPr>
          <w:rFonts w:ascii="Arial" w:cs="Arial" w:eastAsia="Arial" w:hAnsi="Arial"/>
          <w:sz w:val="18"/>
          <w:szCs w:val="18"/>
          <w:color w:val="auto"/>
        </w:rPr>
      </w:pPr>
      <w:r>
        <w:rPr>
          <w:rFonts w:ascii="Arial" w:cs="Arial" w:eastAsia="Arial" w:hAnsi="Arial"/>
          <w:sz w:val="18"/>
          <w:szCs w:val="18"/>
          <w:u w:val="single" w:color="auto"/>
          <w:color w:val="auto"/>
        </w:rPr>
        <w:t>REPRESENTATIONS OF THE COMPANY</w:t>
      </w:r>
      <w:r>
        <w:rPr>
          <w:rFonts w:ascii="Arial" w:cs="Arial" w:eastAsia="Arial" w:hAnsi="Arial"/>
          <w:sz w:val="18"/>
          <w:szCs w:val="18"/>
          <w:color w:val="auto"/>
        </w:rPr>
        <w:t>. The Company represents and warrants to the Holder that, except as set forth in (i) the SEC Reports or (ii) the draft Annual Report on Form 10-K for the fiscal year ended June 30, 2023 in the form provided to the Holder (the “</w:t>
      </w:r>
      <w:r>
        <w:rPr>
          <w:rFonts w:ascii="Arial" w:cs="Arial" w:eastAsia="Arial" w:hAnsi="Arial"/>
          <w:sz w:val="18"/>
          <w:szCs w:val="18"/>
          <w:b w:val="1"/>
          <w:bCs w:val="1"/>
          <w:i w:val="1"/>
          <w:iCs w:val="1"/>
          <w:color w:val="auto"/>
        </w:rPr>
        <w:t>2023 Form 10-K</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2200" w:hanging="248"/>
        <w:spacing w:after="0"/>
        <w:tabs>
          <w:tab w:leader="none" w:pos="2200" w:val="left"/>
        </w:tabs>
        <w:numPr>
          <w:ilvl w:val="2"/>
          <w:numId w:val="189"/>
        </w:numPr>
        <w:rPr>
          <w:rFonts w:ascii="Arial" w:cs="Arial" w:eastAsia="Arial" w:hAnsi="Arial"/>
          <w:sz w:val="16"/>
          <w:szCs w:val="16"/>
          <w:color w:val="auto"/>
        </w:rPr>
      </w:pPr>
      <w:r>
        <w:rPr>
          <w:rFonts w:ascii="Arial" w:cs="Arial" w:eastAsia="Arial" w:hAnsi="Arial"/>
          <w:sz w:val="16"/>
          <w:szCs w:val="16"/>
          <w:color w:val="auto"/>
        </w:rPr>
        <w:t>The Company (i) is duly organized, validly existing and in good standing under the laws of its jurisdiction of incorporation;</w:t>
      </w:r>
    </w:p>
    <w:p>
      <w:pPr>
        <w:spacing w:after="0" w:line="46" w:lineRule="exact"/>
        <w:rPr>
          <w:rFonts w:ascii="Arial" w:cs="Arial" w:eastAsia="Arial" w:hAnsi="Arial"/>
          <w:sz w:val="16"/>
          <w:szCs w:val="16"/>
          <w:color w:val="auto"/>
        </w:rPr>
      </w:pPr>
    </w:p>
    <w:p>
      <w:pPr>
        <w:jc w:val="both"/>
        <w:ind w:firstLine="8"/>
        <w:spacing w:after="0" w:line="286" w:lineRule="auto"/>
        <w:tabs>
          <w:tab w:leader="none" w:pos="277" w:val="left"/>
        </w:tabs>
        <w:numPr>
          <w:ilvl w:val="0"/>
          <w:numId w:val="190"/>
        </w:numPr>
        <w:rPr>
          <w:rFonts w:ascii="Arial" w:cs="Arial" w:eastAsia="Arial" w:hAnsi="Arial"/>
          <w:sz w:val="16"/>
          <w:szCs w:val="16"/>
          <w:color w:val="auto"/>
        </w:rPr>
      </w:pPr>
      <w:r>
        <w:rPr>
          <w:rFonts w:ascii="Arial" w:cs="Arial" w:eastAsia="Arial" w:hAnsi="Arial"/>
          <w:sz w:val="16"/>
          <w:szCs w:val="16"/>
          <w:color w:val="auto"/>
        </w:rPr>
        <w:t>has the requisite power and authority to own, lease and operate its properties, to carry on its business as it is now being conducted and to enter into, deliver and perform its obligations under this Warrant; and (iii) is duly licensed or qualified to conduct its business and, if applicable, is in good standing under the laws of each jurisdiction (other than its jurisdiction of incorporation) in which the conduct of its business or the ownership of its properties or assets requires such license or qualification, except, with respect to the foregoing clause (iii), where the failure to be in good standing would not reasonably be expected to have a Company Material Adverse Effect. For purposes of this Warrant, a “</w:t>
      </w:r>
      <w:r>
        <w:rPr>
          <w:rFonts w:ascii="Arial" w:cs="Arial" w:eastAsia="Arial" w:hAnsi="Arial"/>
          <w:sz w:val="16"/>
          <w:szCs w:val="16"/>
          <w:b w:val="1"/>
          <w:bCs w:val="1"/>
          <w:color w:val="auto"/>
        </w:rPr>
        <w:t>Company Material Adverse Effect</w:t>
      </w:r>
      <w:r>
        <w:rPr>
          <w:rFonts w:ascii="Arial" w:cs="Arial" w:eastAsia="Arial" w:hAnsi="Arial"/>
          <w:sz w:val="16"/>
          <w:szCs w:val="16"/>
          <w:color w:val="auto"/>
        </w:rPr>
        <w:t>” means an event, change, development, occurrence, condition or effect with respect to the Company and its subsidiaries, taken together as a whole (on a consolidated basis), that, individually or in the aggregate, (A) would reasonably be expected to have a material adverse effect on the business, financial condition or results of operations of the Company and its subsidiaries, taken together as a whole (on a consolidated basis) or (B) would prevent, materially delay or materially impede the performance by the Company or its subsidiaries of their respective obligations under this Warrant or the other Loan Documents.</w:t>
      </w:r>
    </w:p>
    <w:p>
      <w:pPr>
        <w:spacing w:after="0" w:line="172" w:lineRule="exact"/>
        <w:rPr>
          <w:rFonts w:ascii="Arial" w:cs="Arial" w:eastAsia="Arial" w:hAnsi="Arial"/>
          <w:sz w:val="16"/>
          <w:szCs w:val="16"/>
          <w:color w:val="auto"/>
        </w:rPr>
      </w:pPr>
    </w:p>
    <w:p>
      <w:pPr>
        <w:jc w:val="both"/>
        <w:ind w:firstLine="1952"/>
        <w:spacing w:after="0" w:line="301" w:lineRule="auto"/>
        <w:tabs>
          <w:tab w:leader="none" w:pos="2239" w:val="left"/>
        </w:tabs>
        <w:numPr>
          <w:ilvl w:val="2"/>
          <w:numId w:val="190"/>
        </w:numPr>
        <w:rPr>
          <w:rFonts w:ascii="Arial" w:cs="Arial" w:eastAsia="Arial" w:hAnsi="Arial"/>
          <w:sz w:val="16"/>
          <w:szCs w:val="16"/>
          <w:color w:val="auto"/>
        </w:rPr>
      </w:pPr>
      <w:r>
        <w:rPr>
          <w:rFonts w:ascii="Arial" w:cs="Arial" w:eastAsia="Arial" w:hAnsi="Arial"/>
          <w:sz w:val="16"/>
          <w:szCs w:val="16"/>
          <w:color w:val="auto"/>
        </w:rPr>
        <w:t>This Warrant is duly authorized, validly issued and constitutes legal, valid and binding obligations of the Company, enforceable against the Company in accordance with its terms, except that the enforcement thereof may be subject to applicable bankruptcy, insolvency or similar laws affecting creditors’ rights generally or by equitable principles relating to enforceability (collectively, the “</w:t>
      </w:r>
      <w:r>
        <w:rPr>
          <w:rFonts w:ascii="Arial" w:cs="Arial" w:eastAsia="Arial" w:hAnsi="Arial"/>
          <w:sz w:val="16"/>
          <w:szCs w:val="16"/>
          <w:b w:val="1"/>
          <w:bCs w:val="1"/>
          <w:color w:val="auto"/>
        </w:rPr>
        <w:t>Enforceability Exceptions</w:t>
      </w:r>
      <w:r>
        <w:rPr>
          <w:rFonts w:ascii="Arial" w:cs="Arial" w:eastAsia="Arial" w:hAnsi="Arial"/>
          <w:sz w:val="16"/>
          <w:szCs w:val="16"/>
          <w:color w:val="auto"/>
        </w:rPr>
        <w:t>”), and has not been issued in violation of any preemptive rights created under the Company’s organizational documents or the laws of the State of Delaware.</w:t>
      </w:r>
    </w:p>
    <w:p>
      <w:pPr>
        <w:spacing w:after="0" w:line="157" w:lineRule="exact"/>
        <w:rPr>
          <w:rFonts w:ascii="Arial" w:cs="Arial" w:eastAsia="Arial" w:hAnsi="Arial"/>
          <w:sz w:val="16"/>
          <w:szCs w:val="16"/>
          <w:color w:val="auto"/>
        </w:rPr>
      </w:pPr>
    </w:p>
    <w:p>
      <w:pPr>
        <w:jc w:val="both"/>
        <w:ind w:firstLine="1952"/>
        <w:spacing w:after="0" w:line="263" w:lineRule="auto"/>
        <w:tabs>
          <w:tab w:leader="none" w:pos="2215" w:val="left"/>
        </w:tabs>
        <w:numPr>
          <w:ilvl w:val="2"/>
          <w:numId w:val="190"/>
        </w:numPr>
        <w:rPr>
          <w:rFonts w:ascii="Arial" w:cs="Arial" w:eastAsia="Arial" w:hAnsi="Arial"/>
          <w:sz w:val="18"/>
          <w:szCs w:val="18"/>
          <w:color w:val="auto"/>
        </w:rPr>
      </w:pPr>
      <w:r>
        <w:rPr>
          <w:rFonts w:ascii="Arial" w:cs="Arial" w:eastAsia="Arial" w:hAnsi="Arial"/>
          <w:sz w:val="18"/>
          <w:szCs w:val="18"/>
          <w:color w:val="auto"/>
        </w:rPr>
        <w:t>The Warrant Shares have been duly authorized and, when issued and delivered to the Holder upon conversion of this Warrant, will be validly issued, fully paid and nonassessable and will not have been issued in violation of any preemptive rights created under the Company’s organizational documents or the laws of the State of Delaware.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4" w:name="page205"/>
    <w:bookmarkEnd w:id="204"/>
    <w:p>
      <w:pPr>
        <w:jc w:val="both"/>
        <w:ind w:firstLine="1952"/>
        <w:spacing w:after="0" w:line="270" w:lineRule="auto"/>
        <w:tabs>
          <w:tab w:leader="none" w:pos="2212" w:val="left"/>
        </w:tabs>
        <w:numPr>
          <w:ilvl w:val="1"/>
          <w:numId w:val="191"/>
        </w:numPr>
        <w:rPr>
          <w:rFonts w:ascii="Arial" w:cs="Arial" w:eastAsia="Arial" w:hAnsi="Arial"/>
          <w:sz w:val="17"/>
          <w:szCs w:val="17"/>
          <w:color w:val="auto"/>
        </w:rPr>
      </w:pPr>
      <w:r>
        <w:rPr>
          <w:rFonts w:ascii="Arial" w:cs="Arial" w:eastAsia="Arial" w:hAnsi="Arial"/>
          <w:sz w:val="17"/>
          <w:szCs w:val="17"/>
          <w:color w:val="auto"/>
        </w:rPr>
        <w:t>The execution and delivery of this Warrant, the issuance and delivery of the Warrant Shares in accordance with the terms hereof and the compliance by the Company with all of the provisions of this Warrant and the consummation of the transactions contemplated herein will not conflict with or result in a breach or violation of any of the terms or provisions of, or constitute a default under, or result in the creation or imposition of any lien, charge or encumbrance upon any of the property or assets of the Company pursuant to the terms of (i) any indenture, mortgage, deed of trust, loan agreement, lease, license or other agreement or instrument to which the Company is a party or by which the Company is bound or to which any of the property or assets of the Company is subject; (ii) the organizational documents of the Company; or (iii) any statute or any judgment, order, rule or regulation of any court or governmental agency or body, domestic or foreign, having jurisdiction over the Company or any of its properties that, in the case of clauses (i) and (iii), would reasonably be expected to have a Company Material Adverse Effect or have a material adverse effect on the Company’s ability to consummate the transactions contemplated hereby.</w:t>
      </w:r>
    </w:p>
    <w:p>
      <w:pPr>
        <w:spacing w:after="0" w:line="180" w:lineRule="exact"/>
        <w:rPr>
          <w:rFonts w:ascii="Arial" w:cs="Arial" w:eastAsia="Arial" w:hAnsi="Arial"/>
          <w:sz w:val="17"/>
          <w:szCs w:val="17"/>
          <w:color w:val="auto"/>
        </w:rPr>
      </w:pPr>
    </w:p>
    <w:p>
      <w:pPr>
        <w:jc w:val="both"/>
        <w:ind w:firstLine="1952"/>
        <w:spacing w:after="0" w:line="285" w:lineRule="auto"/>
        <w:tabs>
          <w:tab w:leader="none" w:pos="2215" w:val="left"/>
        </w:tabs>
        <w:numPr>
          <w:ilvl w:val="1"/>
          <w:numId w:val="191"/>
        </w:numPr>
        <w:rPr>
          <w:rFonts w:ascii="Arial" w:cs="Arial" w:eastAsia="Arial" w:hAnsi="Arial"/>
          <w:sz w:val="16"/>
          <w:szCs w:val="16"/>
          <w:color w:val="auto"/>
        </w:rPr>
      </w:pPr>
      <w:r>
        <w:rPr>
          <w:rFonts w:ascii="Arial" w:cs="Arial" w:eastAsia="Arial" w:hAnsi="Arial"/>
          <w:sz w:val="16"/>
          <w:szCs w:val="16"/>
          <w:color w:val="auto"/>
        </w:rPr>
        <w:t>Assuming the accuracy of the representations and warranties of the Holder, the Company is not required to obtain any consent, waiver, authorization or order of, give any notice to, or make any filing or registration with, any court or other federal, state, local or other governmental authority, self-regulatory organization (including the Nasdaq Stock Market) or other person in connection with the execution, delivery and performance of this Warrant, other than (i) filings required by applicable state securities laws, (ii) the filing of the registration statement pursuant to the First Amendment Registration Rights Agreement, (iii) the filing of a Notice of Exempt Offering of Securities on Form D with the SEC, if applicable and</w:t>
      </w:r>
    </w:p>
    <w:p>
      <w:pPr>
        <w:spacing w:after="0" w:line="1" w:lineRule="exact"/>
        <w:rPr>
          <w:rFonts w:ascii="Arial" w:cs="Arial" w:eastAsia="Arial" w:hAnsi="Arial"/>
          <w:sz w:val="16"/>
          <w:szCs w:val="16"/>
          <w:color w:val="auto"/>
        </w:rPr>
      </w:pPr>
    </w:p>
    <w:p>
      <w:pPr>
        <w:ind w:firstLine="8"/>
        <w:spacing w:after="0" w:line="260" w:lineRule="auto"/>
        <w:tabs>
          <w:tab w:leader="none" w:pos="307"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those the failure of which to obtain would not be reasonably likely to have a Company Material Adverse Effect or have a material adverse effect on the Company’s ability to consummate the transactions contemplated hereby.</w:t>
      </w:r>
    </w:p>
    <w:p>
      <w:pPr>
        <w:spacing w:after="0" w:line="185" w:lineRule="exact"/>
        <w:rPr>
          <w:rFonts w:ascii="Arial" w:cs="Arial" w:eastAsia="Arial" w:hAnsi="Arial"/>
          <w:sz w:val="18"/>
          <w:szCs w:val="18"/>
          <w:color w:val="auto"/>
        </w:rPr>
      </w:pPr>
    </w:p>
    <w:p>
      <w:pPr>
        <w:jc w:val="both"/>
        <w:ind w:firstLine="1952"/>
        <w:spacing w:after="0" w:line="286" w:lineRule="auto"/>
        <w:tabs>
          <w:tab w:leader="none" w:pos="2182" w:val="left"/>
        </w:tabs>
        <w:numPr>
          <w:ilvl w:val="1"/>
          <w:numId w:val="192"/>
        </w:numPr>
        <w:rPr>
          <w:rFonts w:ascii="Arial" w:cs="Arial" w:eastAsia="Arial" w:hAnsi="Arial"/>
          <w:sz w:val="16"/>
          <w:szCs w:val="16"/>
          <w:color w:val="auto"/>
        </w:rPr>
      </w:pPr>
      <w:r>
        <w:rPr>
          <w:rFonts w:ascii="Arial" w:cs="Arial" w:eastAsia="Arial" w:hAnsi="Arial"/>
          <w:sz w:val="16"/>
          <w:szCs w:val="16"/>
          <w:color w:val="auto"/>
        </w:rPr>
        <w:t>The Company has filed all reports, schedules, forms, statements and other documents required to be filed by the Company under the Securities Act and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being collectively referred to herein as the “</w:t>
      </w:r>
      <w:r>
        <w:rPr>
          <w:rFonts w:ascii="Arial" w:cs="Arial" w:eastAsia="Arial" w:hAnsi="Arial"/>
          <w:sz w:val="16"/>
          <w:szCs w:val="16"/>
          <w:b w:val="1"/>
          <w:bCs w:val="1"/>
          <w:i w:val="1"/>
          <w:iCs w:val="1"/>
          <w:u w:val="single" w:color="auto"/>
          <w:color w:val="auto"/>
        </w:rPr>
        <w:t>SEC Reports</w:t>
      </w:r>
      <w:r>
        <w:rPr>
          <w:rFonts w:ascii="Arial" w:cs="Arial" w:eastAsia="Arial" w:hAnsi="Arial"/>
          <w:sz w:val="16"/>
          <w:szCs w:val="16"/>
          <w:color w:val="auto"/>
        </w:rPr>
        <w:t>”) on a timely basis or has received a valid extension of such time of filing and has filed any such SEC Reports prior to the expiration of any such extension. As of its date, the 2023 Form 10-K will comply in all material respects with the requirements of the Securities Act and the Exchange Act, as applicable, and the 2023 Form 10-K, when filed, will not contain any untrue statement of a material fact or omit to state a material fact required to be stated therein or necessary in order to make the statements therein, in the light of the circumstances under which they were made, not misleading. The financial statements of the Company included in the SEC Reports comply, and the financial statements of the Company to be included in the 2023 Form 10-K will comply, in all material respects with applicable accounting requirements and the rules and regulations of the Commission with respect thereto as in effect at the time of filing. Such financial statements have been, or will be, as applicable, prepared in all material respects in accordance with United States generally accepted accounting principles applied on a consistent basis during the periods involved (“</w:t>
      </w:r>
      <w:r>
        <w:rPr>
          <w:rFonts w:ascii="Arial" w:cs="Arial" w:eastAsia="Arial" w:hAnsi="Arial"/>
          <w:sz w:val="16"/>
          <w:szCs w:val="16"/>
          <w:b w:val="1"/>
          <w:bCs w:val="1"/>
          <w:i w:val="1"/>
          <w:iCs w:val="1"/>
          <w:u w:val="single" w:color="auto"/>
          <w:color w:val="auto"/>
        </w:rPr>
        <w:t>GAAP</w:t>
      </w:r>
      <w:r>
        <w:rPr>
          <w:rFonts w:ascii="Arial" w:cs="Arial" w:eastAsia="Arial" w:hAnsi="Arial"/>
          <w:sz w:val="16"/>
          <w:szCs w:val="16"/>
          <w:color w:val="auto"/>
        </w:rPr>
        <w:t>”), except as may be otherwise specified in such financial statements or the notes thereto and except that unaudited financial statements may not contain all footnotes required by GAAP, and fairly present, or will fairly present, as applicable,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5" w:name="page206"/>
    <w:bookmarkEnd w:id="205"/>
    <w:p>
      <w:pPr>
        <w:jc w:val="both"/>
        <w:ind w:firstLine="1952"/>
        <w:spacing w:after="0" w:line="275" w:lineRule="auto"/>
        <w:tabs>
          <w:tab w:leader="none" w:pos="2199" w:val="left"/>
        </w:tabs>
        <w:numPr>
          <w:ilvl w:val="1"/>
          <w:numId w:val="193"/>
        </w:numPr>
        <w:rPr>
          <w:rFonts w:ascii="Arial" w:cs="Arial" w:eastAsia="Arial" w:hAnsi="Arial"/>
          <w:sz w:val="17"/>
          <w:szCs w:val="17"/>
          <w:color w:val="auto"/>
        </w:rPr>
      </w:pPr>
      <w:r>
        <w:rPr>
          <w:rFonts w:ascii="Arial" w:cs="Arial" w:eastAsia="Arial" w:hAnsi="Arial"/>
          <w:sz w:val="17"/>
          <w:szCs w:val="17"/>
          <w:color w:val="auto"/>
        </w:rPr>
        <w:t>Except for such matters as have not had and would not be reasonably likely to have a Company Material Adverse Effect or have a material adverse effect on the Company’s ability to consummate the transactions contemplated hereby, there is no (i) suit, action, investigation, proceeding or arbitration before a governmental authority or arbitrator pending, or, to the knowledge of the Company, threatened in writing against the Company or any of its directors or officers in their capacities as such or (ii) judgment, decree, injunction, ruling or order of any governmental authority or arbitrator outstanding against the Company or any of its directors or officers in their capacities as such.</w:t>
      </w:r>
    </w:p>
    <w:p>
      <w:pPr>
        <w:spacing w:after="0" w:line="176" w:lineRule="exact"/>
        <w:rPr>
          <w:rFonts w:ascii="Arial" w:cs="Arial" w:eastAsia="Arial" w:hAnsi="Arial"/>
          <w:sz w:val="17"/>
          <w:szCs w:val="17"/>
          <w:color w:val="auto"/>
        </w:rPr>
      </w:pPr>
    </w:p>
    <w:p>
      <w:pPr>
        <w:jc w:val="both"/>
        <w:ind w:firstLine="1952"/>
        <w:spacing w:after="0" w:line="255" w:lineRule="auto"/>
        <w:tabs>
          <w:tab w:leader="none" w:pos="2199" w:val="left"/>
        </w:tabs>
        <w:numPr>
          <w:ilvl w:val="1"/>
          <w:numId w:val="193"/>
        </w:numPr>
        <w:rPr>
          <w:rFonts w:ascii="Arial" w:cs="Arial" w:eastAsia="Arial" w:hAnsi="Arial"/>
          <w:sz w:val="18"/>
          <w:szCs w:val="18"/>
          <w:color w:val="auto"/>
        </w:rPr>
      </w:pPr>
      <w:r>
        <w:rPr>
          <w:rFonts w:ascii="Arial" w:cs="Arial" w:eastAsia="Arial" w:hAnsi="Arial"/>
          <w:sz w:val="18"/>
          <w:szCs w:val="18"/>
          <w:color w:val="auto"/>
        </w:rPr>
        <w:t>Except for such matters as have not had and would not be reasonably likely to have a Company Material Adverse Effect or have a material adverse effect on the Company’s ability to consummate the transactions contemplated hereby, the Company is, and has been since its inception, in compliance with all laws applicable to the conduct of the business of the Company. The Company has not received any written, or to its knowledge, other communication from a governmental entity that alleges that the Company is not in compliance with or is in default or violation of any applicable law, except where such noncompliance, default or violation would not be reasonably expected to have, individually or in the aggregate, a Company Material Adverse Effect.</w:t>
      </w:r>
    </w:p>
    <w:p>
      <w:pPr>
        <w:spacing w:after="0" w:line="192" w:lineRule="exact"/>
        <w:rPr>
          <w:rFonts w:ascii="Arial" w:cs="Arial" w:eastAsia="Arial" w:hAnsi="Arial"/>
          <w:sz w:val="18"/>
          <w:szCs w:val="18"/>
          <w:color w:val="auto"/>
        </w:rPr>
      </w:pPr>
    </w:p>
    <w:p>
      <w:pPr>
        <w:jc w:val="both"/>
        <w:ind w:firstLine="1952"/>
        <w:spacing w:after="0" w:line="263" w:lineRule="auto"/>
        <w:tabs>
          <w:tab w:leader="none" w:pos="2159" w:val="left"/>
        </w:tabs>
        <w:numPr>
          <w:ilvl w:val="1"/>
          <w:numId w:val="193"/>
        </w:numPr>
        <w:rPr>
          <w:rFonts w:ascii="Arial" w:cs="Arial" w:eastAsia="Arial" w:hAnsi="Arial"/>
          <w:sz w:val="18"/>
          <w:szCs w:val="18"/>
          <w:color w:val="auto"/>
        </w:rPr>
      </w:pPr>
      <w:r>
        <w:rPr>
          <w:rFonts w:ascii="Arial" w:cs="Arial" w:eastAsia="Arial" w:hAnsi="Arial"/>
          <w:sz w:val="18"/>
          <w:szCs w:val="18"/>
          <w:color w:val="auto"/>
        </w:rPr>
        <w:t>The Company has all franchises, permits, licenses and any similar authority necessary for the conduct of its business as now being conducted by it, the lack of which would have a material adverse effect, and to the Company’s knowledge, the Company is not in default in any material respect under any of such franchises, permits, licenses or other authority.</w:t>
      </w:r>
    </w:p>
    <w:p>
      <w:pPr>
        <w:spacing w:after="0" w:line="183" w:lineRule="exact"/>
        <w:rPr>
          <w:rFonts w:ascii="Arial" w:cs="Arial" w:eastAsia="Arial" w:hAnsi="Arial"/>
          <w:sz w:val="18"/>
          <w:szCs w:val="18"/>
          <w:color w:val="auto"/>
        </w:rPr>
      </w:pPr>
    </w:p>
    <w:p>
      <w:pPr>
        <w:jc w:val="both"/>
        <w:ind w:firstLine="1952"/>
        <w:spacing w:after="0" w:line="259" w:lineRule="auto"/>
        <w:tabs>
          <w:tab w:leader="none" w:pos="2159" w:val="left"/>
        </w:tabs>
        <w:numPr>
          <w:ilvl w:val="1"/>
          <w:numId w:val="193"/>
        </w:numPr>
        <w:rPr>
          <w:rFonts w:ascii="Arial" w:cs="Arial" w:eastAsia="Arial" w:hAnsi="Arial"/>
          <w:sz w:val="18"/>
          <w:szCs w:val="18"/>
          <w:color w:val="auto"/>
        </w:rPr>
      </w:pPr>
      <w:r>
        <w:rPr>
          <w:rFonts w:ascii="Arial" w:cs="Arial" w:eastAsia="Arial" w:hAnsi="Arial"/>
          <w:sz w:val="18"/>
          <w:szCs w:val="18"/>
          <w:color w:val="auto"/>
        </w:rPr>
        <w:t>There is no action, suit, proceeding or investigation pending or, to the Company’s knowledge, currently threatened in writing against the Company that questions the validity of this Warrant or the right of the Company to enter into this Warrant, or to consummate the transactions contemplated hereby, or that might result, if determined adversely to the Company, in a material adverse effect, or in any material change in the current equity ownership of the Company.</w:t>
      </w:r>
    </w:p>
    <w:p>
      <w:pPr>
        <w:spacing w:after="0" w:line="186" w:lineRule="exact"/>
        <w:rPr>
          <w:rFonts w:ascii="Arial" w:cs="Arial" w:eastAsia="Arial" w:hAnsi="Arial"/>
          <w:sz w:val="18"/>
          <w:szCs w:val="18"/>
          <w:color w:val="auto"/>
        </w:rPr>
      </w:pPr>
    </w:p>
    <w:p>
      <w:pPr>
        <w:jc w:val="both"/>
        <w:ind w:firstLine="1952"/>
        <w:spacing w:after="0" w:line="291" w:lineRule="auto"/>
        <w:tabs>
          <w:tab w:leader="none" w:pos="2212" w:val="left"/>
        </w:tabs>
        <w:numPr>
          <w:ilvl w:val="1"/>
          <w:numId w:val="193"/>
        </w:numPr>
        <w:rPr>
          <w:rFonts w:ascii="Arial" w:cs="Arial" w:eastAsia="Arial" w:hAnsi="Arial"/>
          <w:sz w:val="16"/>
          <w:szCs w:val="16"/>
          <w:color w:val="auto"/>
        </w:rPr>
      </w:pPr>
      <w:r>
        <w:rPr>
          <w:rFonts w:ascii="Arial" w:cs="Arial" w:eastAsia="Arial" w:hAnsi="Arial"/>
          <w:sz w:val="16"/>
          <w:szCs w:val="16"/>
          <w:color w:val="auto"/>
        </w:rPr>
        <w:t>To the Company’s knowledge, the Company owns or possesses sufficient legal rights to all (a) patents, patent applications and inventions; (b) trademarks, service marks, trade names, trade dress, logos, domain names or corporate names and registrations and applications for registration thereof, together with all of the goodwill associated therewith; (c) copyrights (registered or unregistered) and copyrightable works and registrations and applications for registrations thereof; (d) computer software, data, and databases and documentation thereof; (e) trade secrets and other confidential information; and (f) licenses, information and proprietary rights and processes necessary for its business as now conducted. The Company has not received any written communications alleging that the Company has violated or, by conducting its business as proposed, would violate any of the patents, trademarks, service marks, trade names, copyrights or trade secrets or other proprietary rights of any other person or entity.</w:t>
      </w:r>
    </w:p>
    <w:p>
      <w:pPr>
        <w:spacing w:after="0" w:line="166" w:lineRule="exact"/>
        <w:rPr>
          <w:rFonts w:ascii="Arial" w:cs="Arial" w:eastAsia="Arial" w:hAnsi="Arial"/>
          <w:sz w:val="16"/>
          <w:szCs w:val="16"/>
          <w:color w:val="auto"/>
        </w:rPr>
      </w:pPr>
    </w:p>
    <w:p>
      <w:pPr>
        <w:ind w:left="1580" w:hanging="276"/>
        <w:spacing w:after="0"/>
        <w:tabs>
          <w:tab w:leader="none" w:pos="1580" w:val="left"/>
        </w:tabs>
        <w:numPr>
          <w:ilvl w:val="0"/>
          <w:numId w:val="194"/>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Warrant, the following terms shall have the following meanings:</w:t>
      </w:r>
    </w:p>
    <w:p>
      <w:pPr>
        <w:spacing w:after="0" w:line="221" w:lineRule="exact"/>
        <w:rPr>
          <w:rFonts w:ascii="Arial" w:cs="Arial" w:eastAsia="Arial" w:hAnsi="Arial"/>
          <w:sz w:val="18"/>
          <w:szCs w:val="18"/>
          <w:color w:val="auto"/>
        </w:rPr>
      </w:pPr>
    </w:p>
    <w:p>
      <w:pPr>
        <w:jc w:val="both"/>
        <w:ind w:firstLine="1952"/>
        <w:spacing w:after="0" w:line="261" w:lineRule="auto"/>
        <w:tabs>
          <w:tab w:leader="none" w:pos="2188" w:val="left"/>
        </w:tabs>
        <w:numPr>
          <w:ilvl w:val="1"/>
          <w:numId w:val="19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Adjustment Right</w:t>
      </w:r>
      <w:r>
        <w:rPr>
          <w:rFonts w:ascii="Arial" w:cs="Arial" w:eastAsia="Arial" w:hAnsi="Arial"/>
          <w:sz w:val="18"/>
          <w:szCs w:val="18"/>
          <w:color w:val="auto"/>
        </w:rPr>
        <w:t>” means any right granted with respect to any securities issued in connection with, or with respect to, any issuance or sale (or deemed issuance or sale in accordance with Section 2) of shares of Common Stock (other than rights of the type described in Section 3 and 4 hereof) that could result in a decrease in the net consideration received by the Company in connection with, or with respect to, such securities (including, without limitation, any cash settlement rights, cash adjustment or other similar rights).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6" w:name="page207"/>
    <w:bookmarkEnd w:id="206"/>
    <w:p>
      <w:pPr>
        <w:ind w:firstLine="1952"/>
        <w:spacing w:after="0" w:line="282" w:lineRule="auto"/>
        <w:tabs>
          <w:tab w:leader="none" w:pos="2199" w:val="left"/>
        </w:tabs>
        <w:numPr>
          <w:ilvl w:val="0"/>
          <w:numId w:val="1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61" w:lineRule="exact"/>
        <w:rPr>
          <w:rFonts w:ascii="Arial" w:cs="Arial" w:eastAsia="Arial" w:hAnsi="Arial"/>
          <w:sz w:val="18"/>
          <w:szCs w:val="18"/>
          <w:color w:val="auto"/>
        </w:rPr>
      </w:pPr>
    </w:p>
    <w:p>
      <w:pPr>
        <w:jc w:val="both"/>
        <w:ind w:firstLine="1952"/>
        <w:spacing w:after="0" w:line="266" w:lineRule="auto"/>
        <w:tabs>
          <w:tab w:leader="none" w:pos="2215" w:val="left"/>
        </w:tabs>
        <w:numPr>
          <w:ilvl w:val="0"/>
          <w:numId w:val="1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Approved Stock Plan</w:t>
      </w:r>
      <w:r>
        <w:rPr>
          <w:rFonts w:ascii="Arial" w:cs="Arial" w:eastAsia="Arial" w:hAnsi="Arial"/>
          <w:sz w:val="18"/>
          <w:szCs w:val="18"/>
          <w:color w:val="auto"/>
        </w:rPr>
        <w:t>” means any employee benefit plan which has been approved by the board of directors of the Company prior to or subsequent to the date hereof pursuant to which shares of Common Stock and standard options to purchase Common Stock may be issued to any employee, officer or director for services provided to the Company in their capacity as such.</w:t>
      </w:r>
    </w:p>
    <w:p>
      <w:pPr>
        <w:spacing w:after="0" w:line="175" w:lineRule="exact"/>
        <w:rPr>
          <w:rFonts w:ascii="Arial" w:cs="Arial" w:eastAsia="Arial" w:hAnsi="Arial"/>
          <w:sz w:val="18"/>
          <w:szCs w:val="18"/>
          <w:color w:val="auto"/>
        </w:rPr>
      </w:pPr>
    </w:p>
    <w:p>
      <w:pPr>
        <w:jc w:val="both"/>
        <w:ind w:firstLine="1952"/>
        <w:spacing w:after="0" w:line="294" w:lineRule="auto"/>
        <w:tabs>
          <w:tab w:leader="none" w:pos="2212" w:val="left"/>
        </w:tabs>
        <w:numPr>
          <w:ilvl w:val="0"/>
          <w:numId w:val="19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Attribution Parties</w:t>
      </w:r>
      <w:r>
        <w:rPr>
          <w:rFonts w:ascii="Arial" w:cs="Arial" w:eastAsia="Arial" w:hAnsi="Arial"/>
          <w:sz w:val="16"/>
          <w:szCs w:val="16"/>
          <w:color w:val="auto"/>
        </w:rPr>
        <w:t>” means, collectively, the following Persons and entities: (i) any investment vehicle, including, any funds, feeder funds or managed accounts, currently, or from time to time after the Issuance Date, directly or indirectly managed or advised by the Holder’s investment manager or any of its Affiliates or principals, (ii) any direct or indirect Affiliates of the Holder or any of the foregoing, (iii) any Person acting or who could be deemed to be acting as a Group together with the Holder or any of the foregoing and (iv) any other Persons whose beneficial ownership of the Company’s Common Stock would or could be aggregated with the Holder’s and the other Attribution Parties for purposes of Section 13(d) of the Exchange Act. For clarity, the purpose of the foregoing is to subject collectively the Holder and all other Attribution Parties to the Maximum Percentage.</w:t>
      </w:r>
    </w:p>
    <w:p>
      <w:pPr>
        <w:spacing w:after="0" w:line="159" w:lineRule="exact"/>
        <w:rPr>
          <w:rFonts w:ascii="Arial" w:cs="Arial" w:eastAsia="Arial" w:hAnsi="Arial"/>
          <w:sz w:val="16"/>
          <w:szCs w:val="16"/>
          <w:color w:val="auto"/>
        </w:rPr>
      </w:pPr>
    </w:p>
    <w:p>
      <w:pPr>
        <w:jc w:val="both"/>
        <w:ind w:firstLine="1952"/>
        <w:spacing w:after="0" w:line="267" w:lineRule="auto"/>
        <w:tabs>
          <w:tab w:leader="none" w:pos="2188" w:val="left"/>
        </w:tabs>
        <w:numPr>
          <w:ilvl w:val="0"/>
          <w:numId w:val="19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Black Scholes Going Private Value</w:t>
      </w:r>
      <w:r>
        <w:rPr>
          <w:rFonts w:ascii="Arial" w:cs="Arial" w:eastAsia="Arial" w:hAnsi="Arial"/>
          <w:sz w:val="17"/>
          <w:szCs w:val="17"/>
          <w:color w:val="auto"/>
        </w:rPr>
        <w:t xml:space="preserve">” means the value of the unexercised portion of this Warrant remaining on the date of the consummation of the Fundamental Transaction referred to in Section </w:t>
      </w:r>
      <w:r>
        <w:rPr>
          <w:rFonts w:ascii="Arial" w:cs="Arial" w:eastAsia="Arial" w:hAnsi="Arial"/>
          <w:sz w:val="20"/>
          <w:szCs w:val="20"/>
          <w:b w:val="1"/>
          <w:bCs w:val="1"/>
          <w:color w:val="auto"/>
        </w:rPr>
        <w:t>‎</w:t>
      </w:r>
      <w:r>
        <w:rPr>
          <w:rFonts w:ascii="Arial" w:cs="Arial" w:eastAsia="Arial" w:hAnsi="Arial"/>
          <w:sz w:val="17"/>
          <w:szCs w:val="17"/>
          <w:color w:val="auto"/>
        </w:rPr>
        <w:t>4(b)(i), which value is calculated using the Black Scholes Option Pricing Model obtained from the “OV” function on Bloomberg utilizing (i) an underlying price per share equal to the greater of (1) the highest Closing Sale Price of the Common Stock during the period beginning on the Trading Day immediately preceding the announcement of the applicable Fundamental Transaction (or the consummation of the applicable Fundamental Transaction, if earlier) and ending on the date of consummation of the applicable Fundamental Transaction and (2) the sum of the price per share being offered in cash in the applicable Fundamental Transaction (if any) plus the value of the non-cash consideration being offered in the applicable Fundamental Transaction (if any), (ii) a strike price equal to the Exercise Price in effect on the date of consummation of the applicable Fundamental Transaction, (iii) a risk-free interest rate corresponding to the U.S. Treasury rate for a period equal to the greater of (1) the remaining term of this Warrant as of the date of consummation of the applicable Fundamental Transaction and (2) the remaining term of this Warrant as of the date of consummation of the applicable Fundamental Transaction, (iv) a zero cost of borrow and (v) an expected volatility equal to the greater of 100% and the 60 day volatility obtained from the “HVT” function on Bloomberg (determined utilizing a 365 day annualization factor) as of the Trading Day immediately following the earliest to occur of (A) the public disclosure of the applicable Fundamental Transaction, and (B) the consummation of the applicable Fundamental Transaction.</w:t>
      </w:r>
    </w:p>
    <w:p>
      <w:pPr>
        <w:spacing w:after="0" w:line="185" w:lineRule="exact"/>
        <w:rPr>
          <w:rFonts w:ascii="Arial" w:cs="Arial" w:eastAsia="Arial" w:hAnsi="Arial"/>
          <w:sz w:val="17"/>
          <w:szCs w:val="17"/>
          <w:color w:val="auto"/>
        </w:rPr>
      </w:pPr>
    </w:p>
    <w:p>
      <w:pPr>
        <w:jc w:val="both"/>
        <w:ind w:firstLine="1952"/>
        <w:spacing w:after="0" w:line="267" w:lineRule="auto"/>
        <w:tabs>
          <w:tab w:leader="none" w:pos="2182" w:val="left"/>
        </w:tabs>
        <w:numPr>
          <w:ilvl w:val="0"/>
          <w:numId w:val="19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Black Scholes Value</w:t>
      </w:r>
      <w:r>
        <w:rPr>
          <w:rFonts w:ascii="Arial" w:cs="Arial" w:eastAsia="Arial" w:hAnsi="Arial"/>
          <w:sz w:val="17"/>
          <w:szCs w:val="17"/>
          <w:color w:val="auto"/>
        </w:rPr>
        <w:t xml:space="preserve">” means the value of the unexercised portion of this Warrant remaining on the date of the Holder’s request pursuant to Section </w:t>
      </w:r>
      <w:r>
        <w:rPr>
          <w:rFonts w:ascii="Arial" w:cs="Arial" w:eastAsia="Arial" w:hAnsi="Arial"/>
          <w:sz w:val="20"/>
          <w:szCs w:val="20"/>
          <w:b w:val="1"/>
          <w:bCs w:val="1"/>
          <w:color w:val="auto"/>
        </w:rPr>
        <w:t>‎</w:t>
      </w:r>
      <w:r>
        <w:rPr>
          <w:rFonts w:ascii="Arial" w:cs="Arial" w:eastAsia="Arial" w:hAnsi="Arial"/>
          <w:sz w:val="17"/>
          <w:szCs w:val="17"/>
          <w:color w:val="auto"/>
        </w:rPr>
        <w:t xml:space="preserve">4(c), which value is calculated using the Black Scholes Option Pricing Model obtained from the “OV” function on Bloomberg utilizing (i) an underlying price per share equal to the greater of (1) the highest Closing Sale Price of the Common Stock during the period beginning on the Trading Day immediately preceding the announcement of the applicable Fundamental Transaction (or the consummation of the applicable Fundamental Transaction, if earlier) and ending on the Trading Day of the Holder’s request pursuant to Section </w:t>
      </w:r>
      <w:r>
        <w:rPr>
          <w:rFonts w:ascii="Arial" w:cs="Arial" w:eastAsia="Arial" w:hAnsi="Arial"/>
          <w:sz w:val="20"/>
          <w:szCs w:val="20"/>
          <w:b w:val="1"/>
          <w:bCs w:val="1"/>
          <w:color w:val="auto"/>
        </w:rPr>
        <w:t>‎</w:t>
      </w:r>
      <w:r>
        <w:rPr>
          <w:rFonts w:ascii="Arial" w:cs="Arial" w:eastAsia="Arial" w:hAnsi="Arial"/>
          <w:sz w:val="17"/>
          <w:szCs w:val="17"/>
          <w:color w:val="auto"/>
        </w:rPr>
        <w:t xml:space="preserve">4(c) and (2) the sum of the price per share being offered in cash in the applicable Fundamental Transaction (if any) plus the value of the non-cash consideration being offered in the applicable Fundamental Transaction (if any), (ii) a strike price equal to the Exercise Price in effect on the date of the Holder’s request pursuant to Section 4(c), (iii) a risk-free interest rate corresponding to the U.S. Treasury rate for a period equal to the greater of (1) the remaining term of this Warrant as of the date of the Holder’s request pursuant to Section </w:t>
      </w:r>
      <w:r>
        <w:rPr>
          <w:rFonts w:ascii="Arial" w:cs="Arial" w:eastAsia="Arial" w:hAnsi="Arial"/>
          <w:sz w:val="20"/>
          <w:szCs w:val="20"/>
          <w:b w:val="1"/>
          <w:bCs w:val="1"/>
          <w:color w:val="auto"/>
        </w:rPr>
        <w:t>‎</w:t>
      </w:r>
      <w:r>
        <w:rPr>
          <w:rFonts w:ascii="Arial" w:cs="Arial" w:eastAsia="Arial" w:hAnsi="Arial"/>
          <w:sz w:val="17"/>
          <w:szCs w:val="17"/>
          <w:color w:val="auto"/>
        </w:rPr>
        <w:t xml:space="preserve">4(c) and (2) the remaining term of this Warrant as of the date of consummation of the applicable Fundamental Transaction or as of the date of the Holder’s request pursuant to Section </w:t>
      </w:r>
      <w:r>
        <w:rPr>
          <w:rFonts w:ascii="Arial" w:cs="Arial" w:eastAsia="Arial" w:hAnsi="Arial"/>
          <w:sz w:val="20"/>
          <w:szCs w:val="20"/>
          <w:b w:val="1"/>
          <w:bCs w:val="1"/>
          <w:color w:val="auto"/>
        </w:rPr>
        <w:t>‎</w:t>
      </w:r>
      <w:r>
        <w:rPr>
          <w:rFonts w:ascii="Arial" w:cs="Arial" w:eastAsia="Arial" w:hAnsi="Arial"/>
          <w:sz w:val="17"/>
          <w:szCs w:val="17"/>
          <w:color w:val="auto"/>
        </w:rPr>
        <w:t>4(c) if such request is prior to the date of the consummation of the applicable Fundamental Transaction, (iv) a zero cost of borrow and (v) an expected volatility equal to the greater of 100% and the 60 day volatility obtained from the “HVT” function on Bloomberg (determined utilizing a 365 day annualization factor) as of the Trading Day immediately following the earliest to occur of (A) the public disclosure of the applicable Fundamental Transaction, (B) the consummation of the applicable Fundamental Transaction and (C) the date on which the Holder first became aware of the applicable Fundamental Transaction.</w:t>
      </w:r>
    </w:p>
    <w:p>
      <w:pPr>
        <w:spacing w:after="0" w:line="176" w:lineRule="exact"/>
        <w:rPr>
          <w:rFonts w:ascii="Arial" w:cs="Arial" w:eastAsia="Arial" w:hAnsi="Arial"/>
          <w:sz w:val="17"/>
          <w:szCs w:val="17"/>
          <w:color w:val="auto"/>
        </w:rPr>
      </w:pPr>
    </w:p>
    <w:p>
      <w:pPr>
        <w:ind w:left="2200" w:hanging="248"/>
        <w:spacing w:after="0"/>
        <w:tabs>
          <w:tab w:leader="none" w:pos="220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Bloomberg</w:t>
      </w:r>
      <w:r>
        <w:rPr>
          <w:rFonts w:ascii="Arial" w:cs="Arial" w:eastAsia="Arial" w:hAnsi="Arial"/>
          <w:sz w:val="18"/>
          <w:szCs w:val="18"/>
          <w:color w:val="auto"/>
        </w:rPr>
        <w:t>” means Bloomberg, L.P.</w:t>
      </w:r>
    </w:p>
    <w:p>
      <w:pPr>
        <w:spacing w:after="0" w:line="225" w:lineRule="exact"/>
        <w:rPr>
          <w:rFonts w:ascii="Arial" w:cs="Arial" w:eastAsia="Arial" w:hAnsi="Arial"/>
          <w:sz w:val="18"/>
          <w:szCs w:val="18"/>
          <w:color w:val="auto"/>
        </w:rPr>
      </w:pPr>
    </w:p>
    <w:p>
      <w:pPr>
        <w:ind w:firstLine="1952"/>
        <w:spacing w:after="0" w:line="347" w:lineRule="auto"/>
        <w:tabs>
          <w:tab w:leader="none" w:pos="2212" w:val="left"/>
        </w:tabs>
        <w:numPr>
          <w:ilvl w:val="0"/>
          <w:numId w:val="19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Business Day</w:t>
      </w:r>
      <w:r>
        <w:rPr>
          <w:rFonts w:ascii="Arial" w:cs="Arial" w:eastAsia="Arial" w:hAnsi="Arial"/>
          <w:sz w:val="16"/>
          <w:szCs w:val="16"/>
          <w:color w:val="auto"/>
        </w:rPr>
        <w:t>” means any day except any Saturday, any Sunday, any day which is a federal legal holiday in the United States or any day on which banking institutions in the State of New York are authorized or required by law or other governmental action to close.</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7" w:name="page208"/>
    <w:bookmarkEnd w:id="207"/>
    <w:p>
      <w:pPr>
        <w:jc w:val="both"/>
        <w:ind w:firstLine="1952"/>
        <w:spacing w:after="0" w:line="268" w:lineRule="auto"/>
        <w:tabs>
          <w:tab w:leader="none" w:pos="2172" w:val="left"/>
        </w:tabs>
        <w:numPr>
          <w:ilvl w:val="0"/>
          <w:numId w:val="19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Closing Bid Price</w:t>
      </w:r>
      <w:r>
        <w:rPr>
          <w:rFonts w:ascii="Arial" w:cs="Arial" w:eastAsia="Arial" w:hAnsi="Arial"/>
          <w:sz w:val="17"/>
          <w:szCs w:val="17"/>
          <w:color w:val="auto"/>
        </w:rPr>
        <w:t>” and “</w:t>
      </w:r>
      <w:r>
        <w:rPr>
          <w:rFonts w:ascii="Arial" w:cs="Arial" w:eastAsia="Arial" w:hAnsi="Arial"/>
          <w:sz w:val="17"/>
          <w:szCs w:val="17"/>
          <w:b w:val="1"/>
          <w:bCs w:val="1"/>
          <w:color w:val="auto"/>
        </w:rPr>
        <w:t>Closing Sale Price</w:t>
      </w:r>
      <w:r>
        <w:rPr>
          <w:rFonts w:ascii="Arial" w:cs="Arial" w:eastAsia="Arial" w:hAnsi="Arial"/>
          <w:sz w:val="17"/>
          <w:szCs w:val="17"/>
          <w:color w:val="auto"/>
        </w:rPr>
        <w:t xml:space="preserve">” means, for any security as of any date, the last closing bid price and last closing trade price, respectively, for such security on the Principal Market, as reported by Bloomberg, or, if the Principal Market begins to operate on an extended hours basis and does not designate the closing bid price or the closing trade price, as the case may be, then the last bid price or the last trade price, respectively, of such security prior to 4:00:00 p.m., New York time, as reported by Bloomberg, or, if the Principal Market is not the principal securities exchange or trading market for such security, the last closing bid price or last trade price, respectively, of such security on the principal securities exchange or trading market where such security is listed or traded as reported by Bloomberg, or if the foregoing do not apply, the last closing bid price or last trade price, respectively, of such security in the over-the-counter market on the electronic bulletin board for such security as reported by Bloomberg, or, if no closing bid price or last trade price, respectively, is reported for such security by Bloomberg, the average of the bid prices, or the ask prices, respectively, of any market makers for such security as reported in the OTC Link or “pink sheets” by OTC Markets Group Inc. (formerly Pink OTC Markets Inc.). If the Closing Bid Price or the Closing Sale Price cannot be calculated for a security on a particular date on any of the foregoing bases, the Closing Bid Price or the Closing Sale Price, as the case may be, of such security on such date shall be the fair market value as mutually determined by the Company and the Holder. If the Company and the Holder are unable to agree upon the fair market value of such security, then such dispute shall be resolved pursuant to Section </w:t>
      </w:r>
      <w:r>
        <w:rPr>
          <w:rFonts w:ascii="Arial" w:cs="Arial" w:eastAsia="Arial" w:hAnsi="Arial"/>
          <w:sz w:val="20"/>
          <w:szCs w:val="20"/>
          <w:b w:val="1"/>
          <w:bCs w:val="1"/>
          <w:color w:val="auto"/>
        </w:rPr>
        <w:t>‎</w:t>
      </w:r>
      <w:r>
        <w:rPr>
          <w:rFonts w:ascii="Arial" w:cs="Arial" w:eastAsia="Arial" w:hAnsi="Arial"/>
          <w:sz w:val="17"/>
          <w:szCs w:val="17"/>
          <w:color w:val="auto"/>
        </w:rPr>
        <w:t>12. All such determinations to be appropriately adjusted for any stock dividend, stock split, stock combination, reclassification or other similar transaction during the applicable calculation period.</w:t>
      </w:r>
    </w:p>
    <w:p>
      <w:pPr>
        <w:spacing w:after="0" w:line="172" w:lineRule="exact"/>
        <w:rPr>
          <w:rFonts w:ascii="Arial" w:cs="Arial" w:eastAsia="Arial" w:hAnsi="Arial"/>
          <w:sz w:val="17"/>
          <w:szCs w:val="17"/>
          <w:color w:val="auto"/>
        </w:rPr>
      </w:pPr>
    </w:p>
    <w:p>
      <w:pPr>
        <w:ind w:firstLine="1952"/>
        <w:spacing w:after="0" w:line="312" w:lineRule="auto"/>
        <w:tabs>
          <w:tab w:leader="none" w:pos="2159" w:val="left"/>
        </w:tabs>
        <w:numPr>
          <w:ilvl w:val="0"/>
          <w:numId w:val="19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Common Stock</w:t>
      </w:r>
      <w:r>
        <w:rPr>
          <w:rFonts w:ascii="Arial" w:cs="Arial" w:eastAsia="Arial" w:hAnsi="Arial"/>
          <w:sz w:val="17"/>
          <w:szCs w:val="17"/>
          <w:color w:val="auto"/>
        </w:rPr>
        <w:t>” means (i) the Company’s shares of common stock, par value $0.0001 per share, and (ii) any share capital into which such common stock shall have been changed or any share capital resulting from a reclassification of such common stock.</w:t>
      </w:r>
    </w:p>
    <w:p>
      <w:pPr>
        <w:spacing w:after="0" w:line="139" w:lineRule="exact"/>
        <w:rPr>
          <w:rFonts w:ascii="Arial" w:cs="Arial" w:eastAsia="Arial" w:hAnsi="Arial"/>
          <w:sz w:val="17"/>
          <w:szCs w:val="17"/>
          <w:color w:val="auto"/>
        </w:rPr>
      </w:pPr>
    </w:p>
    <w:p>
      <w:pPr>
        <w:ind w:firstLine="1952"/>
        <w:spacing w:after="0" w:line="282" w:lineRule="auto"/>
        <w:tabs>
          <w:tab w:leader="none" w:pos="2226" w:val="left"/>
        </w:tabs>
        <w:numPr>
          <w:ilvl w:val="0"/>
          <w:numId w:val="1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Convertible Securities</w:t>
      </w:r>
      <w:r>
        <w:rPr>
          <w:rFonts w:ascii="Arial" w:cs="Arial" w:eastAsia="Arial" w:hAnsi="Arial"/>
          <w:sz w:val="18"/>
          <w:szCs w:val="18"/>
          <w:color w:val="auto"/>
        </w:rPr>
        <w:t>” means any stock or securities (other than Options) directly or indirectly convertible into or exercisable or exchangeable for shares of Common Stock.</w:t>
      </w:r>
    </w:p>
    <w:p>
      <w:pPr>
        <w:spacing w:after="0" w:line="161" w:lineRule="exact"/>
        <w:rPr>
          <w:rFonts w:ascii="Arial" w:cs="Arial" w:eastAsia="Arial" w:hAnsi="Arial"/>
          <w:sz w:val="18"/>
          <w:szCs w:val="18"/>
          <w:color w:val="auto"/>
        </w:rPr>
      </w:pPr>
    </w:p>
    <w:p>
      <w:pPr>
        <w:ind w:right="20" w:firstLine="1952"/>
        <w:spacing w:after="0" w:line="282" w:lineRule="auto"/>
        <w:tabs>
          <w:tab w:leader="none" w:pos="2172" w:val="left"/>
        </w:tabs>
        <w:numPr>
          <w:ilvl w:val="0"/>
          <w:numId w:val="1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Market</w:t>
      </w:r>
      <w:r>
        <w:rPr>
          <w:rFonts w:ascii="Arial" w:cs="Arial" w:eastAsia="Arial" w:hAnsi="Arial"/>
          <w:sz w:val="18"/>
          <w:szCs w:val="18"/>
          <w:color w:val="auto"/>
        </w:rPr>
        <w:t>” means The Nasdaq Capital Market, The Nasdaq Global Select Market, The Nasdaq Global Market, the NYSE American, or The New York Stock Exchange.</w:t>
      </w:r>
    </w:p>
    <w:p>
      <w:pPr>
        <w:spacing w:after="0" w:line="161" w:lineRule="exact"/>
        <w:rPr>
          <w:rFonts w:ascii="Arial" w:cs="Arial" w:eastAsia="Arial" w:hAnsi="Arial"/>
          <w:sz w:val="18"/>
          <w:szCs w:val="18"/>
          <w:color w:val="auto"/>
        </w:rPr>
      </w:pPr>
    </w:p>
    <w:p>
      <w:pPr>
        <w:jc w:val="both"/>
        <w:ind w:firstLine="1952"/>
        <w:spacing w:after="0" w:line="285" w:lineRule="auto"/>
        <w:tabs>
          <w:tab w:leader="none" w:pos="2249" w:val="left"/>
        </w:tabs>
        <w:numPr>
          <w:ilvl w:val="0"/>
          <w:numId w:val="19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Excluded Securities</w:t>
      </w:r>
      <w:r>
        <w:rPr>
          <w:rFonts w:ascii="Arial" w:cs="Arial" w:eastAsia="Arial" w:hAnsi="Arial"/>
          <w:sz w:val="16"/>
          <w:szCs w:val="16"/>
          <w:color w:val="auto"/>
        </w:rPr>
        <w:t>” means, without duplication, (i) shares of Common Stock or standard options to purchase Common Stock issued to directors, officers or employees of the Company for services rendered to the Company in their capacity as such pursuant to an Approved Stock Plan, provided that the exercise price of any such options is not lowered, none of such options are amended to increase the number of shares issuable thereunder and none of the terms or conditions of any such options are otherwise materially changed in any manner that adversely affects any of the holders of this Warrant; (ii) shares of Common Stock issued upon the conversion or exercise of Convertible Securities (other than standard options to purchase Common Stock issued pursuant to an Approved Stock Plan that are covered by clause (i) above) outstanding prior to the Issuance Date, provided that the conversion price of any such Convertible Securities (other than standard options to purchase Common Stock issued pursuant to an Approved Stock Plan that are covered by clause (i) above) is not lowered, none of such Convertible Securities (other than standard options to purchase Common Stock issued pursuant to an Approved Stock Plan that are covered by clause (i) above) are amended to increase the number of shares issuable thereunder and none of the terms or conditions of any such Convertible Securities (other than standard options to purchase Common Stock issued pursuant to an Approved Stock Plan that are covered by clause (i) above) are otherwise materially changed in any manner that adversely affects any of the Holders; and (iii) the shares of Common Stock issuable upon exercise of (A) warrants to purchase 400,000 shares of Common Stock, with an exercise price of $0.01 per share, issued to Metropolitan Levered Partners Fund VII, LP, Metropolitan Partners Fund VII, LP, Metropolitan Offshore Partners Fund VII, LP and CEOF Holdings LP (the “</w:t>
      </w:r>
      <w:r>
        <w:rPr>
          <w:rFonts w:ascii="Arial" w:cs="Arial" w:eastAsia="Arial" w:hAnsi="Arial"/>
          <w:sz w:val="16"/>
          <w:szCs w:val="16"/>
          <w:b w:val="1"/>
          <w:bCs w:val="1"/>
          <w:color w:val="auto"/>
        </w:rPr>
        <w:t>Metropolitan Entities</w:t>
      </w:r>
      <w:r>
        <w:rPr>
          <w:rFonts w:ascii="Arial" w:cs="Arial" w:eastAsia="Arial" w:hAnsi="Arial"/>
          <w:sz w:val="16"/>
          <w:szCs w:val="16"/>
          <w:color w:val="auto"/>
        </w:rPr>
        <w:t>”), (B) warrants to purchase 500,000 shares of Common Stock, with an exercise price of $0.01 per share, issued to the Metropolitan Entities, (C) warrants to purchase 2,000,000 shares of Common Stock, with an exercise price of $0.01 per share, issued to the Metropolitan Entities, (D) warrants to purchase 25,000 shares of Common Stock, with an exercise price of $0.01 per share, issued to Metropolitan Levered Partners Fund VII, LP, Metropolitan Partners Fund VII, LP, Metropolitan Offshore Partners Fund VII, LP and CEOF Holdings LP and (E) this Warrant and any other warrant issued to the Metropolitan Entities in connection with the Third Amendment.</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8" w:name="page209"/>
    <w:bookmarkEnd w:id="208"/>
    <w:p>
      <w:pPr>
        <w:ind w:firstLine="1952"/>
        <w:spacing w:after="0" w:line="312" w:lineRule="auto"/>
        <w:tabs>
          <w:tab w:leader="none" w:pos="2212" w:val="left"/>
        </w:tabs>
        <w:numPr>
          <w:ilvl w:val="0"/>
          <w:numId w:val="19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Expiration Date</w:t>
      </w:r>
      <w:r>
        <w:rPr>
          <w:rFonts w:ascii="Arial" w:cs="Arial" w:eastAsia="Arial" w:hAnsi="Arial"/>
          <w:sz w:val="17"/>
          <w:szCs w:val="17"/>
          <w:color w:val="auto"/>
        </w:rPr>
        <w:t>” means the date that is the five (5) year anniversary of the Issuance Date or, if such date falls on a day other than a Trading Day or on which trading does not take place on the Principal Market (a “</w:t>
      </w:r>
      <w:r>
        <w:rPr>
          <w:rFonts w:ascii="Arial" w:cs="Arial" w:eastAsia="Arial" w:hAnsi="Arial"/>
          <w:sz w:val="17"/>
          <w:szCs w:val="17"/>
          <w:b w:val="1"/>
          <w:bCs w:val="1"/>
          <w:color w:val="auto"/>
        </w:rPr>
        <w:t>Holiday</w:t>
      </w:r>
      <w:r>
        <w:rPr>
          <w:rFonts w:ascii="Arial" w:cs="Arial" w:eastAsia="Arial" w:hAnsi="Arial"/>
          <w:sz w:val="17"/>
          <w:szCs w:val="17"/>
          <w:color w:val="auto"/>
        </w:rPr>
        <w:t>”), the next date that is not a Holiday.</w:t>
      </w:r>
    </w:p>
    <w:p>
      <w:pPr>
        <w:spacing w:after="0" w:line="139" w:lineRule="exact"/>
        <w:rPr>
          <w:rFonts w:ascii="Arial" w:cs="Arial" w:eastAsia="Arial" w:hAnsi="Arial"/>
          <w:sz w:val="17"/>
          <w:szCs w:val="17"/>
          <w:color w:val="auto"/>
        </w:rPr>
      </w:pPr>
    </w:p>
    <w:p>
      <w:pPr>
        <w:jc w:val="both"/>
        <w:ind w:firstLine="1952"/>
        <w:spacing w:after="0" w:line="284" w:lineRule="auto"/>
        <w:tabs>
          <w:tab w:leader="none" w:pos="2226" w:val="left"/>
        </w:tabs>
        <w:numPr>
          <w:ilvl w:val="0"/>
          <w:numId w:val="19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Fundamental Transaction</w:t>
      </w:r>
      <w:r>
        <w:rPr>
          <w:rFonts w:ascii="Arial" w:cs="Arial" w:eastAsia="Arial" w:hAnsi="Arial"/>
          <w:sz w:val="16"/>
          <w:szCs w:val="16"/>
          <w:color w:val="auto"/>
        </w:rPr>
        <w:t>” means (A) that the Company shall, directly or indirectly, including through subsidiaries, Affiliates or otherwise, in one or more related transactions, (i) consolidate or merge with or into (whether or not the Company is the surviving corporation) another Subject Entity, or (ii) sell, assign, transfer, convey or otherwise dispose of all or substantially all of the properties or assets of the Company or any of its “significant subsidiaries” (as defined in Rule 1-02 of Regulation S-X) to one or more Subject Entities, or (iii) make, or allow one or more Subject Entities to make, or allow the Company to be subject to or have its Common Stock be subject to or party to one or more Subject Entities making, a purchase, tender or exchange offer that is accepted by the holders of at least either (x) 50% of the outstanding shares of Common Stock, (y) 50% of the outstanding shares of Common Stock calculated as if any shares of Common Stock held by all Subject Entities making or party to, or Affiliated with any Subject Entities making or party to, such purchase, tender or exchange offer were not outstanding; or (z) such number of shares of Common Stock such that all Subject Entities making or party to, or Affiliated with any Subject Entity making or party to, such purchase, tender or exchange offer, become collectively the beneficial owners (as defined in Rule 13d-3 under the Exchange Act) of at least 50% of the outstanding shares of Common Stock, or (iv) consummate a stock purchase agreement or other business combination (including, without limitation, a reorganization, recapitalization, spin-off or scheme of arrangement) with one or more Subject Entities whereby all such Subject Entities, individually or in the aggregate, acquire, either (x) at least 50% of the outstanding shares of Common Stock, (y) at least 50% of the outstanding shares of Common Stock calculated as if any shares of Common Stock held by all the Subject Entities making or party to, or Affiliated with any Subject Entity making or party to, such stock purchase agreement or other business combination were not outstanding; or (z) such number of shares of Common Stock such that the Subject Entities become collectively the beneficial owners (as defined in Rule 13d-3 under the Exchange Act) of at least 50% of the outstanding shares of Common Stock, or (v) reorganize, recapitalize or reclassify its Common Stock, (B) that the Company shall, directly or indirectly, including through subsidiaries, Affiliates or otherwise, in one or more related transactions, allow any Subject Entity individually or the Subject Entities in the aggregate to be or become the “beneficial owner” (as defined in Rule 13d-3 under the Exchange Act), directly or indirectly, whether through acquisition, purchase, assignment, conveyance, tender, tender offer, exchange, reduction in outstanding shares of Common Stock, merger, consolidation, business combination, reorganization, recapitalization, spin-off, scheme of arrangement, reorganization, recapitalization or reclassification or otherwise in any manner whatsoever, of either (x) at least 50% of the aggregate ordinary voting power represented by issued and outstanding Common Stock, (y) at least 50% of the aggregate ordinary voting power represented by issued and outstanding Common Stock not held by all such Subject Entities as of the date of this Warrant calculated as if any shares of Common Stock held by all such Subject Entities were not outstanding, or (z) a percentage of the aggregate ordinary voting power represented by issued and outstanding shares of Common Stock or other equity securities of the Company sufficient to allow such Subject Entities to effect a statutory short form merger or other transaction requiring other stockholders of the Company to surrender their shares of Common Stock without approval of the stockholders of the Company or (C) directly or indirectly, including through subsidiaries, Affiliates or otherwise, in one or more related transactions, the issuance of or the entering into any other instrument or transaction structured in a manner to circumvent, or that circumvents, the intent of this definition in which case this definition shall be construed and implemented in a manner otherwise than in strict conformity with the terms of this definition to the extent necessary to correct this definition or any portion of this definition which may be defective or inconsistent with the intended treatment of such instrument or transaction.</w:t>
      </w:r>
    </w:p>
    <w:p>
      <w:pPr>
        <w:spacing w:after="0" w:line="164" w:lineRule="exact"/>
        <w:rPr>
          <w:rFonts w:ascii="Arial" w:cs="Arial" w:eastAsia="Arial" w:hAnsi="Arial"/>
          <w:sz w:val="16"/>
          <w:szCs w:val="16"/>
          <w:color w:val="auto"/>
        </w:rPr>
      </w:pPr>
    </w:p>
    <w:p>
      <w:pPr>
        <w:ind w:left="2240" w:hanging="288"/>
        <w:spacing w:after="0"/>
        <w:tabs>
          <w:tab w:leader="none" w:pos="224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Group</w:t>
      </w:r>
      <w:r>
        <w:rPr>
          <w:rFonts w:ascii="Arial" w:cs="Arial" w:eastAsia="Arial" w:hAnsi="Arial"/>
          <w:sz w:val="18"/>
          <w:szCs w:val="18"/>
          <w:color w:val="auto"/>
        </w:rPr>
        <w:t>” means a “group” as that term is used in Section 13(d) of the Exchange Act and as defined in Rule 13d-5</w:t>
      </w:r>
    </w:p>
    <w:p>
      <w:pPr>
        <w:spacing w:after="0" w:line="2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thereunder.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9" w:name="page210"/>
    <w:bookmarkEnd w:id="209"/>
    <w:p>
      <w:pPr>
        <w:ind w:left="1960"/>
        <w:spacing w:after="0"/>
        <w:rPr>
          <w:sz w:val="20"/>
          <w:szCs w:val="20"/>
          <w:color w:val="auto"/>
        </w:rPr>
      </w:pPr>
      <w:r>
        <w:rPr>
          <w:rFonts w:ascii="Arial" w:cs="Arial" w:eastAsia="Arial" w:hAnsi="Arial"/>
          <w:sz w:val="17"/>
          <w:szCs w:val="17"/>
          <w:color w:val="auto"/>
        </w:rPr>
        <w:t>(q) “</w:t>
      </w:r>
      <w:r>
        <w:rPr>
          <w:rFonts w:ascii="Arial" w:cs="Arial" w:eastAsia="Arial" w:hAnsi="Arial"/>
          <w:sz w:val="17"/>
          <w:szCs w:val="17"/>
          <w:b w:val="1"/>
          <w:bCs w:val="1"/>
          <w:color w:val="auto"/>
        </w:rPr>
        <w:t>Options</w:t>
      </w:r>
      <w:r>
        <w:rPr>
          <w:rFonts w:ascii="Arial" w:cs="Arial" w:eastAsia="Arial" w:hAnsi="Arial"/>
          <w:sz w:val="17"/>
          <w:szCs w:val="17"/>
          <w:color w:val="auto"/>
        </w:rPr>
        <w:t>” means any rights, warrants or options to subscribe for or purchase shares of Common Stock or Convertible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Securities.</w:t>
      </w:r>
    </w:p>
    <w:p>
      <w:pPr>
        <w:spacing w:after="0" w:line="207" w:lineRule="exact"/>
        <w:rPr>
          <w:sz w:val="20"/>
          <w:szCs w:val="20"/>
          <w:color w:val="auto"/>
        </w:rPr>
      </w:pPr>
    </w:p>
    <w:p>
      <w:pPr>
        <w:jc w:val="both"/>
        <w:ind w:firstLine="1952"/>
        <w:spacing w:after="0" w:line="258" w:lineRule="auto"/>
        <w:tabs>
          <w:tab w:leader="none" w:pos="2169" w:val="left"/>
        </w:tabs>
        <w:numPr>
          <w:ilvl w:val="0"/>
          <w:numId w:val="19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Entity</w:t>
      </w:r>
      <w:r>
        <w:rPr>
          <w:rFonts w:ascii="Arial" w:cs="Arial" w:eastAsia="Arial" w:hAnsi="Arial"/>
          <w:sz w:val="18"/>
          <w:szCs w:val="18"/>
          <w:color w:val="auto"/>
        </w:rPr>
        <w:t>” of a Person means an entity that, directly or indirectly, controls the applicable Person, including such entity whose common shares or common stock or equivalent equity security is quoted or listed on an Eligible Market (or, if so elected by the Holder, any other market, exchange or quotation system), or, if there is more than one such Person or such entity, the Person or such entity designated by the Holder or in the absence of such designation, such Person or entity with the largest public market capitalization as of the date of consummation of the Fundamental Transaction.</w:t>
      </w:r>
    </w:p>
    <w:p>
      <w:pPr>
        <w:spacing w:after="0" w:line="183" w:lineRule="exact"/>
        <w:rPr>
          <w:rFonts w:ascii="Arial" w:cs="Arial" w:eastAsia="Arial" w:hAnsi="Arial"/>
          <w:sz w:val="18"/>
          <w:szCs w:val="18"/>
          <w:color w:val="auto"/>
        </w:rPr>
      </w:pPr>
    </w:p>
    <w:p>
      <w:pPr>
        <w:ind w:right="20" w:firstLine="1952"/>
        <w:spacing w:after="0" w:line="282" w:lineRule="auto"/>
        <w:tabs>
          <w:tab w:leader="none" w:pos="2192" w:val="left"/>
        </w:tabs>
        <w:numPr>
          <w:ilvl w:val="0"/>
          <w:numId w:val="19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61" w:lineRule="exact"/>
        <w:rPr>
          <w:rFonts w:ascii="Arial" w:cs="Arial" w:eastAsia="Arial" w:hAnsi="Arial"/>
          <w:sz w:val="18"/>
          <w:szCs w:val="18"/>
          <w:color w:val="auto"/>
        </w:rPr>
      </w:pPr>
    </w:p>
    <w:p>
      <w:pPr>
        <w:ind w:right="20" w:firstLine="1952"/>
        <w:spacing w:after="0" w:line="282" w:lineRule="auto"/>
        <w:tabs>
          <w:tab w:leader="none" w:pos="2186" w:val="left"/>
        </w:tabs>
        <w:numPr>
          <w:ilvl w:val="0"/>
          <w:numId w:val="19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Principal Market</w:t>
      </w:r>
      <w:r>
        <w:rPr>
          <w:rFonts w:ascii="Arial" w:cs="Arial" w:eastAsia="Arial" w:hAnsi="Arial"/>
          <w:sz w:val="18"/>
          <w:szCs w:val="18"/>
          <w:color w:val="auto"/>
        </w:rPr>
        <w:t>” means the OTC Bulletin Board or any other Eligible Market, or any national securities exchange, market or trading or quotation facility on which the Common Stock is then listed or quoted.</w:t>
      </w:r>
    </w:p>
    <w:p>
      <w:pPr>
        <w:spacing w:after="0" w:line="161" w:lineRule="exact"/>
        <w:rPr>
          <w:rFonts w:ascii="Arial" w:cs="Arial" w:eastAsia="Arial" w:hAnsi="Arial"/>
          <w:sz w:val="18"/>
          <w:szCs w:val="18"/>
          <w:color w:val="auto"/>
        </w:rPr>
      </w:pPr>
    </w:p>
    <w:p>
      <w:pPr>
        <w:ind w:left="2200" w:hanging="248"/>
        <w:spacing w:after="0"/>
        <w:tabs>
          <w:tab w:leader="none" w:pos="220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w:t>
      </w:r>
    </w:p>
    <w:p>
      <w:pPr>
        <w:spacing w:after="0" w:line="225" w:lineRule="exact"/>
        <w:rPr>
          <w:rFonts w:ascii="Arial" w:cs="Arial" w:eastAsia="Arial" w:hAnsi="Arial"/>
          <w:sz w:val="18"/>
          <w:szCs w:val="18"/>
          <w:color w:val="auto"/>
        </w:rPr>
      </w:pPr>
    </w:p>
    <w:p>
      <w:pPr>
        <w:ind w:left="2200" w:hanging="248"/>
        <w:spacing w:after="0"/>
        <w:tabs>
          <w:tab w:leader="none" w:pos="2200" w:val="left"/>
        </w:tabs>
        <w:numPr>
          <w:ilvl w:val="0"/>
          <w:numId w:val="19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Subject Entity</w:t>
      </w:r>
      <w:r>
        <w:rPr>
          <w:rFonts w:ascii="Arial" w:cs="Arial" w:eastAsia="Arial" w:hAnsi="Arial"/>
          <w:sz w:val="16"/>
          <w:szCs w:val="16"/>
          <w:color w:val="auto"/>
        </w:rPr>
        <w:t>” means any Person, Persons or Group or any Affiliate or associate of any such Person, Persons or Group.</w:t>
      </w:r>
    </w:p>
    <w:p>
      <w:pPr>
        <w:spacing w:after="0" w:line="248" w:lineRule="exact"/>
        <w:rPr>
          <w:rFonts w:ascii="Arial" w:cs="Arial" w:eastAsia="Arial" w:hAnsi="Arial"/>
          <w:sz w:val="16"/>
          <w:szCs w:val="16"/>
          <w:color w:val="auto"/>
        </w:rPr>
      </w:pPr>
    </w:p>
    <w:p>
      <w:pPr>
        <w:jc w:val="both"/>
        <w:ind w:firstLine="1952"/>
        <w:spacing w:after="0" w:line="266" w:lineRule="auto"/>
        <w:tabs>
          <w:tab w:leader="none" w:pos="2239" w:val="left"/>
        </w:tabs>
        <w:numPr>
          <w:ilvl w:val="0"/>
          <w:numId w:val="19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Successor Entity</w:t>
      </w:r>
      <w:r>
        <w:rPr>
          <w:rFonts w:ascii="Arial" w:cs="Arial" w:eastAsia="Arial" w:hAnsi="Arial"/>
          <w:sz w:val="18"/>
          <w:szCs w:val="18"/>
          <w:color w:val="auto"/>
        </w:rPr>
        <w:t>” means one or more Person or Persons (or, if so elected by the Holder, the Company or Parent Entity) formed by, resulting from or surviving any Fundamental Transaction or one or more Person or Persons (or, if so elected by the Holder, the Company or the Parent Entity) with which such Fundamental Transaction shall have been entered into.</w:t>
      </w:r>
    </w:p>
    <w:p>
      <w:pPr>
        <w:spacing w:after="0" w:line="175" w:lineRule="exact"/>
        <w:rPr>
          <w:rFonts w:ascii="Arial" w:cs="Arial" w:eastAsia="Arial" w:hAnsi="Arial"/>
          <w:sz w:val="18"/>
          <w:szCs w:val="18"/>
          <w:color w:val="auto"/>
        </w:rPr>
      </w:pPr>
    </w:p>
    <w:p>
      <w:pPr>
        <w:jc w:val="both"/>
        <w:ind w:firstLine="1952"/>
        <w:spacing w:after="0" w:line="298" w:lineRule="auto"/>
        <w:tabs>
          <w:tab w:leader="none" w:pos="2199" w:val="left"/>
        </w:tabs>
        <w:numPr>
          <w:ilvl w:val="0"/>
          <w:numId w:val="19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Trading Day</w:t>
      </w:r>
      <w:r>
        <w:rPr>
          <w:rFonts w:ascii="Arial" w:cs="Arial" w:eastAsia="Arial" w:hAnsi="Arial"/>
          <w:sz w:val="16"/>
          <w:szCs w:val="16"/>
          <w:color w:val="auto"/>
        </w:rPr>
        <w:t xml:space="preserve">” means any day on which the Common Stock is traded on the Principal Market, or, if the Principal Market is not the principal trading market for the Common Stock, then on the principal securities exchange or securities market on which the Common Stock is then traded;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time).</w:t>
      </w:r>
    </w:p>
    <w:p>
      <w:pPr>
        <w:spacing w:after="0" w:line="153" w:lineRule="exact"/>
        <w:rPr>
          <w:rFonts w:ascii="Arial" w:cs="Arial" w:eastAsia="Arial" w:hAnsi="Arial"/>
          <w:sz w:val="16"/>
          <w:szCs w:val="16"/>
          <w:color w:val="auto"/>
        </w:rPr>
      </w:pPr>
    </w:p>
    <w:p>
      <w:pPr>
        <w:jc w:val="both"/>
        <w:ind w:firstLine="1952"/>
        <w:spacing w:after="0" w:line="267" w:lineRule="auto"/>
        <w:tabs>
          <w:tab w:leader="none" w:pos="2199" w:val="left"/>
        </w:tabs>
        <w:numPr>
          <w:ilvl w:val="0"/>
          <w:numId w:val="19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VWAP</w:t>
      </w:r>
      <w:r>
        <w:rPr>
          <w:rFonts w:ascii="Arial" w:cs="Arial" w:eastAsia="Arial" w:hAnsi="Arial"/>
          <w:sz w:val="17"/>
          <w:szCs w:val="17"/>
          <w:color w:val="auto"/>
        </w:rPr>
        <w:t xml:space="preserve">” means, for any security as of any date, the dollar volume-weighted average price for such security on the Principal Market during the period beginning at 9:30:01 a.m., New York time (or such other time as the Principal Market publicly announces is the official open of trading), and ending at 4:00:00 p.m., New York time (or such other time as the Principal Market publicly announces is the official close of trading), as reported by Bloomberg through its “Volume at Price” function or, if the foregoing does not apply, the dollar volume-weighted average price of such security in the over-the-counter market on the electronic bulletin board for such security during the period beginning at 9:30:01 a.m., New York time (or such other time as such market publicly announces is the official open of trading), and ending at 4:00:00 p.m., New York time (or such other time as such market publicly announces is the official close of trading), as reported by Bloomberg, or, if no dollar volume-weighted average price is reported for such security by Bloomberg for such hours, the average of the highest Closing Bid Price and the lowest closing ask price of any of the market makers for such security as reported in the OTC Link or “pink sheets” by OTC Markets Group Inc. (formerly Pink OTC Markets Inc.). If the VWAP cannot be calculated for a security on a particular date on any of the foregoing bases, the VWAP of such security on such date shall be the fair market value as mutually determined by the Company and the Holder. If the Company and the Holder are unable to agree upon the fair market value of such security, then such dispute shall be resolved pursuant to Section </w:t>
      </w:r>
      <w:r>
        <w:rPr>
          <w:rFonts w:ascii="Arial" w:cs="Arial" w:eastAsia="Arial" w:hAnsi="Arial"/>
          <w:sz w:val="20"/>
          <w:szCs w:val="20"/>
          <w:b w:val="1"/>
          <w:bCs w:val="1"/>
          <w:color w:val="auto"/>
        </w:rPr>
        <w:t>‎</w:t>
      </w:r>
      <w:r>
        <w:rPr>
          <w:rFonts w:ascii="Arial" w:cs="Arial" w:eastAsia="Arial" w:hAnsi="Arial"/>
          <w:sz w:val="17"/>
          <w:szCs w:val="17"/>
          <w:color w:val="auto"/>
        </w:rPr>
        <w:t>12 with the term “VWAP” being substituted for the term “Exercise Price.” All such determinations shall be appropriately adjusted for any stock dividend, stock split, stock combination, reclassification or other similar transaction during the applicable calculation period.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 Follows]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0" w:name="page211"/>
    <w:bookmarkEnd w:id="210"/>
    <w:p>
      <w:pPr>
        <w:ind w:left="660"/>
        <w:spacing w:after="0"/>
        <w:rPr>
          <w:sz w:val="20"/>
          <w:szCs w:val="20"/>
          <w:color w:val="auto"/>
        </w:rPr>
      </w:pPr>
      <w:r>
        <w:rPr>
          <w:rFonts w:ascii="Arial" w:cs="Arial" w:eastAsia="Arial" w:hAnsi="Arial"/>
          <w:sz w:val="16"/>
          <w:szCs w:val="16"/>
          <w:b w:val="1"/>
          <w:bCs w:val="1"/>
          <w:color w:val="auto"/>
        </w:rPr>
        <w:t xml:space="preserve">IN WITNESS WHEREOF, </w:t>
      </w:r>
      <w:r>
        <w:rPr>
          <w:rFonts w:ascii="Arial" w:cs="Arial" w:eastAsia="Arial" w:hAnsi="Arial"/>
          <w:sz w:val="16"/>
          <w:szCs w:val="16"/>
          <w:color w:val="auto"/>
        </w:rPr>
        <w:t>the Company has caused this Warrant to Purchase Common Stock to be duly executed as of the Issuance Date set out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07"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PRESTO AUTOMATION INC.</w:t>
      </w:r>
    </w:p>
    <w:p>
      <w:pPr>
        <w:spacing w:after="0" w:line="2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Xavier Casanova</w:t>
      </w:r>
    </w:p>
    <w:p>
      <w:pPr>
        <w:spacing w:after="0" w:line="36"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11" w:name="page212"/>
    <w:bookmarkEnd w:id="211"/>
    <w:p>
      <w:pPr>
        <w:jc w:val="right"/>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EXERCISE NOTICE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EXECUTED BY THE REGISTERED HOLDER TO EXERCISE THIS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TO PURCHASE COMMON STOCK</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PRESTO AUTOMATION INC.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undersigned holder hereby exercises the right to purchase _________________ of the shares of Common Stock (“</w:t>
      </w:r>
      <w:r>
        <w:rPr>
          <w:rFonts w:ascii="Arial" w:cs="Arial" w:eastAsia="Arial" w:hAnsi="Arial"/>
          <w:sz w:val="17"/>
          <w:szCs w:val="17"/>
          <w:b w:val="1"/>
          <w:bCs w:val="1"/>
          <w:color w:val="auto"/>
        </w:rPr>
        <w:t>Warrant Shares</w:t>
      </w:r>
      <w:r>
        <w:rPr>
          <w:rFonts w:ascii="Arial" w:cs="Arial" w:eastAsia="Arial" w:hAnsi="Arial"/>
          <w:sz w:val="17"/>
          <w:szCs w:val="17"/>
          <w:color w:val="auto"/>
        </w:rPr>
        <w:t>”) of</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Presto Automation Inc.,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evidenced by the attached Warrant to Purchase Common Stock (the “</w:t>
      </w:r>
      <w:r>
        <w:rPr>
          <w:rFonts w:ascii="Arial" w:cs="Arial" w:eastAsia="Arial" w:hAnsi="Arial"/>
          <w:sz w:val="17"/>
          <w:szCs w:val="17"/>
          <w:b w:val="1"/>
          <w:bCs w:val="1"/>
          <w:color w:val="auto"/>
        </w:rPr>
        <w:t>Warrant</w:t>
      </w:r>
      <w:r>
        <w:rPr>
          <w:rFonts w:ascii="Arial" w:cs="Arial" w:eastAsia="Arial" w:hAnsi="Arial"/>
          <w:sz w:val="17"/>
          <w:szCs w:val="17"/>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used herein and not otherwise defined shall have the respective meanings set forth in the Warrant.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Form of Exercise Price. The Holder intends that payment of the Exercise Price shall be made as:</w:t>
      </w:r>
    </w:p>
    <w:p>
      <w:pPr>
        <w:spacing w:after="0" w:line="225"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____________</w:t>
        <w:tab/>
        <w:t>a “</w:t>
      </w:r>
      <w:r>
        <w:rPr>
          <w:rFonts w:ascii="Arial" w:cs="Arial" w:eastAsia="Arial" w:hAnsi="Arial"/>
          <w:sz w:val="18"/>
          <w:szCs w:val="18"/>
          <w:u w:val="single" w:color="auto"/>
          <w:color w:val="auto"/>
        </w:rPr>
        <w:t>Cash Exercise</w:t>
      </w:r>
      <w:r>
        <w:rPr>
          <w:rFonts w:ascii="Arial" w:cs="Arial" w:eastAsia="Arial" w:hAnsi="Arial"/>
          <w:sz w:val="18"/>
          <w:szCs w:val="18"/>
          <w:color w:val="auto"/>
        </w:rPr>
        <w:t>” with respect to _________________ Warrant Shares; and/or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____________ a “</w:t>
      </w:r>
      <w:r>
        <w:rPr>
          <w:rFonts w:ascii="Arial" w:cs="Arial" w:eastAsia="Arial" w:hAnsi="Arial"/>
          <w:sz w:val="18"/>
          <w:szCs w:val="18"/>
          <w:u w:val="single" w:color="auto"/>
          <w:color w:val="auto"/>
        </w:rPr>
        <w:t>Cashless Exercise</w:t>
      </w:r>
      <w:r>
        <w:rPr>
          <w:rFonts w:ascii="Arial" w:cs="Arial" w:eastAsia="Arial" w:hAnsi="Arial"/>
          <w:sz w:val="18"/>
          <w:szCs w:val="18"/>
          <w:color w:val="auto"/>
        </w:rPr>
        <w:t>” with respect to _______________ Warrant Shares.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the event that the Holder has elected a Cashless Exercise with respect to some or all of the Warrant Shares to be issued pursuant hereto, the Holder hereby represents and warrants that this Exercise Notice was executed by the Holder at [a.m.][p.m.] on the date set forth below.</w:t>
      </w:r>
    </w:p>
    <w:p>
      <w:pPr>
        <w:spacing w:after="0" w:line="170" w:lineRule="exact"/>
        <w:rPr>
          <w:sz w:val="20"/>
          <w:szCs w:val="20"/>
          <w:color w:val="auto"/>
        </w:rPr>
      </w:pPr>
    </w:p>
    <w:p>
      <w:pPr>
        <w:jc w:val="both"/>
        <w:ind w:firstLine="656"/>
        <w:spacing w:after="0" w:line="263" w:lineRule="auto"/>
        <w:tabs>
          <w:tab w:leader="none" w:pos="846" w:val="left"/>
        </w:tabs>
        <w:numPr>
          <w:ilvl w:val="0"/>
          <w:numId w:val="199"/>
        </w:numPr>
        <w:rPr>
          <w:rFonts w:ascii="Arial" w:cs="Arial" w:eastAsia="Arial" w:hAnsi="Arial"/>
          <w:sz w:val="18"/>
          <w:szCs w:val="18"/>
          <w:color w:val="auto"/>
        </w:rPr>
      </w:pPr>
      <w:r>
        <w:rPr>
          <w:rFonts w:ascii="Arial" w:cs="Arial" w:eastAsia="Arial" w:hAnsi="Arial"/>
          <w:sz w:val="18"/>
          <w:szCs w:val="18"/>
          <w:color w:val="auto"/>
        </w:rPr>
        <w:t>Payment of Exercise Price. In the event that the holder has elected a Cash Exercise with respect to some or all of the Warrant Shares to be issued pursuant hereto, the holder shall pay the Aggregate Exercise Price in the sum of $___________________ to the Company in accordance with the terms of the Warrant.</w:t>
      </w:r>
    </w:p>
    <w:p>
      <w:pPr>
        <w:spacing w:after="0" w:line="183" w:lineRule="exact"/>
        <w:rPr>
          <w:rFonts w:ascii="Arial" w:cs="Arial" w:eastAsia="Arial" w:hAnsi="Arial"/>
          <w:sz w:val="18"/>
          <w:szCs w:val="18"/>
          <w:color w:val="auto"/>
        </w:rPr>
      </w:pPr>
    </w:p>
    <w:p>
      <w:pPr>
        <w:ind w:left="840" w:hanging="184"/>
        <w:spacing w:after="0"/>
        <w:tabs>
          <w:tab w:leader="none" w:pos="840" w:val="left"/>
        </w:tabs>
        <w:numPr>
          <w:ilvl w:val="0"/>
          <w:numId w:val="199"/>
        </w:numPr>
        <w:rPr>
          <w:rFonts w:ascii="Arial" w:cs="Arial" w:eastAsia="Arial" w:hAnsi="Arial"/>
          <w:sz w:val="16"/>
          <w:szCs w:val="16"/>
          <w:color w:val="auto"/>
        </w:rPr>
      </w:pPr>
      <w:r>
        <w:rPr>
          <w:rFonts w:ascii="Arial" w:cs="Arial" w:eastAsia="Arial" w:hAnsi="Arial"/>
          <w:sz w:val="16"/>
          <w:szCs w:val="16"/>
          <w:color w:val="auto"/>
        </w:rPr>
        <w:t>Delivery of Warrant Shares. The Company shall deliver to the holder __________ Warrant Shares in accordance with the terms of the Warrant.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520" w:type="dxa"/>
            <w:vAlign w:val="bottom"/>
            <w:gridSpan w:val="2"/>
          </w:tcPr>
          <w:p>
            <w:pPr>
              <w:spacing w:after="0"/>
              <w:rPr>
                <w:sz w:val="20"/>
                <w:szCs w:val="20"/>
                <w:color w:val="auto"/>
              </w:rPr>
            </w:pPr>
            <w:r>
              <w:rPr>
                <w:rFonts w:ascii="Arial" w:cs="Arial" w:eastAsia="Arial" w:hAnsi="Arial"/>
                <w:sz w:val="18"/>
                <w:szCs w:val="18"/>
                <w:color w:val="auto"/>
              </w:rPr>
              <w:t>_______ Electronic Delivery</w:t>
            </w:r>
          </w:p>
        </w:tc>
        <w:tc>
          <w:tcPr>
            <w:tcW w:w="6720" w:type="dxa"/>
            <w:vAlign w:val="bottom"/>
            <w:gridSpan w:val="2"/>
          </w:tcPr>
          <w:p>
            <w:pPr>
              <w:ind w:left="1680"/>
              <w:spacing w:after="0"/>
              <w:rPr>
                <w:sz w:val="20"/>
                <w:szCs w:val="20"/>
                <w:color w:val="auto"/>
              </w:rPr>
            </w:pPr>
            <w:r>
              <w:rPr>
                <w:rFonts w:ascii="Arial" w:cs="Arial" w:eastAsia="Arial" w:hAnsi="Arial"/>
                <w:sz w:val="18"/>
                <w:szCs w:val="18"/>
                <w:color w:val="auto"/>
              </w:rPr>
              <w:t>DTC Participant:</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3360" w:type="dxa"/>
            <w:vAlign w:val="bottom"/>
          </w:tcPr>
          <w:p>
            <w:pPr>
              <w:ind w:left="1680"/>
              <w:spacing w:after="0" w:line="203" w:lineRule="exact"/>
              <w:rPr>
                <w:sz w:val="20"/>
                <w:szCs w:val="20"/>
                <w:color w:val="auto"/>
              </w:rPr>
            </w:pPr>
            <w:r>
              <w:rPr>
                <w:rFonts w:ascii="Arial" w:cs="Arial" w:eastAsia="Arial" w:hAnsi="Arial"/>
                <w:sz w:val="18"/>
                <w:szCs w:val="18"/>
                <w:color w:val="auto"/>
              </w:rPr>
              <w:t>DTC Number:</w:t>
            </w:r>
          </w:p>
        </w:tc>
        <w:tc>
          <w:tcPr>
            <w:tcW w:w="336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3360" w:type="dxa"/>
            <w:vAlign w:val="bottom"/>
          </w:tcPr>
          <w:p>
            <w:pPr>
              <w:ind w:left="1680"/>
              <w:spacing w:after="0" w:line="202" w:lineRule="exact"/>
              <w:rPr>
                <w:sz w:val="20"/>
                <w:szCs w:val="20"/>
                <w:color w:val="auto"/>
              </w:rPr>
            </w:pPr>
            <w:r>
              <w:rPr>
                <w:rFonts w:ascii="Arial" w:cs="Arial" w:eastAsia="Arial" w:hAnsi="Arial"/>
                <w:sz w:val="18"/>
                <w:szCs w:val="18"/>
                <w:color w:val="auto"/>
              </w:rPr>
              <w:t>Account Name:</w:t>
            </w:r>
          </w:p>
        </w:tc>
        <w:tc>
          <w:tcPr>
            <w:tcW w:w="33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3360" w:type="dxa"/>
            <w:vAlign w:val="bottom"/>
          </w:tcPr>
          <w:p>
            <w:pPr>
              <w:ind w:left="1680"/>
              <w:spacing w:after="0" w:line="202" w:lineRule="exact"/>
              <w:rPr>
                <w:sz w:val="20"/>
                <w:szCs w:val="20"/>
                <w:color w:val="auto"/>
              </w:rPr>
            </w:pPr>
            <w:r>
              <w:rPr>
                <w:rFonts w:ascii="Arial" w:cs="Arial" w:eastAsia="Arial" w:hAnsi="Arial"/>
                <w:sz w:val="18"/>
                <w:szCs w:val="18"/>
                <w:color w:val="auto"/>
              </w:rPr>
              <w:t>Account Number:</w:t>
            </w:r>
          </w:p>
        </w:tc>
        <w:tc>
          <w:tcPr>
            <w:tcW w:w="33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4520" w:type="dxa"/>
            <w:vAlign w:val="bottom"/>
            <w:gridSpan w:val="2"/>
          </w:tcPr>
          <w:p>
            <w:pPr>
              <w:spacing w:after="0"/>
              <w:rPr>
                <w:sz w:val="20"/>
                <w:szCs w:val="20"/>
                <w:color w:val="auto"/>
              </w:rPr>
            </w:pPr>
            <w:r>
              <w:rPr>
                <w:rFonts w:ascii="Arial" w:cs="Arial" w:eastAsia="Arial" w:hAnsi="Arial"/>
                <w:sz w:val="18"/>
                <w:szCs w:val="18"/>
                <w:color w:val="auto"/>
              </w:rPr>
              <w:t>_______ Physical Delivery</w:t>
            </w:r>
          </w:p>
        </w:tc>
        <w:tc>
          <w:tcPr>
            <w:tcW w:w="6720" w:type="dxa"/>
            <w:vAlign w:val="bottom"/>
            <w:gridSpan w:val="2"/>
          </w:tcPr>
          <w:p>
            <w:pPr>
              <w:ind w:left="1680"/>
              <w:spacing w:after="0"/>
              <w:rPr>
                <w:sz w:val="20"/>
                <w:szCs w:val="20"/>
                <w:color w:val="auto"/>
              </w:rPr>
            </w:pPr>
            <w:r>
              <w:rPr>
                <w:rFonts w:ascii="Arial" w:cs="Arial" w:eastAsia="Arial" w:hAnsi="Arial"/>
                <w:sz w:val="18"/>
                <w:szCs w:val="18"/>
                <w:color w:val="auto"/>
              </w:rPr>
              <w:t>Address:</w:t>
            </w:r>
          </w:p>
        </w:tc>
        <w:tc>
          <w:tcPr>
            <w:tcW w:w="0" w:type="dxa"/>
            <w:vAlign w:val="bottom"/>
          </w:tcPr>
          <w:p>
            <w:pPr>
              <w:spacing w:after="0"/>
              <w:rPr>
                <w:sz w:val="1"/>
                <w:szCs w:val="1"/>
                <w:color w:val="auto"/>
              </w:rPr>
            </w:pPr>
          </w:p>
        </w:tc>
      </w:tr>
      <w:tr>
        <w:trPr>
          <w:trHeight w:val="223"/>
        </w:trPr>
        <w:tc>
          <w:tcPr>
            <w:tcW w:w="4520" w:type="dxa"/>
            <w:vAlign w:val="bottom"/>
            <w:gridSpan w:val="2"/>
            <w:vMerge w:val="restart"/>
          </w:tcPr>
          <w:p>
            <w:pPr>
              <w:spacing w:after="0"/>
              <w:rPr>
                <w:sz w:val="20"/>
                <w:szCs w:val="20"/>
                <w:color w:val="auto"/>
              </w:rPr>
            </w:pPr>
            <w:r>
              <w:rPr>
                <w:rFonts w:ascii="Arial" w:cs="Arial" w:eastAsia="Arial" w:hAnsi="Arial"/>
                <w:sz w:val="18"/>
                <w:szCs w:val="18"/>
                <w:color w:val="auto"/>
              </w:rPr>
              <w:t>Date: _______________ __, ______</w:t>
            </w:r>
          </w:p>
        </w:tc>
        <w:tc>
          <w:tcPr>
            <w:tcW w:w="3360" w:type="dxa"/>
            <w:vAlign w:val="bottom"/>
          </w:tcPr>
          <w:p>
            <w:pPr>
              <w:spacing w:after="0"/>
              <w:rPr>
                <w:sz w:val="19"/>
                <w:szCs w:val="19"/>
                <w:color w:val="auto"/>
              </w:rPr>
            </w:pPr>
          </w:p>
        </w:tc>
        <w:tc>
          <w:tcPr>
            <w:tcW w:w="336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20" w:type="dxa"/>
            <w:vAlign w:val="bottom"/>
            <w:gridSpan w:val="2"/>
            <w:vMerge w:val="continue"/>
          </w:tcPr>
          <w:p>
            <w:pPr>
              <w:spacing w:after="0"/>
              <w:rPr>
                <w:sz w:val="19"/>
                <w:szCs w:val="19"/>
                <w:color w:val="auto"/>
              </w:rPr>
            </w:pPr>
          </w:p>
        </w:tc>
        <w:tc>
          <w:tcPr>
            <w:tcW w:w="3360" w:type="dxa"/>
            <w:vAlign w:val="bottom"/>
          </w:tcPr>
          <w:p>
            <w:pPr>
              <w:spacing w:after="0"/>
              <w:rPr>
                <w:sz w:val="19"/>
                <w:szCs w:val="19"/>
                <w:color w:val="auto"/>
              </w:rPr>
            </w:pPr>
          </w:p>
        </w:tc>
        <w:tc>
          <w:tcPr>
            <w:tcW w:w="33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4520" w:type="dxa"/>
            <w:vAlign w:val="bottom"/>
            <w:gridSpan w:val="2"/>
            <w:vMerge w:val="continue"/>
          </w:tcPr>
          <w:p>
            <w:pPr>
              <w:spacing w:after="0"/>
              <w:rPr>
                <w:sz w:val="24"/>
                <w:szCs w:val="24"/>
                <w:color w:val="auto"/>
              </w:rPr>
            </w:pPr>
          </w:p>
        </w:tc>
        <w:tc>
          <w:tcPr>
            <w:tcW w:w="33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520" w:type="dxa"/>
            <w:vAlign w:val="bottom"/>
            <w:tcBorders>
              <w:bottom w:val="single" w:sz="8" w:color="auto"/>
            </w:tcBorders>
            <w:gridSpan w:val="2"/>
          </w:tcPr>
          <w:p>
            <w:pPr>
              <w:spacing w:after="0"/>
              <w:rPr>
                <w:sz w:val="24"/>
                <w:szCs w:val="24"/>
                <w:color w:val="auto"/>
              </w:rPr>
            </w:pPr>
          </w:p>
        </w:tc>
        <w:tc>
          <w:tcPr>
            <w:tcW w:w="33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rPr>
              <w:t>Name of Registered Holder</w:t>
            </w:r>
          </w:p>
        </w:tc>
        <w:tc>
          <w:tcPr>
            <w:tcW w:w="336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520" w:type="dxa"/>
            <w:vAlign w:val="bottom"/>
            <w:gridSpan w:val="2"/>
          </w:tcPr>
          <w:p>
            <w:pPr>
              <w:spacing w:after="0"/>
              <w:rPr>
                <w:sz w:val="20"/>
                <w:szCs w:val="20"/>
                <w:color w:val="auto"/>
              </w:rPr>
            </w:pPr>
            <w:r>
              <w:rPr>
                <w:rFonts w:ascii="Arial" w:cs="Arial" w:eastAsia="Arial" w:hAnsi="Arial"/>
                <w:sz w:val="18"/>
                <w:szCs w:val="18"/>
                <w:color w:val="auto"/>
              </w:rPr>
              <w:t>By:</w:t>
            </w:r>
          </w:p>
        </w:tc>
        <w:tc>
          <w:tcPr>
            <w:tcW w:w="33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60" w:type="dxa"/>
            <w:vAlign w:val="bottom"/>
          </w:tcPr>
          <w:p>
            <w:pPr>
              <w:spacing w:after="0"/>
              <w:rPr>
                <w:sz w:val="17"/>
                <w:szCs w:val="17"/>
                <w:color w:val="auto"/>
              </w:rPr>
            </w:pPr>
          </w:p>
        </w:tc>
        <w:tc>
          <w:tcPr>
            <w:tcW w:w="40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Name:</w:t>
            </w:r>
          </w:p>
        </w:tc>
        <w:tc>
          <w:tcPr>
            <w:tcW w:w="336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Title:</w:t>
            </w:r>
          </w:p>
        </w:tc>
        <w:tc>
          <w:tcPr>
            <w:tcW w:w="336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2"/>
        </w:trPr>
        <w:tc>
          <w:tcPr>
            <w:tcW w:w="46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212" w:name="page213"/>
    <w:bookmarkEnd w:id="212"/>
    <w:p>
      <w:pPr>
        <w:jc w:val="center"/>
        <w:spacing w:after="0"/>
        <w:rPr>
          <w:sz w:val="20"/>
          <w:szCs w:val="20"/>
          <w:color w:val="auto"/>
        </w:rPr>
      </w:pPr>
      <w:r>
        <w:rPr>
          <w:rFonts w:ascii="Arial" w:cs="Arial" w:eastAsia="Arial" w:hAnsi="Arial"/>
          <w:sz w:val="18"/>
          <w:szCs w:val="18"/>
          <w:b w:val="1"/>
          <w:bCs w:val="1"/>
          <w:color w:val="auto"/>
        </w:rPr>
        <w:t>ACKNOWLEDGMENT</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hereby acknowledges this Exercise Notice and hereby directs [TRANSFER AGENT] to issue the above indicated number of shares of Common Stock in accordance with the Transfer Agent Instructions dated _________________ from the Company and acknowledged and agreed to by [TRANSFER AGENT].</w:t>
      </w:r>
    </w:p>
    <w:p>
      <w:pPr>
        <w:spacing w:after="0" w:line="180"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PRESTO AUTOMATION INC.</w:t>
      </w:r>
    </w:p>
    <w:p>
      <w:pPr>
        <w:spacing w:after="0" w:line="2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14605</wp:posOffset>
            </wp:positionV>
            <wp:extent cx="2417445"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2417445" cy="1714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3" w:name="page214"/>
    <w:bookmarkEnd w:id="213"/>
    <w:p>
      <w:pPr>
        <w:jc w:val="center"/>
        <w:ind w:right="-19"/>
        <w:spacing w:after="0"/>
        <w:rPr>
          <w:sz w:val="20"/>
          <w:szCs w:val="20"/>
          <w:color w:val="auto"/>
        </w:rPr>
      </w:pPr>
      <w:r>
        <w:rPr>
          <w:rFonts w:ascii="Arial" w:cs="Arial" w:eastAsia="Arial" w:hAnsi="Arial"/>
          <w:sz w:val="18"/>
          <w:szCs w:val="18"/>
          <w:b w:val="1"/>
          <w:bCs w:val="1"/>
          <w:color w:val="auto"/>
        </w:rPr>
        <w:t>ASSIGNMENT FORM</w:t>
      </w:r>
    </w:p>
    <w:p>
      <w:pPr>
        <w:spacing w:after="0" w:line="229"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(To assign the foregoing warrant, execute</w:t>
      </w:r>
    </w:p>
    <w:p>
      <w:pPr>
        <w:spacing w:after="0" w:line="23"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this form and supply required information.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 not use this form to exercise the warrant.)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VALUE RECEIVED, all of or shares of the foregoing Warrant and all rights evidenced thereby are hereby assigned to</w:t>
      </w:r>
    </w:p>
    <w:p>
      <w:pPr>
        <w:spacing w:after="0" w:line="200" w:lineRule="exact"/>
        <w:rPr>
          <w:sz w:val="20"/>
          <w:szCs w:val="20"/>
          <w:color w:val="auto"/>
        </w:rPr>
      </w:pPr>
    </w:p>
    <w:p>
      <w:pPr>
        <w:spacing w:after="0" w:line="241" w:lineRule="exact"/>
        <w:rPr>
          <w:sz w:val="20"/>
          <w:szCs w:val="20"/>
          <w:color w:val="auto"/>
        </w:rPr>
      </w:pPr>
    </w:p>
    <w:p>
      <w:pPr>
        <w:ind w:left="8440"/>
        <w:spacing w:after="0"/>
        <w:rPr>
          <w:sz w:val="20"/>
          <w:szCs w:val="20"/>
          <w:color w:val="auto"/>
        </w:rPr>
      </w:pPr>
      <w:r>
        <w:rPr>
          <w:rFonts w:ascii="Arial" w:cs="Arial" w:eastAsia="Arial" w:hAnsi="Arial"/>
          <w:sz w:val="18"/>
          <w:szCs w:val="18"/>
          <w:color w:val="auto"/>
        </w:rPr>
        <w:t>whose address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534924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534924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534924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534924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534924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534924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Dated: __________________, ____</w:t>
      </w:r>
    </w:p>
    <w:p>
      <w:pPr>
        <w:spacing w:after="0" w:line="225"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Holder’s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14605</wp:posOffset>
            </wp:positionV>
            <wp:extent cx="2143125"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3"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Holder’s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177165</wp:posOffset>
            </wp:positionV>
            <wp:extent cx="2143125"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2143125" cy="1714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22860</wp:posOffset>
            </wp:positionV>
            <wp:extent cx="2143125"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NOTE: The signature to this Assignment Form must correspond with the name as it appears on the face of the Warrant, without alteration or enlargement or any change whatsoever.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4" w:name="page215"/>
    <w:bookmarkEnd w:id="214"/>
    <w:p>
      <w:pPr>
        <w:ind w:left="10120"/>
        <w:spacing w:after="0"/>
        <w:rPr>
          <w:sz w:val="20"/>
          <w:szCs w:val="20"/>
          <w:color w:val="auto"/>
        </w:rPr>
      </w:pPr>
      <w:r>
        <w:rPr>
          <w:rFonts w:ascii="Arial" w:cs="Arial" w:eastAsia="Arial" w:hAnsi="Arial"/>
          <w:sz w:val="19"/>
          <w:szCs w:val="19"/>
          <w:b w:val="1"/>
          <w:bCs w:val="1"/>
          <w:color w:val="auto"/>
        </w:rPr>
        <w:t>Exhibit 10.5</w:t>
      </w:r>
    </w:p>
    <w:p>
      <w:pPr>
        <w:spacing w:after="0" w:line="281" w:lineRule="exact"/>
        <w:rPr>
          <w:sz w:val="20"/>
          <w:szCs w:val="20"/>
          <w:color w:val="auto"/>
        </w:rPr>
      </w:pPr>
    </w:p>
    <w:p>
      <w:pPr>
        <w:ind w:left="10140"/>
        <w:spacing w:after="0"/>
        <w:rPr>
          <w:sz w:val="20"/>
          <w:szCs w:val="20"/>
          <w:color w:val="auto"/>
        </w:rPr>
      </w:pPr>
      <w:r>
        <w:rPr>
          <w:rFonts w:ascii="Arial" w:cs="Arial" w:eastAsia="Arial" w:hAnsi="Arial"/>
          <w:sz w:val="17"/>
          <w:szCs w:val="17"/>
          <w:b w:val="1"/>
          <w:bCs w:val="1"/>
          <w:i w:val="1"/>
          <w:iCs w:val="1"/>
          <w:color w:val="auto"/>
        </w:rPr>
        <w:t>Final Version</w:t>
      </w:r>
    </w:p>
    <w:p>
      <w:pPr>
        <w:spacing w:after="0" w:line="23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NEITHER THIS WARRANT, NOR THE SECURITIES ISSUABLE UPON EXERCISE OF THIS WARRANT (COLLECTIVELY, THE “SECURITIES”), HAVE BEEN REGISTERED UNDER THE SECURITIES ACT OF 1933, AS AMENDED (THE “SECURITIES ACT”), OR UNDER ANY STATE SECURITIES OR BLUE SKY LAWS. THE SECURITIES ARE SUBJECT TO RESTRICTIONS ON TRANSFERABILITY AND RESALE AND MAY NOT BE OFFERED, FOR SALE, SOLD, PLEDGED, HYPOTHECATED OR OTHERWISE TRANSFERRED OR ASSIGNED EXCEPT AS PERMITTED UNDER THE SECURITIES ACT AND APPLICABLE STATE SECURITIES OR BLUE SKY LAWS, PURSUANT TO REGISTRATION OR QUALIFICATION OR EXEMPTION THEREFROM. INVESTORS SHOULD BE AWARE THAT THEY MAY BE REQUIRED TO BEAR THE FINANCIAL RISKS OF THIS INVESTMENT FOR AN INDEFINITE PERIOD OF TIME. THE COMPANY MAY REQUIRE AN OPINION OF COUNSEL IN FORM AND SUBSTANCE REASONABLY SATISFACTORY TO THE COMPANY TO THE EFFECT THAT ANY PROPOSED TRANSFER IS IN COMPLIANCE WITH THE SECURITIES ACT AND ANY APPLICABLE STATE SECURITIES OR BLUE SKY LAWS.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PRESTO AUTOMATION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2"/>
          <w:szCs w:val="12"/>
          <w:b w:val="1"/>
          <w:bCs w:val="1"/>
          <w:color w:val="auto"/>
        </w:rPr>
        <w:t>arrant</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o</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urchase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ommon</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Warrant No.: 2023-9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of Common Stock: 1,338,900</w:t>
      </w:r>
    </w:p>
    <w:p>
      <w:pPr>
        <w:spacing w:after="0" w:line="9" w:lineRule="exact"/>
        <w:rPr>
          <w:sz w:val="20"/>
          <w:szCs w:val="20"/>
          <w:color w:val="auto"/>
        </w:rPr>
      </w:pPr>
    </w:p>
    <w:p>
      <w:pPr>
        <w:spacing w:after="0"/>
        <w:tabs>
          <w:tab w:leader="none" w:pos="2540" w:val="left"/>
        </w:tabs>
        <w:rPr>
          <w:sz w:val="20"/>
          <w:szCs w:val="20"/>
          <w:color w:val="auto"/>
        </w:rPr>
      </w:pPr>
      <w:r>
        <w:rPr>
          <w:rFonts w:ascii="Arial" w:cs="Arial" w:eastAsia="Arial" w:hAnsi="Arial"/>
          <w:sz w:val="18"/>
          <w:szCs w:val="18"/>
          <w:color w:val="auto"/>
        </w:rPr>
        <w:t>Date of Issuance:</w:t>
      </w:r>
      <w:r>
        <w:rPr>
          <w:sz w:val="20"/>
          <w:szCs w:val="20"/>
          <w:color w:val="auto"/>
        </w:rPr>
        <w:tab/>
      </w:r>
      <w:r>
        <w:rPr>
          <w:rFonts w:ascii="Arial" w:cs="Arial" w:eastAsia="Arial" w:hAnsi="Arial"/>
          <w:sz w:val="16"/>
          <w:szCs w:val="16"/>
          <w:color w:val="auto"/>
        </w:rPr>
        <w:t>, 2023 (“</w:t>
      </w:r>
      <w:r>
        <w:rPr>
          <w:rFonts w:ascii="Arial" w:cs="Arial" w:eastAsia="Arial" w:hAnsi="Arial"/>
          <w:sz w:val="16"/>
          <w:szCs w:val="16"/>
          <w:b w:val="1"/>
          <w:bCs w:val="1"/>
          <w:color w:val="auto"/>
        </w:rPr>
        <w:t>Issuance Date</w:t>
      </w:r>
      <w:r>
        <w:rPr>
          <w:rFonts w:ascii="Arial" w:cs="Arial" w:eastAsia="Arial" w:hAnsi="Arial"/>
          <w:sz w:val="16"/>
          <w:szCs w:val="16"/>
          <w:color w:val="auto"/>
        </w:rPr>
        <w:t>”)</w:t>
      </w:r>
    </w:p>
    <w:p>
      <w:pPr>
        <w:spacing w:after="0" w:line="207" w:lineRule="exact"/>
        <w:rPr>
          <w:sz w:val="20"/>
          <w:szCs w:val="20"/>
          <w:color w:val="auto"/>
        </w:rPr>
      </w:pPr>
    </w:p>
    <w:p>
      <w:pPr>
        <w:jc w:val="both"/>
        <w:ind w:firstLine="1296"/>
        <w:spacing w:after="0" w:line="288" w:lineRule="auto"/>
        <w:rPr>
          <w:sz w:val="20"/>
          <w:szCs w:val="20"/>
          <w:color w:val="auto"/>
        </w:rPr>
      </w:pPr>
      <w:r>
        <w:rPr>
          <w:rFonts w:ascii="Arial" w:cs="Arial" w:eastAsia="Arial" w:hAnsi="Arial"/>
          <w:sz w:val="16"/>
          <w:szCs w:val="16"/>
          <w:color w:val="auto"/>
        </w:rPr>
        <w:t>Presto Automation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hereby certifies that, for good and valuable consideration, the receipt and sufficiency of which are hereby acknowledged, Metropolitan Partners Fund VII, LP, the registered holder hereof or its permitted assigns (the “</w:t>
      </w:r>
      <w:r>
        <w:rPr>
          <w:rFonts w:ascii="Arial" w:cs="Arial" w:eastAsia="Arial" w:hAnsi="Arial"/>
          <w:sz w:val="16"/>
          <w:szCs w:val="16"/>
          <w:b w:val="1"/>
          <w:bCs w:val="1"/>
          <w:color w:val="auto"/>
        </w:rPr>
        <w:t>Holder</w:t>
      </w:r>
      <w:r>
        <w:rPr>
          <w:rFonts w:ascii="Arial" w:cs="Arial" w:eastAsia="Arial" w:hAnsi="Arial"/>
          <w:sz w:val="16"/>
          <w:szCs w:val="16"/>
          <w:color w:val="auto"/>
        </w:rPr>
        <w:t>”), is entitled, subject to the terms set forth below, to purchase from the Company, at the Exercise Price (as defined below) then in effect, at any time or times on or after the Issuance Date, but not after 11:59 p.m., New York time, on the Expiration Date, (as defined below), 1,338,900 duly authorized, validly issued, fully paid, nonassessable shares of Common Stock, subject to adjustment as provided herein (the “</w:t>
      </w:r>
      <w:r>
        <w:rPr>
          <w:rFonts w:ascii="Arial" w:cs="Arial" w:eastAsia="Arial" w:hAnsi="Arial"/>
          <w:sz w:val="16"/>
          <w:szCs w:val="16"/>
          <w:b w:val="1"/>
          <w:bCs w:val="1"/>
          <w:color w:val="auto"/>
        </w:rPr>
        <w:t>Warrant Shares</w:t>
      </w:r>
      <w:r>
        <w:rPr>
          <w:rFonts w:ascii="Arial" w:cs="Arial" w:eastAsia="Arial" w:hAnsi="Arial"/>
          <w:sz w:val="16"/>
          <w:szCs w:val="16"/>
          <w:color w:val="auto"/>
        </w:rPr>
        <w:t>”). Except as otherwise defined herein, capitalized terms in this Warrant to Purchase Common Stock (including any Warrants to Purchase Common Stock issued in exchange, transfer or replacement hereof, this “</w:t>
      </w:r>
      <w:r>
        <w:rPr>
          <w:rFonts w:ascii="Arial" w:cs="Arial" w:eastAsia="Arial" w:hAnsi="Arial"/>
          <w:sz w:val="16"/>
          <w:szCs w:val="16"/>
          <w:b w:val="1"/>
          <w:bCs w:val="1"/>
          <w:color w:val="auto"/>
        </w:rPr>
        <w:t>Warrant</w:t>
      </w:r>
      <w:r>
        <w:rPr>
          <w:rFonts w:ascii="Arial" w:cs="Arial" w:eastAsia="Arial" w:hAnsi="Arial"/>
          <w:sz w:val="16"/>
          <w:szCs w:val="16"/>
          <w:color w:val="auto"/>
        </w:rPr>
        <w:t>”) shall have the meanings set forth in Section 17‎. This Warrant is being issued pursuant to Section 3 of that certain Third Amendment to Credit Agreement, dated October 10, 2023, among E La Carte, LLC, the Company and Metropolitan Partners Group Administration, LLC, as agent (the “</w:t>
      </w:r>
      <w:r>
        <w:rPr>
          <w:rFonts w:ascii="Arial" w:cs="Arial" w:eastAsia="Arial" w:hAnsi="Arial"/>
          <w:sz w:val="16"/>
          <w:szCs w:val="16"/>
          <w:b w:val="1"/>
          <w:bCs w:val="1"/>
          <w:color w:val="auto"/>
        </w:rPr>
        <w:t>Third Amendment</w:t>
      </w:r>
      <w:r>
        <w:rPr>
          <w:rFonts w:ascii="Arial" w:cs="Arial" w:eastAsia="Arial" w:hAnsi="Arial"/>
          <w:sz w:val="16"/>
          <w:szCs w:val="16"/>
          <w:color w:val="auto"/>
        </w:rPr>
        <w:t>”), and to Section 7 of that certain Third Amended and Restated Fee Letter, dated October 10, 2023, among E La Carte, LLC, the Company and Metropolitan Partners Group Administration (the “</w:t>
      </w:r>
      <w:r>
        <w:rPr>
          <w:rFonts w:ascii="Arial" w:cs="Arial" w:eastAsia="Arial" w:hAnsi="Arial"/>
          <w:sz w:val="16"/>
          <w:szCs w:val="16"/>
          <w:b w:val="1"/>
          <w:bCs w:val="1"/>
          <w:color w:val="auto"/>
        </w:rPr>
        <w:t>Fee Letter</w:t>
      </w:r>
      <w:r>
        <w:rPr>
          <w:rFonts w:ascii="Arial" w:cs="Arial" w:eastAsia="Arial" w:hAnsi="Arial"/>
          <w:sz w:val="16"/>
          <w:szCs w:val="16"/>
          <w:color w:val="auto"/>
        </w:rPr>
        <w:t>”). Capitalized terms used herein and not otherwise defined shall have the definitions ascribed to such terms in the Credit Agreement (as defined in the Fee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407035</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15" w:name="page216"/>
    <w:bookmarkEnd w:id="215"/>
    <w:p>
      <w:pPr>
        <w:ind w:left="1480" w:hanging="176"/>
        <w:spacing w:after="0"/>
        <w:tabs>
          <w:tab w:leader="none" w:pos="148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EXERCISE OF WARRANT.</w:t>
      </w:r>
    </w:p>
    <w:p>
      <w:pPr>
        <w:spacing w:after="0" w:line="225" w:lineRule="exact"/>
        <w:rPr>
          <w:rFonts w:ascii="Arial" w:cs="Arial" w:eastAsia="Arial" w:hAnsi="Arial"/>
          <w:sz w:val="18"/>
          <w:szCs w:val="18"/>
          <w:color w:val="auto"/>
        </w:rPr>
      </w:pPr>
    </w:p>
    <w:p>
      <w:pPr>
        <w:jc w:val="both"/>
        <w:ind w:firstLine="1952"/>
        <w:spacing w:after="0" w:line="282" w:lineRule="auto"/>
        <w:tabs>
          <w:tab w:leader="none" w:pos="2188" w:val="left"/>
        </w:tabs>
        <w:numPr>
          <w:ilvl w:val="1"/>
          <w:numId w:val="200"/>
        </w:numPr>
        <w:rPr>
          <w:rFonts w:ascii="Arial" w:cs="Arial" w:eastAsia="Arial" w:hAnsi="Arial"/>
          <w:sz w:val="16"/>
          <w:szCs w:val="16"/>
          <w:color w:val="auto"/>
        </w:rPr>
      </w:pPr>
      <w:r>
        <w:rPr>
          <w:rFonts w:ascii="Arial" w:cs="Arial" w:eastAsia="Arial" w:hAnsi="Arial"/>
          <w:sz w:val="16"/>
          <w:szCs w:val="16"/>
          <w:u w:val="single" w:color="auto"/>
          <w:color w:val="auto"/>
        </w:rPr>
        <w:t>Mechanics of Exercise</w:t>
      </w:r>
      <w:r>
        <w:rPr>
          <w:rFonts w:ascii="Arial" w:cs="Arial" w:eastAsia="Arial" w:hAnsi="Arial"/>
          <w:sz w:val="16"/>
          <w:szCs w:val="16"/>
          <w:color w:val="auto"/>
        </w:rPr>
        <w:t xml:space="preserve">. Subject to the terms and conditions hereof (including, without limitation, the limitations set forth in Section </w:t>
      </w:r>
      <w:r>
        <w:rPr>
          <w:rFonts w:ascii="Arial" w:cs="Arial" w:eastAsia="Arial" w:hAnsi="Arial"/>
          <w:sz w:val="19"/>
          <w:szCs w:val="19"/>
          <w:b w:val="1"/>
          <w:bCs w:val="1"/>
          <w:color w:val="auto"/>
        </w:rPr>
        <w:t>‎</w:t>
      </w:r>
      <w:r>
        <w:rPr>
          <w:rFonts w:ascii="Arial" w:cs="Arial" w:eastAsia="Arial" w:hAnsi="Arial"/>
          <w:sz w:val="16"/>
          <w:szCs w:val="16"/>
          <w:color w:val="auto"/>
        </w:rPr>
        <w:t xml:space="preserve">1(f)), this Warrant may be exercised by the Holder at any time or times on or after the Issuance Date, in whole or in part, by (i) delivery (whether via facsimile or otherwise) of a written notice, in the form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(the “</w:t>
      </w:r>
      <w:r>
        <w:rPr>
          <w:rFonts w:ascii="Arial" w:cs="Arial" w:eastAsia="Arial" w:hAnsi="Arial"/>
          <w:sz w:val="16"/>
          <w:szCs w:val="16"/>
          <w:b w:val="1"/>
          <w:bCs w:val="1"/>
          <w:color w:val="auto"/>
        </w:rPr>
        <w:t>Exercise Notice</w:t>
      </w:r>
      <w:r>
        <w:rPr>
          <w:rFonts w:ascii="Arial" w:cs="Arial" w:eastAsia="Arial" w:hAnsi="Arial"/>
          <w:sz w:val="16"/>
          <w:szCs w:val="16"/>
          <w:color w:val="auto"/>
        </w:rPr>
        <w:t>”), of the Holder’s election to exercise this Warrant and (ii) (A) payment to the Company of an amount equal to the applicable Exercise Price multiplied by the number of Warrant Shares as to which this Warrant is being exercised (the “</w:t>
      </w:r>
      <w:r>
        <w:rPr>
          <w:rFonts w:ascii="Arial" w:cs="Arial" w:eastAsia="Arial" w:hAnsi="Arial"/>
          <w:sz w:val="16"/>
          <w:szCs w:val="16"/>
          <w:b w:val="1"/>
          <w:bCs w:val="1"/>
          <w:color w:val="auto"/>
        </w:rPr>
        <w:t>Aggregate Exercise Price</w:t>
      </w:r>
      <w:r>
        <w:rPr>
          <w:rFonts w:ascii="Arial" w:cs="Arial" w:eastAsia="Arial" w:hAnsi="Arial"/>
          <w:sz w:val="16"/>
          <w:szCs w:val="16"/>
          <w:color w:val="auto"/>
        </w:rPr>
        <w:t xml:space="preserve">”) in cash by wire transfer of immediately available funds or (B) if the provisions of Section 1(d) are applicable, by notifying the Company that this Warrant is being exercised pursuant to a Cashless Exercise.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after the date the Warrant Shares which are the subject of the Exercise Notice being delivered to the Holder.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w:t>
      </w:r>
      <w:r>
        <w:rPr>
          <w:rFonts w:ascii="Arial" w:cs="Arial" w:eastAsia="Arial" w:hAnsi="Arial"/>
          <w:sz w:val="16"/>
          <w:szCs w:val="16"/>
          <w:b w:val="1"/>
          <w:bCs w:val="1"/>
          <w:color w:val="auto"/>
        </w:rPr>
        <w:t>The Holder and any assignee, by acceptance of this Warrant, acknowledge and</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agree that, by reason of the provisions of this paragraph, following the purchase of a portion of the Warrant Shares hereunder, the number of Warrant Shares available for purchase hereunder at any given time may be less than the amount stated on the face hereof. </w:t>
      </w:r>
      <w:r>
        <w:rPr>
          <w:rFonts w:ascii="Arial" w:cs="Arial" w:eastAsia="Arial" w:hAnsi="Arial"/>
          <w:sz w:val="16"/>
          <w:szCs w:val="16"/>
          <w:color w:val="auto"/>
        </w:rPr>
        <w:t>On or before the third</w:t>
      </w:r>
      <w:r>
        <w:rPr>
          <w:rFonts w:ascii="Arial" w:cs="Arial" w:eastAsia="Arial" w:hAnsi="Arial"/>
          <w:sz w:val="16"/>
          <w:szCs w:val="16"/>
          <w:b w:val="1"/>
          <w:bCs w:val="1"/>
          <w:color w:val="auto"/>
        </w:rPr>
        <w:t xml:space="preserve"> </w:t>
      </w:r>
      <w:r>
        <w:rPr>
          <w:rFonts w:ascii="Arial" w:cs="Arial" w:eastAsia="Arial" w:hAnsi="Arial"/>
          <w:sz w:val="16"/>
          <w:szCs w:val="16"/>
          <w:color w:val="auto"/>
        </w:rPr>
        <w:t>(3rd) Trading Day following the date on which the Company has received the Exercise Notice (the “</w:t>
      </w:r>
      <w:r>
        <w:rPr>
          <w:rFonts w:ascii="Arial" w:cs="Arial" w:eastAsia="Arial" w:hAnsi="Arial"/>
          <w:sz w:val="16"/>
          <w:szCs w:val="16"/>
          <w:b w:val="1"/>
          <w:bCs w:val="1"/>
          <w:color w:val="auto"/>
        </w:rPr>
        <w:t>Share Delivery Date</w:t>
      </w:r>
      <w:r>
        <w:rPr>
          <w:rFonts w:ascii="Arial" w:cs="Arial" w:eastAsia="Arial" w:hAnsi="Arial"/>
          <w:sz w:val="16"/>
          <w:szCs w:val="16"/>
          <w:color w:val="auto"/>
        </w:rPr>
        <w:t>”), so long as the Holder delivers the Aggregate Exercise Price (or notice of a Cashless Exercise) on or prior to the second (2nd) Trading Day following the date on which the Company has received the Exercise Notice (provided that if the Aggregate Exercise Price (or notice of a Cashless Exercise) has not been delivered by such date, the Share Delivery Date shall be extended one (1) Trading Day after the Aggregate Exercise Price (or notice of a Cashless Exercise) is delivered), the Company shall (X) provided that the Company’s transfer agent (“</w:t>
      </w:r>
      <w:r>
        <w:rPr>
          <w:rFonts w:ascii="Arial" w:cs="Arial" w:eastAsia="Arial" w:hAnsi="Arial"/>
          <w:sz w:val="16"/>
          <w:szCs w:val="16"/>
          <w:b w:val="1"/>
          <w:bCs w:val="1"/>
          <w:color w:val="auto"/>
        </w:rPr>
        <w:t>Transfer Agent</w:t>
      </w:r>
      <w:r>
        <w:rPr>
          <w:rFonts w:ascii="Arial" w:cs="Arial" w:eastAsia="Arial" w:hAnsi="Arial"/>
          <w:sz w:val="16"/>
          <w:szCs w:val="16"/>
          <w:color w:val="auto"/>
        </w:rPr>
        <w:t>”) is participating in The Depository Trust Company (“</w:t>
      </w:r>
      <w:r>
        <w:rPr>
          <w:rFonts w:ascii="Arial" w:cs="Arial" w:eastAsia="Arial" w:hAnsi="Arial"/>
          <w:sz w:val="16"/>
          <w:szCs w:val="16"/>
          <w:b w:val="1"/>
          <w:bCs w:val="1"/>
          <w:color w:val="auto"/>
        </w:rPr>
        <w:t>DTC</w:t>
      </w:r>
      <w:r>
        <w:rPr>
          <w:rFonts w:ascii="Arial" w:cs="Arial" w:eastAsia="Arial" w:hAnsi="Arial"/>
          <w:sz w:val="16"/>
          <w:szCs w:val="16"/>
          <w:color w:val="auto"/>
        </w:rPr>
        <w:t>”) Fast Automated Securities Transfer Program (“</w:t>
      </w:r>
      <w:r>
        <w:rPr>
          <w:rFonts w:ascii="Arial" w:cs="Arial" w:eastAsia="Arial" w:hAnsi="Arial"/>
          <w:sz w:val="16"/>
          <w:szCs w:val="16"/>
          <w:b w:val="1"/>
          <w:bCs w:val="1"/>
          <w:color w:val="auto"/>
        </w:rPr>
        <w:t>FAST</w:t>
      </w:r>
      <w:r>
        <w:rPr>
          <w:rFonts w:ascii="Arial" w:cs="Arial" w:eastAsia="Arial" w:hAnsi="Arial"/>
          <w:sz w:val="16"/>
          <w:szCs w:val="16"/>
          <w:color w:val="auto"/>
        </w:rPr>
        <w:t xml:space="preserve">”) and the Warrant Shares are eligible to be issued without a restrictive legend, credit such aggregate number of Warrant Shares to which the Holder is entitled pursuant to such exercise to the Holder’s or its designee’s balance account with DTC through its Deposit/Withdrawal At Custodian system, or (Y) if the Transfer Agent is not participating in FAST or the Warrant Shares are not eligible to be issued without a restrictive legend, issue and dispatch by overnight courier to the address as specified in the Exercise Notice, a certificate, registered in the Company’s share register in the name of the Holder or its designee, for the number of Warrant Shares to which the Holder is entitled pursuant to such exercise. The Company shall be responsible for all fees and expenses of the Transfer Agent and all fees and expenses with respect to the issuance of Warrant Shares via DTC, if any. Upon delivery of the Exercise Notice and the Aggregate Exercise Price (or notice of a Cashless Exercise), the Holder shall be deemed for all corporate purposes to have become the holder of record of the Warrant Shares with respect to which this Warrant has been exercised, irrespective of the date such Warrant Shares are credited to the Holder’s DTC account or the date of delivery of the certificates evidencing such Warrant Shares, as the case may be. If this Warrant is submitted in connection with any exercise pursuant to this Section </w:t>
      </w:r>
      <w:r>
        <w:rPr>
          <w:rFonts w:ascii="Arial" w:cs="Arial" w:eastAsia="Arial" w:hAnsi="Arial"/>
          <w:sz w:val="19"/>
          <w:szCs w:val="19"/>
          <w:b w:val="1"/>
          <w:bCs w:val="1"/>
          <w:color w:val="auto"/>
        </w:rPr>
        <w:t>‎</w:t>
      </w:r>
      <w:r>
        <w:rPr>
          <w:rFonts w:ascii="Arial" w:cs="Arial" w:eastAsia="Arial" w:hAnsi="Arial"/>
          <w:sz w:val="16"/>
          <w:szCs w:val="16"/>
          <w:color w:val="auto"/>
        </w:rPr>
        <w:t xml:space="preserve">1(a) and the number of Warrant Shares represented by this Warrant submitted for exercise is greater than the number of Warrant Shares being acquired upon an exercise, then the Company shall as soon as reasonably practicable and in no event later than three (3) Trading Days after any exercise and at its own expense, issue a new Warrant (in accordance with Section </w:t>
      </w:r>
      <w:r>
        <w:rPr>
          <w:rFonts w:ascii="Arial" w:cs="Arial" w:eastAsia="Arial" w:hAnsi="Arial"/>
          <w:sz w:val="19"/>
          <w:szCs w:val="19"/>
          <w:b w:val="1"/>
          <w:bCs w:val="1"/>
          <w:color w:val="auto"/>
        </w:rPr>
        <w:t>‎</w:t>
      </w:r>
      <w:r>
        <w:rPr>
          <w:rFonts w:ascii="Arial" w:cs="Arial" w:eastAsia="Arial" w:hAnsi="Arial"/>
          <w:sz w:val="16"/>
          <w:szCs w:val="16"/>
          <w:color w:val="auto"/>
        </w:rPr>
        <w:t>1(d)) representing the right to purchase the number of Warrant Shares issuable immediately prior to such exercise under this Warrant, less the number of Warrant Shares with respect to which this Warrant is exercised upon surrender of the Warrant so exercised. No fractional Warrant Shares are to be issued upon the exercise of this Warrant, but rather the number of Warrant Shares to be issued shall be rounded down to the nearest whole number. The Company shall pay any and all transfer, stamp, issuance and similar taxes (but not any United States federal, state or local income taxes) that may be payable with respect to the issuance and delivery of Warrant Shares upon exercise of this Warrant. The Company’s obligations to issue and deliver Warrant Shares in accordance with the terms and subject to the conditions hereof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6" w:name="page217"/>
    <w:bookmarkEnd w:id="216"/>
    <w:p>
      <w:pPr>
        <w:ind w:left="2200" w:hanging="248"/>
        <w:spacing w:after="0"/>
        <w:tabs>
          <w:tab w:leader="none" w:pos="2200" w:val="left"/>
        </w:tabs>
        <w:numPr>
          <w:ilvl w:val="0"/>
          <w:numId w:val="201"/>
        </w:numPr>
        <w:rPr>
          <w:rFonts w:ascii="Arial" w:cs="Arial" w:eastAsia="Arial" w:hAnsi="Arial"/>
          <w:sz w:val="17"/>
          <w:szCs w:val="17"/>
          <w:color w:val="auto"/>
        </w:rPr>
      </w:pPr>
      <w:r>
        <w:rPr>
          <w:rFonts w:ascii="Arial" w:cs="Arial" w:eastAsia="Arial" w:hAnsi="Arial"/>
          <w:sz w:val="17"/>
          <w:szCs w:val="17"/>
          <w:u w:val="single" w:color="auto"/>
          <w:color w:val="auto"/>
        </w:rPr>
        <w:t>Exercise Price</w:t>
      </w:r>
      <w:r>
        <w:rPr>
          <w:rFonts w:ascii="Arial" w:cs="Arial" w:eastAsia="Arial" w:hAnsi="Arial"/>
          <w:sz w:val="17"/>
          <w:szCs w:val="17"/>
          <w:color w:val="auto"/>
        </w:rPr>
        <w:t>. For purposes of this Warrant, “</w:t>
      </w:r>
      <w:r>
        <w:rPr>
          <w:rFonts w:ascii="Arial" w:cs="Arial" w:eastAsia="Arial" w:hAnsi="Arial"/>
          <w:sz w:val="17"/>
          <w:szCs w:val="17"/>
          <w:b w:val="1"/>
          <w:bCs w:val="1"/>
          <w:color w:val="auto"/>
        </w:rPr>
        <w:t>Exercise Price</w:t>
      </w:r>
      <w:r>
        <w:rPr>
          <w:rFonts w:ascii="Arial" w:cs="Arial" w:eastAsia="Arial" w:hAnsi="Arial"/>
          <w:sz w:val="17"/>
          <w:szCs w:val="17"/>
          <w:color w:val="auto"/>
        </w:rPr>
        <w:t>” means $0.01, subject to adjustment as provided herein.</w:t>
      </w:r>
    </w:p>
    <w:p>
      <w:pPr>
        <w:spacing w:after="0" w:line="240" w:lineRule="exact"/>
        <w:rPr>
          <w:rFonts w:ascii="Arial" w:cs="Arial" w:eastAsia="Arial" w:hAnsi="Arial"/>
          <w:sz w:val="17"/>
          <w:szCs w:val="17"/>
          <w:color w:val="auto"/>
        </w:rPr>
      </w:pPr>
    </w:p>
    <w:p>
      <w:pPr>
        <w:jc w:val="both"/>
        <w:ind w:firstLine="1952"/>
        <w:spacing w:after="0" w:line="283" w:lineRule="auto"/>
        <w:tabs>
          <w:tab w:leader="none" w:pos="2188" w:val="left"/>
        </w:tabs>
        <w:numPr>
          <w:ilvl w:val="0"/>
          <w:numId w:val="201"/>
        </w:numPr>
        <w:rPr>
          <w:rFonts w:ascii="Arial" w:cs="Arial" w:eastAsia="Arial" w:hAnsi="Arial"/>
          <w:sz w:val="16"/>
          <w:szCs w:val="16"/>
          <w:color w:val="auto"/>
        </w:rPr>
      </w:pPr>
      <w:r>
        <w:rPr>
          <w:rFonts w:ascii="Arial" w:cs="Arial" w:eastAsia="Arial" w:hAnsi="Arial"/>
          <w:sz w:val="16"/>
          <w:szCs w:val="16"/>
          <w:u w:val="single" w:color="auto"/>
          <w:color w:val="auto"/>
        </w:rPr>
        <w:t>Company’s Failure to Timely Deliver Securities</w:t>
      </w:r>
      <w:r>
        <w:rPr>
          <w:rFonts w:ascii="Arial" w:cs="Arial" w:eastAsia="Arial" w:hAnsi="Arial"/>
          <w:sz w:val="16"/>
          <w:szCs w:val="16"/>
          <w:color w:val="auto"/>
        </w:rPr>
        <w:t>. If the Company shall fail, for any reason or for no reason, on or prior to the Share Delivery Date, if the Transfer Agent is not participating in FAST or such shares of Common Stock may not be issued without legends under the Securities Act, to issue and deliver to the Holder (or its designee) a certificate for the number of Warrant Shares to which the Holder is entitled and register such Warrant Shares on the Company’s share register or, if the Transfer Agent is participating in FAST and such shares of Common Stock may not be issued without legends under the Securities Act, to credit the balance account of the Holder or the Holder’s designee with DTC for such number of Warrant Shares to which the Holder is entitled upon the Holder’s exercise of this Warrant (as the case may be) (a “</w:t>
      </w:r>
      <w:r>
        <w:rPr>
          <w:rFonts w:ascii="Arial" w:cs="Arial" w:eastAsia="Arial" w:hAnsi="Arial"/>
          <w:sz w:val="16"/>
          <w:szCs w:val="16"/>
          <w:b w:val="1"/>
          <w:bCs w:val="1"/>
          <w:color w:val="auto"/>
        </w:rPr>
        <w:t>Delivery Failure</w:t>
      </w:r>
      <w:r>
        <w:rPr>
          <w:rFonts w:ascii="Arial" w:cs="Arial" w:eastAsia="Arial" w:hAnsi="Arial"/>
          <w:sz w:val="16"/>
          <w:szCs w:val="16"/>
          <w:color w:val="auto"/>
        </w:rPr>
        <w:t xml:space="preserve">”), then, in addition to all other remedies available to the Holder, (X) the Company shall pay in cash to the Holder on each day after the Share Delivery Date and during such Delivery Failure an amount in cash, as liquidated damages and not as a penalty, equal to 2.0% of the product of (A) the sum of the number of shares of Common Stock not issued to the Holder on or prior to the Share Delivery Date and to which the Holder is entitled, and (B) any trading price of the Common Stock selected by the Holder in writing as in effect at any time during the period beginning on the applicable exercise date and ending on the applicable Share Delivery Date, and (Y) the Holder, upon written notice to the Company, may void its Exercise Notice with respect to, and retain or have returned, as the case may be, any portion of this Warrant that has not been exercised pursuant to such Exercise Notice; provided that the voiding of an Exercise Notice shall not affect the Company’s obligations to make any payments which have accrued prior to the date of such notice pursuant to this Section </w:t>
      </w:r>
      <w:r>
        <w:rPr>
          <w:rFonts w:ascii="Arial" w:cs="Arial" w:eastAsia="Arial" w:hAnsi="Arial"/>
          <w:sz w:val="19"/>
          <w:szCs w:val="19"/>
          <w:b w:val="1"/>
          <w:bCs w:val="1"/>
          <w:color w:val="auto"/>
        </w:rPr>
        <w:t>‎</w:t>
      </w:r>
      <w:r>
        <w:rPr>
          <w:rFonts w:ascii="Arial" w:cs="Arial" w:eastAsia="Arial" w:hAnsi="Arial"/>
          <w:sz w:val="16"/>
          <w:szCs w:val="16"/>
          <w:color w:val="auto"/>
        </w:rPr>
        <w:t>1(c) or otherwise. In addition to the foregoing, if on or after such Share Delivery Date the Holder purchases (in an open market transaction or otherwise) shares of Common Stock to deliver in satisfaction of a sale by the Holder of all or any portion of the number of shares of Common Stock issuable upon such exercise that the Holder is entitled to receive from the Company (a “</w:t>
      </w:r>
      <w:r>
        <w:rPr>
          <w:rFonts w:ascii="Arial" w:cs="Arial" w:eastAsia="Arial" w:hAnsi="Arial"/>
          <w:sz w:val="16"/>
          <w:szCs w:val="16"/>
          <w:b w:val="1"/>
          <w:bCs w:val="1"/>
          <w:color w:val="auto"/>
        </w:rPr>
        <w:t>Buy-In</w:t>
      </w:r>
      <w:r>
        <w:rPr>
          <w:rFonts w:ascii="Arial" w:cs="Arial" w:eastAsia="Arial" w:hAnsi="Arial"/>
          <w:sz w:val="16"/>
          <w:szCs w:val="16"/>
          <w:color w:val="auto"/>
        </w:rPr>
        <w:t>”), then, in addition to all other remedies available to the Holder, the Company shall, within three (3) Business Days after the Holder’s request and in the Holder’s discretion, either (i) pay cash to the Holder in an amount equal to the Holder’s total purchase price (including brokerage commissions and other out-of-pocket expenses, if any) for the shares of Common Stock so purchased (including, without limitation, by any other Person in respect, or on behalf, of the Holder) (the “</w:t>
      </w:r>
      <w:r>
        <w:rPr>
          <w:rFonts w:ascii="Arial" w:cs="Arial" w:eastAsia="Arial" w:hAnsi="Arial"/>
          <w:sz w:val="16"/>
          <w:szCs w:val="16"/>
          <w:b w:val="1"/>
          <w:bCs w:val="1"/>
          <w:color w:val="auto"/>
        </w:rPr>
        <w:t>Buy-In Price</w:t>
      </w:r>
      <w:r>
        <w:rPr>
          <w:rFonts w:ascii="Arial" w:cs="Arial" w:eastAsia="Arial" w:hAnsi="Arial"/>
          <w:sz w:val="16"/>
          <w:szCs w:val="16"/>
          <w:color w:val="auto"/>
        </w:rPr>
        <w:t>”), at which point the Company’s obligation to so issue and deliver such certificate (and to issue such shares of Common Stock) or credit the balance account of such Holder or such Holder’s designee, as applicable, with DTC for the number of Warrant Shares to which the Holder is entitled upon the Holder’s exercise hereunder (as the case may be) (and to issue such Warrant Shares) shall terminate, or (ii) promptly honor its obligation to so issue and deliver to the Holder a certificate or certificates representing such Warrant Shares or credit the balance account of such Holder or such Holder’s designee, as applicable, with DTC for the number of Warrant Shares to which the Holder is entitled upon the Holder’s exercise hereunder (as the case may be) and pay cash to the Holder in an amount equal to the excess (if any) of the Buy-In Price over the product of (A) such number of Warrant Shares multiplied by (B) the Closing Sale Price of the Common Stock on the Share Delivery Date with respect to the related Exercise Notice (the “</w:t>
      </w:r>
      <w:r>
        <w:rPr>
          <w:rFonts w:ascii="Arial" w:cs="Arial" w:eastAsia="Arial" w:hAnsi="Arial"/>
          <w:sz w:val="16"/>
          <w:szCs w:val="16"/>
          <w:b w:val="1"/>
          <w:bCs w:val="1"/>
          <w:color w:val="auto"/>
        </w:rPr>
        <w:t>Buy-In Payment Amount</w:t>
      </w:r>
      <w:r>
        <w:rPr>
          <w:rFonts w:ascii="Arial" w:cs="Arial" w:eastAsia="Arial" w:hAnsi="Arial"/>
          <w:sz w:val="16"/>
          <w:szCs w:val="16"/>
          <w:color w:val="auto"/>
        </w:rPr>
        <w:t>”). The Holder shall provide the Company written notice indicating the amounts payable to the Holder in respect of the Buy-In and, upon request of the Company, evidence of the amount of such loss. Nothing shall limit the Holder’s right to pursue any other remedies available to it hereunder, at law or in equity, including, without limitation, a decree of specific performance and/or injunctive relief with respect to the Company’s failure to timely deliver certificates representing shares of Common Stock (or to electronically deliver such shares of Common Stock) upon the exercise of this Warrant as required pursuant to the terms hereof.</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7" w:name="page218"/>
    <w:bookmarkEnd w:id="217"/>
    <w:p>
      <w:pPr>
        <w:jc w:val="both"/>
        <w:ind w:firstLine="1952"/>
        <w:spacing w:after="0" w:line="255" w:lineRule="auto"/>
        <w:tabs>
          <w:tab w:leader="none" w:pos="2212" w:val="left"/>
        </w:tabs>
        <w:numPr>
          <w:ilvl w:val="0"/>
          <w:numId w:val="202"/>
        </w:numPr>
        <w:rPr>
          <w:rFonts w:ascii="Arial" w:cs="Arial" w:eastAsia="Arial" w:hAnsi="Arial"/>
          <w:sz w:val="18"/>
          <w:szCs w:val="18"/>
          <w:color w:val="auto"/>
        </w:rPr>
      </w:pPr>
      <w:r>
        <w:rPr>
          <w:rFonts w:ascii="Arial" w:cs="Arial" w:eastAsia="Arial" w:hAnsi="Arial"/>
          <w:sz w:val="18"/>
          <w:szCs w:val="18"/>
          <w:u w:val="single" w:color="auto"/>
          <w:color w:val="auto"/>
        </w:rPr>
        <w:t>Cashless Exercise</w:t>
      </w:r>
      <w:r>
        <w:rPr>
          <w:rFonts w:ascii="Arial" w:cs="Arial" w:eastAsia="Arial" w:hAnsi="Arial"/>
          <w:sz w:val="18"/>
          <w:szCs w:val="18"/>
          <w:color w:val="auto"/>
        </w:rPr>
        <w:t xml:space="preserve">. Notwithstanding anything contained herein to the contrary (other than Section </w:t>
      </w:r>
      <w:r>
        <w:rPr>
          <w:rFonts w:ascii="Arial" w:cs="Arial" w:eastAsia="Arial" w:hAnsi="Arial"/>
          <w:sz w:val="21"/>
          <w:szCs w:val="21"/>
          <w:b w:val="1"/>
          <w:bCs w:val="1"/>
          <w:color w:val="auto"/>
        </w:rPr>
        <w:t>‎</w:t>
      </w:r>
      <w:r>
        <w:rPr>
          <w:rFonts w:ascii="Arial" w:cs="Arial" w:eastAsia="Arial" w:hAnsi="Arial"/>
          <w:sz w:val="18"/>
          <w:szCs w:val="18"/>
          <w:color w:val="auto"/>
        </w:rPr>
        <w:t xml:space="preserve">1(f) below), the Holder may, in its sole discretion (and without limiting the Holder’s rights and remedies contained herein), exercise this Warrant in whole or in part and, subject to the provisions of Section </w:t>
      </w:r>
      <w:r>
        <w:rPr>
          <w:rFonts w:ascii="Arial" w:cs="Arial" w:eastAsia="Arial" w:hAnsi="Arial"/>
          <w:sz w:val="21"/>
          <w:szCs w:val="21"/>
          <w:b w:val="1"/>
          <w:bCs w:val="1"/>
          <w:color w:val="auto"/>
        </w:rPr>
        <w:t>‎</w:t>
      </w:r>
      <w:r>
        <w:rPr>
          <w:rFonts w:ascii="Arial" w:cs="Arial" w:eastAsia="Arial" w:hAnsi="Arial"/>
          <w:sz w:val="18"/>
          <w:szCs w:val="18"/>
          <w:color w:val="auto"/>
        </w:rPr>
        <w:t>1(a), in lieu of making the cash payment otherwise contemplated to be made to the Company upon such exercise in payment of the Aggregate Exercise Price, elect instead to receive upon such exercise the “Net Number” of Warrant Shares determined according to the following formula:</w:t>
      </w:r>
    </w:p>
    <w:p>
      <w:pPr>
        <w:spacing w:after="0" w:line="19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Net Number = </w:t>
      </w:r>
      <w:r>
        <w:rPr>
          <w:rFonts w:ascii="Arial" w:cs="Arial" w:eastAsia="Arial" w:hAnsi="Arial"/>
          <w:sz w:val="18"/>
          <w:szCs w:val="18"/>
          <w:u w:val="single" w:color="auto"/>
          <w:color w:val="auto"/>
        </w:rPr>
        <w:t>(A x B) - (A x C)</w:t>
      </w:r>
    </w:p>
    <w:p>
      <w:pPr>
        <w:spacing w:after="0" w:line="23"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B</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For purposes of the foregoing formula: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 the total number of shares with respect to which this Warrant is then being exercised.</w:t>
      </w:r>
    </w:p>
    <w:p>
      <w:pPr>
        <w:spacing w:after="0" w:line="225" w:lineRule="exact"/>
        <w:rPr>
          <w:sz w:val="20"/>
          <w:szCs w:val="20"/>
          <w:color w:val="auto"/>
        </w:rPr>
      </w:pPr>
    </w:p>
    <w:p>
      <w:pPr>
        <w:ind w:left="1300" w:right="20"/>
        <w:spacing w:after="0" w:line="342" w:lineRule="auto"/>
        <w:rPr>
          <w:sz w:val="20"/>
          <w:szCs w:val="20"/>
          <w:color w:val="auto"/>
        </w:rPr>
      </w:pPr>
      <w:r>
        <w:rPr>
          <w:rFonts w:ascii="Arial" w:cs="Arial" w:eastAsia="Arial" w:hAnsi="Arial"/>
          <w:sz w:val="16"/>
          <w:szCs w:val="16"/>
          <w:color w:val="auto"/>
        </w:rPr>
        <w:t>B = the quotient of (x) the sum of the VWAP of the Common Stock of each of the five (5) Trading Days ending at the close of business on the Principal Market immediately prior to the time of exercise as set forth in the applicable Exercise Notice, divided by (y) five (5).</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 = the Exercise Price then in effect for the applicable Warrant Shares at the time of such exercise.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purposes of Rule 144(d) promulgated under the Securities Act, as in effect on the date hereof, it is intended that the Warrant Shares issued in a Cashless Exercise shall be deemed to have been acquired by the Holder, and the holding period for the Warrant Shares shall be deemed to have commenced, on the date this Warrant was originally issued pursuant to the Credit Agreement.</w:t>
      </w:r>
    </w:p>
    <w:p>
      <w:pPr>
        <w:spacing w:after="0" w:line="184" w:lineRule="exact"/>
        <w:rPr>
          <w:sz w:val="20"/>
          <w:szCs w:val="20"/>
          <w:color w:val="auto"/>
        </w:rPr>
      </w:pPr>
    </w:p>
    <w:p>
      <w:pPr>
        <w:jc w:val="both"/>
        <w:ind w:firstLine="1952"/>
        <w:spacing w:after="0" w:line="263" w:lineRule="auto"/>
        <w:tabs>
          <w:tab w:leader="none" w:pos="2188" w:val="left"/>
        </w:tabs>
        <w:numPr>
          <w:ilvl w:val="0"/>
          <w:numId w:val="203"/>
        </w:numPr>
        <w:rPr>
          <w:rFonts w:ascii="Arial" w:cs="Arial" w:eastAsia="Arial" w:hAnsi="Arial"/>
          <w:sz w:val="18"/>
          <w:szCs w:val="18"/>
          <w:color w:val="auto"/>
        </w:rPr>
      </w:pPr>
      <w:r>
        <w:rPr>
          <w:rFonts w:ascii="Arial" w:cs="Arial" w:eastAsia="Arial" w:hAnsi="Arial"/>
          <w:sz w:val="18"/>
          <w:szCs w:val="18"/>
          <w:u w:val="single" w:color="auto"/>
          <w:color w:val="auto"/>
        </w:rPr>
        <w:t>Disputes</w:t>
      </w:r>
      <w:r>
        <w:rPr>
          <w:rFonts w:ascii="Arial" w:cs="Arial" w:eastAsia="Arial" w:hAnsi="Arial"/>
          <w:sz w:val="18"/>
          <w:szCs w:val="18"/>
          <w:color w:val="auto"/>
        </w:rPr>
        <w:t xml:space="preserve">. In the case of a dispute as to the determination of the Exercise Price or the arithmetic calculation of the number of Warrant Shares to be issued pursuant to the terms hereof, the Company shall promptly issue to the Holder the number of Warrant Shares that are not disputed and resolve such dispute in accordance with Section </w:t>
      </w:r>
      <w:r>
        <w:rPr>
          <w:rFonts w:ascii="Arial" w:cs="Arial" w:eastAsia="Arial" w:hAnsi="Arial"/>
          <w:sz w:val="21"/>
          <w:szCs w:val="21"/>
          <w:b w:val="1"/>
          <w:bCs w:val="1"/>
          <w:color w:val="auto"/>
        </w:rPr>
        <w:t>‎</w:t>
      </w:r>
      <w:r>
        <w:rPr>
          <w:rFonts w:ascii="Arial" w:cs="Arial" w:eastAsia="Arial" w:hAnsi="Arial"/>
          <w:sz w:val="18"/>
          <w:szCs w:val="18"/>
          <w:color w:val="auto"/>
        </w:rPr>
        <w:t>12.</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18" w:name="page219"/>
    <w:bookmarkEnd w:id="218"/>
    <w:p>
      <w:pPr>
        <w:jc w:val="both"/>
        <w:ind w:firstLine="1952"/>
        <w:spacing w:after="0" w:line="281" w:lineRule="auto"/>
        <w:tabs>
          <w:tab w:leader="none" w:pos="2196" w:val="left"/>
        </w:tabs>
        <w:numPr>
          <w:ilvl w:val="1"/>
          <w:numId w:val="204"/>
        </w:numPr>
        <w:rPr>
          <w:rFonts w:ascii="Arial" w:cs="Arial" w:eastAsia="Arial" w:hAnsi="Arial"/>
          <w:sz w:val="16"/>
          <w:szCs w:val="16"/>
          <w:color w:val="auto"/>
        </w:rPr>
      </w:pPr>
      <w:r>
        <w:rPr>
          <w:rFonts w:ascii="Arial" w:cs="Arial" w:eastAsia="Arial" w:hAnsi="Arial"/>
          <w:sz w:val="16"/>
          <w:szCs w:val="16"/>
          <w:u w:val="single" w:color="auto"/>
          <w:color w:val="auto"/>
        </w:rPr>
        <w:t>Limitations on Exercises</w:t>
      </w:r>
      <w:r>
        <w:rPr>
          <w:rFonts w:ascii="Arial" w:cs="Arial" w:eastAsia="Arial" w:hAnsi="Arial"/>
          <w:sz w:val="16"/>
          <w:szCs w:val="16"/>
          <w:color w:val="auto"/>
        </w:rPr>
        <w:t>. Notwithstanding anything to the contrary contained herein, the Company shall not effect the exercise of any portion of this Warrant, and the Holder shall not have the right to exercise any portion of this Warrant, pursuant to the terms and conditions of this Warrant and any such exercise shall be null and void and treated as if never made, to the extent that after giving effect to such exercise, the Holder together with the other Attribution Parties collectively would beneficially own in excess of 4.99% (the “</w:t>
      </w:r>
      <w:r>
        <w:rPr>
          <w:rFonts w:ascii="Arial" w:cs="Arial" w:eastAsia="Arial" w:hAnsi="Arial"/>
          <w:sz w:val="16"/>
          <w:szCs w:val="16"/>
          <w:b w:val="1"/>
          <w:bCs w:val="1"/>
          <w:color w:val="auto"/>
        </w:rPr>
        <w:t>Maximum Percentage</w:t>
      </w:r>
      <w:r>
        <w:rPr>
          <w:rFonts w:ascii="Arial" w:cs="Arial" w:eastAsia="Arial" w:hAnsi="Arial"/>
          <w:sz w:val="16"/>
          <w:szCs w:val="16"/>
          <w:color w:val="auto"/>
        </w:rPr>
        <w:t xml:space="preserve">”) of the number of shares of Common Stock outstanding immediately after giving effect to such exercise. For purposes of the foregoing sentence, the aggregate number of shares of Common Stock beneficially owned by the Holder and the other Attribution Parties shall include the number of shares of Common Stock held by the Holder and all other Attribution Parties plus the number of shares of Common Stock issuable upon exercise of this Warrant with respect to which the determination of such sentence is being made, but shall exclude the number of shares of Common Stock which would be issuable upon (A) exercise of the remaining, unexercised portion of this Warrant beneficially owned by the Holder or any of the other Attribution Parties and (B) exercise or conversion of the unexercised or unconverted portion of any other securities of the Company (including, without limitation, any convertible notes or convertible preferred stock or warrants) beneficially owned by the Holder or any other Attribution Party subject to a limitation on conversion or exercise analogous to the limitation contained in this Section </w:t>
      </w:r>
      <w:r>
        <w:rPr>
          <w:rFonts w:ascii="Arial" w:cs="Arial" w:eastAsia="Arial" w:hAnsi="Arial"/>
          <w:sz w:val="19"/>
          <w:szCs w:val="19"/>
          <w:b w:val="1"/>
          <w:bCs w:val="1"/>
          <w:color w:val="auto"/>
        </w:rPr>
        <w:t>‎</w:t>
      </w:r>
      <w:r>
        <w:rPr>
          <w:rFonts w:ascii="Arial" w:cs="Arial" w:eastAsia="Arial" w:hAnsi="Arial"/>
          <w:sz w:val="16"/>
          <w:szCs w:val="16"/>
          <w:color w:val="auto"/>
        </w:rPr>
        <w:t xml:space="preserve">1(f). For purposes of this Section </w:t>
      </w:r>
      <w:r>
        <w:rPr>
          <w:rFonts w:ascii="Arial" w:cs="Arial" w:eastAsia="Arial" w:hAnsi="Arial"/>
          <w:sz w:val="19"/>
          <w:szCs w:val="19"/>
          <w:b w:val="1"/>
          <w:bCs w:val="1"/>
          <w:color w:val="auto"/>
        </w:rPr>
        <w:t>‎</w:t>
      </w:r>
      <w:r>
        <w:rPr>
          <w:rFonts w:ascii="Arial" w:cs="Arial" w:eastAsia="Arial" w:hAnsi="Arial"/>
          <w:sz w:val="16"/>
          <w:szCs w:val="16"/>
          <w:color w:val="auto"/>
        </w:rPr>
        <w:t>1(f), beneficial ownership shall be calculated in accordance with Section 13(d) of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For purposes of this Warrant, in determining the number of outstanding shares of Common Stock the Holder may acquire upon the exercise of this Warrant without exceeding the Maximum Percentage, the Holder may rely on the number of outstanding shares of Common Stock as reflected in (x) the Company’s most recent Annual Report on Form 10-K, Quarterly Report on Form 10-Q, Current Report on Form 8-K or other public filing with the Securities and Exchange Commission (the “</w:t>
      </w:r>
      <w:r>
        <w:rPr>
          <w:rFonts w:ascii="Arial" w:cs="Arial" w:eastAsia="Arial" w:hAnsi="Arial"/>
          <w:sz w:val="16"/>
          <w:szCs w:val="16"/>
          <w:b w:val="1"/>
          <w:bCs w:val="1"/>
          <w:color w:val="auto"/>
        </w:rPr>
        <w:t>SEC</w:t>
      </w:r>
      <w:r>
        <w:rPr>
          <w:rFonts w:ascii="Arial" w:cs="Arial" w:eastAsia="Arial" w:hAnsi="Arial"/>
          <w:sz w:val="16"/>
          <w:szCs w:val="16"/>
          <w:color w:val="auto"/>
        </w:rPr>
        <w:t>”), as the case may be, (y) a more recent public announcement by the Company or (z) any other written notice by the Company or the Transfer Agent, if any, setting forth the number of shares of Common Stock outstanding (the “</w:t>
      </w:r>
      <w:r>
        <w:rPr>
          <w:rFonts w:ascii="Arial" w:cs="Arial" w:eastAsia="Arial" w:hAnsi="Arial"/>
          <w:sz w:val="16"/>
          <w:szCs w:val="16"/>
          <w:b w:val="1"/>
          <w:bCs w:val="1"/>
          <w:color w:val="auto"/>
        </w:rPr>
        <w:t>Reported Outstanding Share Number</w:t>
      </w:r>
      <w:r>
        <w:rPr>
          <w:rFonts w:ascii="Arial" w:cs="Arial" w:eastAsia="Arial" w:hAnsi="Arial"/>
          <w:sz w:val="16"/>
          <w:szCs w:val="16"/>
          <w:color w:val="auto"/>
        </w:rPr>
        <w:t xml:space="preserve">”). If the Company receives an Exercise Notice from the Holder at a time when the actual number of outstanding shares of Common Stock is less than the Reported Outstanding Share Number, the Company shall (i) notify the Holder in writing of the number of shares of Common Stock then outstanding and, to the extent that such Exercise Notice would otherwise cause the Holder’s beneficial ownership, as determined pursuant to this Section </w:t>
      </w:r>
      <w:r>
        <w:rPr>
          <w:rFonts w:ascii="Arial" w:cs="Arial" w:eastAsia="Arial" w:hAnsi="Arial"/>
          <w:sz w:val="19"/>
          <w:szCs w:val="19"/>
          <w:b w:val="1"/>
          <w:bCs w:val="1"/>
          <w:color w:val="auto"/>
        </w:rPr>
        <w:t>‎</w:t>
      </w:r>
      <w:r>
        <w:rPr>
          <w:rFonts w:ascii="Arial" w:cs="Arial" w:eastAsia="Arial" w:hAnsi="Arial"/>
          <w:sz w:val="16"/>
          <w:szCs w:val="16"/>
          <w:color w:val="auto"/>
        </w:rPr>
        <w:t>1(f), to exceed the Maximum Percentage, the Holder must notify the Company of a reduced number of Warrant Shares to be purchased pursuant to such Exercise Notice (the number of shares by which such purchase is reduced, the “</w:t>
      </w:r>
      <w:r>
        <w:rPr>
          <w:rFonts w:ascii="Arial" w:cs="Arial" w:eastAsia="Arial" w:hAnsi="Arial"/>
          <w:sz w:val="16"/>
          <w:szCs w:val="16"/>
          <w:b w:val="1"/>
          <w:bCs w:val="1"/>
          <w:color w:val="auto"/>
        </w:rPr>
        <w:t>Reduction Shares</w:t>
      </w:r>
      <w:r>
        <w:rPr>
          <w:rFonts w:ascii="Arial" w:cs="Arial" w:eastAsia="Arial" w:hAnsi="Arial"/>
          <w:sz w:val="16"/>
          <w:szCs w:val="16"/>
          <w:color w:val="auto"/>
        </w:rPr>
        <w:t>”) and</w:t>
      </w:r>
    </w:p>
    <w:p>
      <w:pPr>
        <w:jc w:val="both"/>
        <w:ind w:firstLine="8"/>
        <w:spacing w:after="0" w:line="280" w:lineRule="auto"/>
        <w:tabs>
          <w:tab w:leader="none" w:pos="283" w:val="left"/>
        </w:tabs>
        <w:numPr>
          <w:ilvl w:val="0"/>
          <w:numId w:val="205"/>
        </w:numPr>
        <w:rPr>
          <w:rFonts w:ascii="Arial" w:cs="Arial" w:eastAsia="Arial" w:hAnsi="Arial"/>
          <w:sz w:val="16"/>
          <w:szCs w:val="16"/>
          <w:color w:val="auto"/>
        </w:rPr>
      </w:pPr>
      <w:r>
        <w:rPr>
          <w:rFonts w:ascii="Arial" w:cs="Arial" w:eastAsia="Arial" w:hAnsi="Arial"/>
          <w:sz w:val="16"/>
          <w:szCs w:val="16"/>
          <w:color w:val="auto"/>
        </w:rPr>
        <w:t>as soon as reasonably practicable, the Company shall return to the Holder any exercise price paid by the Holder for the Reduction Shares. For any reason at any time, upon the written or oral request of the Holder, the Company shall within one (1) Business Day confirm orally and in writing or by electronic mail to the Holder the number of shares of Common Stock then outstanding. In any case, the number of outstanding shares of Common Stock shall be determined after giving effect to the conversion or exercise of securities of the Company, including this Warrant, by the Holder and any other Attribution Party since the date as of which the Reported Outstanding Share Number was reported. In the event that the issuance of shares of Common Stock to the Holder upon exercise of this Warrant results in the Holder and the other Attribution Parties being deemed to beneficially own, in the aggregate, more than the Maximum Percentage of the number of outstanding shares of Common Stock (as determined under Section 13(d) of the Exchange Act), the number of shares so issued by which the Holder’s and the other Attribution Parties’ aggregate beneficial ownership exceeds the Maximum Percentage (the “</w:t>
      </w:r>
      <w:r>
        <w:rPr>
          <w:rFonts w:ascii="Arial" w:cs="Arial" w:eastAsia="Arial" w:hAnsi="Arial"/>
          <w:sz w:val="16"/>
          <w:szCs w:val="16"/>
          <w:b w:val="1"/>
          <w:bCs w:val="1"/>
          <w:color w:val="auto"/>
        </w:rPr>
        <w:t>Excess Shares</w:t>
      </w:r>
      <w:r>
        <w:rPr>
          <w:rFonts w:ascii="Arial" w:cs="Arial" w:eastAsia="Arial" w:hAnsi="Arial"/>
          <w:sz w:val="16"/>
          <w:szCs w:val="16"/>
          <w:color w:val="auto"/>
        </w:rPr>
        <w:t xml:space="preserve">”) shall be deemed null and void and shall be cancelled ab initio, and the Holder shall not have the power to vote or to transfer the Excess Shares. As soon as reasonably practicable after the issuance of the Excess Shares has been deemed null and void, the Company shall return to the Holder the exercise price paid by the Holder for the Excess Shares. Upon delivery of a written notice to the Company, the Holder may from time to time increase (with such increase not effective until the sixty-first (61st) day after delivery of such notice) or decrease the Maximum Percentage to any other percentage not in excess of 9.99% as specified in such notice; provided that (i) any such increase in the Maximum Percentage will not be effective until the sixty-first (61st) day after such notice is delivered to the Company and (ii) any such increase or decrease will apply only to the Holder and the other Attribution Parties and not to any other holder that is not an Attribution Party of the Holder. For purposes of clarity, the shares of Common Stock issuable pursuant to the terms of this Warrant in excess of the Maximum Percentage shall not be deemed to be beneficially owned by the Holder for any purpose including for purposes of Section 13(d) or Rule 16a-1(a)(1) of the Exchange Act. No prior inability to exercise this Warrant pursuant to this paragraph shall have any effect on the applicability of the provisions of this paragraph with respect to any subsequent determination of exercisability. The provisions of this paragraph shall be construed and implemented in a manner otherwise than in strict conformity with the terms of this Section </w:t>
      </w:r>
      <w:r>
        <w:rPr>
          <w:rFonts w:ascii="Arial" w:cs="Arial" w:eastAsia="Arial" w:hAnsi="Arial"/>
          <w:sz w:val="19"/>
          <w:szCs w:val="19"/>
          <w:b w:val="1"/>
          <w:bCs w:val="1"/>
          <w:color w:val="auto"/>
        </w:rPr>
        <w:t>‎</w:t>
      </w:r>
      <w:r>
        <w:rPr>
          <w:rFonts w:ascii="Arial" w:cs="Arial" w:eastAsia="Arial" w:hAnsi="Arial"/>
          <w:sz w:val="16"/>
          <w:szCs w:val="16"/>
          <w:color w:val="auto"/>
        </w:rPr>
        <w:t xml:space="preserve">1(f) to the extent necessary to correct this paragraph or any portion of this paragraph which may be defective or inconsistent with the intended beneficial ownership limitation contained in this Section </w:t>
      </w:r>
      <w:r>
        <w:rPr>
          <w:rFonts w:ascii="Arial" w:cs="Arial" w:eastAsia="Arial" w:hAnsi="Arial"/>
          <w:sz w:val="19"/>
          <w:szCs w:val="19"/>
          <w:b w:val="1"/>
          <w:bCs w:val="1"/>
          <w:color w:val="auto"/>
        </w:rPr>
        <w:t>‎</w:t>
      </w:r>
      <w:r>
        <w:rPr>
          <w:rFonts w:ascii="Arial" w:cs="Arial" w:eastAsia="Arial" w:hAnsi="Arial"/>
          <w:sz w:val="16"/>
          <w:szCs w:val="16"/>
          <w:color w:val="auto"/>
        </w:rPr>
        <w:t>1(f) or to make changes or supplements necessary or desirable to properly give effect to such limitation. The limitation contained in this paragraph may not be waived and shall apply to a successor holder of this Warrant. Notwithstanding anything to the contrary contained herein, the Holder and the Company agree that the total number of shares of Common Stock issuable pursuant to the terms of this Warrant and the other warrants issued in connection with the Third Amendment (together with this Warrant, the “</w:t>
      </w:r>
      <w:r>
        <w:rPr>
          <w:rFonts w:ascii="Arial" w:cs="Arial" w:eastAsia="Arial" w:hAnsi="Arial"/>
          <w:sz w:val="16"/>
          <w:szCs w:val="16"/>
          <w:b w:val="1"/>
          <w:bCs w:val="1"/>
          <w:color w:val="auto"/>
        </w:rPr>
        <w:t>Third Amendment Warrants</w:t>
      </w:r>
      <w:r>
        <w:rPr>
          <w:rFonts w:ascii="Arial" w:cs="Arial" w:eastAsia="Arial" w:hAnsi="Arial"/>
          <w:sz w:val="16"/>
          <w:szCs w:val="16"/>
          <w:color w:val="auto"/>
        </w:rPr>
        <w:t>”), together with the total number of shares of Common Stock issued pursuant to Section 4.11 of the stock purchase agreement, dated October 10, 2023 (the “</w:t>
      </w:r>
      <w:r>
        <w:rPr>
          <w:rFonts w:ascii="Arial" w:cs="Arial" w:eastAsia="Arial" w:hAnsi="Arial"/>
          <w:sz w:val="16"/>
          <w:szCs w:val="16"/>
          <w:b w:val="1"/>
          <w:bCs w:val="1"/>
          <w:color w:val="auto"/>
        </w:rPr>
        <w:t>Cleveland Avenue Purchase Agreement</w:t>
      </w:r>
      <w:r>
        <w:rPr>
          <w:rFonts w:ascii="Arial" w:cs="Arial" w:eastAsia="Arial" w:hAnsi="Arial"/>
          <w:sz w:val="16"/>
          <w:szCs w:val="16"/>
          <w:color w:val="auto"/>
        </w:rPr>
        <w:t>”), by and between the Company and Presto CA LLC (“</w:t>
      </w:r>
      <w:r>
        <w:rPr>
          <w:rFonts w:ascii="Arial" w:cs="Arial" w:eastAsia="Arial" w:hAnsi="Arial"/>
          <w:sz w:val="16"/>
          <w:szCs w:val="16"/>
          <w:b w:val="1"/>
          <w:bCs w:val="1"/>
          <w:color w:val="auto"/>
        </w:rPr>
        <w:t>Cleveland Avenue</w:t>
      </w:r>
      <w:r>
        <w:rPr>
          <w:rFonts w:ascii="Arial" w:cs="Arial" w:eastAsia="Arial" w:hAnsi="Arial"/>
          <w:sz w:val="16"/>
          <w:szCs w:val="16"/>
          <w:color w:val="auto"/>
        </w:rPr>
        <w:t>”), may not exceed the requirements of Nasdaq Listing Rule 5635(d) (“</w:t>
      </w:r>
      <w:r>
        <w:rPr>
          <w:rFonts w:ascii="Arial" w:cs="Arial" w:eastAsia="Arial" w:hAnsi="Arial"/>
          <w:sz w:val="16"/>
          <w:szCs w:val="16"/>
          <w:b w:val="1"/>
          <w:bCs w:val="1"/>
          <w:color w:val="auto"/>
        </w:rPr>
        <w:t>Nasdaq</w:t>
      </w:r>
      <w:r>
        <w:rPr>
          <w:rFonts w:ascii="Arial" w:cs="Arial" w:eastAsia="Arial" w:hAnsi="Arial"/>
          <w:sz w:val="16"/>
          <w:szCs w:val="16"/>
          <w:color w:val="auto"/>
        </w:rPr>
        <w:t xml:space="preserve"> </w:t>
      </w:r>
      <w:r>
        <w:rPr>
          <w:rFonts w:ascii="Arial" w:cs="Arial" w:eastAsia="Arial" w:hAnsi="Arial"/>
          <w:sz w:val="16"/>
          <w:szCs w:val="16"/>
          <w:b w:val="1"/>
          <w:bCs w:val="1"/>
          <w:color w:val="auto"/>
        </w:rPr>
        <w:t>19.99% Cap</w:t>
      </w:r>
      <w:r>
        <w:rPr>
          <w:rFonts w:ascii="Arial" w:cs="Arial" w:eastAsia="Arial" w:hAnsi="Arial"/>
          <w:sz w:val="16"/>
          <w:szCs w:val="16"/>
          <w:color w:val="auto"/>
        </w:rPr>
        <w:t>”), except that such limitation will not apply following Approval (defined below). If the aggregate number of shares of Common Stock issued</w:t>
      </w:r>
      <w:r>
        <w:rPr>
          <w:rFonts w:ascii="Arial" w:cs="Arial" w:eastAsia="Arial" w:hAnsi="Arial"/>
          <w:sz w:val="16"/>
          <w:szCs w:val="16"/>
          <w:b w:val="1"/>
          <w:bCs w:val="1"/>
          <w:color w:val="auto"/>
        </w:rPr>
        <w:t xml:space="preserve"> </w:t>
      </w:r>
      <w:r>
        <w:rPr>
          <w:rFonts w:ascii="Arial" w:cs="Arial" w:eastAsia="Arial" w:hAnsi="Arial"/>
          <w:sz w:val="16"/>
          <w:szCs w:val="16"/>
          <w:color w:val="auto"/>
        </w:rPr>
        <w:t>to the holders of the Third Amendment Warrants and Cleveland Avenue reaches the Nasdaq 19.99% Cap, so as not to violate the 20% limit established in Listing Rule 5635(d), the Company shall as soon as reasonably practicable take all action necessary to obtain stockholder approval of the issuance of additional shares of Common Stock issuable upon the exercise of the Third Amendment Warrants and pursuant to the terms of the Cleveland Avenue Purchase Agreement, if necessary, in accordance with the requirements of Nasdaq Listing Rule 5635(d) (the “</w:t>
      </w:r>
      <w:r>
        <w:rPr>
          <w:rFonts w:ascii="Arial" w:cs="Arial" w:eastAsia="Arial" w:hAnsi="Arial"/>
          <w:sz w:val="16"/>
          <w:szCs w:val="16"/>
          <w:b w:val="1"/>
          <w:bCs w:val="1"/>
          <w:color w:val="auto"/>
        </w:rPr>
        <w:t>Approval</w:t>
      </w:r>
      <w:r>
        <w:rPr>
          <w:rFonts w:ascii="Arial" w:cs="Arial" w:eastAsia="Arial" w:hAnsi="Arial"/>
          <w:sz w:val="16"/>
          <w:szCs w:val="16"/>
          <w:color w:val="auto"/>
        </w:rPr>
        <w:t>”). Without limiting the generality of the foregoing sentence, as soon as reasonably practicable after the date of the application of the Nasdaq 19.99% Cap, but in no event later than seventy-five (75) days after such occurrence, the Company shall hold a meeting of its stockholders to seek the Approval. In connection with such meeting, the Company shall provide each stockholder with a proxy statement and shall use its reasonable best efforts to solicit the Approval and to cause its board of directors to recommend to the stockholders that they provide the Approval. Until Approval is obtained, (i) increases to the Warrant Shares pursuant to Section 2(b) hereof and (ii) issuances of Common Stock pursuant to Section 4.11 of the Cleveland Avenue Purchase Agreement shall be made between</w:t>
      </w:r>
    </w:p>
    <w:p>
      <w:pPr>
        <w:spacing w:after="0" w:line="22" w:lineRule="exact"/>
        <w:rPr>
          <w:rFonts w:ascii="Arial" w:cs="Arial" w:eastAsia="Arial" w:hAnsi="Arial"/>
          <w:sz w:val="16"/>
          <w:szCs w:val="16"/>
          <w:color w:val="auto"/>
        </w:rPr>
      </w:pPr>
    </w:p>
    <w:p>
      <w:pPr>
        <w:jc w:val="both"/>
        <w:ind w:firstLine="8"/>
        <w:spacing w:after="0" w:line="295" w:lineRule="auto"/>
        <w:tabs>
          <w:tab w:leader="none" w:pos="256" w:val="left"/>
        </w:tabs>
        <w:numPr>
          <w:ilvl w:val="0"/>
          <w:numId w:val="206"/>
        </w:numPr>
        <w:rPr>
          <w:rFonts w:ascii="Arial" w:cs="Arial" w:eastAsia="Arial" w:hAnsi="Arial"/>
          <w:sz w:val="16"/>
          <w:szCs w:val="16"/>
          <w:color w:val="auto"/>
        </w:rPr>
      </w:pPr>
      <w:r>
        <w:rPr>
          <w:rFonts w:ascii="Arial" w:cs="Arial" w:eastAsia="Arial" w:hAnsi="Arial"/>
          <w:sz w:val="16"/>
          <w:szCs w:val="16"/>
          <w:color w:val="auto"/>
        </w:rPr>
        <w:t>the holders of the Third Amendment Warrants, and (y) Cleveland Avenue as nearly as possible on a pro rata basis based on the total amount of shares of Common Stock issued or issuable to such party (i.e. at any given time, the amount of Third Amendment Warrants (without regard to the Maximum Percentage limitation herein, but subject to the Nasdaq 19.99% Cap) which may be exercised is equal to two (2) times the sum of (i) the shares of Common Stock originally issued pursuant to the Cleveland Avenue Purchase Agreement and (ii) the shares issued pursuant to Section 4.11 thereof).</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9" w:name="page220"/>
    <w:bookmarkEnd w:id="219"/>
    <w:p>
      <w:pPr>
        <w:jc w:val="both"/>
        <w:ind w:firstLine="1952"/>
        <w:spacing w:after="0" w:line="285" w:lineRule="auto"/>
        <w:tabs>
          <w:tab w:leader="none" w:pos="2199" w:val="left"/>
        </w:tabs>
        <w:numPr>
          <w:ilvl w:val="1"/>
          <w:numId w:val="207"/>
        </w:numPr>
        <w:rPr>
          <w:rFonts w:ascii="Arial" w:cs="Arial" w:eastAsia="Arial" w:hAnsi="Arial"/>
          <w:sz w:val="16"/>
          <w:szCs w:val="16"/>
          <w:color w:val="auto"/>
        </w:rPr>
      </w:pPr>
      <w:r>
        <w:rPr>
          <w:rFonts w:ascii="Arial" w:cs="Arial" w:eastAsia="Arial" w:hAnsi="Arial"/>
          <w:sz w:val="16"/>
          <w:szCs w:val="16"/>
          <w:u w:val="single" w:color="auto"/>
          <w:color w:val="auto"/>
        </w:rPr>
        <w:t>Insufficient Authorized Shares</w:t>
      </w:r>
      <w:r>
        <w:rPr>
          <w:rFonts w:ascii="Arial" w:cs="Arial" w:eastAsia="Arial" w:hAnsi="Arial"/>
          <w:sz w:val="16"/>
          <w:szCs w:val="16"/>
          <w:color w:val="auto"/>
        </w:rPr>
        <w:t>. If at any time while this Warrant remains outstanding the Company does not have a sufficient number of authorized and unreserved shares of Common Stock to satisfy its obligation to reserve for issuance upon exercise of this Warrant at least a number of shares of Common Stock equal to the number of shares of Common Stock as shall from time to time be necessary to effect the exercise of all of this Warrant then outstanding (the “</w:t>
      </w:r>
      <w:r>
        <w:rPr>
          <w:rFonts w:ascii="Arial" w:cs="Arial" w:eastAsia="Arial" w:hAnsi="Arial"/>
          <w:sz w:val="16"/>
          <w:szCs w:val="16"/>
          <w:b w:val="1"/>
          <w:bCs w:val="1"/>
          <w:color w:val="auto"/>
        </w:rPr>
        <w:t>Required Reserve Amount</w:t>
      </w:r>
      <w:r>
        <w:rPr>
          <w:rFonts w:ascii="Arial" w:cs="Arial" w:eastAsia="Arial" w:hAnsi="Arial"/>
          <w:sz w:val="16"/>
          <w:szCs w:val="16"/>
          <w:color w:val="auto"/>
        </w:rPr>
        <w:t>” and the failure to have such sufficient number of authorized and unreserved shares of Common Stock, an “</w:t>
      </w:r>
      <w:r>
        <w:rPr>
          <w:rFonts w:ascii="Arial" w:cs="Arial" w:eastAsia="Arial" w:hAnsi="Arial"/>
          <w:sz w:val="16"/>
          <w:szCs w:val="16"/>
          <w:b w:val="1"/>
          <w:bCs w:val="1"/>
          <w:color w:val="auto"/>
        </w:rPr>
        <w:t>Authorized Share Failure</w:t>
      </w:r>
      <w:r>
        <w:rPr>
          <w:rFonts w:ascii="Arial" w:cs="Arial" w:eastAsia="Arial" w:hAnsi="Arial"/>
          <w:sz w:val="16"/>
          <w:szCs w:val="16"/>
          <w:color w:val="auto"/>
        </w:rPr>
        <w:t>”), then the Company shall as soon as reasonably practicable take all action necessary to increase the Company’s authorized shares of Common Stock to an amount sufficient to allow the Company to reserve the Required Reserve Amount for this Warrant then outstanding. Without limiting the generality of the foregoing sentence, as soon as reasonably practicable after the date of the occurrence of an Authorized Share Failure, but in no event later than seventy-five (75) days after the occurrence of such Authorized Share Failure, the Company shall hold a meeting of its stockholders for the approval of an increase in the number of authorized shares of Common Stock. In connection with such meeting, the Company shall provide each stockholder with a proxy statement and shall use its reasonable best efforts to solicit its stockholders’ approval of such increase in authorized shares of Common Stock and to cause its board of directors to recommend to the stockholders that they approve such proposal. In the event that the Company is prohibited from issuing shares of Common Stock upon an exercise of this Warrant due to the failure by the Company to have sufficient shares of Common Stock available out of the authorized but unissued shares of Common Stock (such unavailable number of shares of Common Stock, the “</w:t>
      </w:r>
      <w:r>
        <w:rPr>
          <w:rFonts w:ascii="Arial" w:cs="Arial" w:eastAsia="Arial" w:hAnsi="Arial"/>
          <w:sz w:val="16"/>
          <w:szCs w:val="16"/>
          <w:b w:val="1"/>
          <w:bCs w:val="1"/>
          <w:color w:val="auto"/>
        </w:rPr>
        <w:t>Authorization Failure Shares</w:t>
      </w:r>
      <w:r>
        <w:rPr>
          <w:rFonts w:ascii="Arial" w:cs="Arial" w:eastAsia="Arial" w:hAnsi="Arial"/>
          <w:sz w:val="16"/>
          <w:szCs w:val="16"/>
          <w:color w:val="auto"/>
        </w:rPr>
        <w:t xml:space="preserve">”), in lieu of delivering such Authorization Failure Shares to the Holder, the Company shall pay cash in exchange for the cancellation of such portion of this Warrant exercisable into such Authorization Failure Shares at a price equal to the sum of (i) the product of (x) such number of Authorization Failure Shares and (y) the Closing Sale Price of the Common Stock on the date the Holder delivers the applicable Exercise Notice with respect to such Authorization Failure Shares to the Company; and (ii) to the extent the Holder purchases (in an open market transaction or otherwise) shares of Common Stock to deliver in satisfaction of a sale by the Holder of Authorization Failure Shares, any Buy-In Payment Amount, brokerage commissions and other out-of-pocket expenses, if any, of the Holder incurred in connection therewith. Nothing contained in this Section </w:t>
      </w:r>
      <w:r>
        <w:rPr>
          <w:rFonts w:ascii="Arial" w:cs="Arial" w:eastAsia="Arial" w:hAnsi="Arial"/>
          <w:sz w:val="19"/>
          <w:szCs w:val="19"/>
          <w:b w:val="1"/>
          <w:bCs w:val="1"/>
          <w:color w:val="auto"/>
        </w:rPr>
        <w:t>‎</w:t>
      </w:r>
      <w:r>
        <w:rPr>
          <w:rFonts w:ascii="Arial" w:cs="Arial" w:eastAsia="Arial" w:hAnsi="Arial"/>
          <w:sz w:val="16"/>
          <w:szCs w:val="16"/>
          <w:color w:val="auto"/>
        </w:rPr>
        <w:t>1(g) shall limit any obligations of the Company under any provision of the Credit Agreement.</w:t>
      </w:r>
    </w:p>
    <w:p>
      <w:pPr>
        <w:spacing w:after="0" w:line="152" w:lineRule="exact"/>
        <w:rPr>
          <w:rFonts w:ascii="Arial" w:cs="Arial" w:eastAsia="Arial" w:hAnsi="Arial"/>
          <w:sz w:val="16"/>
          <w:szCs w:val="16"/>
          <w:color w:val="auto"/>
        </w:rPr>
      </w:pPr>
    </w:p>
    <w:p>
      <w:pPr>
        <w:ind w:firstLine="1304"/>
        <w:spacing w:after="0" w:line="277" w:lineRule="auto"/>
        <w:tabs>
          <w:tab w:leader="none" w:pos="1476" w:val="left"/>
        </w:tabs>
        <w:numPr>
          <w:ilvl w:val="0"/>
          <w:numId w:val="208"/>
        </w:numPr>
        <w:rPr>
          <w:rFonts w:ascii="Arial" w:cs="Arial" w:eastAsia="Arial" w:hAnsi="Arial"/>
          <w:sz w:val="18"/>
          <w:szCs w:val="18"/>
          <w:color w:val="auto"/>
        </w:rPr>
      </w:pPr>
      <w:r>
        <w:rPr>
          <w:rFonts w:ascii="Arial" w:cs="Arial" w:eastAsia="Arial" w:hAnsi="Arial"/>
          <w:sz w:val="18"/>
          <w:szCs w:val="18"/>
          <w:u w:val="single" w:color="auto"/>
          <w:color w:val="auto"/>
        </w:rPr>
        <w:t>ADJUSTMENT OF EXERCISE PRICE AND NUMBER OF WARRANT SHARES</w:t>
      </w:r>
      <w:r>
        <w:rPr>
          <w:rFonts w:ascii="Arial" w:cs="Arial" w:eastAsia="Arial" w:hAnsi="Arial"/>
          <w:sz w:val="18"/>
          <w:szCs w:val="18"/>
          <w:color w:val="auto"/>
        </w:rPr>
        <w:t>. The Exercise Price and the number of Warrant Shares issuable upon exercise of this Warrant are subject to adjustments from time to time as set forth in this Section 2.</w:t>
      </w:r>
    </w:p>
    <w:p>
      <w:pPr>
        <w:spacing w:after="0" w:line="170" w:lineRule="exact"/>
        <w:rPr>
          <w:rFonts w:ascii="Arial" w:cs="Arial" w:eastAsia="Arial" w:hAnsi="Arial"/>
          <w:sz w:val="18"/>
          <w:szCs w:val="18"/>
          <w:color w:val="auto"/>
        </w:rPr>
      </w:pPr>
    </w:p>
    <w:p>
      <w:pPr>
        <w:jc w:val="both"/>
        <w:ind w:firstLine="1952"/>
        <w:spacing w:after="0" w:line="269" w:lineRule="auto"/>
        <w:tabs>
          <w:tab w:leader="none" w:pos="2202" w:val="left"/>
        </w:tabs>
        <w:numPr>
          <w:ilvl w:val="1"/>
          <w:numId w:val="208"/>
        </w:numPr>
        <w:rPr>
          <w:rFonts w:ascii="Arial" w:cs="Arial" w:eastAsia="Arial" w:hAnsi="Arial"/>
          <w:sz w:val="17"/>
          <w:szCs w:val="17"/>
          <w:color w:val="auto"/>
        </w:rPr>
      </w:pPr>
      <w:r>
        <w:rPr>
          <w:rFonts w:ascii="Arial" w:cs="Arial" w:eastAsia="Arial" w:hAnsi="Arial"/>
          <w:sz w:val="17"/>
          <w:szCs w:val="17"/>
          <w:u w:val="single" w:color="auto"/>
          <w:color w:val="auto"/>
        </w:rPr>
        <w:t>Adjustment Upon Subdivision or Combination of Shares of Common Stock</w:t>
      </w:r>
      <w:r>
        <w:rPr>
          <w:rFonts w:ascii="Arial" w:cs="Arial" w:eastAsia="Arial" w:hAnsi="Arial"/>
          <w:sz w:val="17"/>
          <w:szCs w:val="17"/>
          <w:color w:val="auto"/>
        </w:rPr>
        <w:t>. If the Company at any time on or after the Issuance Date subdivides (by any stock split, stock dividend, recapitalization or otherwise) one or more classes of its outstanding shares of Common Stock into a greater number of shares, the Exercise Price in effect immediately prior to such subdivision will be proportionately reduced and the number of Warrant Shares will be proportionately increased, so that after such adjustment the aggregate Exercise Price payable hereunder for the adjusted number of Warrant Shares shall be the same as the aggregate Exercise Price in effect immediately prior to such adjustment (without regard to any limitations on exercise contained herein). If the Company at any time on or after the Issuance Date combines (by combination, reverse stock split or otherwise) one or more classes of its outstanding shares of Common Stock into a smaller number of shares, the Exercise Price in effect immediately prior to such combination will be proportionately increased and the number of Warrant Shares will be proportionately decreased, so that after such adjustment the aggregate Exercise Price payable hereunder for the adjusted number of Warrant Shares shall be the same as the aggregate Exercise Price in effect immediately prior to such adjustment (without regard to any limitations on exercise contained herein). Any adjustment under this Section 2(a) shall become effective at the close of business on the date the subdivision or combination becomes effective. Corresponding adjustments shall be made to the Applicable Price (as defined below).</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0" w:name="page221"/>
    <w:bookmarkEnd w:id="220"/>
    <w:p>
      <w:pPr>
        <w:jc w:val="both"/>
        <w:ind w:firstLine="1952"/>
        <w:spacing w:after="0" w:line="254" w:lineRule="auto"/>
        <w:tabs>
          <w:tab w:leader="none" w:pos="2199" w:val="left"/>
        </w:tabs>
        <w:numPr>
          <w:ilvl w:val="0"/>
          <w:numId w:val="209"/>
        </w:numPr>
        <w:rPr>
          <w:rFonts w:ascii="Arial" w:cs="Arial" w:eastAsia="Arial" w:hAnsi="Arial"/>
          <w:sz w:val="18"/>
          <w:szCs w:val="18"/>
          <w:color w:val="auto"/>
        </w:rPr>
      </w:pPr>
      <w:r>
        <w:rPr>
          <w:rFonts w:ascii="Arial" w:cs="Arial" w:eastAsia="Arial" w:hAnsi="Arial"/>
          <w:sz w:val="18"/>
          <w:szCs w:val="18"/>
          <w:u w:val="single" w:color="auto"/>
          <w:color w:val="auto"/>
        </w:rPr>
        <w:t>Adjustment Upon Issuance of Shares of Common Stock</w:t>
      </w:r>
      <w:r>
        <w:rPr>
          <w:rFonts w:ascii="Arial" w:cs="Arial" w:eastAsia="Arial" w:hAnsi="Arial"/>
          <w:sz w:val="18"/>
          <w:szCs w:val="18"/>
          <w:color w:val="auto"/>
        </w:rPr>
        <w:t>. If and whenever on or after the Issuance Date but prior to April 1, 2024 (the “</w:t>
      </w:r>
      <w:r>
        <w:rPr>
          <w:rFonts w:ascii="Arial" w:cs="Arial" w:eastAsia="Arial" w:hAnsi="Arial"/>
          <w:sz w:val="18"/>
          <w:szCs w:val="18"/>
          <w:b w:val="1"/>
          <w:bCs w:val="1"/>
          <w:color w:val="auto"/>
        </w:rPr>
        <w:t>Anti-Dilution Period</w:t>
      </w:r>
      <w:r>
        <w:rPr>
          <w:rFonts w:ascii="Arial" w:cs="Arial" w:eastAsia="Arial" w:hAnsi="Arial"/>
          <w:sz w:val="18"/>
          <w:szCs w:val="18"/>
          <w:color w:val="auto"/>
        </w:rPr>
        <w:t>”), the Company issues or sells, or in accordance with this Section 2 is deemed to have issued or sold, any shares of Common Stock (including the issuance or sale of shares of Common Stock owned or held by or for the account of the Company, but excluding Excluded Securities) for a consideration per share (the “</w:t>
      </w:r>
      <w:r>
        <w:rPr>
          <w:rFonts w:ascii="Arial" w:cs="Arial" w:eastAsia="Arial" w:hAnsi="Arial"/>
          <w:sz w:val="18"/>
          <w:szCs w:val="18"/>
          <w:b w:val="1"/>
          <w:bCs w:val="1"/>
          <w:color w:val="auto"/>
        </w:rPr>
        <w:t>New Issuance Price</w:t>
      </w:r>
      <w:r>
        <w:rPr>
          <w:rFonts w:ascii="Arial" w:cs="Arial" w:eastAsia="Arial" w:hAnsi="Arial"/>
          <w:sz w:val="18"/>
          <w:szCs w:val="18"/>
          <w:color w:val="auto"/>
        </w:rPr>
        <w:t>”) less than $2.00 per share (the “</w:t>
      </w:r>
      <w:r>
        <w:rPr>
          <w:rFonts w:ascii="Arial" w:cs="Arial" w:eastAsia="Arial" w:hAnsi="Arial"/>
          <w:sz w:val="18"/>
          <w:szCs w:val="18"/>
          <w:b w:val="1"/>
          <w:bCs w:val="1"/>
          <w:color w:val="auto"/>
        </w:rPr>
        <w:t>Applicable Price</w:t>
      </w:r>
      <w:r>
        <w:rPr>
          <w:rFonts w:ascii="Arial" w:cs="Arial" w:eastAsia="Arial" w:hAnsi="Arial"/>
          <w:sz w:val="18"/>
          <w:szCs w:val="18"/>
          <w:color w:val="auto"/>
        </w:rPr>
        <w:t>”, and the foregoing a “</w:t>
      </w:r>
      <w:r>
        <w:rPr>
          <w:rFonts w:ascii="Arial" w:cs="Arial" w:eastAsia="Arial" w:hAnsi="Arial"/>
          <w:sz w:val="18"/>
          <w:szCs w:val="18"/>
          <w:b w:val="1"/>
          <w:bCs w:val="1"/>
          <w:color w:val="auto"/>
        </w:rPr>
        <w:t>Dilutive</w:t>
      </w:r>
      <w:r>
        <w:rPr>
          <w:rFonts w:ascii="Arial" w:cs="Arial" w:eastAsia="Arial" w:hAnsi="Arial"/>
          <w:sz w:val="18"/>
          <w:szCs w:val="18"/>
          <w:color w:val="auto"/>
        </w:rPr>
        <w:t xml:space="preserve"> </w:t>
      </w:r>
      <w:r>
        <w:rPr>
          <w:rFonts w:ascii="Arial" w:cs="Arial" w:eastAsia="Arial" w:hAnsi="Arial"/>
          <w:sz w:val="18"/>
          <w:szCs w:val="18"/>
          <w:b w:val="1"/>
          <w:bCs w:val="1"/>
          <w:color w:val="auto"/>
        </w:rPr>
        <w:t>Issuance</w:t>
      </w:r>
      <w:r>
        <w:rPr>
          <w:rFonts w:ascii="Arial" w:cs="Arial" w:eastAsia="Arial" w:hAnsi="Arial"/>
          <w:sz w:val="18"/>
          <w:szCs w:val="18"/>
          <w:color w:val="auto"/>
        </w:rPr>
        <w:t>”), then immediately after such Dilutive Issuance, the number of Warrant Shares shall be increased to an amount equal to (x) the number of</w:t>
      </w:r>
      <w:r>
        <w:rPr>
          <w:rFonts w:ascii="Arial" w:cs="Arial" w:eastAsia="Arial" w:hAnsi="Arial"/>
          <w:sz w:val="18"/>
          <w:szCs w:val="18"/>
          <w:b w:val="1"/>
          <w:bCs w:val="1"/>
          <w:color w:val="auto"/>
        </w:rPr>
        <w:t xml:space="preserve"> </w:t>
      </w:r>
      <w:r>
        <w:rPr>
          <w:rFonts w:ascii="Arial" w:cs="Arial" w:eastAsia="Arial" w:hAnsi="Arial"/>
          <w:sz w:val="18"/>
          <w:szCs w:val="18"/>
          <w:color w:val="auto"/>
        </w:rPr>
        <w:t>Warrant Shares prior to such Dilutive Issuance, multiplied by (y) the quotient of the Applicable Price divided by the New Issuance Price. For all purposes of the foregoing (including, without limitation, determining the adjusted number of Warrant Shares and the New Issuance Price under this Section 2(b)), the following shall be applicable:</w:t>
      </w:r>
    </w:p>
    <w:p>
      <w:pPr>
        <w:spacing w:after="0" w:line="191" w:lineRule="exact"/>
        <w:rPr>
          <w:rFonts w:ascii="Arial" w:cs="Arial" w:eastAsia="Arial" w:hAnsi="Arial"/>
          <w:sz w:val="18"/>
          <w:szCs w:val="18"/>
          <w:color w:val="auto"/>
        </w:rPr>
      </w:pPr>
    </w:p>
    <w:p>
      <w:pPr>
        <w:jc w:val="both"/>
        <w:ind w:firstLine="2600"/>
        <w:spacing w:after="0" w:line="267" w:lineRule="auto"/>
        <w:tabs>
          <w:tab w:leader="none" w:pos="2807" w:val="left"/>
        </w:tabs>
        <w:numPr>
          <w:ilvl w:val="1"/>
          <w:numId w:val="209"/>
        </w:numPr>
        <w:rPr>
          <w:rFonts w:ascii="Arial" w:cs="Arial" w:eastAsia="Arial" w:hAnsi="Arial"/>
          <w:sz w:val="17"/>
          <w:szCs w:val="17"/>
          <w:color w:val="auto"/>
        </w:rPr>
      </w:pPr>
      <w:r>
        <w:rPr>
          <w:rFonts w:ascii="Arial" w:cs="Arial" w:eastAsia="Arial" w:hAnsi="Arial"/>
          <w:sz w:val="17"/>
          <w:szCs w:val="17"/>
          <w:u w:val="single" w:color="auto"/>
          <w:color w:val="auto"/>
        </w:rPr>
        <w:t>Issuance of Options</w:t>
      </w:r>
      <w:r>
        <w:rPr>
          <w:rFonts w:ascii="Arial" w:cs="Arial" w:eastAsia="Arial" w:hAnsi="Arial"/>
          <w:sz w:val="17"/>
          <w:szCs w:val="17"/>
          <w:color w:val="auto"/>
        </w:rPr>
        <w:t>. If, during the Anti-Dilution Period, the Company in any manner grants or sells any Options and the lowest price per share for which one share of Common Stock is at any time issuable upon the exercise of any such Option or upon conversion, exercise or exchange of any Convertible Securities issuable upon exercise of any such Option or otherwise pursuant to the terms thereof is less than the Applicable Price, then such share of Common Stock shall be deemed to be outstanding and to have been issued and sold by the Company at the time of the granting or sale of such Option for such price per share. For purposes of this Section 2(b)(i), the “lowest price per share for which one share of Common Stock is at any time issuable upon the exercise of any such Options or upon conversion, exercise or exchange of any Convertible Securities issuable upon exercise of any such Option or otherwise pursuant to the terms thereof” shall be equal to (1) the lower of (x) the sum of the lowest amounts of consideration (if any) received or receivable by the Company with respect to any one share of Common Stock upon the granting or sale of such Option, upon exercise of such Option and upon conversion, exercise or exchange of any Convertible Security issuable upon exercise of such Option or otherwise pursuant to the terms thereof and (y) the lowest exercise price set forth in such Option for which one share of Common Stock is issuable (or may become issuable assuming all possible market conditions) upon the exercise of any such Options or upon conversion, exercise or exchange of any Convertible Securities issuable upon exercise of any such Option or otherwise pursuant to the terms thereof minus (2) the sum of all amounts paid or payable to the holder of such Option (or any other Person) upon the granting or sale of such Option, upon exercise of such Option and upon conversion, exercise or exchange of any Convertible Security issuable upon exercise of such Option or otherwise pursuant to the terms thereof plus the value of any other consideration received or receivable by, or benefit conferred on, the holder of such Option (or any other Person). Except as contemplated below, no further increase in the Warrant Shares shall be made upon the actual issuance of such shares of Common Stock or of such Convertible Securities upon the exercise of such Options or otherwise pursuant to the terms of or upon the actual issuance of such shares of Common Stock upon conversion, exercise or exchange of such Convertible Securities.</w:t>
      </w:r>
    </w:p>
    <w:p>
      <w:pPr>
        <w:spacing w:after="0" w:line="189" w:lineRule="exact"/>
        <w:rPr>
          <w:rFonts w:ascii="Arial" w:cs="Arial" w:eastAsia="Arial" w:hAnsi="Arial"/>
          <w:sz w:val="17"/>
          <w:szCs w:val="17"/>
          <w:color w:val="auto"/>
        </w:rPr>
      </w:pPr>
    </w:p>
    <w:p>
      <w:pPr>
        <w:jc w:val="both"/>
        <w:ind w:firstLine="2600"/>
        <w:spacing w:after="0" w:line="285" w:lineRule="auto"/>
        <w:tabs>
          <w:tab w:leader="none" w:pos="2857" w:val="left"/>
        </w:tabs>
        <w:numPr>
          <w:ilvl w:val="1"/>
          <w:numId w:val="209"/>
        </w:numPr>
        <w:rPr>
          <w:rFonts w:ascii="Arial" w:cs="Arial" w:eastAsia="Arial" w:hAnsi="Arial"/>
          <w:sz w:val="16"/>
          <w:szCs w:val="16"/>
          <w:color w:val="auto"/>
        </w:rPr>
      </w:pPr>
      <w:r>
        <w:rPr>
          <w:rFonts w:ascii="Arial" w:cs="Arial" w:eastAsia="Arial" w:hAnsi="Arial"/>
          <w:sz w:val="16"/>
          <w:szCs w:val="16"/>
          <w:u w:val="single" w:color="auto"/>
          <w:color w:val="auto"/>
        </w:rPr>
        <w:t>Issuance of Convertible Securities</w:t>
      </w:r>
      <w:r>
        <w:rPr>
          <w:rFonts w:ascii="Arial" w:cs="Arial" w:eastAsia="Arial" w:hAnsi="Arial"/>
          <w:sz w:val="16"/>
          <w:szCs w:val="16"/>
          <w:color w:val="auto"/>
        </w:rPr>
        <w:t>. If, during the Anti-Dilution Period, the Company in any manner issues or sells any Convertible Securities and the lowest price per share for which one share of Common Stock is at any time issuable upon the conversion, exercise or exchange thereof or otherwise pursuant to the terms thereof is less than the Applicable Price, then such share of Common Stock shall be deemed to be outstanding and to have been issued and sold by the Company at the time of the issuance or sale of such Convertible Securities for such price per share. For the purposes of this Section 2(b)(ii), the “lowest price per share for which one share of Common Stock is at any time issuable upon the conversion, exercise or exchange thereof or otherwise pursuant to the terms thereof” shall be equal to (1) the lower of (x) the sum of the lowest amounts of consideration (if any) received or receivable by the Company with respect to one share of Common Stock upon the issuance or sale of the Convertible Security and upon conversion, exercise or exchange of such Convertible Security or otherwise pursuant to the terms thereof and (y) the lowest conversion price set forth in such Convertible Security for which one share of Common Stock is issuable (or may become issuable assuming all possible market conditions) upon conversion, exercise or exchange thereof or otherwise pursuant to the terms thereof minus (2) the sum of all amounts paid or payable to the holder of such Convertible Security (or any other Person) upon the issuance or sale of such Convertible Security plus the value of any other consideration received or receivable by, or benefit conferred on, the holder of such Convertible Security (or any other Person). Except as contemplated below, no further increase of the Warrant Shares shall be made upon the actual issuance of such shares of Common Stock upon conversion, exercise or exchange of such Convertible Securities or otherwise pursuant to the terms thereof, and if any such issuance or sale of such Convertible Securities is made upon exercise of any Options for which adjustment of this Warrant has been or is to be made pursuant to other provisions of this Section 2(b), except as contemplated below, no further increase of the Warrant Shares shall be made by reason of such issuance or sale.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1" w:name="page222"/>
    <w:bookmarkEnd w:id="221"/>
    <w:p>
      <w:pPr>
        <w:jc w:val="both"/>
        <w:ind w:firstLine="2600"/>
        <w:spacing w:after="0" w:line="269" w:lineRule="auto"/>
        <w:tabs>
          <w:tab w:leader="none" w:pos="2907" w:val="left"/>
        </w:tabs>
        <w:numPr>
          <w:ilvl w:val="1"/>
          <w:numId w:val="210"/>
        </w:numPr>
        <w:rPr>
          <w:rFonts w:ascii="Arial" w:cs="Arial" w:eastAsia="Arial" w:hAnsi="Arial"/>
          <w:sz w:val="17"/>
          <w:szCs w:val="17"/>
          <w:color w:val="auto"/>
        </w:rPr>
      </w:pPr>
      <w:r>
        <w:rPr>
          <w:rFonts w:ascii="Arial" w:cs="Arial" w:eastAsia="Arial" w:hAnsi="Arial"/>
          <w:sz w:val="17"/>
          <w:szCs w:val="17"/>
          <w:u w:val="single" w:color="auto"/>
          <w:color w:val="auto"/>
        </w:rPr>
        <w:t>Change in Option Price or Rate of Conversion</w:t>
      </w:r>
      <w:r>
        <w:rPr>
          <w:rFonts w:ascii="Arial" w:cs="Arial" w:eastAsia="Arial" w:hAnsi="Arial"/>
          <w:sz w:val="17"/>
          <w:szCs w:val="17"/>
          <w:color w:val="auto"/>
        </w:rPr>
        <w:t>. If the purchase or exercise price provided for in any Options, the additional consideration, if any, payable upon the issue, conversion, exercise or exchange of any Convertible Securities, or the rate at which any Convertible Securities are convertible into or exercisable or exchangeable for shares of Common Stock increases or decreases at any time (other than proportional changes in conversion or exercise prices, as applicable, in connection with an event referred to in Section 2(b)), the number of Warrant Shares in effect at the time of such increase or decrease shall be increased to the number of Warrant Shares which would have been in effect at such time had such Options or Convertible Securities provided for such increased or decreased purchase price, additional consideration or increased or decreased conversion rate, as the case may be, at the time initially granted, issued or sold. For purposes of this Section 2(b)(iii), if the terms of any Option or Convertible Security that was outstanding as of the Issuance Date are increased or decreased in the manner described in the immediately preceding sentence, then such Option or Convertible Security and the shares of Common Stock deemed issuable upon exercise, conversion or exchange thereof shall be deemed to have been issued as of the date of such increase or decrease. No adjustment pursuant to this Section 2(b) shall be made if such adjustment would result in a decrease of the number of Warrant Shares.</w:t>
      </w:r>
    </w:p>
    <w:p>
      <w:pPr>
        <w:spacing w:after="0" w:line="181" w:lineRule="exact"/>
        <w:rPr>
          <w:rFonts w:ascii="Arial" w:cs="Arial" w:eastAsia="Arial" w:hAnsi="Arial"/>
          <w:sz w:val="17"/>
          <w:szCs w:val="17"/>
          <w:color w:val="auto"/>
        </w:rPr>
      </w:pPr>
    </w:p>
    <w:p>
      <w:pPr>
        <w:jc w:val="both"/>
        <w:ind w:firstLine="2600"/>
        <w:spacing w:after="0" w:line="283" w:lineRule="auto"/>
        <w:tabs>
          <w:tab w:leader="none" w:pos="2924" w:val="left"/>
        </w:tabs>
        <w:numPr>
          <w:ilvl w:val="1"/>
          <w:numId w:val="210"/>
        </w:numPr>
        <w:rPr>
          <w:rFonts w:ascii="Arial" w:cs="Arial" w:eastAsia="Arial" w:hAnsi="Arial"/>
          <w:sz w:val="16"/>
          <w:szCs w:val="16"/>
          <w:color w:val="auto"/>
        </w:rPr>
      </w:pPr>
      <w:r>
        <w:rPr>
          <w:rFonts w:ascii="Arial" w:cs="Arial" w:eastAsia="Arial" w:hAnsi="Arial"/>
          <w:sz w:val="16"/>
          <w:szCs w:val="16"/>
          <w:u w:val="single" w:color="auto"/>
          <w:color w:val="auto"/>
        </w:rPr>
        <w:t>Calculation of Consideration Received</w:t>
      </w:r>
      <w:r>
        <w:rPr>
          <w:rFonts w:ascii="Arial" w:cs="Arial" w:eastAsia="Arial" w:hAnsi="Arial"/>
          <w:sz w:val="16"/>
          <w:szCs w:val="16"/>
          <w:color w:val="auto"/>
        </w:rPr>
        <w:t>. If any Option and/or Convertible Security and/or Adjustment Right is issued in connection with the issuance or sale or deemed issuance or sale of any other securities of the Company (as determined by the Holder, the “</w:t>
      </w:r>
      <w:r>
        <w:rPr>
          <w:rFonts w:ascii="Arial" w:cs="Arial" w:eastAsia="Arial" w:hAnsi="Arial"/>
          <w:sz w:val="16"/>
          <w:szCs w:val="16"/>
          <w:b w:val="1"/>
          <w:bCs w:val="1"/>
          <w:color w:val="auto"/>
        </w:rPr>
        <w:t>Primary Security</w:t>
      </w:r>
      <w:r>
        <w:rPr>
          <w:rFonts w:ascii="Arial" w:cs="Arial" w:eastAsia="Arial" w:hAnsi="Arial"/>
          <w:sz w:val="16"/>
          <w:szCs w:val="16"/>
          <w:color w:val="auto"/>
        </w:rPr>
        <w:t>”, and such Option and/or Convertible Security and/or Adjustment Right, the “</w:t>
      </w:r>
      <w:r>
        <w:rPr>
          <w:rFonts w:ascii="Arial" w:cs="Arial" w:eastAsia="Arial" w:hAnsi="Arial"/>
          <w:sz w:val="16"/>
          <w:szCs w:val="16"/>
          <w:b w:val="1"/>
          <w:bCs w:val="1"/>
          <w:color w:val="auto"/>
        </w:rPr>
        <w:t>Secondary Securities</w:t>
      </w:r>
      <w:r>
        <w:rPr>
          <w:rFonts w:ascii="Arial" w:cs="Arial" w:eastAsia="Arial" w:hAnsi="Arial"/>
          <w:sz w:val="16"/>
          <w:szCs w:val="16"/>
          <w:color w:val="auto"/>
        </w:rPr>
        <w:t>” and together with the Primary Security, each a “</w:t>
      </w:r>
      <w:r>
        <w:rPr>
          <w:rFonts w:ascii="Arial" w:cs="Arial" w:eastAsia="Arial" w:hAnsi="Arial"/>
          <w:sz w:val="16"/>
          <w:szCs w:val="16"/>
          <w:b w:val="1"/>
          <w:bCs w:val="1"/>
          <w:color w:val="auto"/>
        </w:rPr>
        <w:t>Unit</w:t>
      </w:r>
      <w:r>
        <w:rPr>
          <w:rFonts w:ascii="Arial" w:cs="Arial" w:eastAsia="Arial" w:hAnsi="Arial"/>
          <w:sz w:val="16"/>
          <w:szCs w:val="16"/>
          <w:color w:val="auto"/>
        </w:rPr>
        <w:t>”), together comprising one integrated transaction (or one or more transactions if such issuances or sales or deemed issuances or sales of securities of the Company either (A) have at least one investor or purchaser in common, (B) are consummated in reasonable proximity to each other and/or (C) are consummated under the same plan of financing), the aggregate consideration per share of Common Stock with respect to such Primary Security shall be deemed to be the lowest of (x) the purchase price of such Unit, (y) if such Primary Security is an Option and/or Convertible Security, the lowest price per share for which one share of Common Stock is at any time issuable upon the exercise or conversion of the Primary Security in accordance with Section 2(b)(i), 2(b)(ii) or 2(b)(iii) above and (z) the quotient of (I) the sum of the three (3) lowest VWAPs of the Common Stock during the five (5) Trading Day period immediately following the public announcement of such Dilutive Issuance, divided by (II) three (3) (for the avoidance of doubt, if such public announcement is released prior to the opening of the Principal Market on a Trading Day, such Trading Day shall be the first Trading Day in such five</w:t>
      </w:r>
    </w:p>
    <w:p>
      <w:pPr>
        <w:spacing w:after="0" w:line="3" w:lineRule="exact"/>
        <w:rPr>
          <w:rFonts w:ascii="Arial" w:cs="Arial" w:eastAsia="Arial" w:hAnsi="Arial"/>
          <w:sz w:val="16"/>
          <w:szCs w:val="16"/>
          <w:color w:val="auto"/>
        </w:rPr>
      </w:pPr>
    </w:p>
    <w:p>
      <w:pPr>
        <w:jc w:val="both"/>
        <w:ind w:firstLine="8"/>
        <w:spacing w:after="0" w:line="281" w:lineRule="auto"/>
        <w:tabs>
          <w:tab w:leader="none" w:pos="266" w:val="left"/>
        </w:tabs>
        <w:numPr>
          <w:ilvl w:val="0"/>
          <w:numId w:val="211"/>
        </w:numPr>
        <w:rPr>
          <w:rFonts w:ascii="Arial" w:cs="Arial" w:eastAsia="Arial" w:hAnsi="Arial"/>
          <w:sz w:val="16"/>
          <w:szCs w:val="16"/>
          <w:color w:val="auto"/>
        </w:rPr>
      </w:pPr>
      <w:r>
        <w:rPr>
          <w:rFonts w:ascii="Arial" w:cs="Arial" w:eastAsia="Arial" w:hAnsi="Arial"/>
          <w:sz w:val="16"/>
          <w:szCs w:val="16"/>
          <w:color w:val="auto"/>
        </w:rPr>
        <w:t>Trading Day period). If any shares of Common Stock, Options or Convertible Securities are issued or sold or deemed to have been issued or sold for cash, the consideration received therefor will be deemed to be the net amount of consideration received by the Company therefor. If any shares of Common Stock, Options or Convertible Securities are issued or sold for a consideration other than cash, the amount of such consideration received by the Company will be the fair value of such consideration, except where such consideration consists of publicly traded securities, in which case the amount of consideration received by the Company for such securities will be the arithmetic average of the VWAPs of such security for each of the five (5) Trading Days immediately preceding the date of receipt. If any shares of Common Stock, Options or Convertible Securities are issued to the owners of the non-surviving entity in connection with any merger in which the Company is the surviving entity, the amount of consideration therefor will be deemed to be the fair value of such portion of the net assets and business of the non-surviving entity as is attributable to such shares of Common Stock, Options or Convertible Securities (as the case may be). The fair value of any consideration other than cash or publicly traded securities will be determined jointly by the Company and the Holder. If such parties are unable to reach agreement within 10 days after the occurrence of an event requiring valuation (the</w:t>
      </w:r>
    </w:p>
    <w:p>
      <w:pPr>
        <w:spacing w:after="0" w:line="6"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“Valuation Event”), the fair value of such consideration will be determined within five Trading Days after the 10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following such Valuation Event by an independent, reputable appraiser jointly selected by the Company and the Holder. The determination of such appraiser shall be final and binding upon all parties absent manifest error and the fees and expenses of such appraiser shall be borne by the Company.</w:t>
      </w:r>
    </w:p>
    <w:p>
      <w:pPr>
        <w:spacing w:after="0" w:line="202" w:lineRule="exact"/>
        <w:rPr>
          <w:sz w:val="20"/>
          <w:szCs w:val="20"/>
          <w:color w:val="auto"/>
        </w:rPr>
      </w:pPr>
    </w:p>
    <w:p>
      <w:pPr>
        <w:jc w:val="both"/>
        <w:ind w:firstLine="2600"/>
        <w:spacing w:after="0" w:line="257" w:lineRule="auto"/>
        <w:tabs>
          <w:tab w:leader="none" w:pos="2847" w:val="left"/>
        </w:tabs>
        <w:numPr>
          <w:ilvl w:val="0"/>
          <w:numId w:val="212"/>
        </w:numPr>
        <w:rPr>
          <w:rFonts w:ascii="Arial" w:cs="Arial" w:eastAsia="Arial" w:hAnsi="Arial"/>
          <w:sz w:val="18"/>
          <w:szCs w:val="18"/>
          <w:color w:val="auto"/>
        </w:rPr>
      </w:pPr>
      <w:r>
        <w:rPr>
          <w:rFonts w:ascii="Arial" w:cs="Arial" w:eastAsia="Arial" w:hAnsi="Arial"/>
          <w:sz w:val="18"/>
          <w:szCs w:val="18"/>
          <w:u w:val="single" w:color="auto"/>
          <w:color w:val="auto"/>
        </w:rPr>
        <w:t>Record Date</w:t>
      </w:r>
      <w:r>
        <w:rPr>
          <w:rFonts w:ascii="Arial" w:cs="Arial" w:eastAsia="Arial" w:hAnsi="Arial"/>
          <w:sz w:val="18"/>
          <w:szCs w:val="18"/>
          <w:color w:val="auto"/>
        </w:rPr>
        <w:t>. If the Company takes a record of the holders of shares of Common Stock for the purpose of entitling them (A) to receive a dividend or other distribution payable in shares of Common Stock, Options or in Convertible Securities or (B) to subscribe for or purchase shares of Common Stock, Options or Convertible Securities, then such record date will be deemed to be the date of the issuance or sale of the shares of Common Stock deemed to have been issued or sold upon the declaration of such dividend or the making of such other distribution or the date of the granting of such right of subscription or purchase (as the case may be).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2" w:name="page223"/>
    <w:bookmarkEnd w:id="222"/>
    <w:p>
      <w:pPr>
        <w:ind w:firstLine="1952"/>
        <w:spacing w:after="0" w:line="277" w:lineRule="auto"/>
        <w:tabs>
          <w:tab w:leader="none" w:pos="2188" w:val="left"/>
        </w:tabs>
        <w:numPr>
          <w:ilvl w:val="1"/>
          <w:numId w:val="213"/>
        </w:numPr>
        <w:rPr>
          <w:rFonts w:ascii="Arial" w:cs="Arial" w:eastAsia="Arial" w:hAnsi="Arial"/>
          <w:sz w:val="18"/>
          <w:szCs w:val="18"/>
          <w:color w:val="auto"/>
        </w:rPr>
      </w:pPr>
      <w:r>
        <w:rPr>
          <w:rFonts w:ascii="Arial" w:cs="Arial" w:eastAsia="Arial" w:hAnsi="Arial"/>
          <w:sz w:val="18"/>
          <w:szCs w:val="18"/>
          <w:u w:val="single" w:color="auto"/>
          <w:color w:val="auto"/>
        </w:rPr>
        <w:t>Par Value</w:t>
      </w:r>
      <w:r>
        <w:rPr>
          <w:rFonts w:ascii="Arial" w:cs="Arial" w:eastAsia="Arial" w:hAnsi="Arial"/>
          <w:sz w:val="18"/>
          <w:szCs w:val="18"/>
          <w:color w:val="auto"/>
        </w:rPr>
        <w:t>. Notwithstanding anything to the contrary in this Warrant, in no event shall the Exercise Price be reduced below the par value of the Company’s Common Stock.</w:t>
      </w:r>
    </w:p>
    <w:p>
      <w:pPr>
        <w:spacing w:after="0" w:line="170" w:lineRule="exact"/>
        <w:rPr>
          <w:rFonts w:ascii="Arial" w:cs="Arial" w:eastAsia="Arial" w:hAnsi="Arial"/>
          <w:sz w:val="18"/>
          <w:szCs w:val="18"/>
          <w:color w:val="auto"/>
        </w:rPr>
      </w:pPr>
    </w:p>
    <w:p>
      <w:pPr>
        <w:jc w:val="both"/>
        <w:ind w:firstLine="1952"/>
        <w:spacing w:after="0" w:line="263" w:lineRule="auto"/>
        <w:tabs>
          <w:tab w:leader="none" w:pos="2199" w:val="left"/>
        </w:tabs>
        <w:numPr>
          <w:ilvl w:val="1"/>
          <w:numId w:val="213"/>
        </w:numPr>
        <w:rPr>
          <w:rFonts w:ascii="Arial" w:cs="Arial" w:eastAsia="Arial" w:hAnsi="Arial"/>
          <w:sz w:val="18"/>
          <w:szCs w:val="18"/>
          <w:color w:val="auto"/>
        </w:rPr>
      </w:pPr>
      <w:r>
        <w:rPr>
          <w:rFonts w:ascii="Arial" w:cs="Arial" w:eastAsia="Arial" w:hAnsi="Arial"/>
          <w:sz w:val="18"/>
          <w:szCs w:val="18"/>
          <w:u w:val="single" w:color="auto"/>
          <w:color w:val="auto"/>
        </w:rPr>
        <w:t>Voluntary Adjustment by Company</w:t>
      </w:r>
      <w:r>
        <w:rPr>
          <w:rFonts w:ascii="Arial" w:cs="Arial" w:eastAsia="Arial" w:hAnsi="Arial"/>
          <w:sz w:val="18"/>
          <w:szCs w:val="18"/>
          <w:color w:val="auto"/>
        </w:rPr>
        <w:t>. Subject to Section 2(c), the Company may at any time during the term of this Warrant, with prior written notice to the Holder, reduce the then current Exercise Price to any amount and for any period of time deemed appropriate by the board of directors of the Company.</w:t>
      </w:r>
    </w:p>
    <w:p>
      <w:pPr>
        <w:spacing w:after="0" w:line="170" w:lineRule="exact"/>
        <w:rPr>
          <w:rFonts w:ascii="Arial" w:cs="Arial" w:eastAsia="Arial" w:hAnsi="Arial"/>
          <w:sz w:val="18"/>
          <w:szCs w:val="18"/>
          <w:color w:val="auto"/>
        </w:rPr>
      </w:pPr>
    </w:p>
    <w:p>
      <w:pPr>
        <w:jc w:val="both"/>
        <w:ind w:firstLine="1304"/>
        <w:spacing w:after="0" w:line="268" w:lineRule="auto"/>
        <w:tabs>
          <w:tab w:leader="none" w:pos="1489" w:val="left"/>
        </w:tabs>
        <w:numPr>
          <w:ilvl w:val="0"/>
          <w:numId w:val="214"/>
        </w:numPr>
        <w:rPr>
          <w:rFonts w:ascii="Arial" w:cs="Arial" w:eastAsia="Arial" w:hAnsi="Arial"/>
          <w:sz w:val="17"/>
          <w:szCs w:val="17"/>
          <w:color w:val="auto"/>
        </w:rPr>
      </w:pPr>
      <w:r>
        <w:rPr>
          <w:rFonts w:ascii="Arial" w:cs="Arial" w:eastAsia="Arial" w:hAnsi="Arial"/>
          <w:sz w:val="17"/>
          <w:szCs w:val="17"/>
          <w:u w:val="single" w:color="auto"/>
          <w:color w:val="auto"/>
        </w:rPr>
        <w:t>RIGHTS UPON DISTRIBUTION OF ASSETS</w:t>
      </w:r>
      <w:r>
        <w:rPr>
          <w:rFonts w:ascii="Arial" w:cs="Arial" w:eastAsia="Arial" w:hAnsi="Arial"/>
          <w:sz w:val="17"/>
          <w:szCs w:val="17"/>
          <w:color w:val="auto"/>
        </w:rPr>
        <w:t xml:space="preserve">. In addition to any adjustments pursuant to Section </w:t>
      </w:r>
      <w:r>
        <w:rPr>
          <w:rFonts w:ascii="Arial" w:cs="Arial" w:eastAsia="Arial" w:hAnsi="Arial"/>
          <w:sz w:val="20"/>
          <w:szCs w:val="20"/>
          <w:b w:val="1"/>
          <w:bCs w:val="1"/>
          <w:color w:val="auto"/>
        </w:rPr>
        <w:t>‎</w:t>
      </w:r>
      <w:r>
        <w:rPr>
          <w:rFonts w:ascii="Arial" w:cs="Arial" w:eastAsia="Arial" w:hAnsi="Arial"/>
          <w:sz w:val="17"/>
          <w:szCs w:val="17"/>
          <w:color w:val="auto"/>
        </w:rPr>
        <w:t>2 above,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(a “</w:t>
      </w:r>
      <w:r>
        <w:rPr>
          <w:rFonts w:ascii="Arial" w:cs="Arial" w:eastAsia="Arial" w:hAnsi="Arial"/>
          <w:sz w:val="17"/>
          <w:szCs w:val="17"/>
          <w:b w:val="1"/>
          <w:bCs w:val="1"/>
          <w:color w:val="auto"/>
        </w:rPr>
        <w:t>Distribution</w:t>
      </w:r>
      <w:r>
        <w:rPr>
          <w:rFonts w:ascii="Arial" w:cs="Arial" w:eastAsia="Arial" w:hAnsi="Arial"/>
          <w:sz w:val="17"/>
          <w:szCs w:val="17"/>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such Distribution, or, if no such record is taken, the date as of which the record holders of shares of Common Stock are to be determined for the participation in such Distribution (provided, however, that to the extent that the Holder’s right to participate in any such Distribution would result in the Holder and the other Attribution Parties exceeding the Maximum Percentage, then the Holder shall not be entitled to participate in such Distribution to the extent of the Maximum Percentage (and shall not be entitled to beneficial ownership of such shares of Common Stock as a result of such Distribution (and beneficial ownership) to the extent of any such excess) and the portion of such Distribution shall be held in abeyance for the benefit of the Holder until such time or times, if ever,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held similarly in abeyance) to the same extent as if there had been no such limitation).</w:t>
      </w:r>
    </w:p>
    <w:p>
      <w:pPr>
        <w:spacing w:after="0" w:line="181" w:lineRule="exact"/>
        <w:rPr>
          <w:rFonts w:ascii="Arial" w:cs="Arial" w:eastAsia="Arial" w:hAnsi="Arial"/>
          <w:sz w:val="17"/>
          <w:szCs w:val="17"/>
          <w:color w:val="auto"/>
        </w:rPr>
      </w:pPr>
    </w:p>
    <w:p>
      <w:pPr>
        <w:ind w:left="1480" w:hanging="176"/>
        <w:spacing w:after="0"/>
        <w:tabs>
          <w:tab w:leader="none" w:pos="1480" w:val="left"/>
        </w:tabs>
        <w:numPr>
          <w:ilvl w:val="0"/>
          <w:numId w:val="214"/>
        </w:numPr>
        <w:rPr>
          <w:rFonts w:ascii="Arial" w:cs="Arial" w:eastAsia="Arial" w:hAnsi="Arial"/>
          <w:sz w:val="18"/>
          <w:szCs w:val="18"/>
          <w:color w:val="auto"/>
        </w:rPr>
      </w:pPr>
      <w:r>
        <w:rPr>
          <w:rFonts w:ascii="Arial" w:cs="Arial" w:eastAsia="Arial" w:hAnsi="Arial"/>
          <w:sz w:val="18"/>
          <w:szCs w:val="18"/>
          <w:u w:val="single" w:color="auto"/>
          <w:color w:val="auto"/>
        </w:rPr>
        <w:t>PURCHASE RIGHTS; FUNDAMENTAL TRANSACTIONS</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jc w:val="both"/>
        <w:ind w:firstLine="1952"/>
        <w:spacing w:after="0" w:line="268" w:lineRule="auto"/>
        <w:tabs>
          <w:tab w:leader="none" w:pos="2202" w:val="left"/>
        </w:tabs>
        <w:numPr>
          <w:ilvl w:val="1"/>
          <w:numId w:val="214"/>
        </w:numPr>
        <w:rPr>
          <w:rFonts w:ascii="Arial" w:cs="Arial" w:eastAsia="Arial" w:hAnsi="Arial"/>
          <w:sz w:val="17"/>
          <w:szCs w:val="17"/>
          <w:color w:val="auto"/>
        </w:rPr>
      </w:pPr>
      <w:r>
        <w:rPr>
          <w:rFonts w:ascii="Arial" w:cs="Arial" w:eastAsia="Arial" w:hAnsi="Arial"/>
          <w:sz w:val="17"/>
          <w:szCs w:val="17"/>
          <w:u w:val="single" w:color="auto"/>
          <w:color w:val="auto"/>
        </w:rPr>
        <w:t>Purchase Rights</w:t>
      </w:r>
      <w:r>
        <w:rPr>
          <w:rFonts w:ascii="Arial" w:cs="Arial" w:eastAsia="Arial" w:hAnsi="Arial"/>
          <w:sz w:val="17"/>
          <w:szCs w:val="17"/>
          <w:color w:val="auto"/>
        </w:rPr>
        <w:t xml:space="preserve">. In addition to any adjustments pursuant to Section </w:t>
      </w:r>
      <w:r>
        <w:rPr>
          <w:rFonts w:ascii="Arial" w:cs="Arial" w:eastAsia="Arial" w:hAnsi="Arial"/>
          <w:sz w:val="20"/>
          <w:szCs w:val="20"/>
          <w:b w:val="1"/>
          <w:bCs w:val="1"/>
          <w:color w:val="auto"/>
        </w:rPr>
        <w:t>‎</w:t>
      </w:r>
      <w:r>
        <w:rPr>
          <w:rFonts w:ascii="Arial" w:cs="Arial" w:eastAsia="Arial" w:hAnsi="Arial"/>
          <w:sz w:val="17"/>
          <w:szCs w:val="17"/>
          <w:color w:val="auto"/>
        </w:rPr>
        <w:t>2 above, if at any time the Company grants, issues or sells any Options, Convertible Securities or rights to purchase stock, warrants, securities or other property pro rata to the record holders of any class of Common Stock (the “</w:t>
      </w:r>
      <w:r>
        <w:rPr>
          <w:rFonts w:ascii="Arial" w:cs="Arial" w:eastAsia="Arial" w:hAnsi="Arial"/>
          <w:sz w:val="17"/>
          <w:szCs w:val="17"/>
          <w:b w:val="1"/>
          <w:bCs w:val="1"/>
          <w:color w:val="auto"/>
        </w:rPr>
        <w:t>Purchase Rights</w:t>
      </w:r>
      <w:r>
        <w:rPr>
          <w:rFonts w:ascii="Arial" w:cs="Arial" w:eastAsia="Arial" w:hAnsi="Arial"/>
          <w:sz w:val="17"/>
          <w:szCs w:val="17"/>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the grant, issuance or sale of such Purchase Rights, or, if no such record is taken, the date as of which the record holders of shares of Common Stock are to be determined for the grant, issuance or sale of such Purchase Rights (provided, however, that to the extent that the Holder’s right to participate in any such Purchase Right would result in the Holder and the other Attribution Parties exceeding the Maximum Percentage, then the Holder shall not be entitled to participate in such Purchase Right to the extent of the Maximum Percentage (and shall not be entitled to beneficial ownership of such shares of Common Stock as a result of such Purchase Right (and beneficial ownership) to the extent of any such excess) and such Purchase Right to such extent shall be held in abeyance for the benefit of the Holder until such time or times, if ever,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held similarly in abeyance) to the same extent as if there had been no such limitation).</w:t>
      </w:r>
    </w:p>
    <w:p>
      <w:pPr>
        <w:spacing w:after="0" w:line="185" w:lineRule="exact"/>
        <w:rPr>
          <w:rFonts w:ascii="Arial" w:cs="Arial" w:eastAsia="Arial" w:hAnsi="Arial"/>
          <w:sz w:val="17"/>
          <w:szCs w:val="17"/>
          <w:color w:val="auto"/>
        </w:rPr>
      </w:pPr>
    </w:p>
    <w:p>
      <w:pPr>
        <w:ind w:left="2200" w:hanging="248"/>
        <w:spacing w:after="0"/>
        <w:tabs>
          <w:tab w:leader="none" w:pos="2200" w:val="left"/>
        </w:tabs>
        <w:numPr>
          <w:ilvl w:val="1"/>
          <w:numId w:val="214"/>
        </w:numPr>
        <w:rPr>
          <w:rFonts w:ascii="Arial" w:cs="Arial" w:eastAsia="Arial" w:hAnsi="Arial"/>
          <w:sz w:val="18"/>
          <w:szCs w:val="18"/>
          <w:color w:val="auto"/>
        </w:rPr>
      </w:pPr>
      <w:r>
        <w:rPr>
          <w:rFonts w:ascii="Arial" w:cs="Arial" w:eastAsia="Arial" w:hAnsi="Arial"/>
          <w:sz w:val="18"/>
          <w:szCs w:val="18"/>
          <w:u w:val="single" w:color="auto"/>
          <w:color w:val="auto"/>
        </w:rPr>
        <w:t>Fundamental Transactions</w:t>
      </w:r>
      <w:r>
        <w:rPr>
          <w:rFonts w:ascii="Arial" w:cs="Arial" w:eastAsia="Arial" w:hAnsi="Arial"/>
          <w:sz w:val="18"/>
          <w:szCs w:val="18"/>
          <w:color w:val="auto"/>
        </w:rPr>
        <w:t>. The Company shall not enter into or be party to a Fundamental Transaction unless:</w:t>
      </w:r>
    </w:p>
    <w:p>
      <w:pPr>
        <w:spacing w:after="0" w:line="225" w:lineRule="exact"/>
        <w:rPr>
          <w:rFonts w:ascii="Arial" w:cs="Arial" w:eastAsia="Arial" w:hAnsi="Arial"/>
          <w:sz w:val="18"/>
          <w:szCs w:val="18"/>
          <w:color w:val="auto"/>
        </w:rPr>
      </w:pPr>
    </w:p>
    <w:p>
      <w:pPr>
        <w:jc w:val="both"/>
        <w:ind w:firstLine="2600"/>
        <w:spacing w:after="0" w:line="273" w:lineRule="auto"/>
        <w:tabs>
          <w:tab w:leader="none" w:pos="2807" w:val="left"/>
        </w:tabs>
        <w:numPr>
          <w:ilvl w:val="2"/>
          <w:numId w:val="214"/>
        </w:numPr>
        <w:rPr>
          <w:rFonts w:ascii="Arial" w:cs="Arial" w:eastAsia="Arial" w:hAnsi="Arial"/>
          <w:sz w:val="17"/>
          <w:szCs w:val="17"/>
          <w:color w:val="auto"/>
        </w:rPr>
      </w:pPr>
      <w:r>
        <w:rPr>
          <w:rFonts w:ascii="Arial" w:cs="Arial" w:eastAsia="Arial" w:hAnsi="Arial"/>
          <w:sz w:val="17"/>
          <w:szCs w:val="17"/>
          <w:color w:val="auto"/>
        </w:rPr>
        <w:t>in the event that the Successor Entity (including its Parent Entity) is not a publicly traded entity with common equity quoted on or listed for trading on an Eligible Market and registered under the Exchange Act, the Company or the Successor Entity, as applicable, shall, on or prior to the date of consummation of such Fundamental Transaction, purchase this Warrant from the Holder by paying to the Holder cash in an amount equal to the Black Scholes Going Private Value (without regard to the limitation set forth in Section 1(f))</w:t>
      </w:r>
      <w:r>
        <w:rPr>
          <w:rFonts w:ascii="Arial" w:cs="Arial" w:eastAsia="Arial" w:hAnsi="Arial"/>
          <w:sz w:val="17"/>
          <w:szCs w:val="17"/>
          <w:b w:val="1"/>
          <w:bCs w:val="1"/>
          <w:color w:val="auto"/>
        </w:rPr>
        <w:t>‎</w:t>
      </w:r>
      <w:r>
        <w:rPr>
          <w:rFonts w:ascii="Arial" w:cs="Arial" w:eastAsia="Arial" w:hAnsi="Arial"/>
          <w:sz w:val="17"/>
          <w:szCs w:val="17"/>
          <w:color w:val="auto"/>
        </w:rPr>
        <w:t xml:space="preserve"> whereupon the Successor Entity shall have no obligation to assume the obligations of the Company under this Warrant and the other Loan Documents, including any obligation to deliver to the Holder in exchange for this Warrant any security of the Successor Entity, and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3" w:name="page224"/>
    <w:bookmarkEnd w:id="223"/>
    <w:p>
      <w:pPr>
        <w:jc w:val="both"/>
        <w:ind w:firstLine="2600"/>
        <w:spacing w:after="0" w:line="291" w:lineRule="auto"/>
        <w:tabs>
          <w:tab w:leader="none" w:pos="2870" w:val="left"/>
        </w:tabs>
        <w:numPr>
          <w:ilvl w:val="0"/>
          <w:numId w:val="215"/>
        </w:numPr>
        <w:rPr>
          <w:rFonts w:ascii="Arial" w:cs="Arial" w:eastAsia="Arial" w:hAnsi="Arial"/>
          <w:sz w:val="16"/>
          <w:szCs w:val="16"/>
          <w:color w:val="auto"/>
        </w:rPr>
      </w:pPr>
      <w:r>
        <w:rPr>
          <w:rFonts w:ascii="Arial" w:cs="Arial" w:eastAsia="Arial" w:hAnsi="Arial"/>
          <w:sz w:val="16"/>
          <w:szCs w:val="16"/>
          <w:color w:val="auto"/>
        </w:rPr>
        <w:t>in the event that the Successor Entity (including its Parent Entity) is a publicly traded entity with common equity quoted on or listed for trading on an Eligible Market and registered under the Exchange Act, the Successor Entity assumes in writing all of the obligations</w:t>
      </w:r>
    </w:p>
    <w:p>
      <w:pPr>
        <w:jc w:val="both"/>
        <w:spacing w:after="0" w:line="281" w:lineRule="auto"/>
        <w:rPr>
          <w:rFonts w:ascii="Arial" w:cs="Arial" w:eastAsia="Arial" w:hAnsi="Arial"/>
          <w:sz w:val="16"/>
          <w:szCs w:val="16"/>
          <w:color w:val="auto"/>
        </w:rPr>
      </w:pPr>
      <w:r>
        <w:rPr>
          <w:rFonts w:ascii="Arial" w:cs="Arial" w:eastAsia="Arial" w:hAnsi="Arial"/>
          <w:sz w:val="16"/>
          <w:szCs w:val="16"/>
          <w:color w:val="auto"/>
        </w:rPr>
        <w:t>of the Company under this Warrant and the other Loan Documents in accordance with the provisions of this Section 4(b)(ii)</w:t>
      </w:r>
      <w:r>
        <w:rPr>
          <w:rFonts w:ascii="Arial" w:cs="Arial" w:eastAsia="Arial" w:hAnsi="Arial"/>
          <w:sz w:val="16"/>
          <w:szCs w:val="16"/>
          <w:b w:val="1"/>
          <w:bCs w:val="1"/>
          <w:color w:val="auto"/>
        </w:rPr>
        <w:t>‎</w:t>
      </w:r>
      <w:r>
        <w:rPr>
          <w:rFonts w:ascii="Arial" w:cs="Arial" w:eastAsia="Arial" w:hAnsi="Arial"/>
          <w:sz w:val="16"/>
          <w:szCs w:val="16"/>
          <w:color w:val="auto"/>
        </w:rPr>
        <w:t xml:space="preserve"> pursuant to written agreements in form and substance satisfactory to the Holder and approved by the Holder prior to such Fundamental Transaction, including agreements to deliver to the Holder in exchange for this Warrant a security of the Successor Entity evidenced by a written instrument substantially similar in form and substance to this Warrant, including, without limitation, which is exercisable for a corresponding number of shares of capital stock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adjustments to the number of shares of capital stock and such exercise price being for the purpose of protecting the economic value of this Warrant immediately prior to the</w:t>
      </w:r>
    </w:p>
    <w:p>
      <w:pPr>
        <w:spacing w:after="0" w:line="4" w:lineRule="exact"/>
        <w:rPr>
          <w:rFonts w:ascii="Arial" w:cs="Arial" w:eastAsia="Arial" w:hAnsi="Arial"/>
          <w:sz w:val="16"/>
          <w:szCs w:val="16"/>
          <w:color w:val="auto"/>
        </w:rPr>
      </w:pPr>
    </w:p>
    <w:p>
      <w:pPr>
        <w:jc w:val="both"/>
        <w:spacing w:after="0" w:line="281" w:lineRule="auto"/>
        <w:rPr>
          <w:rFonts w:ascii="Arial" w:cs="Arial" w:eastAsia="Arial" w:hAnsi="Arial"/>
          <w:sz w:val="16"/>
          <w:szCs w:val="16"/>
          <w:color w:val="auto"/>
        </w:rPr>
      </w:pPr>
      <w:r>
        <w:rPr>
          <w:rFonts w:ascii="Arial" w:cs="Arial" w:eastAsia="Arial" w:hAnsi="Arial"/>
          <w:sz w:val="16"/>
          <w:szCs w:val="16"/>
          <w:color w:val="auto"/>
        </w:rPr>
        <w:t>consummation of such Fundamental Transaction). Upon the consummation of each Fundamental Transaction described in this Section 4(b)(ii)</w:t>
      </w:r>
      <w:r>
        <w:rPr>
          <w:rFonts w:ascii="Arial" w:cs="Arial" w:eastAsia="Arial" w:hAnsi="Arial"/>
          <w:sz w:val="16"/>
          <w:szCs w:val="16"/>
          <w:b w:val="1"/>
          <w:bCs w:val="1"/>
          <w:color w:val="auto"/>
        </w:rPr>
        <w:t>‎</w:t>
      </w:r>
      <w:r>
        <w:rPr>
          <w:rFonts w:ascii="Arial" w:cs="Arial" w:eastAsia="Arial" w:hAnsi="Arial"/>
          <w:sz w:val="16"/>
          <w:szCs w:val="16"/>
          <w:color w:val="auto"/>
        </w:rPr>
        <w:t xml:space="preserve"> (each such Fundamental Transaction, a “</w:t>
      </w:r>
      <w:r>
        <w:rPr>
          <w:rFonts w:ascii="Arial" w:cs="Arial" w:eastAsia="Arial" w:hAnsi="Arial"/>
          <w:sz w:val="16"/>
          <w:szCs w:val="16"/>
          <w:b w:val="1"/>
          <w:bCs w:val="1"/>
          <w:color w:val="auto"/>
        </w:rPr>
        <w:t>Public Fundamental Transaction</w:t>
      </w:r>
      <w:r>
        <w:rPr>
          <w:rFonts w:ascii="Arial" w:cs="Arial" w:eastAsia="Arial" w:hAnsi="Arial"/>
          <w:sz w:val="16"/>
          <w:szCs w:val="16"/>
          <w:color w:val="auto"/>
        </w:rPr>
        <w:t>”), the Successor Entity shall (x) succeed to, and be substituted for (so that from and after the date of the applicable Public Fundamental Transaction, the provisions of this Warrant and the other Loan Documents referring to the “Company” or the “Borrower” shall refer instead to the Successor Entity), and may exercise every right and power of the Company and shall assume all of the obligations of the Company under this Warrant and the other Loan Documents with the same effect as if such Successor Entity had been named as the Company herein or therein, and (y) deliver to the Holder confirmation that there shall be issued upon exercise of this Warrant at any time after the consummation of the applicable Public Fundamental Transaction, in lieu of the shares of Common Stock (or other securities, cash, assets or other property (except such items still issuable under Sections 3</w:t>
      </w:r>
      <w:r>
        <w:rPr>
          <w:rFonts w:ascii="Arial" w:cs="Arial" w:eastAsia="Arial" w:hAnsi="Arial"/>
          <w:sz w:val="16"/>
          <w:szCs w:val="16"/>
          <w:b w:val="1"/>
          <w:bCs w:val="1"/>
          <w:color w:val="auto"/>
        </w:rPr>
        <w:t>‎</w:t>
      </w:r>
      <w:r>
        <w:rPr>
          <w:rFonts w:ascii="Arial" w:cs="Arial" w:eastAsia="Arial" w:hAnsi="Arial"/>
          <w:sz w:val="16"/>
          <w:szCs w:val="16"/>
          <w:color w:val="auto"/>
        </w:rPr>
        <w:t xml:space="preserve"> and 4(a)</w:t>
      </w:r>
      <w:r>
        <w:rPr>
          <w:rFonts w:ascii="Arial" w:cs="Arial" w:eastAsia="Arial" w:hAnsi="Arial"/>
          <w:sz w:val="16"/>
          <w:szCs w:val="16"/>
          <w:b w:val="1"/>
          <w:bCs w:val="1"/>
          <w:color w:val="auto"/>
        </w:rPr>
        <w:t>‎</w:t>
      </w:r>
      <w:r>
        <w:rPr>
          <w:rFonts w:ascii="Arial" w:cs="Arial" w:eastAsia="Arial" w:hAnsi="Arial"/>
          <w:sz w:val="16"/>
          <w:szCs w:val="16"/>
          <w:color w:val="auto"/>
        </w:rPr>
        <w:t xml:space="preserve"> above, which shall continue to be receivable thereafter)) issuable upon the exercise of this Warrant prior to the applicable Public Fundamental Transaction, such shares of publicly traded common stock (or its equivalent) of the Successor Entity (including its Parent Entity) which the Holder would have been entitled to receive upon the happening of the applicable Public Fundamental Transaction had this Warrant been exercised immediately prior to the applicable Public Fundamental Transaction (without regard to any limitations on the exercise of this Warrant), as adjusted in accordance with the provisions of this Warrant. Notwithstanding the foregoing, and without limiting Section 1(f)</w:t>
      </w:r>
      <w:r>
        <w:rPr>
          <w:rFonts w:ascii="Arial" w:cs="Arial" w:eastAsia="Arial" w:hAnsi="Arial"/>
          <w:sz w:val="16"/>
          <w:szCs w:val="16"/>
          <w:b w:val="1"/>
          <w:bCs w:val="1"/>
          <w:color w:val="auto"/>
        </w:rPr>
        <w:t>‎</w:t>
      </w:r>
      <w:r>
        <w:rPr>
          <w:rFonts w:ascii="Arial" w:cs="Arial" w:eastAsia="Arial" w:hAnsi="Arial"/>
          <w:sz w:val="16"/>
          <w:szCs w:val="16"/>
          <w:color w:val="auto"/>
        </w:rPr>
        <w:t xml:space="preserve"> hereof, the Holder may elect,</w:t>
      </w:r>
    </w:p>
    <w:p>
      <w:pPr>
        <w:spacing w:after="0" w:line="7" w:lineRule="exact"/>
        <w:rPr>
          <w:rFonts w:ascii="Arial" w:cs="Arial" w:eastAsia="Arial" w:hAnsi="Arial"/>
          <w:sz w:val="16"/>
          <w:szCs w:val="16"/>
          <w:color w:val="auto"/>
        </w:rPr>
      </w:pPr>
    </w:p>
    <w:p>
      <w:pPr>
        <w:spacing w:after="0" w:line="260" w:lineRule="auto"/>
        <w:rPr>
          <w:rFonts w:ascii="Arial" w:cs="Arial" w:eastAsia="Arial" w:hAnsi="Arial"/>
          <w:sz w:val="16"/>
          <w:szCs w:val="16"/>
          <w:color w:val="auto"/>
        </w:rPr>
      </w:pPr>
      <w:r>
        <w:rPr>
          <w:rFonts w:ascii="Arial" w:cs="Arial" w:eastAsia="Arial" w:hAnsi="Arial"/>
          <w:sz w:val="18"/>
          <w:szCs w:val="18"/>
          <w:color w:val="auto"/>
        </w:rPr>
        <w:t>at its sole option, by delivery of written notice to the Company to waive this Section 4(b)(ii)</w:t>
      </w:r>
      <w:r>
        <w:rPr>
          <w:rFonts w:ascii="Arial" w:cs="Arial" w:eastAsia="Arial" w:hAnsi="Arial"/>
          <w:sz w:val="18"/>
          <w:szCs w:val="18"/>
          <w:b w:val="1"/>
          <w:bCs w:val="1"/>
          <w:color w:val="auto"/>
        </w:rPr>
        <w:t>‎</w:t>
      </w:r>
      <w:r>
        <w:rPr>
          <w:rFonts w:ascii="Arial" w:cs="Arial" w:eastAsia="Arial" w:hAnsi="Arial"/>
          <w:sz w:val="18"/>
          <w:szCs w:val="18"/>
          <w:color w:val="auto"/>
        </w:rPr>
        <w:t xml:space="preserve"> to permit the Public Fundamental Transaction without the assumption of this Warrant.</w:t>
      </w:r>
    </w:p>
    <w:p>
      <w:pPr>
        <w:spacing w:after="0" w:line="18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to and not in substitution for any other rights hereunder, prior to the consummation of each Fundamental Transaction pursuant to which holders of shares of Common Stock are entitled to receive securities or other assets with respect to or in exchange for shares of Common Stock (a “</w:t>
      </w:r>
      <w:r>
        <w:rPr>
          <w:rFonts w:ascii="Arial" w:cs="Arial" w:eastAsia="Arial" w:hAnsi="Arial"/>
          <w:sz w:val="17"/>
          <w:szCs w:val="17"/>
          <w:b w:val="1"/>
          <w:bCs w:val="1"/>
          <w:color w:val="auto"/>
        </w:rPr>
        <w:t>Corporate</w:t>
      </w:r>
      <w:r>
        <w:rPr>
          <w:rFonts w:ascii="Arial" w:cs="Arial" w:eastAsia="Arial" w:hAnsi="Arial"/>
          <w:sz w:val="17"/>
          <w:szCs w:val="17"/>
          <w:color w:val="auto"/>
        </w:rPr>
        <w:t xml:space="preserve"> </w:t>
      </w:r>
      <w:r>
        <w:rPr>
          <w:rFonts w:ascii="Arial" w:cs="Arial" w:eastAsia="Arial" w:hAnsi="Arial"/>
          <w:sz w:val="17"/>
          <w:szCs w:val="17"/>
          <w:b w:val="1"/>
          <w:bCs w:val="1"/>
          <w:color w:val="auto"/>
        </w:rPr>
        <w:t>Event</w:t>
      </w:r>
      <w:r>
        <w:rPr>
          <w:rFonts w:ascii="Arial" w:cs="Arial" w:eastAsia="Arial" w:hAnsi="Arial"/>
          <w:sz w:val="17"/>
          <w:szCs w:val="17"/>
          <w:color w:val="auto"/>
        </w:rPr>
        <w:t>”), the Company shall make appropriate provision to insure that the Holder will thereafter have the right to receive upon an exercise of this Warrant</w:t>
      </w:r>
      <w:r>
        <w:rPr>
          <w:rFonts w:ascii="Arial" w:cs="Arial" w:eastAsia="Arial" w:hAnsi="Arial"/>
          <w:sz w:val="17"/>
          <w:szCs w:val="17"/>
          <w:b w:val="1"/>
          <w:bCs w:val="1"/>
          <w:color w:val="auto"/>
        </w:rPr>
        <w:t xml:space="preserve"> </w:t>
      </w:r>
      <w:r>
        <w:rPr>
          <w:rFonts w:ascii="Arial" w:cs="Arial" w:eastAsia="Arial" w:hAnsi="Arial"/>
          <w:sz w:val="17"/>
          <w:szCs w:val="17"/>
          <w:color w:val="auto"/>
        </w:rPr>
        <w:t>at any time after the consummation of the applicable Fundamental Transaction but prior to the Expiration Date, in lieu of the shares of the Common Stock (or other securities, cash, assets or other property (except such items still issuable under Sections 3‎ and 4(a)‎ above, which shall continue to be receivable thereafter)) issuable upon the exercise of the Warrant prior to such Fundamental Transaction, such shares of stock, securities, cash, assets or any other property whatsoever (including warrants or other purchase or subscription rights) which the Holder would have been entitled to receive upon the happening of the applicable Fundamental Transaction had this Warrant been exercised immediately prior to the applicable Fundamental Transaction (without regard to any limitations on the exercise of this Warrant). Provision made pursuant to the preceding sentence shall be in a form and substance reasonably satisfactory to the Holder.</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4" w:name="page225"/>
    <w:bookmarkEnd w:id="224"/>
    <w:p>
      <w:pPr>
        <w:jc w:val="both"/>
        <w:ind w:firstLine="1952"/>
        <w:spacing w:after="0" w:line="271" w:lineRule="auto"/>
        <w:tabs>
          <w:tab w:leader="none" w:pos="2188" w:val="left"/>
        </w:tabs>
        <w:numPr>
          <w:ilvl w:val="1"/>
          <w:numId w:val="216"/>
        </w:numPr>
        <w:rPr>
          <w:rFonts w:ascii="Arial" w:cs="Arial" w:eastAsia="Arial" w:hAnsi="Arial"/>
          <w:sz w:val="17"/>
          <w:szCs w:val="17"/>
          <w:color w:val="auto"/>
        </w:rPr>
      </w:pPr>
      <w:r>
        <w:rPr>
          <w:rFonts w:ascii="Arial" w:cs="Arial" w:eastAsia="Arial" w:hAnsi="Arial"/>
          <w:sz w:val="17"/>
          <w:szCs w:val="17"/>
          <w:u w:val="single" w:color="auto"/>
          <w:color w:val="auto"/>
        </w:rPr>
        <w:t>Holder Optional Redemptions</w:t>
      </w:r>
      <w:r>
        <w:rPr>
          <w:rFonts w:ascii="Arial" w:cs="Arial" w:eastAsia="Arial" w:hAnsi="Arial"/>
          <w:sz w:val="17"/>
          <w:szCs w:val="17"/>
          <w:color w:val="auto"/>
        </w:rPr>
        <w:t>. Notwithstanding the foregoing and the provisions of Section 4(b)(ii) above, at the request of the Holder delivered at any time commencing on the earliest to occur of (x) the public disclosure of any Public Fundamental Transaction, (y) the consummation of any Public Fundamental Transaction and (z) the Holder first becoming aware of any Public Fundamental Transaction through the date that is ninety (90) days after the public disclosure of the consummation of such Public Fundamental Transaction by the Company pursuant to a Current Report on Form 8-K filed with the SEC, the Company or the Successor Entity (as the case may be) shall purchase this Warrant from the Holder on the date of such request by paying to the Holder cash in an amount equal to the Black Scholes Value. Payment of such amounts shall be made by the Company (or at the Company’s direction) to the Holder on or prior to the later of (x) the second (2nd) Trading Day after the date of such request and (y) the date of consummation of such Public Fundamental Transaction.</w:t>
      </w:r>
    </w:p>
    <w:p>
      <w:pPr>
        <w:spacing w:after="0" w:line="165" w:lineRule="exact"/>
        <w:rPr>
          <w:rFonts w:ascii="Arial" w:cs="Arial" w:eastAsia="Arial" w:hAnsi="Arial"/>
          <w:sz w:val="17"/>
          <w:szCs w:val="17"/>
          <w:color w:val="auto"/>
        </w:rPr>
      </w:pPr>
    </w:p>
    <w:p>
      <w:pPr>
        <w:jc w:val="both"/>
        <w:ind w:firstLine="1952"/>
        <w:spacing w:after="0" w:line="300" w:lineRule="auto"/>
        <w:tabs>
          <w:tab w:leader="none" w:pos="2199" w:val="left"/>
        </w:tabs>
        <w:numPr>
          <w:ilvl w:val="1"/>
          <w:numId w:val="216"/>
        </w:numPr>
        <w:rPr>
          <w:rFonts w:ascii="Arial" w:cs="Arial" w:eastAsia="Arial" w:hAnsi="Arial"/>
          <w:sz w:val="16"/>
          <w:szCs w:val="16"/>
          <w:color w:val="auto"/>
        </w:rPr>
      </w:pPr>
      <w:r>
        <w:rPr>
          <w:rFonts w:ascii="Arial" w:cs="Arial" w:eastAsia="Arial" w:hAnsi="Arial"/>
          <w:sz w:val="16"/>
          <w:szCs w:val="16"/>
          <w:u w:val="single" w:color="auto"/>
          <w:color w:val="auto"/>
        </w:rPr>
        <w:t>Application</w:t>
      </w:r>
      <w:r>
        <w:rPr>
          <w:rFonts w:ascii="Arial" w:cs="Arial" w:eastAsia="Arial" w:hAnsi="Arial"/>
          <w:sz w:val="16"/>
          <w:szCs w:val="16"/>
          <w:color w:val="auto"/>
        </w:rPr>
        <w:t xml:space="preserve">. The provisions of this Section </w:t>
      </w:r>
      <w:r>
        <w:rPr>
          <w:rFonts w:ascii="Arial" w:cs="Arial" w:eastAsia="Arial" w:hAnsi="Arial"/>
          <w:sz w:val="19"/>
          <w:szCs w:val="19"/>
          <w:b w:val="1"/>
          <w:bCs w:val="1"/>
          <w:color w:val="auto"/>
        </w:rPr>
        <w:t>‎</w:t>
      </w:r>
      <w:r>
        <w:rPr>
          <w:rFonts w:ascii="Arial" w:cs="Arial" w:eastAsia="Arial" w:hAnsi="Arial"/>
          <w:sz w:val="16"/>
          <w:szCs w:val="16"/>
          <w:color w:val="auto"/>
        </w:rPr>
        <w:t>4 shall apply similarly and equally to successive Fundamental Transactions and Corporate Events and shall be applied as if this Warrant (and any such subsequent warrants) were fully exercisable and without regard to any limitations on the exercise of this Warrant (provided that the Holder shall continue to be entitled to the benefit of the Maximum Percentage, applied however with respect to shares of capital stock registered under the Exchange Act and thereafter receivable upon exercise of this Warrant (or any such other warrant)).</w:t>
      </w:r>
    </w:p>
    <w:p>
      <w:pPr>
        <w:spacing w:after="0" w:line="157" w:lineRule="exact"/>
        <w:rPr>
          <w:rFonts w:ascii="Arial" w:cs="Arial" w:eastAsia="Arial" w:hAnsi="Arial"/>
          <w:sz w:val="16"/>
          <w:szCs w:val="16"/>
          <w:color w:val="auto"/>
        </w:rPr>
      </w:pPr>
    </w:p>
    <w:p>
      <w:pPr>
        <w:jc w:val="both"/>
        <w:ind w:firstLine="1304"/>
        <w:spacing w:after="0" w:line="268" w:lineRule="auto"/>
        <w:tabs>
          <w:tab w:leader="none" w:pos="1476" w:val="left"/>
        </w:tabs>
        <w:numPr>
          <w:ilvl w:val="0"/>
          <w:numId w:val="217"/>
        </w:numPr>
        <w:rPr>
          <w:rFonts w:ascii="Arial" w:cs="Arial" w:eastAsia="Arial" w:hAnsi="Arial"/>
          <w:sz w:val="17"/>
          <w:szCs w:val="17"/>
          <w:color w:val="auto"/>
        </w:rPr>
      </w:pPr>
      <w:r>
        <w:rPr>
          <w:rFonts w:ascii="Arial" w:cs="Arial" w:eastAsia="Arial" w:hAnsi="Arial"/>
          <w:sz w:val="17"/>
          <w:szCs w:val="17"/>
          <w:u w:val="single" w:color="auto"/>
          <w:color w:val="auto"/>
        </w:rPr>
        <w:t>NONCIRCUMVENTION</w:t>
      </w:r>
      <w:r>
        <w:rPr>
          <w:rFonts w:ascii="Arial" w:cs="Arial" w:eastAsia="Arial" w:hAnsi="Arial"/>
          <w:sz w:val="17"/>
          <w:szCs w:val="17"/>
          <w:color w:val="auto"/>
        </w:rPr>
        <w:t>. The Company hereby covenants and agrees that the Company will not, by amendment of its Certificate of Incorporation or Bylaws, or through any reorganization, transfer of assets, consolidation, merger, scheme of arrangement, dissolution, issuance or sale of securities, or any other voluntary action, avoid or seek to avoid the observance or performance of any of the terms of this Warrant, and will at all times in good faith carry out all of the provisions of this Warrant and take all action as may be required to protect the rights of the Holder. Without limiting the generality of the foregoing, the Company (i) shall not increase the par value of any shares of Common Stock receivable upon the exercise of this Warrant above the Exercise Price then in effect, (ii) shall take all such actions as may be necessary or appropriate in order that the Company may validly and legally issue fully paid and nonassessable shares of Common Stock upon the proper exercise of this Warrant by the Holder, and (iii) shall, so long as this Warrant is outstanding, take all action necessary to reserve and keep available out of its authorized and unissued shares of Common Stock, solely for the purpose of effecting the exercise of this Warrant, the number of shares of Common Stock as shall from time to time be necessary to effect the exercise of this Warrant (without regard to any limitations on exercise). Notwithstanding anything herein to the contrary, if after the sixty (60) calendar day anniversary of the Issuance Date, the Holder is not permitted to exercise this Warrant in full for any reason (other than pursuant to restrictions set forth in Section 1(f) hereof), the Company shall use its reasonable best efforts to promptly remedy such failure, including, without limitation, obtaining such consents or approvals as necessary to permit such exercise into shares of Common Stock.</w:t>
      </w:r>
    </w:p>
    <w:p>
      <w:pPr>
        <w:spacing w:after="0" w:line="186" w:lineRule="exact"/>
        <w:rPr>
          <w:rFonts w:ascii="Arial" w:cs="Arial" w:eastAsia="Arial" w:hAnsi="Arial"/>
          <w:sz w:val="17"/>
          <w:szCs w:val="17"/>
          <w:color w:val="auto"/>
        </w:rPr>
      </w:pPr>
    </w:p>
    <w:p>
      <w:pPr>
        <w:jc w:val="both"/>
        <w:ind w:firstLine="1304"/>
        <w:spacing w:after="0" w:line="287" w:lineRule="auto"/>
        <w:tabs>
          <w:tab w:leader="none" w:pos="1476" w:val="left"/>
        </w:tabs>
        <w:numPr>
          <w:ilvl w:val="0"/>
          <w:numId w:val="217"/>
        </w:numPr>
        <w:rPr>
          <w:rFonts w:ascii="Arial" w:cs="Arial" w:eastAsia="Arial" w:hAnsi="Arial"/>
          <w:sz w:val="16"/>
          <w:szCs w:val="16"/>
          <w:color w:val="auto"/>
        </w:rPr>
      </w:pPr>
      <w:r>
        <w:rPr>
          <w:rFonts w:ascii="Arial" w:cs="Arial" w:eastAsia="Arial" w:hAnsi="Arial"/>
          <w:sz w:val="16"/>
          <w:szCs w:val="16"/>
          <w:u w:val="single" w:color="auto"/>
          <w:color w:val="auto"/>
        </w:rPr>
        <w:t>WARRANT HOLDER NOT DEEMED A STOCKHOLDER</w:t>
      </w:r>
      <w:r>
        <w:rPr>
          <w:rFonts w:ascii="Arial" w:cs="Arial" w:eastAsia="Arial" w:hAnsi="Arial"/>
          <w:sz w:val="16"/>
          <w:szCs w:val="16"/>
          <w:color w:val="auto"/>
        </w:rPr>
        <w:t xml:space="preserve">. Except as otherwise specifically provided herein, the Holder, solely in such Person’s capacity as a holder of this Warrant, shall not be entitled to vote or receive dividends or be deemed the holder of share capital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 Notwithstanding this Section </w:t>
      </w:r>
      <w:r>
        <w:rPr>
          <w:rFonts w:ascii="Arial" w:cs="Arial" w:eastAsia="Arial" w:hAnsi="Arial"/>
          <w:sz w:val="19"/>
          <w:szCs w:val="19"/>
          <w:b w:val="1"/>
          <w:bCs w:val="1"/>
          <w:color w:val="auto"/>
        </w:rPr>
        <w:t>‎</w:t>
      </w:r>
      <w:r>
        <w:rPr>
          <w:rFonts w:ascii="Arial" w:cs="Arial" w:eastAsia="Arial" w:hAnsi="Arial"/>
          <w:sz w:val="16"/>
          <w:szCs w:val="16"/>
          <w:color w:val="auto"/>
        </w:rPr>
        <w:t>6, the Company shall provide the Holder with copies of the same notices and other information given to the stockholders of the Company generally, contemporaneously with the giving thereof to the stockholders.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5" w:name="page226"/>
    <w:bookmarkEnd w:id="225"/>
    <w:p>
      <w:pPr>
        <w:ind w:left="1480" w:hanging="176"/>
        <w:spacing w:after="0"/>
        <w:tabs>
          <w:tab w:leader="none" w:pos="1480" w:val="left"/>
        </w:tabs>
        <w:numPr>
          <w:ilvl w:val="0"/>
          <w:numId w:val="218"/>
        </w:numPr>
        <w:rPr>
          <w:rFonts w:ascii="Arial" w:cs="Arial" w:eastAsia="Arial" w:hAnsi="Arial"/>
          <w:sz w:val="18"/>
          <w:szCs w:val="18"/>
          <w:color w:val="auto"/>
        </w:rPr>
      </w:pPr>
      <w:r>
        <w:rPr>
          <w:rFonts w:ascii="Arial" w:cs="Arial" w:eastAsia="Arial" w:hAnsi="Arial"/>
          <w:sz w:val="18"/>
          <w:szCs w:val="18"/>
          <w:u w:val="single" w:color="auto"/>
          <w:color w:val="auto"/>
        </w:rPr>
        <w:t>REISSUANCE OF WARRANTS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952"/>
        <w:spacing w:after="0" w:line="250" w:lineRule="auto"/>
        <w:tabs>
          <w:tab w:leader="none" w:pos="2188" w:val="left"/>
        </w:tabs>
        <w:numPr>
          <w:ilvl w:val="1"/>
          <w:numId w:val="218"/>
        </w:numPr>
        <w:rPr>
          <w:rFonts w:ascii="Arial" w:cs="Arial" w:eastAsia="Arial" w:hAnsi="Arial"/>
          <w:sz w:val="18"/>
          <w:szCs w:val="18"/>
          <w:color w:val="auto"/>
        </w:rPr>
      </w:pPr>
      <w:r>
        <w:rPr>
          <w:rFonts w:ascii="Arial" w:cs="Arial" w:eastAsia="Arial" w:hAnsi="Arial"/>
          <w:sz w:val="18"/>
          <w:szCs w:val="18"/>
          <w:u w:val="single" w:color="auto"/>
          <w:color w:val="auto"/>
        </w:rPr>
        <w:t>Transfer of Warrant</w:t>
      </w:r>
      <w:r>
        <w:rPr>
          <w:rFonts w:ascii="Arial" w:cs="Arial" w:eastAsia="Arial" w:hAnsi="Arial"/>
          <w:sz w:val="18"/>
          <w:szCs w:val="18"/>
          <w:color w:val="auto"/>
        </w:rPr>
        <w:t xml:space="preserve">. If this Warrant is to be transferred and reissued to the transferee, the Holder shall surrender this Warrant to the Company together with a written assignment of this Warrant substantially in the form attached hereto duly executed by the Holder or its agent or attorney and funds sufficient to pay any transfer taxes payable upon the making of such transfer, whereupon the Company will forthwith issue and deliver upon the order of the Holder a new Warrant (in accordance with Section </w:t>
      </w:r>
      <w:r>
        <w:rPr>
          <w:rFonts w:ascii="Arial" w:cs="Arial" w:eastAsia="Arial" w:hAnsi="Arial"/>
          <w:sz w:val="21"/>
          <w:szCs w:val="21"/>
          <w:b w:val="1"/>
          <w:bCs w:val="1"/>
          <w:color w:val="auto"/>
        </w:rPr>
        <w:t>‎</w:t>
      </w:r>
      <w:r>
        <w:rPr>
          <w:rFonts w:ascii="Arial" w:cs="Arial" w:eastAsia="Arial" w:hAnsi="Arial"/>
          <w:sz w:val="18"/>
          <w:szCs w:val="18"/>
          <w:color w:val="auto"/>
        </w:rPr>
        <w:t xml:space="preserve">7(d)), registered as the Holder may request, representing the right to purchase the number of Warrant Shares being transferred by the Holder and, if less than the total number of Warrant Shares then underlying this Warrant is being transferred, a new Warrant (in accordance with Section </w:t>
      </w:r>
      <w:r>
        <w:rPr>
          <w:rFonts w:ascii="Arial" w:cs="Arial" w:eastAsia="Arial" w:hAnsi="Arial"/>
          <w:sz w:val="21"/>
          <w:szCs w:val="21"/>
          <w:b w:val="1"/>
          <w:bCs w:val="1"/>
          <w:color w:val="auto"/>
        </w:rPr>
        <w:t>‎</w:t>
      </w:r>
      <w:r>
        <w:rPr>
          <w:rFonts w:ascii="Arial" w:cs="Arial" w:eastAsia="Arial" w:hAnsi="Arial"/>
          <w:sz w:val="18"/>
          <w:szCs w:val="18"/>
          <w:color w:val="auto"/>
        </w:rPr>
        <w:t xml:space="preserve">7(d)) to the Holder representing the right to purchase the number of Warrant Shares not being transferred. For the avoidance of doubt, this Section </w:t>
      </w:r>
      <w:r>
        <w:rPr>
          <w:rFonts w:ascii="Arial" w:cs="Arial" w:eastAsia="Arial" w:hAnsi="Arial"/>
          <w:sz w:val="21"/>
          <w:szCs w:val="21"/>
          <w:b w:val="1"/>
          <w:bCs w:val="1"/>
          <w:color w:val="auto"/>
        </w:rPr>
        <w:t>‎</w:t>
      </w:r>
      <w:r>
        <w:rPr>
          <w:rFonts w:ascii="Arial" w:cs="Arial" w:eastAsia="Arial" w:hAnsi="Arial"/>
          <w:sz w:val="18"/>
          <w:szCs w:val="18"/>
          <w:color w:val="auto"/>
        </w:rPr>
        <w:t>7(a) will not apply to a sale, transfer, pledge or assignment of this Warrant that does not involve a reissuance of this Warrant.</w:t>
      </w:r>
    </w:p>
    <w:p>
      <w:pPr>
        <w:spacing w:after="0" w:line="192" w:lineRule="exact"/>
        <w:rPr>
          <w:rFonts w:ascii="Arial" w:cs="Arial" w:eastAsia="Arial" w:hAnsi="Arial"/>
          <w:sz w:val="18"/>
          <w:szCs w:val="18"/>
          <w:color w:val="auto"/>
        </w:rPr>
      </w:pPr>
    </w:p>
    <w:p>
      <w:pPr>
        <w:jc w:val="both"/>
        <w:ind w:firstLine="1952"/>
        <w:spacing w:after="0" w:line="275" w:lineRule="auto"/>
        <w:tabs>
          <w:tab w:leader="none" w:pos="2199" w:val="left"/>
        </w:tabs>
        <w:numPr>
          <w:ilvl w:val="1"/>
          <w:numId w:val="218"/>
        </w:numPr>
        <w:rPr>
          <w:rFonts w:ascii="Arial" w:cs="Arial" w:eastAsia="Arial" w:hAnsi="Arial"/>
          <w:sz w:val="17"/>
          <w:szCs w:val="17"/>
          <w:color w:val="auto"/>
        </w:rPr>
      </w:pPr>
      <w:r>
        <w:rPr>
          <w:rFonts w:ascii="Arial" w:cs="Arial" w:eastAsia="Arial" w:hAnsi="Arial"/>
          <w:sz w:val="17"/>
          <w:szCs w:val="17"/>
          <w:u w:val="single" w:color="auto"/>
          <w:color w:val="auto"/>
        </w:rPr>
        <w:t>Lost, Stolen or Mutilated Warrant</w:t>
      </w:r>
      <w:r>
        <w:rPr>
          <w:rFonts w:ascii="Arial" w:cs="Arial" w:eastAsia="Arial" w:hAnsi="Arial"/>
          <w:sz w:val="17"/>
          <w:szCs w:val="17"/>
          <w:color w:val="auto"/>
        </w:rPr>
        <w:t xml:space="preserve">. Upon receipt by the Company of evidence reasonably satisfactory to the Company of the loss, theft, destruction or mutilation of this Warrant (as to which a written certification and the indemnification contemplated below shall suffice as such evidence), and, in the case of loss, theft or destruction, of any indemnification undertaking by the Holder to the Company in customary and reasonable form and, in the case of mutilation, upon surrender and cancellation of this Warrant, the Company shall execute and deliver to the Holder a new Warrant (in accordance with Section </w:t>
      </w:r>
      <w:r>
        <w:rPr>
          <w:rFonts w:ascii="Arial" w:cs="Arial" w:eastAsia="Arial" w:hAnsi="Arial"/>
          <w:sz w:val="20"/>
          <w:szCs w:val="20"/>
          <w:b w:val="1"/>
          <w:bCs w:val="1"/>
          <w:color w:val="auto"/>
        </w:rPr>
        <w:t>‎</w:t>
      </w:r>
      <w:r>
        <w:rPr>
          <w:rFonts w:ascii="Arial" w:cs="Arial" w:eastAsia="Arial" w:hAnsi="Arial"/>
          <w:sz w:val="17"/>
          <w:szCs w:val="17"/>
          <w:color w:val="auto"/>
        </w:rPr>
        <w:t>7(d)) representing the right to purchase the Warrant Shares then underlying this Warrant.</w:t>
      </w:r>
    </w:p>
    <w:p>
      <w:pPr>
        <w:spacing w:after="0" w:line="163" w:lineRule="exact"/>
        <w:rPr>
          <w:rFonts w:ascii="Arial" w:cs="Arial" w:eastAsia="Arial" w:hAnsi="Arial"/>
          <w:sz w:val="17"/>
          <w:szCs w:val="17"/>
          <w:color w:val="auto"/>
        </w:rPr>
      </w:pPr>
    </w:p>
    <w:p>
      <w:pPr>
        <w:jc w:val="both"/>
        <w:ind w:firstLine="1952"/>
        <w:spacing w:after="0" w:line="295" w:lineRule="auto"/>
        <w:tabs>
          <w:tab w:leader="none" w:pos="2188" w:val="left"/>
        </w:tabs>
        <w:numPr>
          <w:ilvl w:val="1"/>
          <w:numId w:val="218"/>
        </w:numPr>
        <w:rPr>
          <w:rFonts w:ascii="Arial" w:cs="Arial" w:eastAsia="Arial" w:hAnsi="Arial"/>
          <w:sz w:val="16"/>
          <w:szCs w:val="16"/>
          <w:color w:val="auto"/>
        </w:rPr>
      </w:pPr>
      <w:r>
        <w:rPr>
          <w:rFonts w:ascii="Arial" w:cs="Arial" w:eastAsia="Arial" w:hAnsi="Arial"/>
          <w:sz w:val="16"/>
          <w:szCs w:val="16"/>
          <w:u w:val="single" w:color="auto"/>
          <w:color w:val="auto"/>
        </w:rPr>
        <w:t>Exchangeable for Multiple Warrants</w:t>
      </w:r>
      <w:r>
        <w:rPr>
          <w:rFonts w:ascii="Arial" w:cs="Arial" w:eastAsia="Arial" w:hAnsi="Arial"/>
          <w:sz w:val="16"/>
          <w:szCs w:val="16"/>
          <w:color w:val="auto"/>
        </w:rPr>
        <w:t xml:space="preserve">. This Warrant is exchangeable, upon the surrender hereof by the Holder at the principal office of the Company, for a new Warrant or Warrants (in accordance with Section </w:t>
      </w:r>
      <w:r>
        <w:rPr>
          <w:rFonts w:ascii="Arial" w:cs="Arial" w:eastAsia="Arial" w:hAnsi="Arial"/>
          <w:sz w:val="19"/>
          <w:szCs w:val="19"/>
          <w:b w:val="1"/>
          <w:bCs w:val="1"/>
          <w:color w:val="auto"/>
        </w:rPr>
        <w:t>‎</w:t>
      </w:r>
      <w:r>
        <w:rPr>
          <w:rFonts w:ascii="Arial" w:cs="Arial" w:eastAsia="Arial" w:hAnsi="Arial"/>
          <w:sz w:val="16"/>
          <w:szCs w:val="16"/>
          <w:color w:val="auto"/>
        </w:rPr>
        <w:t xml:space="preserve">7(d)) representing in the aggregate the right to purchase the number of Warrant Shares then underlying this Warrant, and each such new Warrant will represent the right to purchase such portion of such Warrant Shares as is designated by the Holder at the time of such surrender;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warrants for fractional shares of Common Stock shall be given.</w:t>
      </w:r>
    </w:p>
    <w:p>
      <w:pPr>
        <w:spacing w:after="0" w:line="159" w:lineRule="exact"/>
        <w:rPr>
          <w:rFonts w:ascii="Arial" w:cs="Arial" w:eastAsia="Arial" w:hAnsi="Arial"/>
          <w:sz w:val="16"/>
          <w:szCs w:val="16"/>
          <w:color w:val="auto"/>
        </w:rPr>
      </w:pPr>
    </w:p>
    <w:p>
      <w:pPr>
        <w:jc w:val="both"/>
        <w:ind w:firstLine="1952"/>
        <w:spacing w:after="0" w:line="290" w:lineRule="auto"/>
        <w:tabs>
          <w:tab w:leader="none" w:pos="2199" w:val="left"/>
        </w:tabs>
        <w:numPr>
          <w:ilvl w:val="1"/>
          <w:numId w:val="218"/>
        </w:numPr>
        <w:rPr>
          <w:rFonts w:ascii="Arial" w:cs="Arial" w:eastAsia="Arial" w:hAnsi="Arial"/>
          <w:sz w:val="16"/>
          <w:szCs w:val="16"/>
          <w:color w:val="auto"/>
        </w:rPr>
      </w:pPr>
      <w:r>
        <w:rPr>
          <w:rFonts w:ascii="Arial" w:cs="Arial" w:eastAsia="Arial" w:hAnsi="Arial"/>
          <w:sz w:val="16"/>
          <w:szCs w:val="16"/>
          <w:u w:val="single" w:color="auto"/>
          <w:color w:val="auto"/>
        </w:rPr>
        <w:t>Issuance of New Warrants</w:t>
      </w:r>
      <w:r>
        <w:rPr>
          <w:rFonts w:ascii="Arial" w:cs="Arial" w:eastAsia="Arial" w:hAnsi="Arial"/>
          <w:sz w:val="16"/>
          <w:szCs w:val="16"/>
          <w:color w:val="auto"/>
        </w:rPr>
        <w:t xml:space="preserve">. Whenever the Company is required to issue a new Warrant pursuant to the terms of this Warrant, such new Warrant (i) shall be of like tenor with this Warrant, (ii) shall represent, as indicated on the face of such new Warrant, the right to purchase the Warrant Shares then underlying this Warrant (or in the case of a new Warrant being issued pursuant to Section </w:t>
      </w:r>
      <w:r>
        <w:rPr>
          <w:rFonts w:ascii="Arial" w:cs="Arial" w:eastAsia="Arial" w:hAnsi="Arial"/>
          <w:sz w:val="19"/>
          <w:szCs w:val="19"/>
          <w:b w:val="1"/>
          <w:bCs w:val="1"/>
          <w:color w:val="auto"/>
        </w:rPr>
        <w:t>‎</w:t>
      </w:r>
      <w:r>
        <w:rPr>
          <w:rFonts w:ascii="Arial" w:cs="Arial" w:eastAsia="Arial" w:hAnsi="Arial"/>
          <w:sz w:val="16"/>
          <w:szCs w:val="16"/>
          <w:color w:val="auto"/>
        </w:rPr>
        <w:t xml:space="preserve">7(a) or Section </w:t>
      </w:r>
      <w:r>
        <w:rPr>
          <w:rFonts w:ascii="Arial" w:cs="Arial" w:eastAsia="Arial" w:hAnsi="Arial"/>
          <w:sz w:val="19"/>
          <w:szCs w:val="19"/>
          <w:b w:val="1"/>
          <w:bCs w:val="1"/>
          <w:color w:val="auto"/>
        </w:rPr>
        <w:t>‎</w:t>
      </w:r>
      <w:r>
        <w:rPr>
          <w:rFonts w:ascii="Arial" w:cs="Arial" w:eastAsia="Arial" w:hAnsi="Arial"/>
          <w:sz w:val="16"/>
          <w:szCs w:val="16"/>
          <w:color w:val="auto"/>
        </w:rPr>
        <w:t>7(c), the Warrant Shares designated by the Holder which, when added to the number of shares of Common Stock underlying the other new Warrants issued in connection with such issuance, does not exceed the number of Warrant Shares then underlying this Warrant), (iii) shall have an issuance date, as indicated on the face of such new Warrant which is the same as the Issuance Date, and (iv) shall have the same rights and conditions as this Warrant.</w:t>
      </w:r>
    </w:p>
    <w:p>
      <w:pPr>
        <w:spacing w:after="0" w:line="163" w:lineRule="exact"/>
        <w:rPr>
          <w:rFonts w:ascii="Arial" w:cs="Arial" w:eastAsia="Arial" w:hAnsi="Arial"/>
          <w:sz w:val="16"/>
          <w:szCs w:val="16"/>
          <w:color w:val="auto"/>
        </w:rPr>
      </w:pPr>
    </w:p>
    <w:p>
      <w:pPr>
        <w:jc w:val="both"/>
        <w:ind w:firstLine="1304"/>
        <w:spacing w:after="0" w:line="296" w:lineRule="auto"/>
        <w:tabs>
          <w:tab w:leader="none" w:pos="1489" w:val="left"/>
        </w:tabs>
        <w:numPr>
          <w:ilvl w:val="0"/>
          <w:numId w:val="218"/>
        </w:numPr>
        <w:rPr>
          <w:rFonts w:ascii="Arial" w:cs="Arial" w:eastAsia="Arial" w:hAnsi="Arial"/>
          <w:sz w:val="16"/>
          <w:szCs w:val="16"/>
          <w:color w:val="auto"/>
        </w:rPr>
      </w:pPr>
      <w:r>
        <w:rPr>
          <w:rFonts w:ascii="Arial" w:cs="Arial" w:eastAsia="Arial" w:hAnsi="Arial"/>
          <w:sz w:val="16"/>
          <w:szCs w:val="16"/>
          <w:u w:val="single" w:color="auto"/>
          <w:color w:val="auto"/>
        </w:rPr>
        <w:t>NOTICES OF CHANGES IN WARRANT</w:t>
      </w:r>
      <w:r>
        <w:rPr>
          <w:rFonts w:ascii="Arial" w:cs="Arial" w:eastAsia="Arial" w:hAnsi="Arial"/>
          <w:sz w:val="16"/>
          <w:szCs w:val="16"/>
          <w:color w:val="auto"/>
        </w:rPr>
        <w:t>. Whenever notice is required to be given under this Warrant, unless otherwise provided herein, such notice shall be given in accordance with Section 8.2 of the Credit Agreement. Upon every adjustment of the Exercise Price or the number of shares of Common Stock issuable upon exercise of a Warrant, the Company shall give written notice thereof to the Holders, which notice shall state the Exercise Price resulting from such adjustment and the increase or decrease, if any, in the number of Warrant Shares purchasable at such price upon the exercise of a Warrant, setting forth in reasonable detail the method of calculation and the facts upon which such calculation is based.</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6" w:name="page227"/>
    <w:bookmarkEnd w:id="226"/>
    <w:p>
      <w:pPr>
        <w:jc w:val="both"/>
        <w:ind w:firstLine="1304"/>
        <w:spacing w:after="0" w:line="301" w:lineRule="auto"/>
        <w:tabs>
          <w:tab w:leader="none" w:pos="1476" w:val="left"/>
        </w:tabs>
        <w:numPr>
          <w:ilvl w:val="0"/>
          <w:numId w:val="219"/>
        </w:numPr>
        <w:rPr>
          <w:rFonts w:ascii="Arial" w:cs="Arial" w:eastAsia="Arial" w:hAnsi="Arial"/>
          <w:sz w:val="16"/>
          <w:szCs w:val="16"/>
          <w:color w:val="auto"/>
        </w:rPr>
      </w:pPr>
      <w:r>
        <w:rPr>
          <w:rFonts w:ascii="Arial" w:cs="Arial" w:eastAsia="Arial" w:hAnsi="Arial"/>
          <w:sz w:val="16"/>
          <w:szCs w:val="16"/>
          <w:u w:val="single" w:color="auto"/>
          <w:color w:val="auto"/>
        </w:rPr>
        <w:t>AMENDMENT AND WAIVER</w:t>
      </w:r>
      <w:r>
        <w:rPr>
          <w:rFonts w:ascii="Arial" w:cs="Arial" w:eastAsia="Arial" w:hAnsi="Arial"/>
          <w:sz w:val="16"/>
          <w:szCs w:val="16"/>
          <w:color w:val="auto"/>
        </w:rPr>
        <w:t>. Except as otherwise provided herein, the provisions of this Warrant may be amended or waived and the Company may take any action herein prohibited, or omit to perform any act herein required to be performed by it, only if the Company has obtained the written consent of (i) the Holder, if there is one Holder, or (ii) the Holder or Holders of the Warrant or Warrants representing the majority of Warrant Shares if there is more than one Holder, and with respect to any amendment, the amendment is in writing and signed by the Company and the Holder.</w:t>
      </w:r>
    </w:p>
    <w:p>
      <w:pPr>
        <w:spacing w:after="0" w:line="157" w:lineRule="exact"/>
        <w:rPr>
          <w:rFonts w:ascii="Arial" w:cs="Arial" w:eastAsia="Arial" w:hAnsi="Arial"/>
          <w:sz w:val="16"/>
          <w:szCs w:val="16"/>
          <w:color w:val="auto"/>
        </w:rPr>
      </w:pPr>
    </w:p>
    <w:p>
      <w:pPr>
        <w:jc w:val="both"/>
        <w:ind w:firstLine="1304"/>
        <w:spacing w:after="0" w:line="283" w:lineRule="auto"/>
        <w:tabs>
          <w:tab w:leader="none" w:pos="1566" w:val="left"/>
        </w:tabs>
        <w:numPr>
          <w:ilvl w:val="0"/>
          <w:numId w:val="219"/>
        </w:numPr>
        <w:rPr>
          <w:rFonts w:ascii="Arial" w:cs="Arial" w:eastAsia="Arial" w:hAnsi="Arial"/>
          <w:sz w:val="16"/>
          <w:szCs w:val="16"/>
          <w:color w:val="auto"/>
        </w:rPr>
      </w:pPr>
      <w:r>
        <w:rPr>
          <w:rFonts w:ascii="Arial" w:cs="Arial" w:eastAsia="Arial" w:hAnsi="Arial"/>
          <w:sz w:val="16"/>
          <w:szCs w:val="16"/>
          <w:u w:val="single" w:color="auto"/>
          <w:color w:val="auto"/>
        </w:rPr>
        <w:t>GOVERNING LAW; JURISDICTION; JURY TRIAL</w:t>
      </w:r>
      <w:r>
        <w:rPr>
          <w:rFonts w:ascii="Arial" w:cs="Arial" w:eastAsia="Arial" w:hAnsi="Arial"/>
          <w:sz w:val="16"/>
          <w:szCs w:val="16"/>
          <w:color w:val="auto"/>
        </w:rPr>
        <w:t xml:space="preserve">. This Warrant shall be governed by and construed and enforced in accordance with, and all questions concerning the construction, validity, interpretation and performance of this Warrant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The Company and the Holder each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The Company and the Holder each hereby irrevocably waives personal service of process and consents to process being served in any such suit, action or proceeding by mailing a copy thereof to the Company or such Holder, as applicable at the address set forth in Section 8.2 of the Credit Agreement and agrees that such service shall constitute good and sufficient service of process and notice thereof. Nothing contained herein shall be deemed to limit in any way any right to serve process in any manner permitted by law. Nothing contained herein shall be deemed or operate to preclude the Holder from bringing suit or taking other legal action against the Company in any other jurisdiction to collect on the Company’s obligations to the Holder, to realize on any collateral or any other security for such obligations, or to enforce a judgment or other court ruling in favor of the Holder. </w:t>
      </w:r>
      <w:r>
        <w:rPr>
          <w:rFonts w:ascii="Arial" w:cs="Arial" w:eastAsia="Arial" w:hAnsi="Arial"/>
          <w:sz w:val="16"/>
          <w:szCs w:val="16"/>
          <w:b w:val="1"/>
          <w:bCs w:val="1"/>
          <w:color w:val="auto"/>
        </w:rPr>
        <w:t>THE COMPANY HEREBY AND THE HOLDER EACH</w:t>
      </w:r>
    </w:p>
    <w:p>
      <w:pPr>
        <w:spacing w:after="0" w:line="1" w:lineRule="exact"/>
        <w:rPr>
          <w:rFonts w:ascii="Arial" w:cs="Arial" w:eastAsia="Arial" w:hAnsi="Arial"/>
          <w:sz w:val="16"/>
          <w:szCs w:val="16"/>
          <w:color w:val="auto"/>
        </w:rPr>
      </w:pPr>
    </w:p>
    <w:p>
      <w:pPr>
        <w:jc w:val="both"/>
        <w:spacing w:after="0" w:line="255" w:lineRule="auto"/>
        <w:rPr>
          <w:rFonts w:ascii="Arial" w:cs="Arial" w:eastAsia="Arial" w:hAnsi="Arial"/>
          <w:sz w:val="16"/>
          <w:szCs w:val="16"/>
          <w:color w:val="auto"/>
        </w:rPr>
      </w:pPr>
      <w:r>
        <w:rPr>
          <w:rFonts w:ascii="Arial" w:cs="Arial" w:eastAsia="Arial" w:hAnsi="Arial"/>
          <w:sz w:val="18"/>
          <w:szCs w:val="18"/>
          <w:b w:val="1"/>
          <w:bCs w:val="1"/>
          <w:color w:val="auto"/>
        </w:rPr>
        <w:t>IRREVOCABLY WAIVES ANY RIGHT IT MAY HAVE, AND AGREES NOT TO REQUEST, A JURY TRIAL FOR THE ADJUDICATION OF ANY DISPUTE HEREUNDER OR IN CONNECTION WITH OR ARISING OUT OF THIS WARRANT OR ANY TRANSACTION CONTEMPLATED HEREBY.</w:t>
      </w:r>
    </w:p>
    <w:p>
      <w:pPr>
        <w:spacing w:after="0" w:line="189" w:lineRule="exact"/>
        <w:rPr>
          <w:rFonts w:ascii="Arial" w:cs="Arial" w:eastAsia="Arial" w:hAnsi="Arial"/>
          <w:sz w:val="16"/>
          <w:szCs w:val="16"/>
          <w:color w:val="auto"/>
        </w:rPr>
      </w:pPr>
    </w:p>
    <w:p>
      <w:pPr>
        <w:jc w:val="both"/>
        <w:ind w:firstLine="1304"/>
        <w:spacing w:after="0" w:line="301" w:lineRule="auto"/>
        <w:tabs>
          <w:tab w:leader="none" w:pos="1573" w:val="left"/>
        </w:tabs>
        <w:numPr>
          <w:ilvl w:val="0"/>
          <w:numId w:val="219"/>
        </w:numPr>
        <w:rPr>
          <w:rFonts w:ascii="Arial" w:cs="Arial" w:eastAsia="Arial" w:hAnsi="Arial"/>
          <w:sz w:val="16"/>
          <w:szCs w:val="16"/>
          <w:color w:val="auto"/>
        </w:rPr>
      </w:pPr>
      <w:r>
        <w:rPr>
          <w:rFonts w:ascii="Arial" w:cs="Arial" w:eastAsia="Arial" w:hAnsi="Arial"/>
          <w:sz w:val="16"/>
          <w:szCs w:val="16"/>
          <w:u w:val="single" w:color="auto"/>
          <w:color w:val="auto"/>
        </w:rPr>
        <w:t>CONSTRUCTION; HEADINGS; BUSINESS DAYS</w:t>
      </w:r>
      <w:r>
        <w:rPr>
          <w:rFonts w:ascii="Arial" w:cs="Arial" w:eastAsia="Arial" w:hAnsi="Arial"/>
          <w:sz w:val="16"/>
          <w:szCs w:val="16"/>
          <w:color w:val="auto"/>
        </w:rPr>
        <w:t>. This Warrant shall be deemed to be jointly drafted by the Company and the Holder and shall not be construed against any Person as the drafter hereof. The headings of this Warrant are for convenience of reference and shall not form part of, or affect the interpretation of, this Warrant.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57" w:lineRule="exact"/>
        <w:rPr>
          <w:rFonts w:ascii="Arial" w:cs="Arial" w:eastAsia="Arial" w:hAnsi="Arial"/>
          <w:sz w:val="16"/>
          <w:szCs w:val="16"/>
          <w:color w:val="auto"/>
        </w:rPr>
      </w:pPr>
    </w:p>
    <w:p>
      <w:pPr>
        <w:jc w:val="both"/>
        <w:ind w:firstLine="1304"/>
        <w:spacing w:after="0" w:line="268" w:lineRule="auto"/>
        <w:tabs>
          <w:tab w:leader="none" w:pos="1566" w:val="left"/>
        </w:tabs>
        <w:numPr>
          <w:ilvl w:val="0"/>
          <w:numId w:val="219"/>
        </w:numPr>
        <w:rPr>
          <w:rFonts w:ascii="Arial" w:cs="Arial" w:eastAsia="Arial" w:hAnsi="Arial"/>
          <w:sz w:val="17"/>
          <w:szCs w:val="17"/>
          <w:color w:val="auto"/>
        </w:rPr>
      </w:pPr>
      <w:r>
        <w:rPr>
          <w:rFonts w:ascii="Arial" w:cs="Arial" w:eastAsia="Arial" w:hAnsi="Arial"/>
          <w:sz w:val="17"/>
          <w:szCs w:val="17"/>
          <w:u w:val="single" w:color="auto"/>
          <w:color w:val="auto"/>
        </w:rPr>
        <w:t>DISPUTE RESOLUTION</w:t>
      </w:r>
      <w:r>
        <w:rPr>
          <w:rFonts w:ascii="Arial" w:cs="Arial" w:eastAsia="Arial" w:hAnsi="Arial"/>
          <w:sz w:val="17"/>
          <w:szCs w:val="17"/>
          <w:color w:val="auto"/>
        </w:rPr>
        <w:t xml:space="preserve">. In the case of a dispute as to the determination of the Exercise Price or the arithmetic calculation of the Warrant Shares, the Company shall submit the disputed determinations or arithmetic calculations via facsimile or electronic mail within two (2) Business Days of receipt of the Exercise Notice giving rise to such dispute, as the case may be, to the Holder. If the Holder and the Company are unable to agree upon such determination or calculation of the Exercise Price or the Warrant Shares within three (3) Business Days of such disputed determination or arithmetic calculation being submitted to the Holder, then the Company shall, within two (2) Business Days submit via facsimile or electronic mail the dispute to a nationally recognized accounting firm selected by the Holder and reasonably satisfactory to the Company. If the Company does not object in writing to the selection of the accounting firm within two (2) Business Days of notice of the Holder’s selection, the Company will have deemed to have consented to such selection. If the Company does object, the Company shall provide the Holder its rationale for such rejection and five (5) acceptable alternative firms. The Company shall cause at its expense the accepted accounting firm to perform the determinations or calculations and notify the Company and the Holder of the results no later than three (3) Business Days from the time it receives the disputed determinations or calculations. Such accounting firm’s determination or calculation, as the case may be, shall be binding upon all parties absent demonstrable error. In the event that the accounting firm resolves the dispute in the Holder’s favor, a Delivery Failure will be deemed to have occurred and the Buy-In and other remedies available to the Holder under Section </w:t>
      </w:r>
      <w:r>
        <w:rPr>
          <w:rFonts w:ascii="Arial" w:cs="Arial" w:eastAsia="Arial" w:hAnsi="Arial"/>
          <w:sz w:val="20"/>
          <w:szCs w:val="20"/>
          <w:b w:val="1"/>
          <w:bCs w:val="1"/>
          <w:color w:val="auto"/>
        </w:rPr>
        <w:t>‎</w:t>
      </w:r>
      <w:r>
        <w:rPr>
          <w:rFonts w:ascii="Arial" w:cs="Arial" w:eastAsia="Arial" w:hAnsi="Arial"/>
          <w:sz w:val="17"/>
          <w:szCs w:val="17"/>
          <w:color w:val="auto"/>
        </w:rPr>
        <w:t>1(c) will apply.</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7" w:name="page228"/>
    <w:bookmarkEnd w:id="227"/>
    <w:p>
      <w:pPr>
        <w:jc w:val="both"/>
        <w:ind w:firstLine="1304"/>
        <w:spacing w:after="0" w:line="272" w:lineRule="auto"/>
        <w:tabs>
          <w:tab w:leader="none" w:pos="1566" w:val="left"/>
        </w:tabs>
        <w:numPr>
          <w:ilvl w:val="0"/>
          <w:numId w:val="220"/>
        </w:numPr>
        <w:rPr>
          <w:rFonts w:ascii="Arial" w:cs="Arial" w:eastAsia="Arial" w:hAnsi="Arial"/>
          <w:sz w:val="17"/>
          <w:szCs w:val="17"/>
          <w:color w:val="auto"/>
        </w:rPr>
      </w:pPr>
      <w:r>
        <w:rPr>
          <w:rFonts w:ascii="Arial" w:cs="Arial" w:eastAsia="Arial" w:hAnsi="Arial"/>
          <w:sz w:val="17"/>
          <w:szCs w:val="17"/>
          <w:u w:val="single" w:color="auto"/>
          <w:color w:val="auto"/>
        </w:rPr>
        <w:t>REMEDIES, OTHER OBLIGATIONS, BREACHES AND INJUNCTIVE RELIEF</w:t>
      </w:r>
      <w:r>
        <w:rPr>
          <w:rFonts w:ascii="Arial" w:cs="Arial" w:eastAsia="Arial" w:hAnsi="Arial"/>
          <w:sz w:val="17"/>
          <w:szCs w:val="17"/>
          <w:color w:val="auto"/>
        </w:rPr>
        <w:t>. The remedies provided in this Warrant shall be cumulative and in addition to all other remedies available under this Warrant and the other Loan Documents, at law or in equity (including a decree of specific performance and/or other injunctive relief), and nothing herein shall limit the right of the Holder to pursue actual damages for any failure by the Company to comply with the terms of this Warrant.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shall be entitled, in addition to all other available remedies, to an injunction restraining any breach, without the necessity of showing economic loss and without any bond or other security being required.</w:t>
      </w:r>
    </w:p>
    <w:p>
      <w:pPr>
        <w:spacing w:after="0" w:line="177" w:lineRule="exact"/>
        <w:rPr>
          <w:rFonts w:ascii="Arial" w:cs="Arial" w:eastAsia="Arial" w:hAnsi="Arial"/>
          <w:sz w:val="17"/>
          <w:szCs w:val="17"/>
          <w:color w:val="auto"/>
        </w:rPr>
      </w:pPr>
    </w:p>
    <w:p>
      <w:pPr>
        <w:jc w:val="both"/>
        <w:ind w:firstLine="1304"/>
        <w:spacing w:after="0" w:line="259" w:lineRule="auto"/>
        <w:tabs>
          <w:tab w:leader="none" w:pos="1566" w:val="left"/>
        </w:tabs>
        <w:numPr>
          <w:ilvl w:val="0"/>
          <w:numId w:val="220"/>
        </w:numPr>
        <w:rPr>
          <w:rFonts w:ascii="Arial" w:cs="Arial" w:eastAsia="Arial" w:hAnsi="Arial"/>
          <w:sz w:val="18"/>
          <w:szCs w:val="18"/>
          <w:color w:val="auto"/>
        </w:rPr>
      </w:pPr>
      <w:r>
        <w:rPr>
          <w:rFonts w:ascii="Arial" w:cs="Arial" w:eastAsia="Arial" w:hAnsi="Arial"/>
          <w:sz w:val="18"/>
          <w:szCs w:val="18"/>
          <w:u w:val="single" w:color="auto"/>
          <w:color w:val="auto"/>
        </w:rPr>
        <w:t>TRANSFER</w:t>
      </w:r>
      <w:r>
        <w:rPr>
          <w:rFonts w:ascii="Arial" w:cs="Arial" w:eastAsia="Arial" w:hAnsi="Arial"/>
          <w:sz w:val="18"/>
          <w:szCs w:val="18"/>
          <w:color w:val="auto"/>
        </w:rPr>
        <w:t>. This Warrant and the Warrant Shares may be offered for sale, sold, transferred, pledged or assigned without the consent of the Company, subject to compliance with applicable state and federal securities laws. The Holder acknowledges that the Warrant Shares acquired upon the exercise of this Warrant, if not registered, and the Holder does not utilize cashless exercise, will have restrictions upon resale imposed by state and federal securities laws.</w:t>
      </w:r>
    </w:p>
    <w:p>
      <w:pPr>
        <w:spacing w:after="0" w:line="186" w:lineRule="exact"/>
        <w:rPr>
          <w:rFonts w:ascii="Arial" w:cs="Arial" w:eastAsia="Arial" w:hAnsi="Arial"/>
          <w:sz w:val="18"/>
          <w:szCs w:val="18"/>
          <w:color w:val="auto"/>
        </w:rPr>
      </w:pPr>
    </w:p>
    <w:p>
      <w:pPr>
        <w:jc w:val="both"/>
        <w:ind w:firstLine="1304"/>
        <w:spacing w:after="0" w:line="271" w:lineRule="auto"/>
        <w:tabs>
          <w:tab w:leader="none" w:pos="1566" w:val="left"/>
        </w:tabs>
        <w:numPr>
          <w:ilvl w:val="0"/>
          <w:numId w:val="220"/>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of this Warrant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Warrant so long as this Warrant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178" w:lineRule="exact"/>
        <w:rPr>
          <w:rFonts w:ascii="Arial" w:cs="Arial" w:eastAsia="Arial" w:hAnsi="Arial"/>
          <w:sz w:val="17"/>
          <w:szCs w:val="17"/>
          <w:color w:val="auto"/>
        </w:rPr>
      </w:pPr>
    </w:p>
    <w:p>
      <w:pPr>
        <w:ind w:firstLine="1304"/>
        <w:spacing w:after="0" w:line="277" w:lineRule="auto"/>
        <w:tabs>
          <w:tab w:leader="none" w:pos="1566" w:val="left"/>
        </w:tabs>
        <w:numPr>
          <w:ilvl w:val="0"/>
          <w:numId w:val="220"/>
        </w:numPr>
        <w:rPr>
          <w:rFonts w:ascii="Arial" w:cs="Arial" w:eastAsia="Arial" w:hAnsi="Arial"/>
          <w:sz w:val="18"/>
          <w:szCs w:val="18"/>
          <w:color w:val="auto"/>
        </w:rPr>
      </w:pPr>
      <w:r>
        <w:rPr>
          <w:rFonts w:ascii="Arial" w:cs="Arial" w:eastAsia="Arial" w:hAnsi="Arial"/>
          <w:sz w:val="18"/>
          <w:szCs w:val="18"/>
          <w:u w:val="single" w:color="auto"/>
          <w:color w:val="auto"/>
        </w:rPr>
        <w:t>NO DISCLOSURE</w:t>
      </w:r>
      <w:r>
        <w:rPr>
          <w:rFonts w:ascii="Arial" w:cs="Arial" w:eastAsia="Arial" w:hAnsi="Arial"/>
          <w:sz w:val="18"/>
          <w:szCs w:val="18"/>
          <w:color w:val="auto"/>
        </w:rPr>
        <w:t>. The Company shall not provide material, non-public information or confidential or proprietary information to the Holder without such Holder’s written consent.</w:t>
      </w:r>
    </w:p>
    <w:p>
      <w:pPr>
        <w:spacing w:after="0" w:line="170" w:lineRule="exact"/>
        <w:rPr>
          <w:rFonts w:ascii="Arial" w:cs="Arial" w:eastAsia="Arial" w:hAnsi="Arial"/>
          <w:sz w:val="18"/>
          <w:szCs w:val="18"/>
          <w:color w:val="auto"/>
        </w:rPr>
      </w:pPr>
    </w:p>
    <w:p>
      <w:pPr>
        <w:ind w:left="1580" w:hanging="276"/>
        <w:spacing w:after="0"/>
        <w:tabs>
          <w:tab w:leader="none" w:pos="1580" w:val="left"/>
        </w:tabs>
        <w:numPr>
          <w:ilvl w:val="0"/>
          <w:numId w:val="220"/>
        </w:numPr>
        <w:rPr>
          <w:rFonts w:ascii="Arial" w:cs="Arial" w:eastAsia="Arial" w:hAnsi="Arial"/>
          <w:sz w:val="18"/>
          <w:szCs w:val="18"/>
          <w:color w:val="auto"/>
        </w:rPr>
      </w:pPr>
      <w:r>
        <w:rPr>
          <w:rFonts w:ascii="Arial" w:cs="Arial" w:eastAsia="Arial" w:hAnsi="Arial"/>
          <w:sz w:val="18"/>
          <w:szCs w:val="18"/>
          <w:u w:val="single" w:color="auto"/>
          <w:color w:val="auto"/>
        </w:rPr>
        <w:t>REPRESENTATIONS OF HOLDERS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952"/>
        <w:spacing w:after="0" w:line="263" w:lineRule="auto"/>
        <w:tabs>
          <w:tab w:leader="none" w:pos="2188" w:val="left"/>
        </w:tabs>
        <w:numPr>
          <w:ilvl w:val="1"/>
          <w:numId w:val="220"/>
        </w:numPr>
        <w:rPr>
          <w:rFonts w:ascii="Arial" w:cs="Arial" w:eastAsia="Arial" w:hAnsi="Arial"/>
          <w:sz w:val="18"/>
          <w:szCs w:val="18"/>
          <w:color w:val="auto"/>
        </w:rPr>
      </w:pPr>
      <w:r>
        <w:rPr>
          <w:rFonts w:ascii="Arial" w:cs="Arial" w:eastAsia="Arial" w:hAnsi="Arial"/>
          <w:sz w:val="18"/>
          <w:szCs w:val="18"/>
          <w:u w:val="single" w:color="auto"/>
          <w:color w:val="auto"/>
        </w:rPr>
        <w:t>Investment Intent</w:t>
      </w:r>
      <w:r>
        <w:rPr>
          <w:rFonts w:ascii="Arial" w:cs="Arial" w:eastAsia="Arial" w:hAnsi="Arial"/>
          <w:sz w:val="18"/>
          <w:szCs w:val="18"/>
          <w:color w:val="auto"/>
        </w:rPr>
        <w:t>. Each Holder represents and warrants that it is acquiring this Warrant and the Warrant Shares (collectively, the “</w:t>
      </w:r>
      <w:r>
        <w:rPr>
          <w:rFonts w:ascii="Arial" w:cs="Arial" w:eastAsia="Arial" w:hAnsi="Arial"/>
          <w:sz w:val="18"/>
          <w:szCs w:val="18"/>
          <w:b w:val="1"/>
          <w:bCs w:val="1"/>
          <w:color w:val="auto"/>
        </w:rPr>
        <w:t>Securities</w:t>
      </w:r>
      <w:r>
        <w:rPr>
          <w:rFonts w:ascii="Arial" w:cs="Arial" w:eastAsia="Arial" w:hAnsi="Arial"/>
          <w:sz w:val="18"/>
          <w:szCs w:val="18"/>
          <w:color w:val="auto"/>
        </w:rPr>
        <w:t>”), solely for its beneficial account, for investment purposes, and not with a view to, or for resale in connection with, any distribution of the Securities in violation of applicable securities laws.</w:t>
      </w:r>
    </w:p>
    <w:p>
      <w:pPr>
        <w:spacing w:after="0" w:line="183" w:lineRule="exact"/>
        <w:rPr>
          <w:rFonts w:ascii="Arial" w:cs="Arial" w:eastAsia="Arial" w:hAnsi="Arial"/>
          <w:sz w:val="18"/>
          <w:szCs w:val="18"/>
          <w:color w:val="auto"/>
        </w:rPr>
      </w:pPr>
    </w:p>
    <w:p>
      <w:pPr>
        <w:jc w:val="both"/>
        <w:ind w:firstLine="1952"/>
        <w:spacing w:after="0" w:line="286" w:lineRule="auto"/>
        <w:tabs>
          <w:tab w:leader="none" w:pos="2199" w:val="left"/>
        </w:tabs>
        <w:numPr>
          <w:ilvl w:val="1"/>
          <w:numId w:val="220"/>
        </w:numPr>
        <w:rPr>
          <w:rFonts w:ascii="Arial" w:cs="Arial" w:eastAsia="Arial" w:hAnsi="Arial"/>
          <w:sz w:val="17"/>
          <w:szCs w:val="17"/>
          <w:color w:val="auto"/>
        </w:rPr>
      </w:pPr>
      <w:r>
        <w:rPr>
          <w:rFonts w:ascii="Arial" w:cs="Arial" w:eastAsia="Arial" w:hAnsi="Arial"/>
          <w:sz w:val="17"/>
          <w:szCs w:val="17"/>
          <w:u w:val="single" w:color="auto"/>
          <w:color w:val="auto"/>
        </w:rPr>
        <w:t>Unregistered Securities</w:t>
      </w:r>
      <w:r>
        <w:rPr>
          <w:rFonts w:ascii="Arial" w:cs="Arial" w:eastAsia="Arial" w:hAnsi="Arial"/>
          <w:sz w:val="17"/>
          <w:szCs w:val="17"/>
          <w:color w:val="auto"/>
        </w:rPr>
        <w:t>. Each Holder represents and warrants that it understands that the Securities have not been registered under the Securities Act or any state securities laws by reason of specific exemptions under the provisions thereof, the availability of which depend in part upon the bona fide nature of its investment intent and upon the accuracy of its representations made herein.</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8" w:name="page229"/>
    <w:bookmarkEnd w:id="228"/>
    <w:p>
      <w:pPr>
        <w:jc w:val="both"/>
        <w:ind w:firstLine="1952"/>
        <w:spacing w:after="0" w:line="263" w:lineRule="auto"/>
        <w:tabs>
          <w:tab w:leader="none" w:pos="2242" w:val="left"/>
        </w:tabs>
        <w:numPr>
          <w:ilvl w:val="0"/>
          <w:numId w:val="221"/>
        </w:numPr>
        <w:rPr>
          <w:rFonts w:ascii="Arial" w:cs="Arial" w:eastAsia="Arial" w:hAnsi="Arial"/>
          <w:sz w:val="18"/>
          <w:szCs w:val="18"/>
          <w:color w:val="auto"/>
        </w:rPr>
      </w:pPr>
      <w:r>
        <w:rPr>
          <w:rFonts w:ascii="Arial" w:cs="Arial" w:eastAsia="Arial" w:hAnsi="Arial"/>
          <w:sz w:val="18"/>
          <w:szCs w:val="18"/>
          <w:u w:val="single" w:color="auto"/>
          <w:color w:val="auto"/>
        </w:rPr>
        <w:t>Reliance</w:t>
      </w:r>
      <w:r>
        <w:rPr>
          <w:rFonts w:ascii="Arial" w:cs="Arial" w:eastAsia="Arial" w:hAnsi="Arial"/>
          <w:sz w:val="18"/>
          <w:szCs w:val="18"/>
          <w:color w:val="auto"/>
        </w:rPr>
        <w:t>. Each Holder represents and warrants that it understands that the Company is relying in part upon the representations and agreements of the Holders contained herein for the purpose of determining whether the offer, sale and issuance of the Securities meet the requirements for such exemptions described in Section 17(b).</w:t>
      </w:r>
    </w:p>
    <w:p>
      <w:pPr>
        <w:spacing w:after="0" w:line="183" w:lineRule="exact"/>
        <w:rPr>
          <w:rFonts w:ascii="Arial" w:cs="Arial" w:eastAsia="Arial" w:hAnsi="Arial"/>
          <w:sz w:val="18"/>
          <w:szCs w:val="18"/>
          <w:color w:val="auto"/>
        </w:rPr>
      </w:pPr>
    </w:p>
    <w:p>
      <w:pPr>
        <w:ind w:left="2200" w:hanging="248"/>
        <w:spacing w:after="0"/>
        <w:tabs>
          <w:tab w:leader="none" w:pos="2200" w:val="left"/>
        </w:tabs>
        <w:numPr>
          <w:ilvl w:val="0"/>
          <w:numId w:val="221"/>
        </w:numPr>
        <w:rPr>
          <w:rFonts w:ascii="Arial" w:cs="Arial" w:eastAsia="Arial" w:hAnsi="Arial"/>
          <w:sz w:val="16"/>
          <w:szCs w:val="16"/>
          <w:color w:val="auto"/>
        </w:rPr>
      </w:pPr>
      <w:r>
        <w:rPr>
          <w:rFonts w:ascii="Arial" w:cs="Arial" w:eastAsia="Arial" w:hAnsi="Arial"/>
          <w:sz w:val="16"/>
          <w:szCs w:val="16"/>
          <w:u w:val="single" w:color="auto"/>
          <w:color w:val="auto"/>
        </w:rPr>
        <w:t>Accredited Investor</w:t>
      </w:r>
      <w:r>
        <w:rPr>
          <w:rFonts w:ascii="Arial" w:cs="Arial" w:eastAsia="Arial" w:hAnsi="Arial"/>
          <w:sz w:val="16"/>
          <w:szCs w:val="16"/>
          <w:color w:val="auto"/>
        </w:rPr>
        <w:t>. Each Holder represents and warrants that it is an “accredited investor” as defined in Rule 501(a) under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Securities Act.</w:t>
      </w:r>
    </w:p>
    <w:p>
      <w:pPr>
        <w:spacing w:after="0" w:line="210" w:lineRule="exact"/>
        <w:rPr>
          <w:rFonts w:ascii="Arial" w:cs="Arial" w:eastAsia="Arial" w:hAnsi="Arial"/>
          <w:sz w:val="16"/>
          <w:szCs w:val="16"/>
          <w:color w:val="auto"/>
        </w:rPr>
      </w:pPr>
    </w:p>
    <w:p>
      <w:pPr>
        <w:jc w:val="both"/>
        <w:ind w:right="20" w:firstLine="1952"/>
        <w:spacing w:after="0" w:line="263" w:lineRule="auto"/>
        <w:tabs>
          <w:tab w:leader="none" w:pos="2202" w:val="left"/>
        </w:tabs>
        <w:numPr>
          <w:ilvl w:val="0"/>
          <w:numId w:val="221"/>
        </w:numPr>
        <w:rPr>
          <w:rFonts w:ascii="Arial" w:cs="Arial" w:eastAsia="Arial" w:hAnsi="Arial"/>
          <w:sz w:val="18"/>
          <w:szCs w:val="18"/>
          <w:color w:val="auto"/>
        </w:rPr>
      </w:pPr>
      <w:r>
        <w:rPr>
          <w:rFonts w:ascii="Arial" w:cs="Arial" w:eastAsia="Arial" w:hAnsi="Arial"/>
          <w:sz w:val="18"/>
          <w:szCs w:val="18"/>
          <w:u w:val="single" w:color="auto"/>
          <w:color w:val="auto"/>
        </w:rPr>
        <w:t>Sophisticated Investor</w:t>
      </w:r>
      <w:r>
        <w:rPr>
          <w:rFonts w:ascii="Arial" w:cs="Arial" w:eastAsia="Arial" w:hAnsi="Arial"/>
          <w:sz w:val="18"/>
          <w:szCs w:val="18"/>
          <w:color w:val="auto"/>
        </w:rPr>
        <w:t>. Each Holder represents and warrants that it has such knowledge, skill and experience in business, financial and investment matters that it is capable of evaluating the merits and risks of an investment in the Securities, including experience in and knowledge of the industry in which the Company operates.</w:t>
      </w:r>
    </w:p>
    <w:p>
      <w:pPr>
        <w:spacing w:after="0" w:line="183" w:lineRule="exact"/>
        <w:rPr>
          <w:rFonts w:ascii="Arial" w:cs="Arial" w:eastAsia="Arial" w:hAnsi="Arial"/>
          <w:sz w:val="18"/>
          <w:szCs w:val="18"/>
          <w:color w:val="auto"/>
        </w:rPr>
      </w:pPr>
    </w:p>
    <w:p>
      <w:pPr>
        <w:jc w:val="both"/>
        <w:ind w:firstLine="1952"/>
        <w:spacing w:after="0" w:line="263" w:lineRule="auto"/>
        <w:tabs>
          <w:tab w:leader="none" w:pos="2169" w:val="left"/>
        </w:tabs>
        <w:numPr>
          <w:ilvl w:val="0"/>
          <w:numId w:val="221"/>
        </w:numPr>
        <w:rPr>
          <w:rFonts w:ascii="Arial" w:cs="Arial" w:eastAsia="Arial" w:hAnsi="Arial"/>
          <w:sz w:val="18"/>
          <w:szCs w:val="18"/>
          <w:color w:val="auto"/>
        </w:rPr>
      </w:pPr>
      <w:r>
        <w:rPr>
          <w:rFonts w:ascii="Arial" w:cs="Arial" w:eastAsia="Arial" w:hAnsi="Arial"/>
          <w:sz w:val="18"/>
          <w:szCs w:val="18"/>
          <w:u w:val="single" w:color="auto"/>
          <w:color w:val="auto"/>
        </w:rPr>
        <w:t>Restricted Securities</w:t>
      </w:r>
      <w:r>
        <w:rPr>
          <w:rFonts w:ascii="Arial" w:cs="Arial" w:eastAsia="Arial" w:hAnsi="Arial"/>
          <w:sz w:val="18"/>
          <w:szCs w:val="18"/>
          <w:color w:val="auto"/>
        </w:rPr>
        <w:t>. Each Holder represents and warrants that it understand that the Securities will be “restricted securities” under applicable federal securities laws and that the Securities Act and the rules of the SEC provide in substance that it may dispose of the Securities only pursuant to an effective registration statement under the Securities Act or an exemption therefrom.</w:t>
      </w:r>
    </w:p>
    <w:p>
      <w:pPr>
        <w:spacing w:after="0" w:line="183" w:lineRule="exact"/>
        <w:rPr>
          <w:rFonts w:ascii="Arial" w:cs="Arial" w:eastAsia="Arial" w:hAnsi="Arial"/>
          <w:sz w:val="18"/>
          <w:szCs w:val="18"/>
          <w:color w:val="auto"/>
        </w:rPr>
      </w:pPr>
    </w:p>
    <w:p>
      <w:pPr>
        <w:jc w:val="both"/>
        <w:ind w:firstLine="1952"/>
        <w:spacing w:after="0" w:line="270" w:lineRule="auto"/>
        <w:tabs>
          <w:tab w:leader="none" w:pos="2212" w:val="left"/>
        </w:tabs>
        <w:numPr>
          <w:ilvl w:val="0"/>
          <w:numId w:val="221"/>
        </w:numPr>
        <w:rPr>
          <w:rFonts w:ascii="Arial" w:cs="Arial" w:eastAsia="Arial" w:hAnsi="Arial"/>
          <w:sz w:val="17"/>
          <w:szCs w:val="17"/>
          <w:color w:val="auto"/>
        </w:rPr>
      </w:pPr>
      <w:r>
        <w:rPr>
          <w:rFonts w:ascii="Arial" w:cs="Arial" w:eastAsia="Arial" w:hAnsi="Arial"/>
          <w:sz w:val="17"/>
          <w:szCs w:val="17"/>
          <w:u w:val="single" w:color="auto"/>
          <w:color w:val="auto"/>
        </w:rPr>
        <w:t>Information</w:t>
      </w:r>
      <w:r>
        <w:rPr>
          <w:rFonts w:ascii="Arial" w:cs="Arial" w:eastAsia="Arial" w:hAnsi="Arial"/>
          <w:sz w:val="17"/>
          <w:szCs w:val="17"/>
          <w:color w:val="auto"/>
        </w:rPr>
        <w:t>. Each Holder represents and warrants that it has been furnished by the Company all information (or provided access to all information) regarding the business and financial condition of the Company, the attributes of the Securities, and the merits and risks of an investment in such Securities which it has requested or otherwise needs to evaluate the investment in such Securities; that in making the proposed investment decision, such Holder is relying solely on such information, the representations, warranties and agreements of the Company and the other Loan Parties contained herein and in the other Loan Documents and on investigations made by it and its representatives; that the offer to sell the Securities hereunder was communicated to such Holder in such a manner that it was able to ask questions of and receive answers from the management of the Company concerning the terms and conditions of the proposed transaction and that at no time was it presented with or solicited by or through any leaflet, public promotional meeting, television advertisement or any other form of general or public advertising or solicitation; and such Holder recognizes that an investment in the Securities involves risks and can result in a total loss of all funds invested.</w:t>
      </w:r>
    </w:p>
    <w:p>
      <w:pPr>
        <w:spacing w:after="0" w:line="180" w:lineRule="exact"/>
        <w:rPr>
          <w:rFonts w:ascii="Arial" w:cs="Arial" w:eastAsia="Arial" w:hAnsi="Arial"/>
          <w:sz w:val="17"/>
          <w:szCs w:val="17"/>
          <w:color w:val="auto"/>
        </w:rPr>
      </w:pPr>
    </w:p>
    <w:p>
      <w:pPr>
        <w:jc w:val="both"/>
        <w:ind w:firstLine="1952"/>
        <w:spacing w:after="0" w:line="287" w:lineRule="auto"/>
        <w:tabs>
          <w:tab w:leader="none" w:pos="2199" w:val="left"/>
        </w:tabs>
        <w:numPr>
          <w:ilvl w:val="0"/>
          <w:numId w:val="221"/>
        </w:numPr>
        <w:rPr>
          <w:rFonts w:ascii="Arial" w:cs="Arial" w:eastAsia="Arial" w:hAnsi="Arial"/>
          <w:sz w:val="16"/>
          <w:szCs w:val="16"/>
          <w:color w:val="auto"/>
        </w:rPr>
      </w:pPr>
      <w:r>
        <w:rPr>
          <w:rFonts w:ascii="Arial" w:cs="Arial" w:eastAsia="Arial" w:hAnsi="Arial"/>
          <w:sz w:val="16"/>
          <w:szCs w:val="16"/>
          <w:u w:val="single" w:color="auto"/>
          <w:color w:val="auto"/>
        </w:rPr>
        <w:t>Non-Reliance</w:t>
      </w:r>
      <w:r>
        <w:rPr>
          <w:rFonts w:ascii="Arial" w:cs="Arial" w:eastAsia="Arial" w:hAnsi="Arial"/>
          <w:sz w:val="16"/>
          <w:szCs w:val="16"/>
          <w:color w:val="auto"/>
        </w:rPr>
        <w:t xml:space="preserve">. Notwithstanding anything in this Warrant to the contrary, each Holder hereby acknowledges, with respect to itself, that the Company may possess material non-public information with respect to the Company and/or its securities not known to each Holder as of the date hereof or at a time when each Holder exercises its right to purchase Warrant Shares pursuant to this Warrant and that any such information may impact the value of the Warrant and the Warrant Shares. Each Holder with respect to itself irrevocably waives any claim, or potential claim, that it may have based on the failure of the Company or its Affiliates, officers, directors, employees, agents or other representatives to disclose such information in connection with the execution and delivery of this Warrant or the purchase of Warrant Shares hereunder;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notwithstanding anything in this Section 17(h) or otherwise to the contrary, each Holder does not and shall not be deemed to have waived or otherwise compromised any rights or claims based upon or arising out of (i) the Company’s disclosure obligations under the federal securities laws with respect to any untrue statement of a material fact or omission to state a material fact necessary in order to make the statements made, in the light of the circumstances under which they were made, not misleading in any public statement or filing made by the Company pursuant to the Exchange Act, or (ii) any breach or inaccuracy of any representation or warranty of the Company or any other Loan Party in the Credit Agreement or any other Loan Document. Each Holder with respect to itself acknowledges that the Company would not enter into this Warrant in the absence of the agreements set forth in this Section 17.</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9" w:name="page230"/>
    <w:bookmarkEnd w:id="229"/>
    <w:p>
      <w:pPr>
        <w:jc w:val="both"/>
        <w:ind w:firstLine="1304"/>
        <w:spacing w:after="0" w:line="263" w:lineRule="auto"/>
        <w:tabs>
          <w:tab w:leader="none" w:pos="1566" w:val="left"/>
        </w:tabs>
        <w:numPr>
          <w:ilvl w:val="1"/>
          <w:numId w:val="222"/>
        </w:numPr>
        <w:rPr>
          <w:rFonts w:ascii="Arial" w:cs="Arial" w:eastAsia="Arial" w:hAnsi="Arial"/>
          <w:sz w:val="18"/>
          <w:szCs w:val="18"/>
          <w:color w:val="auto"/>
        </w:rPr>
      </w:pPr>
      <w:r>
        <w:rPr>
          <w:rFonts w:ascii="Arial" w:cs="Arial" w:eastAsia="Arial" w:hAnsi="Arial"/>
          <w:sz w:val="18"/>
          <w:szCs w:val="18"/>
          <w:u w:val="single" w:color="auto"/>
          <w:color w:val="auto"/>
        </w:rPr>
        <w:t>REPRESENTATIONS OF THE COMPANY</w:t>
      </w:r>
      <w:r>
        <w:rPr>
          <w:rFonts w:ascii="Arial" w:cs="Arial" w:eastAsia="Arial" w:hAnsi="Arial"/>
          <w:sz w:val="18"/>
          <w:szCs w:val="18"/>
          <w:color w:val="auto"/>
        </w:rPr>
        <w:t>. The Company represents and warrants to the Holder that, except as set forth in (i) the SEC Reports or (ii) the draft Annual Report on Form 10-K for the fiscal year ended June 30, 2023 in the form provided to the Holder (the “</w:t>
      </w:r>
      <w:r>
        <w:rPr>
          <w:rFonts w:ascii="Arial" w:cs="Arial" w:eastAsia="Arial" w:hAnsi="Arial"/>
          <w:sz w:val="18"/>
          <w:szCs w:val="18"/>
          <w:b w:val="1"/>
          <w:bCs w:val="1"/>
          <w:i w:val="1"/>
          <w:iCs w:val="1"/>
          <w:color w:val="auto"/>
        </w:rPr>
        <w:t>2023 Form 10-K</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2200" w:hanging="248"/>
        <w:spacing w:after="0"/>
        <w:tabs>
          <w:tab w:leader="none" w:pos="2200" w:val="left"/>
        </w:tabs>
        <w:numPr>
          <w:ilvl w:val="2"/>
          <w:numId w:val="222"/>
        </w:numPr>
        <w:rPr>
          <w:rFonts w:ascii="Arial" w:cs="Arial" w:eastAsia="Arial" w:hAnsi="Arial"/>
          <w:sz w:val="16"/>
          <w:szCs w:val="16"/>
          <w:color w:val="auto"/>
        </w:rPr>
      </w:pPr>
      <w:r>
        <w:rPr>
          <w:rFonts w:ascii="Arial" w:cs="Arial" w:eastAsia="Arial" w:hAnsi="Arial"/>
          <w:sz w:val="16"/>
          <w:szCs w:val="16"/>
          <w:color w:val="auto"/>
        </w:rPr>
        <w:t>The Company (i) is duly organized, validly existing and in good standing under the laws of its jurisdiction of incorporation;</w:t>
      </w:r>
    </w:p>
    <w:p>
      <w:pPr>
        <w:spacing w:after="0" w:line="46" w:lineRule="exact"/>
        <w:rPr>
          <w:rFonts w:ascii="Arial" w:cs="Arial" w:eastAsia="Arial" w:hAnsi="Arial"/>
          <w:sz w:val="16"/>
          <w:szCs w:val="16"/>
          <w:color w:val="auto"/>
        </w:rPr>
      </w:pPr>
    </w:p>
    <w:p>
      <w:pPr>
        <w:jc w:val="both"/>
        <w:ind w:firstLine="8"/>
        <w:spacing w:after="0" w:line="286" w:lineRule="auto"/>
        <w:tabs>
          <w:tab w:leader="none" w:pos="277" w:val="left"/>
        </w:tabs>
        <w:numPr>
          <w:ilvl w:val="0"/>
          <w:numId w:val="223"/>
        </w:numPr>
        <w:rPr>
          <w:rFonts w:ascii="Arial" w:cs="Arial" w:eastAsia="Arial" w:hAnsi="Arial"/>
          <w:sz w:val="16"/>
          <w:szCs w:val="16"/>
          <w:color w:val="auto"/>
        </w:rPr>
      </w:pPr>
      <w:r>
        <w:rPr>
          <w:rFonts w:ascii="Arial" w:cs="Arial" w:eastAsia="Arial" w:hAnsi="Arial"/>
          <w:sz w:val="16"/>
          <w:szCs w:val="16"/>
          <w:color w:val="auto"/>
        </w:rPr>
        <w:t>has the requisite power and authority to own, lease and operate its properties, to carry on its business as it is now being conducted and to enter into, deliver and perform its obligations under this Warrant; and (iii) is duly licensed or qualified to conduct its business and, if applicable, is in good standing under the laws of each jurisdiction (other than its jurisdiction of incorporation) in which the conduct of its business or the ownership of its properties or assets requires such license or qualification, except, with respect to the foregoing clause (iii), where the failure to be in good standing would not reasonably be expected to have a Company Material Adverse Effect. For purposes of this Warrant, a “</w:t>
      </w:r>
      <w:r>
        <w:rPr>
          <w:rFonts w:ascii="Arial" w:cs="Arial" w:eastAsia="Arial" w:hAnsi="Arial"/>
          <w:sz w:val="16"/>
          <w:szCs w:val="16"/>
          <w:b w:val="1"/>
          <w:bCs w:val="1"/>
          <w:color w:val="auto"/>
        </w:rPr>
        <w:t>Company Material Adverse Effect</w:t>
      </w:r>
      <w:r>
        <w:rPr>
          <w:rFonts w:ascii="Arial" w:cs="Arial" w:eastAsia="Arial" w:hAnsi="Arial"/>
          <w:sz w:val="16"/>
          <w:szCs w:val="16"/>
          <w:color w:val="auto"/>
        </w:rPr>
        <w:t>” means an event, change, development, occurrence, condition or effect with respect to the Company and its subsidiaries, taken together as a whole (on a consolidated basis), that, individually or in the aggregate, (A) would reasonably be expected to have a material adverse effect on the business, financial condition or results of operations of the Company and its subsidiaries, taken together as a whole (on a consolidated basis) or (B) would prevent, materially delay or materially impede the performance by the Company or its subsidiaries of their respective obligations under this Warrant or the other Loan Documents.</w:t>
      </w:r>
    </w:p>
    <w:p>
      <w:pPr>
        <w:spacing w:after="0" w:line="172" w:lineRule="exact"/>
        <w:rPr>
          <w:rFonts w:ascii="Arial" w:cs="Arial" w:eastAsia="Arial" w:hAnsi="Arial"/>
          <w:sz w:val="16"/>
          <w:szCs w:val="16"/>
          <w:color w:val="auto"/>
        </w:rPr>
      </w:pPr>
    </w:p>
    <w:p>
      <w:pPr>
        <w:jc w:val="both"/>
        <w:ind w:firstLine="1952"/>
        <w:spacing w:after="0" w:line="301" w:lineRule="auto"/>
        <w:tabs>
          <w:tab w:leader="none" w:pos="2242" w:val="left"/>
        </w:tabs>
        <w:numPr>
          <w:ilvl w:val="2"/>
          <w:numId w:val="223"/>
        </w:numPr>
        <w:rPr>
          <w:rFonts w:ascii="Arial" w:cs="Arial" w:eastAsia="Arial" w:hAnsi="Arial"/>
          <w:sz w:val="16"/>
          <w:szCs w:val="16"/>
          <w:color w:val="auto"/>
        </w:rPr>
      </w:pPr>
      <w:r>
        <w:rPr>
          <w:rFonts w:ascii="Arial" w:cs="Arial" w:eastAsia="Arial" w:hAnsi="Arial"/>
          <w:sz w:val="16"/>
          <w:szCs w:val="16"/>
          <w:color w:val="auto"/>
        </w:rPr>
        <w:t>This Warrant is duly authorized, validly issued and constitutes legal, valid and binding obligations of the Company, enforceable against the Company in accordance with its terms, except that the enforcement thereof may be subject to applicable bankruptcy, insolvency or similar laws affecting creditors’ rights generally or by equitable principles relating to enforceability (collectively, the “</w:t>
      </w:r>
      <w:r>
        <w:rPr>
          <w:rFonts w:ascii="Arial" w:cs="Arial" w:eastAsia="Arial" w:hAnsi="Arial"/>
          <w:sz w:val="16"/>
          <w:szCs w:val="16"/>
          <w:b w:val="1"/>
          <w:bCs w:val="1"/>
          <w:color w:val="auto"/>
        </w:rPr>
        <w:t>Enforceability Exceptions</w:t>
      </w:r>
      <w:r>
        <w:rPr>
          <w:rFonts w:ascii="Arial" w:cs="Arial" w:eastAsia="Arial" w:hAnsi="Arial"/>
          <w:sz w:val="16"/>
          <w:szCs w:val="16"/>
          <w:color w:val="auto"/>
        </w:rPr>
        <w:t>”), and has not been issued in violation of any preemptive rights created under the Company’s organizational documents or the laws of the State of Delaware.</w:t>
      </w:r>
    </w:p>
    <w:p>
      <w:pPr>
        <w:spacing w:after="0" w:line="157" w:lineRule="exact"/>
        <w:rPr>
          <w:rFonts w:ascii="Arial" w:cs="Arial" w:eastAsia="Arial" w:hAnsi="Arial"/>
          <w:sz w:val="16"/>
          <w:szCs w:val="16"/>
          <w:color w:val="auto"/>
        </w:rPr>
      </w:pPr>
    </w:p>
    <w:p>
      <w:pPr>
        <w:jc w:val="both"/>
        <w:ind w:firstLine="1952"/>
        <w:spacing w:after="0" w:line="263" w:lineRule="auto"/>
        <w:tabs>
          <w:tab w:leader="none" w:pos="2223" w:val="left"/>
        </w:tabs>
        <w:numPr>
          <w:ilvl w:val="2"/>
          <w:numId w:val="223"/>
        </w:numPr>
        <w:rPr>
          <w:rFonts w:ascii="Arial" w:cs="Arial" w:eastAsia="Arial" w:hAnsi="Arial"/>
          <w:sz w:val="18"/>
          <w:szCs w:val="18"/>
          <w:color w:val="auto"/>
        </w:rPr>
      </w:pPr>
      <w:r>
        <w:rPr>
          <w:rFonts w:ascii="Arial" w:cs="Arial" w:eastAsia="Arial" w:hAnsi="Arial"/>
          <w:sz w:val="18"/>
          <w:szCs w:val="18"/>
          <w:color w:val="auto"/>
        </w:rPr>
        <w:t>The Warrant Shares have been duly authorized and, when issued and delivered to the Holder upon conversion of this Warrant, will be validly issued, fully paid and nonassessable and will not have been issued in violation of any preemptive rights created under the Company’s organizational documents or the laws of the State of Delaware.</w:t>
      </w:r>
    </w:p>
    <w:p>
      <w:pPr>
        <w:spacing w:after="0" w:line="183" w:lineRule="exact"/>
        <w:rPr>
          <w:rFonts w:ascii="Arial" w:cs="Arial" w:eastAsia="Arial" w:hAnsi="Arial"/>
          <w:sz w:val="18"/>
          <w:szCs w:val="18"/>
          <w:color w:val="auto"/>
        </w:rPr>
      </w:pPr>
    </w:p>
    <w:p>
      <w:pPr>
        <w:jc w:val="both"/>
        <w:ind w:firstLine="1952"/>
        <w:spacing w:after="0" w:line="270" w:lineRule="auto"/>
        <w:tabs>
          <w:tab w:leader="none" w:pos="2215" w:val="left"/>
        </w:tabs>
        <w:numPr>
          <w:ilvl w:val="2"/>
          <w:numId w:val="223"/>
        </w:numPr>
        <w:rPr>
          <w:rFonts w:ascii="Arial" w:cs="Arial" w:eastAsia="Arial" w:hAnsi="Arial"/>
          <w:sz w:val="17"/>
          <w:szCs w:val="17"/>
          <w:color w:val="auto"/>
        </w:rPr>
      </w:pPr>
      <w:r>
        <w:rPr>
          <w:rFonts w:ascii="Arial" w:cs="Arial" w:eastAsia="Arial" w:hAnsi="Arial"/>
          <w:sz w:val="17"/>
          <w:szCs w:val="17"/>
          <w:color w:val="auto"/>
        </w:rPr>
        <w:t>The execution and delivery of this Warrant, the issuance and delivery of the Warrant Shares in accordance with the terms hereof and the compliance by the Company with all of the provisions of this Warrant and the consummation of the transactions contemplated herein will not conflict with or result in a breach or violation of any of the terms or provisions of, or constitute a default under, or result in the creation or imposition of any lien, charge or encumbrance upon any of the property or assets of the Company pursuant to the terms of (i) any indenture, mortgage, deed of trust, loan agreement, lease, license or other agreement or instrument to which the Company is a party or by which the Company is bound or to which any of the property or assets of the Company is subject; (ii) the organizational documents of the Company; or (iii) any statute or any judgment, order, rule or regulation of any court or governmental agency or body, domestic or foreign, having jurisdiction over the Company or any of its properties that, in the case of clauses (i) and (iii), would reasonably be expected to have a Company Material Adverse Effect or have a material adverse effect on the Company’s ability to consummate the transactions contemplated hereby.</w:t>
      </w:r>
    </w:p>
    <w:p>
      <w:pPr>
        <w:spacing w:after="0" w:line="180" w:lineRule="exact"/>
        <w:rPr>
          <w:rFonts w:ascii="Arial" w:cs="Arial" w:eastAsia="Arial" w:hAnsi="Arial"/>
          <w:sz w:val="17"/>
          <w:szCs w:val="17"/>
          <w:color w:val="auto"/>
        </w:rPr>
      </w:pPr>
    </w:p>
    <w:p>
      <w:pPr>
        <w:jc w:val="both"/>
        <w:ind w:firstLine="1952"/>
        <w:spacing w:after="0" w:line="272" w:lineRule="auto"/>
        <w:tabs>
          <w:tab w:leader="none" w:pos="2217" w:val="left"/>
        </w:tabs>
        <w:numPr>
          <w:ilvl w:val="2"/>
          <w:numId w:val="223"/>
        </w:numPr>
        <w:rPr>
          <w:rFonts w:ascii="Arial" w:cs="Arial" w:eastAsia="Arial" w:hAnsi="Arial"/>
          <w:sz w:val="17"/>
          <w:szCs w:val="17"/>
          <w:color w:val="auto"/>
        </w:rPr>
      </w:pPr>
      <w:r>
        <w:rPr>
          <w:rFonts w:ascii="Arial" w:cs="Arial" w:eastAsia="Arial" w:hAnsi="Arial"/>
          <w:sz w:val="17"/>
          <w:szCs w:val="17"/>
          <w:color w:val="auto"/>
        </w:rPr>
        <w:t>Assuming the accuracy of the representations and warranties of the Holder, the Company is not required to obtain any consent, waiver, authorization or order of, give any notice to, or make any filing or registration with, any court or other federal, state, local or other governmental authority, self-regulatory organization (including the Nasdaq Stock Market) or other person in connection with the execution, delivery and performance of this Warrant, other than (i) filings required by applicable state securities laws, (ii) the filing of the registration statement pursuant to the First Amendment Registration Rights Agreement, (iii) the filing of a Notice of Exempt Offering of Securities on Form D with the SEC, if applicable and (iv) those the failure of which to obtain would not be reasonably likely to have a Company Material Adverse Effect or have a material adverse effect on the Company’s ability to consummate the transactions contemplated hereby.</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0" w:name="page231"/>
    <w:bookmarkEnd w:id="230"/>
    <w:p>
      <w:pPr>
        <w:jc w:val="both"/>
        <w:ind w:firstLine="1952"/>
        <w:spacing w:after="0" w:line="286" w:lineRule="auto"/>
        <w:tabs>
          <w:tab w:leader="none" w:pos="2182" w:val="left"/>
        </w:tabs>
        <w:numPr>
          <w:ilvl w:val="0"/>
          <w:numId w:val="224"/>
        </w:numPr>
        <w:rPr>
          <w:rFonts w:ascii="Arial" w:cs="Arial" w:eastAsia="Arial" w:hAnsi="Arial"/>
          <w:sz w:val="16"/>
          <w:szCs w:val="16"/>
          <w:color w:val="auto"/>
        </w:rPr>
      </w:pPr>
      <w:r>
        <w:rPr>
          <w:rFonts w:ascii="Arial" w:cs="Arial" w:eastAsia="Arial" w:hAnsi="Arial"/>
          <w:sz w:val="16"/>
          <w:szCs w:val="16"/>
          <w:color w:val="auto"/>
        </w:rPr>
        <w:t>The Company has filed all reports, schedules, forms, statements and other documents required to be filed by the Company under the Securities Act and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being collectively referred to herein as the “</w:t>
      </w:r>
      <w:r>
        <w:rPr>
          <w:rFonts w:ascii="Arial" w:cs="Arial" w:eastAsia="Arial" w:hAnsi="Arial"/>
          <w:sz w:val="16"/>
          <w:szCs w:val="16"/>
          <w:b w:val="1"/>
          <w:bCs w:val="1"/>
          <w:i w:val="1"/>
          <w:iCs w:val="1"/>
          <w:u w:val="single" w:color="auto"/>
          <w:color w:val="auto"/>
        </w:rPr>
        <w:t>SEC Reports</w:t>
      </w:r>
      <w:r>
        <w:rPr>
          <w:rFonts w:ascii="Arial" w:cs="Arial" w:eastAsia="Arial" w:hAnsi="Arial"/>
          <w:sz w:val="16"/>
          <w:szCs w:val="16"/>
          <w:color w:val="auto"/>
        </w:rPr>
        <w:t>”) on a timely basis or has received a valid extension of such time of filing and has filed any such SEC Reports prior to the expiration of any such extension. As of its date, the 2023 Form 10-K will comply in all material respects with the requirements of the Securities Act and the Exchange Act, as applicable, and the 2023 Form 10-K, when filed, will not contain any untrue statement of a material fact or omit to state a material fact required to be stated therein or necessary in order to make the statements therein, in the light of the circumstances under which they were made, not misleading. The financial statements of the Company included in the SEC Reports comply, and the financial statements of the Company to be included in the 2023 Form 10-K will comply, in all material respects with applicable accounting requirements and the rules and regulations of the Commission with respect thereto as in effect at the time of filing. Such financial statements have been, or will be, as applicable, prepared in all material respects in accordance with United States generally accepted accounting principles applied on a consistent basis during the periods involved (“</w:t>
      </w:r>
      <w:r>
        <w:rPr>
          <w:rFonts w:ascii="Arial" w:cs="Arial" w:eastAsia="Arial" w:hAnsi="Arial"/>
          <w:sz w:val="16"/>
          <w:szCs w:val="16"/>
          <w:b w:val="1"/>
          <w:bCs w:val="1"/>
          <w:i w:val="1"/>
          <w:iCs w:val="1"/>
          <w:u w:val="single" w:color="auto"/>
          <w:color w:val="auto"/>
        </w:rPr>
        <w:t>GAAP</w:t>
      </w:r>
      <w:r>
        <w:rPr>
          <w:rFonts w:ascii="Arial" w:cs="Arial" w:eastAsia="Arial" w:hAnsi="Arial"/>
          <w:sz w:val="16"/>
          <w:szCs w:val="16"/>
          <w:color w:val="auto"/>
        </w:rPr>
        <w:t>”), except as may be otherwise specified in such financial statements or the notes thereto and except that unaudited financial statements may not contain all footnotes required by GAAP, and fairly present, or will fairly present, as applicable,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spacing w:after="0" w:line="167" w:lineRule="exact"/>
        <w:rPr>
          <w:rFonts w:ascii="Arial" w:cs="Arial" w:eastAsia="Arial" w:hAnsi="Arial"/>
          <w:sz w:val="16"/>
          <w:szCs w:val="16"/>
          <w:color w:val="auto"/>
        </w:rPr>
      </w:pPr>
    </w:p>
    <w:p>
      <w:pPr>
        <w:jc w:val="both"/>
        <w:ind w:firstLine="1952"/>
        <w:spacing w:after="0" w:line="275" w:lineRule="auto"/>
        <w:tabs>
          <w:tab w:leader="none" w:pos="2207" w:val="left"/>
        </w:tabs>
        <w:numPr>
          <w:ilvl w:val="0"/>
          <w:numId w:val="224"/>
        </w:numPr>
        <w:rPr>
          <w:rFonts w:ascii="Arial" w:cs="Arial" w:eastAsia="Arial" w:hAnsi="Arial"/>
          <w:sz w:val="17"/>
          <w:szCs w:val="17"/>
          <w:color w:val="auto"/>
        </w:rPr>
      </w:pPr>
      <w:r>
        <w:rPr>
          <w:rFonts w:ascii="Arial" w:cs="Arial" w:eastAsia="Arial" w:hAnsi="Arial"/>
          <w:sz w:val="17"/>
          <w:szCs w:val="17"/>
          <w:color w:val="auto"/>
        </w:rPr>
        <w:t>Except for such matters as have not had and would not be reasonably likely to have a Company Material Adverse Effect or have a material adverse effect on the Company’s ability to consummate the transactions contemplated hereby, there is no (i) suit, action, investigation, proceeding or arbitration before a governmental authority or arbitrator pending, or, to the knowledge of the Company, threatened in writing against the Company or any of its directors or officers in their capacities as such or (ii) judgment, decree, injunction, ruling or order of any governmental authority or arbitrator outstanding against the Company or any of its directors or officers in their capacities as such.</w:t>
      </w:r>
    </w:p>
    <w:p>
      <w:pPr>
        <w:spacing w:after="0" w:line="176" w:lineRule="exact"/>
        <w:rPr>
          <w:rFonts w:ascii="Arial" w:cs="Arial" w:eastAsia="Arial" w:hAnsi="Arial"/>
          <w:sz w:val="17"/>
          <w:szCs w:val="17"/>
          <w:color w:val="auto"/>
        </w:rPr>
      </w:pPr>
    </w:p>
    <w:p>
      <w:pPr>
        <w:jc w:val="both"/>
        <w:ind w:firstLine="1952"/>
        <w:spacing w:after="0" w:line="255" w:lineRule="auto"/>
        <w:tabs>
          <w:tab w:leader="none" w:pos="2207" w:val="left"/>
        </w:tabs>
        <w:numPr>
          <w:ilvl w:val="0"/>
          <w:numId w:val="224"/>
        </w:numPr>
        <w:rPr>
          <w:rFonts w:ascii="Arial" w:cs="Arial" w:eastAsia="Arial" w:hAnsi="Arial"/>
          <w:sz w:val="18"/>
          <w:szCs w:val="18"/>
          <w:color w:val="auto"/>
        </w:rPr>
      </w:pPr>
      <w:r>
        <w:rPr>
          <w:rFonts w:ascii="Arial" w:cs="Arial" w:eastAsia="Arial" w:hAnsi="Arial"/>
          <w:sz w:val="18"/>
          <w:szCs w:val="18"/>
          <w:color w:val="auto"/>
        </w:rPr>
        <w:t>Except for such matters as have not had and would not be reasonably likely to have a Company Material Adverse Effect or have a material adverse effect on the Company’s ability to consummate the transactions contemplated hereby, the Company is, and has been since its inception, in compliance with all laws applicable to the conduct of the business of the Company. The Company has not received any written, or to its knowledge, other communication from a governmental entity that alleges that the Company is not in compliance with or is in default or violation of any applicable law, except where such noncompliance, default or violation would not be reasonably expected to have, individually or in the aggregate, a Company Material Adverse Effect.</w:t>
      </w:r>
    </w:p>
    <w:p>
      <w:pPr>
        <w:spacing w:after="0" w:line="192" w:lineRule="exact"/>
        <w:rPr>
          <w:rFonts w:ascii="Arial" w:cs="Arial" w:eastAsia="Arial" w:hAnsi="Arial"/>
          <w:sz w:val="18"/>
          <w:szCs w:val="18"/>
          <w:color w:val="auto"/>
        </w:rPr>
      </w:pPr>
    </w:p>
    <w:p>
      <w:pPr>
        <w:jc w:val="both"/>
        <w:ind w:firstLine="1952"/>
        <w:spacing w:after="0" w:line="263" w:lineRule="auto"/>
        <w:tabs>
          <w:tab w:leader="none" w:pos="2165"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The Company has all franchises, permits, licenses and any similar authority necessary for the conduct of its business as now being conducted by it, the lack of which would have a material adverse effect, and to the Company’s knowledge, the Company is not in default in any material respect under any of such franchises, permits, licenses or other authority.</w:t>
      </w:r>
    </w:p>
    <w:p>
      <w:pPr>
        <w:spacing w:after="0" w:line="183" w:lineRule="exact"/>
        <w:rPr>
          <w:rFonts w:ascii="Arial" w:cs="Arial" w:eastAsia="Arial" w:hAnsi="Arial"/>
          <w:sz w:val="18"/>
          <w:szCs w:val="18"/>
          <w:color w:val="auto"/>
        </w:rPr>
      </w:pPr>
    </w:p>
    <w:p>
      <w:pPr>
        <w:jc w:val="both"/>
        <w:ind w:firstLine="1952"/>
        <w:spacing w:after="0" w:line="259" w:lineRule="auto"/>
        <w:tabs>
          <w:tab w:leader="none" w:pos="2163"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There is no action, suit, proceeding or investigation pending or, to the Company’s knowledge, currently threatened in writing against the Company that questions the validity of this Warrant or the right of the Company to enter into this Warrant, or to consummate the transactions contemplated hereby, or that might result, if determined adversely to the Company, in a material adverse effect, or in any material change in the current equity ownership of the Company.</w:t>
      </w:r>
    </w:p>
    <w:p>
      <w:pPr>
        <w:spacing w:after="0" w:line="186" w:lineRule="exact"/>
        <w:rPr>
          <w:rFonts w:ascii="Arial" w:cs="Arial" w:eastAsia="Arial" w:hAnsi="Arial"/>
          <w:sz w:val="18"/>
          <w:szCs w:val="18"/>
          <w:color w:val="auto"/>
        </w:rPr>
      </w:pPr>
    </w:p>
    <w:p>
      <w:pPr>
        <w:jc w:val="both"/>
        <w:ind w:firstLine="1952"/>
        <w:spacing w:after="0" w:line="291" w:lineRule="auto"/>
        <w:tabs>
          <w:tab w:leader="none" w:pos="2212" w:val="left"/>
        </w:tabs>
        <w:numPr>
          <w:ilvl w:val="0"/>
          <w:numId w:val="224"/>
        </w:numPr>
        <w:rPr>
          <w:rFonts w:ascii="Arial" w:cs="Arial" w:eastAsia="Arial" w:hAnsi="Arial"/>
          <w:sz w:val="16"/>
          <w:szCs w:val="16"/>
          <w:color w:val="auto"/>
        </w:rPr>
      </w:pPr>
      <w:r>
        <w:rPr>
          <w:rFonts w:ascii="Arial" w:cs="Arial" w:eastAsia="Arial" w:hAnsi="Arial"/>
          <w:sz w:val="16"/>
          <w:szCs w:val="16"/>
          <w:color w:val="auto"/>
        </w:rPr>
        <w:t>To the Company’s knowledge, the Company owns or possesses sufficient legal rights to all (a) patents, patent applications and inventions; (b) trademarks, service marks, trade names, trade dress, logos, domain names or corporate names and registrations and applications for registration thereof, together with all of the goodwill associated therewith; (c) copyrights (registered or unregistered) and copyrightable works and registrations and applications for registrations thereof; (d) computer software, data, and databases and documentation thereof; (e) trade secrets and other confidential information; and (f) licenses, information and proprietary rights and processes necessary for its business as now conducted. The Company has not received any written communications alleging that the Company has violated or, by conducting its business as proposed, would violate any of the patents, trademarks, service marks, trade names, copyrights or trade secrets or other proprietary rights of any other person or entity.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1" w:name="page232"/>
    <w:bookmarkEnd w:id="231"/>
    <w:p>
      <w:pPr>
        <w:ind w:left="1580" w:hanging="276"/>
        <w:spacing w:after="0"/>
        <w:tabs>
          <w:tab w:leader="none" w:pos="1580" w:val="left"/>
        </w:tabs>
        <w:numPr>
          <w:ilvl w:val="0"/>
          <w:numId w:val="225"/>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Warrant, the following terms shall have the following meanings:</w:t>
      </w:r>
    </w:p>
    <w:p>
      <w:pPr>
        <w:spacing w:after="0" w:line="221" w:lineRule="exact"/>
        <w:rPr>
          <w:rFonts w:ascii="Arial" w:cs="Arial" w:eastAsia="Arial" w:hAnsi="Arial"/>
          <w:sz w:val="18"/>
          <w:szCs w:val="18"/>
          <w:color w:val="auto"/>
        </w:rPr>
      </w:pPr>
    </w:p>
    <w:p>
      <w:pPr>
        <w:jc w:val="both"/>
        <w:ind w:firstLine="1952"/>
        <w:spacing w:after="0" w:line="261" w:lineRule="auto"/>
        <w:tabs>
          <w:tab w:leader="none" w:pos="2189" w:val="left"/>
        </w:tabs>
        <w:numPr>
          <w:ilvl w:val="1"/>
          <w:numId w:val="2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Adjustment Right</w:t>
      </w:r>
      <w:r>
        <w:rPr>
          <w:rFonts w:ascii="Arial" w:cs="Arial" w:eastAsia="Arial" w:hAnsi="Arial"/>
          <w:sz w:val="18"/>
          <w:szCs w:val="18"/>
          <w:color w:val="auto"/>
        </w:rPr>
        <w:t>” means any right granted with respect to any securities issued in connection with, or with respect to, any issuance or sale (or deemed issuance or sale in accordance with Section 2) of shares of Common Stock (other than rights of the type described in Section 3 and 4 hereof) that could result in a decrease in the net consideration received by the Company in connection with, or with respect to, such securities (including, without limitation, any cash settlement rights, cash adjustment or other similar rights).</w:t>
      </w:r>
    </w:p>
    <w:p>
      <w:pPr>
        <w:spacing w:after="0" w:line="179" w:lineRule="exact"/>
        <w:rPr>
          <w:rFonts w:ascii="Arial" w:cs="Arial" w:eastAsia="Arial" w:hAnsi="Arial"/>
          <w:sz w:val="18"/>
          <w:szCs w:val="18"/>
          <w:color w:val="auto"/>
        </w:rPr>
      </w:pPr>
    </w:p>
    <w:p>
      <w:pPr>
        <w:ind w:firstLine="1952"/>
        <w:spacing w:after="0" w:line="282" w:lineRule="auto"/>
        <w:tabs>
          <w:tab w:leader="none" w:pos="2199" w:val="left"/>
        </w:tabs>
        <w:numPr>
          <w:ilvl w:val="1"/>
          <w:numId w:val="2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61" w:lineRule="exact"/>
        <w:rPr>
          <w:rFonts w:ascii="Arial" w:cs="Arial" w:eastAsia="Arial" w:hAnsi="Arial"/>
          <w:sz w:val="18"/>
          <w:szCs w:val="18"/>
          <w:color w:val="auto"/>
        </w:rPr>
      </w:pPr>
    </w:p>
    <w:p>
      <w:pPr>
        <w:jc w:val="both"/>
        <w:ind w:firstLine="1952"/>
        <w:spacing w:after="0" w:line="266" w:lineRule="auto"/>
        <w:tabs>
          <w:tab w:leader="none" w:pos="2216" w:val="left"/>
        </w:tabs>
        <w:numPr>
          <w:ilvl w:val="1"/>
          <w:numId w:val="2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Approved Stock Plan</w:t>
      </w:r>
      <w:r>
        <w:rPr>
          <w:rFonts w:ascii="Arial" w:cs="Arial" w:eastAsia="Arial" w:hAnsi="Arial"/>
          <w:sz w:val="18"/>
          <w:szCs w:val="18"/>
          <w:color w:val="auto"/>
        </w:rPr>
        <w:t>” means any employee benefit plan which has been approved by the board of directors of the Company prior to or subsequent to the date hereof pursuant to which shares of Common Stock and standard options to purchase Common Stock may be issued to any employee, officer or director for services provided to the Company in their capacity as such.</w:t>
      </w:r>
    </w:p>
    <w:p>
      <w:pPr>
        <w:spacing w:after="0" w:line="175" w:lineRule="exact"/>
        <w:rPr>
          <w:rFonts w:ascii="Arial" w:cs="Arial" w:eastAsia="Arial" w:hAnsi="Arial"/>
          <w:sz w:val="18"/>
          <w:szCs w:val="18"/>
          <w:color w:val="auto"/>
        </w:rPr>
      </w:pPr>
    </w:p>
    <w:p>
      <w:pPr>
        <w:jc w:val="both"/>
        <w:ind w:firstLine="1952"/>
        <w:spacing w:after="0" w:line="294" w:lineRule="auto"/>
        <w:tabs>
          <w:tab w:leader="none" w:pos="2212" w:val="left"/>
        </w:tabs>
        <w:numPr>
          <w:ilvl w:val="1"/>
          <w:numId w:val="22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Attribution Parties</w:t>
      </w:r>
      <w:r>
        <w:rPr>
          <w:rFonts w:ascii="Arial" w:cs="Arial" w:eastAsia="Arial" w:hAnsi="Arial"/>
          <w:sz w:val="16"/>
          <w:szCs w:val="16"/>
          <w:color w:val="auto"/>
        </w:rPr>
        <w:t>” means, collectively, the following Persons and entities: (i) any investment vehicle, including, any funds, feeder funds or managed accounts, currently, or from time to time after the Issuance Date, directly or indirectly managed or advised by the Holder’s investment manager or any of its Affiliates or principals, (ii) any direct or indirect Affiliates of the Holder or any of the foregoing, (iii) any Person acting or who could be deemed to be acting as a Group together with the Holder or any of the foregoing and (iv) any other Persons whose beneficial ownership of the Company’s Common Stock would or could be aggregated with the Holder’s and the other Attribution Parties for purposes of Section 13(d) of the Exchange Act. For clarity, the purpose of the foregoing is to subject collectively the Holder and all other Attribution Parties to the Maximum Percentage.</w:t>
      </w:r>
    </w:p>
    <w:p>
      <w:pPr>
        <w:spacing w:after="0" w:line="159" w:lineRule="exact"/>
        <w:rPr>
          <w:rFonts w:ascii="Arial" w:cs="Arial" w:eastAsia="Arial" w:hAnsi="Arial"/>
          <w:sz w:val="16"/>
          <w:szCs w:val="16"/>
          <w:color w:val="auto"/>
        </w:rPr>
      </w:pPr>
    </w:p>
    <w:p>
      <w:pPr>
        <w:jc w:val="both"/>
        <w:ind w:firstLine="1952"/>
        <w:spacing w:after="0" w:line="267" w:lineRule="auto"/>
        <w:tabs>
          <w:tab w:leader="none" w:pos="2189" w:val="left"/>
        </w:tabs>
        <w:numPr>
          <w:ilvl w:val="1"/>
          <w:numId w:val="22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Black Scholes Going Private Value</w:t>
      </w:r>
      <w:r>
        <w:rPr>
          <w:rFonts w:ascii="Arial" w:cs="Arial" w:eastAsia="Arial" w:hAnsi="Arial"/>
          <w:sz w:val="17"/>
          <w:szCs w:val="17"/>
          <w:color w:val="auto"/>
        </w:rPr>
        <w:t xml:space="preserve">” means the value of the unexercised portion of this Warrant remaining on the date of the consummation of the Fundamental Transaction referred to in Section </w:t>
      </w:r>
      <w:r>
        <w:rPr>
          <w:rFonts w:ascii="Arial" w:cs="Arial" w:eastAsia="Arial" w:hAnsi="Arial"/>
          <w:sz w:val="20"/>
          <w:szCs w:val="20"/>
          <w:b w:val="1"/>
          <w:bCs w:val="1"/>
          <w:color w:val="auto"/>
        </w:rPr>
        <w:t>‎</w:t>
      </w:r>
      <w:r>
        <w:rPr>
          <w:rFonts w:ascii="Arial" w:cs="Arial" w:eastAsia="Arial" w:hAnsi="Arial"/>
          <w:sz w:val="17"/>
          <w:szCs w:val="17"/>
          <w:color w:val="auto"/>
        </w:rPr>
        <w:t>4(b)(i), which value is calculated using the Black Scholes Option Pricing Model obtained from the “OV” function on Bloomberg utilizing (i) an underlying price per share equal to the greater of (1) the highest Closing Sale Price of the Common Stock during the period beginning on the Trading Day immediately preceding the announcement of the applicable Fundamental Transaction (or the consummation of the applicable Fundamental Transaction, if earlier) and ending on the date of consummation of the applicable Fundamental Transaction and (2) the sum of the price per share being offered in cash in the applicable Fundamental Transaction (if any) plus the value of the non-cash consideration being offered in the applicable Fundamental Transaction (if any), (ii) a strike price equal to the Exercise Price in effect on the date of consummation of the applicable Fundamental Transaction, (iii) a risk-free interest rate corresponding to the U.S. Treasury rate for a period equal to the greater of (1) the remaining term of this Warrant as of the date of consummation of the applicable Fundamental Transaction and (2) the remaining term of this Warrant as of the date of consummation of the applicable Fundamental Transaction, (iv) a zero cost of borrow and (v) an expected volatility equal to the greater of 100% and the 60 day volatility obtained from the “HVT” function on Bloomberg (determined utilizing a 365 day annualization factor) as of the Trading Day immediately following the earliest to occur of (A) the public disclosure of the applicable Fundamental Transaction, and (B) the consummation of the applicable Fundamental Transaction.</w:t>
      </w:r>
    </w:p>
    <w:p>
      <w:pPr>
        <w:spacing w:after="0" w:line="185" w:lineRule="exact"/>
        <w:rPr>
          <w:rFonts w:ascii="Arial" w:cs="Arial" w:eastAsia="Arial" w:hAnsi="Arial"/>
          <w:sz w:val="17"/>
          <w:szCs w:val="17"/>
          <w:color w:val="auto"/>
        </w:rPr>
      </w:pPr>
    </w:p>
    <w:p>
      <w:pPr>
        <w:jc w:val="both"/>
        <w:ind w:firstLine="1952"/>
        <w:spacing w:after="0" w:line="268" w:lineRule="auto"/>
        <w:tabs>
          <w:tab w:leader="none" w:pos="2182" w:val="left"/>
        </w:tabs>
        <w:numPr>
          <w:ilvl w:val="1"/>
          <w:numId w:val="22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Black Scholes Value</w:t>
      </w:r>
      <w:r>
        <w:rPr>
          <w:rFonts w:ascii="Arial" w:cs="Arial" w:eastAsia="Arial" w:hAnsi="Arial"/>
          <w:sz w:val="17"/>
          <w:szCs w:val="17"/>
          <w:color w:val="auto"/>
        </w:rPr>
        <w:t xml:space="preserve">” means the value of the unexercised portion of this Warrant remaining on the date of the Holder’s request pursuant to Section </w:t>
      </w:r>
      <w:r>
        <w:rPr>
          <w:rFonts w:ascii="Arial" w:cs="Arial" w:eastAsia="Arial" w:hAnsi="Arial"/>
          <w:sz w:val="20"/>
          <w:szCs w:val="20"/>
          <w:b w:val="1"/>
          <w:bCs w:val="1"/>
          <w:color w:val="auto"/>
        </w:rPr>
        <w:t>‎</w:t>
      </w:r>
      <w:r>
        <w:rPr>
          <w:rFonts w:ascii="Arial" w:cs="Arial" w:eastAsia="Arial" w:hAnsi="Arial"/>
          <w:sz w:val="17"/>
          <w:szCs w:val="17"/>
          <w:color w:val="auto"/>
        </w:rPr>
        <w:t xml:space="preserve">4(c), which value is calculated using the Black Scholes Option Pricing Model obtained from the “OV” function on Bloomberg utilizing (i) an underlying price per share equal to the greater of (1) the highest Closing Sale Price of the Common Stock during the period beginning on the Trading Day immediately preceding the announcement of the applicable Fundamental Transaction (or the consummation of the applicable Fundamental Transaction, if earlier) and ending on the Trading Day of the Holder’s request pursuant to Section </w:t>
      </w:r>
      <w:r>
        <w:rPr>
          <w:rFonts w:ascii="Arial" w:cs="Arial" w:eastAsia="Arial" w:hAnsi="Arial"/>
          <w:sz w:val="20"/>
          <w:szCs w:val="20"/>
          <w:b w:val="1"/>
          <w:bCs w:val="1"/>
          <w:color w:val="auto"/>
        </w:rPr>
        <w:t>‎</w:t>
      </w:r>
      <w:r>
        <w:rPr>
          <w:rFonts w:ascii="Arial" w:cs="Arial" w:eastAsia="Arial" w:hAnsi="Arial"/>
          <w:sz w:val="17"/>
          <w:szCs w:val="17"/>
          <w:color w:val="auto"/>
        </w:rPr>
        <w:t xml:space="preserve">4(c) and (2) the sum of the price per share being offered in cash in the applicable Fundamental Transaction (if any) plus the value of the non-cash consideration being offered in the applicable Fundamental Transaction (if any), (ii) a strike price equal to the Exercise Price in effect on the date of the Holder’s request pursuant to Section 4(c), (iii) a risk-free interest rate corresponding to the U.S. Treasury rate for a period equal to the greater of (1) the remaining term of this Warrant as of the date of the Holder’s request pursuant to Section 4(c) and (2) the remaining term of this Warrant as of the date of consummation of the applicable Fundamental Transaction or as of the date of the Holder’s request pursuant to Section </w:t>
      </w:r>
      <w:r>
        <w:rPr>
          <w:rFonts w:ascii="Arial" w:cs="Arial" w:eastAsia="Arial" w:hAnsi="Arial"/>
          <w:sz w:val="20"/>
          <w:szCs w:val="20"/>
          <w:b w:val="1"/>
          <w:bCs w:val="1"/>
          <w:color w:val="auto"/>
        </w:rPr>
        <w:t>‎</w:t>
      </w:r>
      <w:r>
        <w:rPr>
          <w:rFonts w:ascii="Arial" w:cs="Arial" w:eastAsia="Arial" w:hAnsi="Arial"/>
          <w:sz w:val="17"/>
          <w:szCs w:val="17"/>
          <w:color w:val="auto"/>
        </w:rPr>
        <w:t>4(c) if such request is prior to the date of the consummation of the applicable Fundamental Transaction, (iv) a zero cost of borrow and (v) an expected volatility equal to the greater of 100% and the 60 day volatility obtained from the “HVT” function on Bloomberg (determined utilizing a 365 day annualization factor) as of the Trading Day immediately following the earliest to occur of (A) the public disclosure of the applicable Fundamental Transaction, (B) the consummation of the applicable Fundamental Transaction and (C) the date on which the Holder first became aware of the applicable Fundamental Transaction.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2" w:name="page233"/>
    <w:bookmarkEnd w:id="232"/>
    <w:p>
      <w:pPr>
        <w:ind w:left="2200" w:hanging="248"/>
        <w:spacing w:after="0"/>
        <w:tabs>
          <w:tab w:leader="none" w:pos="220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Bloomberg</w:t>
      </w:r>
      <w:r>
        <w:rPr>
          <w:rFonts w:ascii="Arial" w:cs="Arial" w:eastAsia="Arial" w:hAnsi="Arial"/>
          <w:sz w:val="18"/>
          <w:szCs w:val="18"/>
          <w:color w:val="auto"/>
        </w:rPr>
        <w:t>” means Bloomberg, L.P.</w:t>
      </w:r>
    </w:p>
    <w:p>
      <w:pPr>
        <w:spacing w:after="0" w:line="225" w:lineRule="exact"/>
        <w:rPr>
          <w:rFonts w:ascii="Arial" w:cs="Arial" w:eastAsia="Arial" w:hAnsi="Arial"/>
          <w:sz w:val="18"/>
          <w:szCs w:val="18"/>
          <w:color w:val="auto"/>
        </w:rPr>
      </w:pPr>
    </w:p>
    <w:p>
      <w:pPr>
        <w:ind w:firstLine="1952"/>
        <w:spacing w:after="0" w:line="347" w:lineRule="auto"/>
        <w:tabs>
          <w:tab w:leader="none" w:pos="2212" w:val="left"/>
        </w:tabs>
        <w:numPr>
          <w:ilvl w:val="0"/>
          <w:numId w:val="22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Business Day</w:t>
      </w:r>
      <w:r>
        <w:rPr>
          <w:rFonts w:ascii="Arial" w:cs="Arial" w:eastAsia="Arial" w:hAnsi="Arial"/>
          <w:sz w:val="16"/>
          <w:szCs w:val="16"/>
          <w:color w:val="auto"/>
        </w:rPr>
        <w:t>” means any day except any Saturday, any Sunday, any day which is a federal legal holiday in the United States or any day on which banking institutions in the State of New York are authorized or required by law or other governmental action to close.</w:t>
      </w:r>
    </w:p>
    <w:p>
      <w:pPr>
        <w:spacing w:after="0" w:line="115" w:lineRule="exact"/>
        <w:rPr>
          <w:rFonts w:ascii="Arial" w:cs="Arial" w:eastAsia="Arial" w:hAnsi="Arial"/>
          <w:sz w:val="16"/>
          <w:szCs w:val="16"/>
          <w:color w:val="auto"/>
        </w:rPr>
      </w:pPr>
    </w:p>
    <w:p>
      <w:pPr>
        <w:jc w:val="both"/>
        <w:ind w:firstLine="1952"/>
        <w:spacing w:after="0" w:line="268" w:lineRule="auto"/>
        <w:tabs>
          <w:tab w:leader="none" w:pos="2172" w:val="left"/>
        </w:tabs>
        <w:numPr>
          <w:ilvl w:val="0"/>
          <w:numId w:val="22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Closing Bid Price</w:t>
      </w:r>
      <w:r>
        <w:rPr>
          <w:rFonts w:ascii="Arial" w:cs="Arial" w:eastAsia="Arial" w:hAnsi="Arial"/>
          <w:sz w:val="17"/>
          <w:szCs w:val="17"/>
          <w:color w:val="auto"/>
        </w:rPr>
        <w:t>” and “</w:t>
      </w:r>
      <w:r>
        <w:rPr>
          <w:rFonts w:ascii="Arial" w:cs="Arial" w:eastAsia="Arial" w:hAnsi="Arial"/>
          <w:sz w:val="17"/>
          <w:szCs w:val="17"/>
          <w:b w:val="1"/>
          <w:bCs w:val="1"/>
          <w:color w:val="auto"/>
        </w:rPr>
        <w:t>Closing Sale Price</w:t>
      </w:r>
      <w:r>
        <w:rPr>
          <w:rFonts w:ascii="Arial" w:cs="Arial" w:eastAsia="Arial" w:hAnsi="Arial"/>
          <w:sz w:val="17"/>
          <w:szCs w:val="17"/>
          <w:color w:val="auto"/>
        </w:rPr>
        <w:t xml:space="preserve">” means, for any security as of any date, the last closing bid price and last closing trade price, respectively, for such security on the Principal Market, as reported by Bloomberg, or, if the Principal Market begins to operate on an extended hours basis and does not designate the closing bid price or the closing trade price, as the case may be, then the last bid price or the last trade price, respectively, of such security prior to 4:00:00 p.m., New York time, as reported by Bloomberg, or, if the Principal Market is not the principal securities exchange or trading market for such security, the last closing bid price or last trade price, respectively, of such security on the principal securities exchange or trading market where such security is listed or traded as reported by Bloomberg, or if the foregoing do not apply, the last closing bid price or last trade price, respectively, of such security in the over-the-counter market on the electronic bulletin board for such security as reported by Bloomberg, or, if no closing bid price or last trade price, respectively, is reported for such security by Bloomberg, the average of the bid prices, or the ask prices, respectively, of any market makers for such security as reported in the OTC Link or “pink sheets” by OTC Markets Group Inc. (formerly Pink OTC Markets Inc.). If the Closing Bid Price or the Closing Sale Price cannot be calculated for a security on a particular date on any of the foregoing bases, the Closing Bid Price or the Closing Sale Price, as the case may be, of such security on such date shall be the fair market value as mutually determined by the Company and the Holder. If the Company and the Holder are unable to agree upon the fair market value of such security, then such dispute shall be resolved pursuant to Section </w:t>
      </w:r>
      <w:r>
        <w:rPr>
          <w:rFonts w:ascii="Arial" w:cs="Arial" w:eastAsia="Arial" w:hAnsi="Arial"/>
          <w:sz w:val="20"/>
          <w:szCs w:val="20"/>
          <w:b w:val="1"/>
          <w:bCs w:val="1"/>
          <w:color w:val="auto"/>
        </w:rPr>
        <w:t>‎</w:t>
      </w:r>
      <w:r>
        <w:rPr>
          <w:rFonts w:ascii="Arial" w:cs="Arial" w:eastAsia="Arial" w:hAnsi="Arial"/>
          <w:sz w:val="17"/>
          <w:szCs w:val="17"/>
          <w:color w:val="auto"/>
        </w:rPr>
        <w:t>12. All such determinations to be appropriately adjusted for any stock dividend, stock split, stock combination, reclassification or other similar transaction during the applicable calculation period.</w:t>
      </w:r>
    </w:p>
    <w:p>
      <w:pPr>
        <w:spacing w:after="0" w:line="172" w:lineRule="exact"/>
        <w:rPr>
          <w:rFonts w:ascii="Arial" w:cs="Arial" w:eastAsia="Arial" w:hAnsi="Arial"/>
          <w:sz w:val="17"/>
          <w:szCs w:val="17"/>
          <w:color w:val="auto"/>
        </w:rPr>
      </w:pPr>
    </w:p>
    <w:p>
      <w:pPr>
        <w:ind w:firstLine="1952"/>
        <w:spacing w:after="0" w:line="312" w:lineRule="auto"/>
        <w:tabs>
          <w:tab w:leader="none" w:pos="2159" w:val="left"/>
        </w:tabs>
        <w:numPr>
          <w:ilvl w:val="0"/>
          <w:numId w:val="22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Common Stock</w:t>
      </w:r>
      <w:r>
        <w:rPr>
          <w:rFonts w:ascii="Arial" w:cs="Arial" w:eastAsia="Arial" w:hAnsi="Arial"/>
          <w:sz w:val="17"/>
          <w:szCs w:val="17"/>
          <w:color w:val="auto"/>
        </w:rPr>
        <w:t>” means (i) the Company’s shares of common stock, par value $0.0001 per share, and (ii) any share capital into which such common stock shall have been changed or any share capital resulting from a reclassification of such common stock.</w:t>
      </w:r>
    </w:p>
    <w:p>
      <w:pPr>
        <w:spacing w:after="0" w:line="139" w:lineRule="exact"/>
        <w:rPr>
          <w:rFonts w:ascii="Arial" w:cs="Arial" w:eastAsia="Arial" w:hAnsi="Arial"/>
          <w:sz w:val="17"/>
          <w:szCs w:val="17"/>
          <w:color w:val="auto"/>
        </w:rPr>
      </w:pPr>
    </w:p>
    <w:p>
      <w:pPr>
        <w:ind w:firstLine="1952"/>
        <w:spacing w:after="0" w:line="282" w:lineRule="auto"/>
        <w:tabs>
          <w:tab w:leader="none" w:pos="2226" w:val="left"/>
        </w:tabs>
        <w:numPr>
          <w:ilvl w:val="0"/>
          <w:numId w:val="2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Convertible Securities</w:t>
      </w:r>
      <w:r>
        <w:rPr>
          <w:rFonts w:ascii="Arial" w:cs="Arial" w:eastAsia="Arial" w:hAnsi="Arial"/>
          <w:sz w:val="18"/>
          <w:szCs w:val="18"/>
          <w:color w:val="auto"/>
        </w:rPr>
        <w:t>” means any stock or securities (other than Options) directly or indirectly convertible into or exercisable or exchangeable for shares of Common Stock.</w:t>
      </w:r>
    </w:p>
    <w:p>
      <w:pPr>
        <w:spacing w:after="0" w:line="161" w:lineRule="exact"/>
        <w:rPr>
          <w:rFonts w:ascii="Arial" w:cs="Arial" w:eastAsia="Arial" w:hAnsi="Arial"/>
          <w:sz w:val="18"/>
          <w:szCs w:val="18"/>
          <w:color w:val="auto"/>
        </w:rPr>
      </w:pPr>
    </w:p>
    <w:p>
      <w:pPr>
        <w:ind w:right="20" w:firstLine="1952"/>
        <w:spacing w:after="0" w:line="282" w:lineRule="auto"/>
        <w:tabs>
          <w:tab w:leader="none" w:pos="2172" w:val="left"/>
        </w:tabs>
        <w:numPr>
          <w:ilvl w:val="0"/>
          <w:numId w:val="2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Market</w:t>
      </w:r>
      <w:r>
        <w:rPr>
          <w:rFonts w:ascii="Arial" w:cs="Arial" w:eastAsia="Arial" w:hAnsi="Arial"/>
          <w:sz w:val="18"/>
          <w:szCs w:val="18"/>
          <w:color w:val="auto"/>
        </w:rPr>
        <w:t>” means The Nasdaq Capital Market, The Nasdaq Global Select Market, The Nasdaq Global Market, the NYSE American, or The New York Stock Exchange.</w:t>
      </w:r>
    </w:p>
    <w:p>
      <w:pPr>
        <w:spacing w:after="0" w:line="161" w:lineRule="exact"/>
        <w:rPr>
          <w:rFonts w:ascii="Arial" w:cs="Arial" w:eastAsia="Arial" w:hAnsi="Arial"/>
          <w:sz w:val="18"/>
          <w:szCs w:val="18"/>
          <w:color w:val="auto"/>
        </w:rPr>
      </w:pPr>
    </w:p>
    <w:p>
      <w:pPr>
        <w:jc w:val="both"/>
        <w:ind w:firstLine="1952"/>
        <w:spacing w:after="0" w:line="285" w:lineRule="auto"/>
        <w:tabs>
          <w:tab w:leader="none" w:pos="2249" w:val="left"/>
        </w:tabs>
        <w:numPr>
          <w:ilvl w:val="0"/>
          <w:numId w:val="22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Excluded Securities</w:t>
      </w:r>
      <w:r>
        <w:rPr>
          <w:rFonts w:ascii="Arial" w:cs="Arial" w:eastAsia="Arial" w:hAnsi="Arial"/>
          <w:sz w:val="16"/>
          <w:szCs w:val="16"/>
          <w:color w:val="auto"/>
        </w:rPr>
        <w:t>” means, without duplication, (i) shares of Common Stock or standard options to purchase Common Stock issued to directors, officers or employees of the Company for services rendered to the Company in their capacity as such pursuant to an Approved Stock Plan, provided that the exercise price of any such options is not lowered, none of such options are amended to increase the number of shares issuable thereunder and none of the terms or conditions of any such options are otherwise materially changed in any manner that adversely affects any of the holders of this Warrant; (ii) shares of Common Stock issued upon the conversion or exercise of Convertible Securities (other than standard options to purchase Common Stock issued pursuant to an Approved Stock Plan that are covered by clause (i) above) outstanding prior to the Issuance Date, provided that the conversion price of any such Convertible Securities (other than standard options to purchase Common Stock issued pursuant to an Approved Stock Plan that are covered by clause (i) above) is not lowered, none of such Convertible Securities (other than standard options to purchase Common Stock issued pursuant to an Approved Stock Plan that are covered by clause (i) above) are amended to increase the number of shares issuable thereunder and none of the terms or conditions of any such Convertible Securities (other than standard options to purchase Common Stock issued pursuant to an Approved Stock Plan that are covered by clause (i) above) are otherwise materially changed in any manner that adversely affects any of the Holders; and (iii) the shares of Common Stock issuable upon exercise of (A) warrants to purchase 400,000 shares of Common Stock, with an exercise price of $0.01 per share, issued to Metropolitan Levered Partners Fund VII, LP, Metropolitan Partners Fund VII, LP, Metropolitan Offshore Partners Fund VII, LP and CEOF Holdings LP (the “</w:t>
      </w:r>
      <w:r>
        <w:rPr>
          <w:rFonts w:ascii="Arial" w:cs="Arial" w:eastAsia="Arial" w:hAnsi="Arial"/>
          <w:sz w:val="16"/>
          <w:szCs w:val="16"/>
          <w:b w:val="1"/>
          <w:bCs w:val="1"/>
          <w:color w:val="auto"/>
        </w:rPr>
        <w:t>Metropolitan Entities</w:t>
      </w:r>
      <w:r>
        <w:rPr>
          <w:rFonts w:ascii="Arial" w:cs="Arial" w:eastAsia="Arial" w:hAnsi="Arial"/>
          <w:sz w:val="16"/>
          <w:szCs w:val="16"/>
          <w:color w:val="auto"/>
        </w:rPr>
        <w:t>”), (B) warrants to purchase 500,000 shares of Common Stock, with an exercise price of $0.01 per share, issued to the Metropolitan Entities, (C) warrants to purchase 2,000,000 shares of Common Stock, with an exercise price of $0.01 per share, issued to the Metropolitan Entities, (D) warrants to purchase 25,000 shares of Common Stock, with an exercise price of $0.01 per share, issued to Metropolitan Levered Partners Fund VII, LP, Metropolitan Partners Fund VII, LP, Metropolitan Offshore Partners Fund VII, LP and CEOF Holdings LP and (E) this Warrant and any other warrant issued to the Metropolitan Entities in connection with the Third Amendment.</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3" w:name="page234"/>
    <w:bookmarkEnd w:id="233"/>
    <w:p>
      <w:pPr>
        <w:ind w:right="20" w:firstLine="1952"/>
        <w:spacing w:after="0" w:line="312" w:lineRule="auto"/>
        <w:tabs>
          <w:tab w:leader="none" w:pos="2212" w:val="left"/>
        </w:tabs>
        <w:numPr>
          <w:ilvl w:val="0"/>
          <w:numId w:val="22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Expiration Date</w:t>
      </w:r>
      <w:r>
        <w:rPr>
          <w:rFonts w:ascii="Arial" w:cs="Arial" w:eastAsia="Arial" w:hAnsi="Arial"/>
          <w:sz w:val="17"/>
          <w:szCs w:val="17"/>
          <w:color w:val="auto"/>
        </w:rPr>
        <w:t>” means the date that is the five (5) year anniversary of the Issuance Date or, if such date falls on a day other than a Trading Day or on which trading does not take place on the Principal Market (a “</w:t>
      </w:r>
      <w:r>
        <w:rPr>
          <w:rFonts w:ascii="Arial" w:cs="Arial" w:eastAsia="Arial" w:hAnsi="Arial"/>
          <w:sz w:val="17"/>
          <w:szCs w:val="17"/>
          <w:b w:val="1"/>
          <w:bCs w:val="1"/>
          <w:color w:val="auto"/>
        </w:rPr>
        <w:t>Holiday</w:t>
      </w:r>
      <w:r>
        <w:rPr>
          <w:rFonts w:ascii="Arial" w:cs="Arial" w:eastAsia="Arial" w:hAnsi="Arial"/>
          <w:sz w:val="17"/>
          <w:szCs w:val="17"/>
          <w:color w:val="auto"/>
        </w:rPr>
        <w:t>”), the next date that is not a Holiday.</w:t>
      </w:r>
    </w:p>
    <w:p>
      <w:pPr>
        <w:spacing w:after="0" w:line="139" w:lineRule="exact"/>
        <w:rPr>
          <w:rFonts w:ascii="Arial" w:cs="Arial" w:eastAsia="Arial" w:hAnsi="Arial"/>
          <w:sz w:val="17"/>
          <w:szCs w:val="17"/>
          <w:color w:val="auto"/>
        </w:rPr>
      </w:pPr>
    </w:p>
    <w:p>
      <w:pPr>
        <w:jc w:val="both"/>
        <w:ind w:firstLine="1952"/>
        <w:spacing w:after="0" w:line="284" w:lineRule="auto"/>
        <w:tabs>
          <w:tab w:leader="none" w:pos="2226" w:val="left"/>
        </w:tabs>
        <w:numPr>
          <w:ilvl w:val="0"/>
          <w:numId w:val="22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Fundamental Transaction</w:t>
      </w:r>
      <w:r>
        <w:rPr>
          <w:rFonts w:ascii="Arial" w:cs="Arial" w:eastAsia="Arial" w:hAnsi="Arial"/>
          <w:sz w:val="16"/>
          <w:szCs w:val="16"/>
          <w:color w:val="auto"/>
        </w:rPr>
        <w:t>” means (A) that the Company shall, directly or indirectly, including through subsidiaries, Affiliates or otherwise, in one or more related transactions, (i) consolidate or merge with or into (whether or not the Company is the surviving corporation) another Subject Entity, or (ii) sell, assign, transfer, convey or otherwise dispose of all or substantially all of the properties or assets of the Company or any of its “significant subsidiaries” (as defined in Rule 1-02 of Regulation S-X) to one or more Subject Entities, or (iii) make, or allow one or more Subject Entities to make, or allow the Company to be subject to or have its Common Stock be subject to or party to one or more Subject Entities making, a purchase, tender or exchange offer that is accepted by the holders of at least either (x) 50% of the outstanding shares of Common Stock, (y) 50% of the outstanding shares of Common Stock calculated as if any shares of Common Stock held by all Subject Entities making or party to, or Affiliated with any Subject Entities making or party to, such purchase, tender or exchange offer were not outstanding; or (z) such number of shares of Common Stock such that all Subject Entities making or party to, or Affiliated with any Subject Entity making or party to, such purchase, tender or exchange offer, become collectively the beneficial owners (as defined in Rule 13d-3 under the Exchange Act) of at least 50% of the outstanding shares of Common Stock, or (iv) consummate a stock purchase agreement or other business combination (including, without limitation, a reorganization, recapitalization, spin-off or scheme of arrangement) with one or more Subject Entities whereby all such Subject Entities, individually or in the aggregate, acquire, either (x) at least 50% of the outstanding shares of Common Stock, (y) at least 50% of the outstanding shares of Common Stock calculated as if any shares of Common Stock held by all the Subject Entities making or party to, or Affiliated with any Subject Entity making or party to, such stock purchase agreement or other business combination were not outstanding; or (z) such number of shares of Common Stock such that the Subject Entities become collectively the beneficial owners (as defined in Rule 13d-3 under the Exchange Act) of at least 50% of the outstanding shares of Common Stock, or (v) reorganize, recapitalize or reclassify its Common Stock, (B) that the Company shall, directly or indirectly, including through subsidiaries, Affiliates or otherwise, in one or more related transactions, allow any Subject Entity individually or the Subject Entities in the aggregate to be or become the “beneficial owner” (as defined in Rule 13d-3 under the Exchange Act), directly or indirectly, whether through acquisition, purchase, assignment, conveyance, tender, tender offer, exchange, reduction in outstanding shares of Common Stock, merger, consolidation, business combination, reorganization, recapitalization, spin-off, scheme of arrangement, reorganization, recapitalization or reclassification or otherwise in any manner whatsoever, of either (x) at least 50% of the aggregate ordinary voting power represented by issued and outstanding Common Stock, (y) at least 50% of the aggregate ordinary voting power represented by issued and outstanding Common Stock not held by all such Subject Entities as of the date of this Warrant calculated as if any shares of Common Stock held by all such Subject Entities were not outstanding, or (z) a percentage of the aggregate ordinary voting power represented by issued and outstanding shares of Common Stock or other equity securities of the Company sufficient to allow such Subject Entities to effect a statutory short form merger or other transaction requiring other stockholders of the Company to surrender their shares of Common Stock without approval of the stockholders of the Company or (C) directly or indirectly, including through subsidiaries, Affiliates or otherwise, in one or more related transactions, the issuance of or the entering into any other instrument or transaction structured in a manner to circumvent, or that circumvents, the intent of this definition in which case this definition shall be construed and implemented in a manner otherwise than in strict conformity with the terms of this definition to the extent necessary to correct this definition or any portion of this definition which may be defective or inconsistent with the intended treatment of such instrument or transaction.</w:t>
      </w:r>
    </w:p>
    <w:p>
      <w:pPr>
        <w:spacing w:after="0" w:line="164" w:lineRule="exact"/>
        <w:rPr>
          <w:rFonts w:ascii="Arial" w:cs="Arial" w:eastAsia="Arial" w:hAnsi="Arial"/>
          <w:sz w:val="16"/>
          <w:szCs w:val="16"/>
          <w:color w:val="auto"/>
        </w:rPr>
      </w:pPr>
    </w:p>
    <w:p>
      <w:pPr>
        <w:ind w:left="2240" w:hanging="288"/>
        <w:spacing w:after="0"/>
        <w:tabs>
          <w:tab w:leader="none" w:pos="224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Group</w:t>
      </w:r>
      <w:r>
        <w:rPr>
          <w:rFonts w:ascii="Arial" w:cs="Arial" w:eastAsia="Arial" w:hAnsi="Arial"/>
          <w:sz w:val="18"/>
          <w:szCs w:val="18"/>
          <w:color w:val="auto"/>
        </w:rPr>
        <w:t>” means a “group” as that term is used in Section 13(d) of the Exchange Act and as defined in Rule 13d-5</w:t>
      </w:r>
    </w:p>
    <w:p>
      <w:pPr>
        <w:spacing w:after="0" w:line="2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thereunder.</w:t>
      </w:r>
    </w:p>
    <w:p>
      <w:pPr>
        <w:spacing w:after="0" w:line="206" w:lineRule="exact"/>
        <w:rPr>
          <w:rFonts w:ascii="Arial" w:cs="Arial" w:eastAsia="Arial" w:hAnsi="Arial"/>
          <w:sz w:val="18"/>
          <w:szCs w:val="18"/>
          <w:color w:val="auto"/>
        </w:rPr>
      </w:pPr>
    </w:p>
    <w:p>
      <w:pPr>
        <w:ind w:left="2240" w:hanging="288"/>
        <w:spacing w:after="0"/>
        <w:tabs>
          <w:tab w:leader="none" w:pos="2240" w:val="left"/>
        </w:tabs>
        <w:numPr>
          <w:ilvl w:val="0"/>
          <w:numId w:val="22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Options</w:t>
      </w:r>
      <w:r>
        <w:rPr>
          <w:rFonts w:ascii="Arial" w:cs="Arial" w:eastAsia="Arial" w:hAnsi="Arial"/>
          <w:sz w:val="17"/>
          <w:szCs w:val="17"/>
          <w:color w:val="auto"/>
        </w:rPr>
        <w:t>” means any rights, warrants or options to subscribe for or purchase shares of Common Stock or Convertible</w:t>
      </w:r>
    </w:p>
    <w:p>
      <w:pPr>
        <w:spacing w:after="0" w:line="3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Securities.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4" w:name="page235"/>
    <w:bookmarkEnd w:id="234"/>
    <w:p>
      <w:pPr>
        <w:jc w:val="both"/>
        <w:ind w:firstLine="1952"/>
        <w:spacing w:after="0" w:line="258" w:lineRule="auto"/>
        <w:tabs>
          <w:tab w:leader="none" w:pos="2169" w:val="left"/>
        </w:tabs>
        <w:numPr>
          <w:ilvl w:val="0"/>
          <w:numId w:val="2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Entity</w:t>
      </w:r>
      <w:r>
        <w:rPr>
          <w:rFonts w:ascii="Arial" w:cs="Arial" w:eastAsia="Arial" w:hAnsi="Arial"/>
          <w:sz w:val="18"/>
          <w:szCs w:val="18"/>
          <w:color w:val="auto"/>
        </w:rPr>
        <w:t>” of a Person means an entity that, directly or indirectly, controls the applicable Person, including such entity whose common shares or common stock or equivalent equity security is quoted or listed on an Eligible Market (or, if so elected by the Holder, any other market, exchange or quotation system), or, if there is more than one such Person or such entity, the Person or such entity designated by the Holder or in the absence of such designation, such Person or entity with the largest public market capitalization as of the date of consummation of the Fundamental Transaction.</w:t>
      </w:r>
    </w:p>
    <w:p>
      <w:pPr>
        <w:spacing w:after="0" w:line="183" w:lineRule="exact"/>
        <w:rPr>
          <w:rFonts w:ascii="Arial" w:cs="Arial" w:eastAsia="Arial" w:hAnsi="Arial"/>
          <w:sz w:val="18"/>
          <w:szCs w:val="18"/>
          <w:color w:val="auto"/>
        </w:rPr>
      </w:pPr>
    </w:p>
    <w:p>
      <w:pPr>
        <w:ind w:right="20" w:firstLine="1952"/>
        <w:spacing w:after="0" w:line="282" w:lineRule="auto"/>
        <w:tabs>
          <w:tab w:leader="none" w:pos="2192" w:val="left"/>
        </w:tabs>
        <w:numPr>
          <w:ilvl w:val="0"/>
          <w:numId w:val="2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61" w:lineRule="exact"/>
        <w:rPr>
          <w:rFonts w:ascii="Arial" w:cs="Arial" w:eastAsia="Arial" w:hAnsi="Arial"/>
          <w:sz w:val="18"/>
          <w:szCs w:val="18"/>
          <w:color w:val="auto"/>
        </w:rPr>
      </w:pPr>
    </w:p>
    <w:p>
      <w:pPr>
        <w:ind w:right="20" w:firstLine="1952"/>
        <w:spacing w:after="0" w:line="282" w:lineRule="auto"/>
        <w:tabs>
          <w:tab w:leader="none" w:pos="2186" w:val="left"/>
        </w:tabs>
        <w:numPr>
          <w:ilvl w:val="0"/>
          <w:numId w:val="2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Principal Market</w:t>
      </w:r>
      <w:r>
        <w:rPr>
          <w:rFonts w:ascii="Arial" w:cs="Arial" w:eastAsia="Arial" w:hAnsi="Arial"/>
          <w:sz w:val="18"/>
          <w:szCs w:val="18"/>
          <w:color w:val="auto"/>
        </w:rPr>
        <w:t>” means the OTC Bulletin Board or any other Eligible Market, or any national securities exchange, market or trading or quotation facility on which the Common Stock is then listed or quoted.</w:t>
      </w:r>
    </w:p>
    <w:p>
      <w:pPr>
        <w:spacing w:after="0" w:line="161" w:lineRule="exact"/>
        <w:rPr>
          <w:rFonts w:ascii="Arial" w:cs="Arial" w:eastAsia="Arial" w:hAnsi="Arial"/>
          <w:sz w:val="18"/>
          <w:szCs w:val="18"/>
          <w:color w:val="auto"/>
        </w:rPr>
      </w:pPr>
    </w:p>
    <w:p>
      <w:pPr>
        <w:ind w:left="2200" w:hanging="248"/>
        <w:spacing w:after="0"/>
        <w:tabs>
          <w:tab w:leader="none" w:pos="220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w:t>
      </w:r>
    </w:p>
    <w:p>
      <w:pPr>
        <w:spacing w:after="0" w:line="225" w:lineRule="exact"/>
        <w:rPr>
          <w:rFonts w:ascii="Arial" w:cs="Arial" w:eastAsia="Arial" w:hAnsi="Arial"/>
          <w:sz w:val="18"/>
          <w:szCs w:val="18"/>
          <w:color w:val="auto"/>
        </w:rPr>
      </w:pPr>
    </w:p>
    <w:p>
      <w:pPr>
        <w:ind w:left="2200" w:hanging="248"/>
        <w:spacing w:after="0"/>
        <w:tabs>
          <w:tab w:leader="none" w:pos="2200" w:val="left"/>
        </w:tabs>
        <w:numPr>
          <w:ilvl w:val="0"/>
          <w:numId w:val="22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Subject Entity</w:t>
      </w:r>
      <w:r>
        <w:rPr>
          <w:rFonts w:ascii="Arial" w:cs="Arial" w:eastAsia="Arial" w:hAnsi="Arial"/>
          <w:sz w:val="16"/>
          <w:szCs w:val="16"/>
          <w:color w:val="auto"/>
        </w:rPr>
        <w:t>” means any Person, Persons or Group or any Affiliate or associate of any such Person, Persons or Group.</w:t>
      </w:r>
    </w:p>
    <w:p>
      <w:pPr>
        <w:spacing w:after="0" w:line="248" w:lineRule="exact"/>
        <w:rPr>
          <w:rFonts w:ascii="Arial" w:cs="Arial" w:eastAsia="Arial" w:hAnsi="Arial"/>
          <w:sz w:val="16"/>
          <w:szCs w:val="16"/>
          <w:color w:val="auto"/>
        </w:rPr>
      </w:pPr>
    </w:p>
    <w:p>
      <w:pPr>
        <w:jc w:val="both"/>
        <w:ind w:firstLine="1952"/>
        <w:spacing w:after="0" w:line="266" w:lineRule="auto"/>
        <w:tabs>
          <w:tab w:leader="none" w:pos="2239" w:val="left"/>
        </w:tabs>
        <w:numPr>
          <w:ilvl w:val="0"/>
          <w:numId w:val="2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Successor Entity</w:t>
      </w:r>
      <w:r>
        <w:rPr>
          <w:rFonts w:ascii="Arial" w:cs="Arial" w:eastAsia="Arial" w:hAnsi="Arial"/>
          <w:sz w:val="18"/>
          <w:szCs w:val="18"/>
          <w:color w:val="auto"/>
        </w:rPr>
        <w:t>” means one or more Person or Persons (or, if so elected by the Holder, the Company or Parent Entity) formed by, resulting from or surviving any Fundamental Transaction or one or more Person or Persons (or, if so elected by the Holder, the Company or the Parent Entity) with which such Fundamental Transaction shall have been entered into.</w:t>
      </w:r>
    </w:p>
    <w:p>
      <w:pPr>
        <w:spacing w:after="0" w:line="175" w:lineRule="exact"/>
        <w:rPr>
          <w:rFonts w:ascii="Arial" w:cs="Arial" w:eastAsia="Arial" w:hAnsi="Arial"/>
          <w:sz w:val="18"/>
          <w:szCs w:val="18"/>
          <w:color w:val="auto"/>
        </w:rPr>
      </w:pPr>
    </w:p>
    <w:p>
      <w:pPr>
        <w:jc w:val="both"/>
        <w:ind w:firstLine="1952"/>
        <w:spacing w:after="0" w:line="298" w:lineRule="auto"/>
        <w:tabs>
          <w:tab w:leader="none" w:pos="2199" w:val="left"/>
        </w:tabs>
        <w:numPr>
          <w:ilvl w:val="0"/>
          <w:numId w:val="22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Trading Day</w:t>
      </w:r>
      <w:r>
        <w:rPr>
          <w:rFonts w:ascii="Arial" w:cs="Arial" w:eastAsia="Arial" w:hAnsi="Arial"/>
          <w:sz w:val="16"/>
          <w:szCs w:val="16"/>
          <w:color w:val="auto"/>
        </w:rPr>
        <w:t xml:space="preserve">” means any day on which the Common Stock is traded on the Principal Market, or, if the Principal Market is not the principal trading market for the Common Stock, then on the principal securities exchange or securities market on which the Common Stock is then traded;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time).</w:t>
      </w:r>
    </w:p>
    <w:p>
      <w:pPr>
        <w:spacing w:after="0" w:line="153" w:lineRule="exact"/>
        <w:rPr>
          <w:rFonts w:ascii="Arial" w:cs="Arial" w:eastAsia="Arial" w:hAnsi="Arial"/>
          <w:sz w:val="16"/>
          <w:szCs w:val="16"/>
          <w:color w:val="auto"/>
        </w:rPr>
      </w:pPr>
    </w:p>
    <w:p>
      <w:pPr>
        <w:jc w:val="both"/>
        <w:ind w:firstLine="1952"/>
        <w:spacing w:after="0" w:line="267" w:lineRule="auto"/>
        <w:tabs>
          <w:tab w:leader="none" w:pos="2199" w:val="left"/>
        </w:tabs>
        <w:numPr>
          <w:ilvl w:val="0"/>
          <w:numId w:val="22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VWAP</w:t>
      </w:r>
      <w:r>
        <w:rPr>
          <w:rFonts w:ascii="Arial" w:cs="Arial" w:eastAsia="Arial" w:hAnsi="Arial"/>
          <w:sz w:val="17"/>
          <w:szCs w:val="17"/>
          <w:color w:val="auto"/>
        </w:rPr>
        <w:t xml:space="preserve">” means, for any security as of any date, the dollar volume-weighted average price for such security on the Principal Market during the period beginning at 9:30:01 a.m., New York time (or such other time as the Principal Market publicly announces is the official open of trading), and ending at 4:00:00 p.m., New York time (or such other time as the Principal Market publicly announces is the official close of trading), as reported by Bloomberg through its “Volume at Price” function or, if the foregoing does not apply, the dollar volume-weighted average price of such security in the over-the-counter market on the electronic bulletin board for such security during the period beginning at 9:30:01 a.m., New York time (or such other time as such market publicly announces is the official open of trading), and ending at 4:00:00 p.m., New York time (or such other time as such market publicly announces is the official close of trading), as reported by Bloomberg, or, if no dollar volume-weighted average price is reported for such security by Bloomberg for such hours, the average of the highest Closing Bid Price and the lowest closing ask price of any of the market makers for such security as reported in the OTC Link or “pink sheets” by OTC Markets Group Inc. (formerly Pink OTC Markets Inc.). If the VWAP cannot be calculated for a security on a particular date on any of the foregoing bases, the VWAP of such security on such date shall be the fair market value as mutually determined by the Company and the Holder. If the Company and the Holder are unable to agree upon the fair market value of such security, then such dispute shall be resolved pursuant to Section </w:t>
      </w:r>
      <w:r>
        <w:rPr>
          <w:rFonts w:ascii="Arial" w:cs="Arial" w:eastAsia="Arial" w:hAnsi="Arial"/>
          <w:sz w:val="20"/>
          <w:szCs w:val="20"/>
          <w:b w:val="1"/>
          <w:bCs w:val="1"/>
          <w:color w:val="auto"/>
        </w:rPr>
        <w:t>‎</w:t>
      </w:r>
      <w:r>
        <w:rPr>
          <w:rFonts w:ascii="Arial" w:cs="Arial" w:eastAsia="Arial" w:hAnsi="Arial"/>
          <w:sz w:val="17"/>
          <w:szCs w:val="17"/>
          <w:color w:val="auto"/>
        </w:rPr>
        <w:t>12 with the term “VWAP” being substituted for the term “Exercise Price.” All such determinations shall be appropriately adjusted for any stock dividend, stock split, stock combination, reclassification or other similar transaction during the applicable calculation period.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 Follows]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5" w:name="page236"/>
    <w:bookmarkEnd w:id="235"/>
    <w:p>
      <w:pPr>
        <w:ind w:left="660"/>
        <w:spacing w:after="0"/>
        <w:rPr>
          <w:sz w:val="20"/>
          <w:szCs w:val="20"/>
          <w:color w:val="auto"/>
        </w:rPr>
      </w:pPr>
      <w:r>
        <w:rPr>
          <w:rFonts w:ascii="Arial" w:cs="Arial" w:eastAsia="Arial" w:hAnsi="Arial"/>
          <w:sz w:val="16"/>
          <w:szCs w:val="16"/>
          <w:b w:val="1"/>
          <w:bCs w:val="1"/>
          <w:color w:val="auto"/>
        </w:rPr>
        <w:t xml:space="preserve">IN WITNESS WHEREOF, </w:t>
      </w:r>
      <w:r>
        <w:rPr>
          <w:rFonts w:ascii="Arial" w:cs="Arial" w:eastAsia="Arial" w:hAnsi="Arial"/>
          <w:sz w:val="16"/>
          <w:szCs w:val="16"/>
          <w:color w:val="auto"/>
        </w:rPr>
        <w:t>the Company has caused this Warrant to Purchase Common Stock to be duly executed as of the Issuance Date set out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07"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PRESTO AUTOMATION INC.</w:t>
      </w:r>
    </w:p>
    <w:p>
      <w:pPr>
        <w:spacing w:after="0" w:line="2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14605</wp:posOffset>
            </wp:positionV>
            <wp:extent cx="2417445"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2417445" cy="17145"/>
                    </a:xfrm>
                    <a:prstGeom prst="rect">
                      <a:avLst/>
                    </a:prstGeom>
                    <a:noFill/>
                  </pic:spPr>
                </pic:pic>
              </a:graphicData>
            </a:graphic>
          </wp:anchor>
        </w:drawing>
      </w:r>
    </w:p>
    <w:p>
      <w:pPr>
        <w:spacing w:after="0" w:line="3" w:lineRule="exact"/>
        <w:rPr>
          <w:sz w:val="20"/>
          <w:szCs w:val="20"/>
          <w:color w:val="auto"/>
        </w:rPr>
      </w:pPr>
    </w:p>
    <w:p>
      <w:pPr>
        <w:ind w:left="6760"/>
        <w:spacing w:after="0"/>
        <w:tabs>
          <w:tab w:leader="none" w:pos="7420" w:val="left"/>
        </w:tabs>
        <w:rPr>
          <w:sz w:val="20"/>
          <w:szCs w:val="20"/>
          <w:color w:val="auto"/>
        </w:rPr>
      </w:pPr>
      <w:r>
        <w:rPr>
          <w:rFonts w:ascii="Arial" w:cs="Arial" w:eastAsia="Arial" w:hAnsi="Arial"/>
          <w:sz w:val="18"/>
          <w:szCs w:val="18"/>
          <w:color w:val="auto"/>
        </w:rPr>
        <w:t>Name:</w:t>
        <w:tab/>
        <w:t>Xavier Casanova</w:t>
      </w:r>
    </w:p>
    <w:p>
      <w:pPr>
        <w:spacing w:after="0" w:line="36" w:lineRule="exact"/>
        <w:rPr>
          <w:sz w:val="20"/>
          <w:szCs w:val="20"/>
          <w:color w:val="auto"/>
        </w:rPr>
      </w:pPr>
    </w:p>
    <w:p>
      <w:pPr>
        <w:ind w:left="6760"/>
        <w:spacing w:after="0"/>
        <w:tabs>
          <w:tab w:leader="none" w:pos="7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36" w:name="page237"/>
    <w:bookmarkEnd w:id="236"/>
    <w:p>
      <w:pPr>
        <w:jc w:val="right"/>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EXERCISE NOTICE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EXECUTED BY THE REGISTERED HOLDER TO EXERCISE THIS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TO PURCHASE COMMON STOCK</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PRESTO AUTOMATION INC.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undersigned holder hereby exercises the right to purchase _________________ of the shares of Common Stock (“</w:t>
      </w:r>
      <w:r>
        <w:rPr>
          <w:rFonts w:ascii="Arial" w:cs="Arial" w:eastAsia="Arial" w:hAnsi="Arial"/>
          <w:sz w:val="17"/>
          <w:szCs w:val="17"/>
          <w:b w:val="1"/>
          <w:bCs w:val="1"/>
          <w:color w:val="auto"/>
        </w:rPr>
        <w:t>Warrant Shares</w:t>
      </w:r>
      <w:r>
        <w:rPr>
          <w:rFonts w:ascii="Arial" w:cs="Arial" w:eastAsia="Arial" w:hAnsi="Arial"/>
          <w:sz w:val="17"/>
          <w:szCs w:val="17"/>
          <w:color w:val="auto"/>
        </w:rPr>
        <w:t>”) of</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Presto Automation Inc.,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evidenced by the attached Warrant to Purchase Common Stock (the “</w:t>
      </w:r>
      <w:r>
        <w:rPr>
          <w:rFonts w:ascii="Arial" w:cs="Arial" w:eastAsia="Arial" w:hAnsi="Arial"/>
          <w:sz w:val="17"/>
          <w:szCs w:val="17"/>
          <w:b w:val="1"/>
          <w:bCs w:val="1"/>
          <w:color w:val="auto"/>
        </w:rPr>
        <w:t>Warrant</w:t>
      </w:r>
      <w:r>
        <w:rPr>
          <w:rFonts w:ascii="Arial" w:cs="Arial" w:eastAsia="Arial" w:hAnsi="Arial"/>
          <w:sz w:val="17"/>
          <w:szCs w:val="17"/>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used herein and not otherwise defined shall have the respective meanings set forth in the Warrant.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Form of Exercise Price. The Holder intends that payment of the Exercise Price shall be made as:</w:t>
      </w:r>
    </w:p>
    <w:p>
      <w:pPr>
        <w:spacing w:after="0" w:line="208" w:lineRule="exact"/>
        <w:rPr>
          <w:sz w:val="20"/>
          <w:szCs w:val="20"/>
          <w:color w:val="auto"/>
        </w:rPr>
      </w:pPr>
    </w:p>
    <w:tbl>
      <w:tblPr>
        <w:tblLayout w:type="fixed"/>
        <w:tblInd w:w="1300" w:type="dxa"/>
        <w:tblCellMar>
          <w:top w:w="0" w:type="dxa"/>
          <w:left w:w="0" w:type="dxa"/>
          <w:bottom w:w="0" w:type="dxa"/>
          <w:right w:w="0" w:type="dxa"/>
        </w:tblCellMar>
      </w:tblPr>
      <w:tr>
        <w:trPr>
          <w:trHeight w:val="207"/>
        </w:trPr>
        <w:tc>
          <w:tcPr>
            <w:tcW w:w="1200" w:type="dxa"/>
            <w:vAlign w:val="bottom"/>
          </w:tcPr>
          <w:p>
            <w:pPr>
              <w:jc w:val="right"/>
              <w:ind w:right="30"/>
              <w:spacing w:after="0"/>
              <w:rPr>
                <w:sz w:val="20"/>
                <w:szCs w:val="20"/>
                <w:color w:val="auto"/>
              </w:rPr>
            </w:pPr>
            <w:r>
              <w:rPr>
                <w:rFonts w:ascii="Arial" w:cs="Arial" w:eastAsia="Arial" w:hAnsi="Arial"/>
                <w:sz w:val="18"/>
                <w:szCs w:val="18"/>
                <w:color w:val="auto"/>
                <w:w w:val="88"/>
              </w:rPr>
              <w:t>____________</w:t>
            </w:r>
          </w:p>
        </w:tc>
        <w:tc>
          <w:tcPr>
            <w:tcW w:w="5780" w:type="dxa"/>
            <w:vAlign w:val="bottom"/>
            <w:gridSpan w:val="4"/>
          </w:tcPr>
          <w:p>
            <w:pPr>
              <w:ind w:left="100"/>
              <w:spacing w:after="0"/>
              <w:rPr>
                <w:sz w:val="20"/>
                <w:szCs w:val="20"/>
                <w:color w:val="auto"/>
              </w:rPr>
            </w:pPr>
            <w:r>
              <w:rPr>
                <w:rFonts w:ascii="Arial" w:cs="Arial" w:eastAsia="Arial" w:hAnsi="Arial"/>
                <w:sz w:val="18"/>
                <w:szCs w:val="18"/>
                <w:color w:val="auto"/>
                <w:w w:val="89"/>
              </w:rPr>
              <w:t>a “Cash Exercise” with respect to _________________ Warrant Shares; and/or</w:t>
            </w:r>
          </w:p>
        </w:tc>
      </w:tr>
      <w:tr>
        <w:trPr>
          <w:trHeight w:val="20"/>
        </w:trPr>
        <w:tc>
          <w:tcPr>
            <w:tcW w:w="1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r>
      <w:tr>
        <w:trPr>
          <w:trHeight w:val="412"/>
        </w:trPr>
        <w:tc>
          <w:tcPr>
            <w:tcW w:w="1200" w:type="dxa"/>
            <w:vAlign w:val="bottom"/>
          </w:tcPr>
          <w:p>
            <w:pPr>
              <w:jc w:val="right"/>
              <w:ind w:right="30"/>
              <w:spacing w:after="0"/>
              <w:rPr>
                <w:sz w:val="20"/>
                <w:szCs w:val="20"/>
                <w:color w:val="auto"/>
              </w:rPr>
            </w:pPr>
            <w:r>
              <w:rPr>
                <w:rFonts w:ascii="Arial" w:cs="Arial" w:eastAsia="Arial" w:hAnsi="Arial"/>
                <w:sz w:val="18"/>
                <w:szCs w:val="18"/>
                <w:color w:val="auto"/>
                <w:w w:val="88"/>
              </w:rPr>
              <w:t>____________</w:t>
            </w:r>
          </w:p>
        </w:tc>
        <w:tc>
          <w:tcPr>
            <w:tcW w:w="5780" w:type="dxa"/>
            <w:vAlign w:val="bottom"/>
            <w:gridSpan w:val="4"/>
          </w:tcPr>
          <w:p>
            <w:pPr>
              <w:ind w:left="100"/>
              <w:spacing w:after="0"/>
              <w:rPr>
                <w:sz w:val="20"/>
                <w:szCs w:val="20"/>
                <w:color w:val="auto"/>
              </w:rPr>
            </w:pPr>
            <w:r>
              <w:rPr>
                <w:rFonts w:ascii="Arial" w:cs="Arial" w:eastAsia="Arial" w:hAnsi="Arial"/>
                <w:sz w:val="18"/>
                <w:szCs w:val="18"/>
                <w:color w:val="auto"/>
                <w:w w:val="96"/>
              </w:rPr>
              <w:t>a “Cashless Exercise” with respect to _______________ Warrant Shares.</w:t>
            </w:r>
          </w:p>
        </w:tc>
      </w:tr>
      <w:tr>
        <w:trPr>
          <w:trHeight w:val="20"/>
        </w:trPr>
        <w:tc>
          <w:tcPr>
            <w:tcW w:w="1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the event that the Holder has elected a Cashless Exercise with respect to some or all of the Warrant Shares to be issued pursuant hereto, the Holder hereby represents and warrants that this Exercise Notice was executed by the Holder at [a.m.][p.m.] on the date set forth below.</w:t>
      </w:r>
    </w:p>
    <w:p>
      <w:pPr>
        <w:spacing w:after="0" w:line="170" w:lineRule="exact"/>
        <w:rPr>
          <w:sz w:val="20"/>
          <w:szCs w:val="20"/>
          <w:color w:val="auto"/>
        </w:rPr>
      </w:pPr>
    </w:p>
    <w:p>
      <w:pPr>
        <w:jc w:val="both"/>
        <w:ind w:firstLine="656"/>
        <w:spacing w:after="0" w:line="263" w:lineRule="auto"/>
        <w:tabs>
          <w:tab w:leader="none" w:pos="846" w:val="left"/>
        </w:tabs>
        <w:numPr>
          <w:ilvl w:val="0"/>
          <w:numId w:val="229"/>
        </w:numPr>
        <w:rPr>
          <w:rFonts w:ascii="Arial" w:cs="Arial" w:eastAsia="Arial" w:hAnsi="Arial"/>
          <w:sz w:val="18"/>
          <w:szCs w:val="18"/>
          <w:color w:val="auto"/>
        </w:rPr>
      </w:pPr>
      <w:r>
        <w:rPr>
          <w:rFonts w:ascii="Arial" w:cs="Arial" w:eastAsia="Arial" w:hAnsi="Arial"/>
          <w:sz w:val="18"/>
          <w:szCs w:val="18"/>
          <w:color w:val="auto"/>
        </w:rPr>
        <w:t>Payment of Exercise Price. In the event that the holder has elected a Cash Exercise with respect to some or all of the Warrant Shares to be issued pursuant hereto, the holder shall pay the Aggregate Exercise Price in the sum of $___________________ to the Company in accordance with the terms of the Warrant.</w:t>
      </w:r>
    </w:p>
    <w:p>
      <w:pPr>
        <w:spacing w:after="0" w:line="183" w:lineRule="exact"/>
        <w:rPr>
          <w:rFonts w:ascii="Arial" w:cs="Arial" w:eastAsia="Arial" w:hAnsi="Arial"/>
          <w:sz w:val="18"/>
          <w:szCs w:val="18"/>
          <w:color w:val="auto"/>
        </w:rPr>
      </w:pPr>
    </w:p>
    <w:p>
      <w:pPr>
        <w:ind w:left="840" w:hanging="184"/>
        <w:spacing w:after="0"/>
        <w:tabs>
          <w:tab w:leader="none" w:pos="840" w:val="left"/>
        </w:tabs>
        <w:numPr>
          <w:ilvl w:val="0"/>
          <w:numId w:val="229"/>
        </w:numPr>
        <w:rPr>
          <w:rFonts w:ascii="Arial" w:cs="Arial" w:eastAsia="Arial" w:hAnsi="Arial"/>
          <w:sz w:val="16"/>
          <w:szCs w:val="16"/>
          <w:color w:val="auto"/>
        </w:rPr>
      </w:pPr>
      <w:r>
        <w:rPr>
          <w:rFonts w:ascii="Arial" w:cs="Arial" w:eastAsia="Arial" w:hAnsi="Arial"/>
          <w:sz w:val="16"/>
          <w:szCs w:val="16"/>
          <w:color w:val="auto"/>
        </w:rPr>
        <w:t>Delivery of Warrant Shares. The Company shall deliver to the holder __________ Warrant Shares in accordance with the terms of the Warrant.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520" w:type="dxa"/>
            <w:vAlign w:val="bottom"/>
            <w:gridSpan w:val="2"/>
          </w:tcPr>
          <w:p>
            <w:pPr>
              <w:spacing w:after="0"/>
              <w:rPr>
                <w:sz w:val="20"/>
                <w:szCs w:val="20"/>
                <w:color w:val="auto"/>
              </w:rPr>
            </w:pPr>
            <w:r>
              <w:rPr>
                <w:rFonts w:ascii="Arial" w:cs="Arial" w:eastAsia="Arial" w:hAnsi="Arial"/>
                <w:sz w:val="18"/>
                <w:szCs w:val="18"/>
                <w:color w:val="auto"/>
              </w:rPr>
              <w:t>_______ Electronic Delivery</w:t>
            </w:r>
          </w:p>
        </w:tc>
        <w:tc>
          <w:tcPr>
            <w:tcW w:w="6720" w:type="dxa"/>
            <w:vAlign w:val="bottom"/>
            <w:gridSpan w:val="2"/>
          </w:tcPr>
          <w:p>
            <w:pPr>
              <w:ind w:left="1680"/>
              <w:spacing w:after="0"/>
              <w:rPr>
                <w:sz w:val="20"/>
                <w:szCs w:val="20"/>
                <w:color w:val="auto"/>
              </w:rPr>
            </w:pPr>
            <w:r>
              <w:rPr>
                <w:rFonts w:ascii="Arial" w:cs="Arial" w:eastAsia="Arial" w:hAnsi="Arial"/>
                <w:sz w:val="18"/>
                <w:szCs w:val="18"/>
                <w:color w:val="auto"/>
              </w:rPr>
              <w:t>DTC Participant:</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3360" w:type="dxa"/>
            <w:vAlign w:val="bottom"/>
          </w:tcPr>
          <w:p>
            <w:pPr>
              <w:ind w:left="1680"/>
              <w:spacing w:after="0" w:line="203" w:lineRule="exact"/>
              <w:rPr>
                <w:sz w:val="20"/>
                <w:szCs w:val="20"/>
                <w:color w:val="auto"/>
              </w:rPr>
            </w:pPr>
            <w:r>
              <w:rPr>
                <w:rFonts w:ascii="Arial" w:cs="Arial" w:eastAsia="Arial" w:hAnsi="Arial"/>
                <w:sz w:val="18"/>
                <w:szCs w:val="18"/>
                <w:color w:val="auto"/>
              </w:rPr>
              <w:t>DTC Number:</w:t>
            </w:r>
          </w:p>
        </w:tc>
        <w:tc>
          <w:tcPr>
            <w:tcW w:w="336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3360" w:type="dxa"/>
            <w:vAlign w:val="bottom"/>
          </w:tcPr>
          <w:p>
            <w:pPr>
              <w:ind w:left="1680"/>
              <w:spacing w:after="0" w:line="202" w:lineRule="exact"/>
              <w:rPr>
                <w:sz w:val="20"/>
                <w:szCs w:val="20"/>
                <w:color w:val="auto"/>
              </w:rPr>
            </w:pPr>
            <w:r>
              <w:rPr>
                <w:rFonts w:ascii="Arial" w:cs="Arial" w:eastAsia="Arial" w:hAnsi="Arial"/>
                <w:sz w:val="18"/>
                <w:szCs w:val="18"/>
                <w:color w:val="auto"/>
              </w:rPr>
              <w:t>Account Name:</w:t>
            </w:r>
          </w:p>
        </w:tc>
        <w:tc>
          <w:tcPr>
            <w:tcW w:w="33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3360" w:type="dxa"/>
            <w:vAlign w:val="bottom"/>
          </w:tcPr>
          <w:p>
            <w:pPr>
              <w:ind w:left="1680"/>
              <w:spacing w:after="0" w:line="202" w:lineRule="exact"/>
              <w:rPr>
                <w:sz w:val="20"/>
                <w:szCs w:val="20"/>
                <w:color w:val="auto"/>
              </w:rPr>
            </w:pPr>
            <w:r>
              <w:rPr>
                <w:rFonts w:ascii="Arial" w:cs="Arial" w:eastAsia="Arial" w:hAnsi="Arial"/>
                <w:sz w:val="18"/>
                <w:szCs w:val="18"/>
                <w:color w:val="auto"/>
              </w:rPr>
              <w:t>Account Number:</w:t>
            </w:r>
          </w:p>
        </w:tc>
        <w:tc>
          <w:tcPr>
            <w:tcW w:w="33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4520" w:type="dxa"/>
            <w:vAlign w:val="bottom"/>
            <w:gridSpan w:val="2"/>
          </w:tcPr>
          <w:p>
            <w:pPr>
              <w:spacing w:after="0"/>
              <w:rPr>
                <w:sz w:val="20"/>
                <w:szCs w:val="20"/>
                <w:color w:val="auto"/>
              </w:rPr>
            </w:pPr>
            <w:r>
              <w:rPr>
                <w:rFonts w:ascii="Arial" w:cs="Arial" w:eastAsia="Arial" w:hAnsi="Arial"/>
                <w:sz w:val="18"/>
                <w:szCs w:val="18"/>
                <w:color w:val="auto"/>
              </w:rPr>
              <w:t>_______ Physical Delivery</w:t>
            </w:r>
          </w:p>
        </w:tc>
        <w:tc>
          <w:tcPr>
            <w:tcW w:w="6720" w:type="dxa"/>
            <w:vAlign w:val="bottom"/>
            <w:gridSpan w:val="2"/>
          </w:tcPr>
          <w:p>
            <w:pPr>
              <w:ind w:left="1680"/>
              <w:spacing w:after="0"/>
              <w:rPr>
                <w:sz w:val="20"/>
                <w:szCs w:val="20"/>
                <w:color w:val="auto"/>
              </w:rPr>
            </w:pPr>
            <w:r>
              <w:rPr>
                <w:rFonts w:ascii="Arial" w:cs="Arial" w:eastAsia="Arial" w:hAnsi="Arial"/>
                <w:sz w:val="18"/>
                <w:szCs w:val="18"/>
                <w:color w:val="auto"/>
              </w:rPr>
              <w:t>Address:</w:t>
            </w:r>
          </w:p>
        </w:tc>
        <w:tc>
          <w:tcPr>
            <w:tcW w:w="0" w:type="dxa"/>
            <w:vAlign w:val="bottom"/>
          </w:tcPr>
          <w:p>
            <w:pPr>
              <w:spacing w:after="0"/>
              <w:rPr>
                <w:sz w:val="1"/>
                <w:szCs w:val="1"/>
                <w:color w:val="auto"/>
              </w:rPr>
            </w:pPr>
          </w:p>
        </w:tc>
      </w:tr>
      <w:tr>
        <w:trPr>
          <w:trHeight w:val="223"/>
        </w:trPr>
        <w:tc>
          <w:tcPr>
            <w:tcW w:w="4520" w:type="dxa"/>
            <w:vAlign w:val="bottom"/>
            <w:gridSpan w:val="2"/>
            <w:vMerge w:val="restart"/>
          </w:tcPr>
          <w:p>
            <w:pPr>
              <w:spacing w:after="0"/>
              <w:rPr>
                <w:sz w:val="20"/>
                <w:szCs w:val="20"/>
                <w:color w:val="auto"/>
              </w:rPr>
            </w:pPr>
            <w:r>
              <w:rPr>
                <w:rFonts w:ascii="Arial" w:cs="Arial" w:eastAsia="Arial" w:hAnsi="Arial"/>
                <w:sz w:val="18"/>
                <w:szCs w:val="18"/>
                <w:color w:val="auto"/>
              </w:rPr>
              <w:t>Date: _______________ __, ______</w:t>
            </w:r>
          </w:p>
        </w:tc>
        <w:tc>
          <w:tcPr>
            <w:tcW w:w="3360" w:type="dxa"/>
            <w:vAlign w:val="bottom"/>
          </w:tcPr>
          <w:p>
            <w:pPr>
              <w:spacing w:after="0"/>
              <w:rPr>
                <w:sz w:val="19"/>
                <w:szCs w:val="19"/>
                <w:color w:val="auto"/>
              </w:rPr>
            </w:pPr>
          </w:p>
        </w:tc>
        <w:tc>
          <w:tcPr>
            <w:tcW w:w="336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20" w:type="dxa"/>
            <w:vAlign w:val="bottom"/>
            <w:gridSpan w:val="2"/>
            <w:vMerge w:val="continue"/>
          </w:tcPr>
          <w:p>
            <w:pPr>
              <w:spacing w:after="0"/>
              <w:rPr>
                <w:sz w:val="19"/>
                <w:szCs w:val="19"/>
                <w:color w:val="auto"/>
              </w:rPr>
            </w:pPr>
          </w:p>
        </w:tc>
        <w:tc>
          <w:tcPr>
            <w:tcW w:w="3360" w:type="dxa"/>
            <w:vAlign w:val="bottom"/>
          </w:tcPr>
          <w:p>
            <w:pPr>
              <w:spacing w:after="0"/>
              <w:rPr>
                <w:sz w:val="19"/>
                <w:szCs w:val="19"/>
                <w:color w:val="auto"/>
              </w:rPr>
            </w:pPr>
          </w:p>
        </w:tc>
        <w:tc>
          <w:tcPr>
            <w:tcW w:w="33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4520" w:type="dxa"/>
            <w:vAlign w:val="bottom"/>
            <w:gridSpan w:val="2"/>
            <w:vMerge w:val="continue"/>
          </w:tcPr>
          <w:p>
            <w:pPr>
              <w:spacing w:after="0"/>
              <w:rPr>
                <w:sz w:val="24"/>
                <w:szCs w:val="24"/>
                <w:color w:val="auto"/>
              </w:rPr>
            </w:pPr>
          </w:p>
        </w:tc>
        <w:tc>
          <w:tcPr>
            <w:tcW w:w="33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520" w:type="dxa"/>
            <w:vAlign w:val="bottom"/>
            <w:tcBorders>
              <w:bottom w:val="single" w:sz="8" w:color="auto"/>
            </w:tcBorders>
            <w:gridSpan w:val="2"/>
          </w:tcPr>
          <w:p>
            <w:pPr>
              <w:spacing w:after="0"/>
              <w:rPr>
                <w:sz w:val="24"/>
                <w:szCs w:val="24"/>
                <w:color w:val="auto"/>
              </w:rPr>
            </w:pPr>
          </w:p>
        </w:tc>
        <w:tc>
          <w:tcPr>
            <w:tcW w:w="33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rPr>
              <w:t>Name of Registered Holder</w:t>
            </w:r>
          </w:p>
        </w:tc>
        <w:tc>
          <w:tcPr>
            <w:tcW w:w="336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520" w:type="dxa"/>
            <w:vAlign w:val="bottom"/>
            <w:gridSpan w:val="2"/>
          </w:tcPr>
          <w:p>
            <w:pPr>
              <w:spacing w:after="0"/>
              <w:rPr>
                <w:sz w:val="20"/>
                <w:szCs w:val="20"/>
                <w:color w:val="auto"/>
              </w:rPr>
            </w:pPr>
            <w:r>
              <w:rPr>
                <w:rFonts w:ascii="Arial" w:cs="Arial" w:eastAsia="Arial" w:hAnsi="Arial"/>
                <w:sz w:val="18"/>
                <w:szCs w:val="18"/>
                <w:color w:val="auto"/>
              </w:rPr>
              <w:t>By:</w:t>
            </w:r>
          </w:p>
        </w:tc>
        <w:tc>
          <w:tcPr>
            <w:tcW w:w="33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60" w:type="dxa"/>
            <w:vAlign w:val="bottom"/>
          </w:tcPr>
          <w:p>
            <w:pPr>
              <w:spacing w:after="0"/>
              <w:rPr>
                <w:sz w:val="17"/>
                <w:szCs w:val="17"/>
                <w:color w:val="auto"/>
              </w:rPr>
            </w:pPr>
          </w:p>
        </w:tc>
        <w:tc>
          <w:tcPr>
            <w:tcW w:w="40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Name:</w:t>
            </w:r>
          </w:p>
        </w:tc>
        <w:tc>
          <w:tcPr>
            <w:tcW w:w="336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Title:</w:t>
            </w:r>
          </w:p>
        </w:tc>
        <w:tc>
          <w:tcPr>
            <w:tcW w:w="336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2"/>
        </w:trPr>
        <w:tc>
          <w:tcPr>
            <w:tcW w:w="46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237" w:name="page238"/>
    <w:bookmarkEnd w:id="237"/>
    <w:p>
      <w:pPr>
        <w:jc w:val="center"/>
        <w:spacing w:after="0"/>
        <w:rPr>
          <w:sz w:val="20"/>
          <w:szCs w:val="20"/>
          <w:color w:val="auto"/>
        </w:rPr>
      </w:pPr>
      <w:r>
        <w:rPr>
          <w:rFonts w:ascii="Arial" w:cs="Arial" w:eastAsia="Arial" w:hAnsi="Arial"/>
          <w:sz w:val="18"/>
          <w:szCs w:val="18"/>
          <w:b w:val="1"/>
          <w:bCs w:val="1"/>
          <w:color w:val="auto"/>
        </w:rPr>
        <w:t>ACKNOWLEDGMENT</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hereby acknowledges this Exercise Notice and hereby directs [TRANSFER AGENT] to issue the above indicated number of shares of Common Stock in accordance with the Transfer Agent Instructions dated _________________ from the Company and acknowledged and agreed to by [TRANSFER AGENT].</w:t>
      </w:r>
    </w:p>
    <w:p>
      <w:pPr>
        <w:spacing w:after="0" w:line="180"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PRESTO AUTOMATION INC.</w:t>
      </w:r>
    </w:p>
    <w:p>
      <w:pPr>
        <w:spacing w:after="0" w:line="2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14605</wp:posOffset>
            </wp:positionV>
            <wp:extent cx="2417445"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2417445" cy="1714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8" w:name="page239"/>
    <w:bookmarkEnd w:id="238"/>
    <w:p>
      <w:pPr>
        <w:jc w:val="center"/>
        <w:ind w:right="-19"/>
        <w:spacing w:after="0"/>
        <w:rPr>
          <w:sz w:val="20"/>
          <w:szCs w:val="20"/>
          <w:color w:val="auto"/>
        </w:rPr>
      </w:pPr>
      <w:r>
        <w:rPr>
          <w:rFonts w:ascii="Arial" w:cs="Arial" w:eastAsia="Arial" w:hAnsi="Arial"/>
          <w:sz w:val="18"/>
          <w:szCs w:val="18"/>
          <w:b w:val="1"/>
          <w:bCs w:val="1"/>
          <w:color w:val="auto"/>
        </w:rPr>
        <w:t>ASSIGNMENT FORM</w:t>
      </w:r>
    </w:p>
    <w:p>
      <w:pPr>
        <w:spacing w:after="0" w:line="229"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(To assign the foregoing warrant, execute</w:t>
      </w:r>
    </w:p>
    <w:p>
      <w:pPr>
        <w:spacing w:after="0" w:line="23"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this form and supply required information.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 not use this form to exercise the warrant.)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VALUE RECEIVED, all of or shares of the foregoing Warrant and all rights evidenced thereby are hereby assigned to</w:t>
      </w:r>
    </w:p>
    <w:p>
      <w:pPr>
        <w:spacing w:after="0" w:line="225" w:lineRule="exact"/>
        <w:rPr>
          <w:sz w:val="20"/>
          <w:szCs w:val="20"/>
          <w:color w:val="auto"/>
        </w:rPr>
      </w:pPr>
    </w:p>
    <w:p>
      <w:pPr>
        <w:ind w:left="9340"/>
        <w:spacing w:after="0"/>
        <w:rPr>
          <w:sz w:val="20"/>
          <w:szCs w:val="20"/>
          <w:color w:val="auto"/>
        </w:rPr>
      </w:pPr>
      <w:r>
        <w:rPr>
          <w:rFonts w:ascii="Arial" w:cs="Arial" w:eastAsia="Arial" w:hAnsi="Arial"/>
          <w:sz w:val="18"/>
          <w:szCs w:val="18"/>
          <w:color w:val="auto"/>
        </w:rPr>
        <w:t>whose address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5709285"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570928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5709285"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570928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5709285"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570928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Dated: __________________, ____</w:t>
      </w:r>
    </w:p>
    <w:p>
      <w:pPr>
        <w:spacing w:after="0" w:line="225"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Holder’s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14605</wp:posOffset>
            </wp:positionV>
            <wp:extent cx="2134235"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2134235" cy="17145"/>
                    </a:xfrm>
                    <a:prstGeom prst="rect">
                      <a:avLst/>
                    </a:prstGeom>
                    <a:noFill/>
                  </pic:spPr>
                </pic:pic>
              </a:graphicData>
            </a:graphic>
          </wp:anchor>
        </w:drawing>
      </w:r>
    </w:p>
    <w:p>
      <w:pPr>
        <w:spacing w:after="0" w:line="3"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Holder’s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177165</wp:posOffset>
            </wp:positionV>
            <wp:extent cx="2134235"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2134235" cy="1714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22860</wp:posOffset>
            </wp:positionV>
            <wp:extent cx="2134235"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2134235" cy="171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NOTE: The signature to this Assignment Form must correspond with the name as it appears on the face of the Warrant, without alteration or enlargement or any change whatsoever.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9" w:name="page240"/>
    <w:bookmarkEnd w:id="239"/>
    <w:p>
      <w:pPr>
        <w:jc w:val="right"/>
        <w:spacing w:after="0"/>
        <w:rPr>
          <w:sz w:val="20"/>
          <w:szCs w:val="20"/>
          <w:color w:val="auto"/>
        </w:rPr>
      </w:pPr>
      <w:r>
        <w:rPr>
          <w:rFonts w:ascii="Arial" w:cs="Arial" w:eastAsia="Arial" w:hAnsi="Arial"/>
          <w:sz w:val="18"/>
          <w:szCs w:val="18"/>
          <w:b w:val="1"/>
          <w:bCs w:val="1"/>
          <w:color w:val="auto"/>
        </w:rPr>
        <w:t>Exhibit 10.6</w:t>
      </w:r>
    </w:p>
    <w:p>
      <w:pPr>
        <w:spacing w:after="0" w:line="229" w:lineRule="exact"/>
        <w:rPr>
          <w:sz w:val="20"/>
          <w:szCs w:val="20"/>
          <w:color w:val="auto"/>
        </w:rPr>
      </w:pPr>
    </w:p>
    <w:p>
      <w:pPr>
        <w:ind w:left="10220"/>
        <w:spacing w:after="0"/>
        <w:rPr>
          <w:sz w:val="20"/>
          <w:szCs w:val="20"/>
          <w:color w:val="auto"/>
        </w:rPr>
      </w:pPr>
      <w:r>
        <w:rPr>
          <w:rFonts w:ascii="Arial" w:cs="Arial" w:eastAsia="Arial" w:hAnsi="Arial"/>
          <w:sz w:val="16"/>
          <w:szCs w:val="16"/>
          <w:b w:val="1"/>
          <w:bCs w:val="1"/>
          <w:i w:val="1"/>
          <w:iCs w:val="1"/>
          <w:color w:val="auto"/>
        </w:rPr>
        <w:t>Final Version</w:t>
      </w:r>
    </w:p>
    <w:p>
      <w:pPr>
        <w:spacing w:after="0" w:line="24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NEITHER THIS WARRANT, NOR THE SECURITIES ISSUABLE UPON EXERCISE OF THIS WARRANT (COLLECTIVELY, THE “SECURITIES”), HAVE BEEN REGISTERED UNDER THE SECURITIES ACT OF 1933, AS AMENDED (THE “SECURITIES ACT”), OR UNDER ANY STATE SECURITIES OR BLUE SKY LAWS. THE SECURITIES ARE SUBJECT TO RESTRICTIONS ON TRANSFERABILITY AND RESALE AND MAY NOT BE OFFERED, FOR SALE, SOLD, PLEDGED, HYPOTHECATED OR OTHERWISE TRANSFERRED OR ASSIGNED EXCEPT AS PERMITTED UNDER THE SECURITIES ACT AND APPLICABLE STATE SECURITIES OR BLUE SKY LAWS, PURSUANT TO REGISTRATION OR QUALIFICATION OR EXEMPTION THEREFROM. INVESTORS SHOULD BE AWARE THAT THEY MAY BE REQUIRED TO BEAR THE FINANCIAL RISKS OF THIS INVESTMENT FOR AN INDEFINITE PERIOD OF TIME. THE COMPANY MAY REQUIRE AN OPINION OF COUNSEL IN FORM AND SUBSTANCE REASONABLY SATISFACTORY TO THE COMPANY TO THE EFFECT THAT ANY PROPOSED TRANSFER IS IN COMPLIANCE WITH THE SECURITIES ACT AND ANY APPLICABLE STATE SECURITIES OR BLUE SKY LAWS.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PRESTO AUTOMATION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2"/>
          <w:szCs w:val="12"/>
          <w:b w:val="1"/>
          <w:bCs w:val="1"/>
          <w:color w:val="auto"/>
        </w:rPr>
        <w:t>arrant</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o</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urchase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ommon</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Warrant No.: 2023-10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of Common Stock: 317,100</w:t>
      </w:r>
    </w:p>
    <w:p>
      <w:pPr>
        <w:spacing w:after="0" w:line="9" w:lineRule="exact"/>
        <w:rPr>
          <w:sz w:val="20"/>
          <w:szCs w:val="20"/>
          <w:color w:val="auto"/>
        </w:rPr>
      </w:pPr>
    </w:p>
    <w:p>
      <w:pPr>
        <w:spacing w:after="0"/>
        <w:tabs>
          <w:tab w:leader="none" w:pos="2400" w:val="left"/>
        </w:tabs>
        <w:rPr>
          <w:sz w:val="20"/>
          <w:szCs w:val="20"/>
          <w:color w:val="auto"/>
        </w:rPr>
      </w:pPr>
      <w:r>
        <w:rPr>
          <w:rFonts w:ascii="Arial" w:cs="Arial" w:eastAsia="Arial" w:hAnsi="Arial"/>
          <w:sz w:val="18"/>
          <w:szCs w:val="18"/>
          <w:color w:val="auto"/>
        </w:rPr>
        <w:t>Date of Issuance:</w:t>
      </w:r>
      <w:r>
        <w:rPr>
          <w:sz w:val="20"/>
          <w:szCs w:val="20"/>
          <w:color w:val="auto"/>
        </w:rPr>
        <w:tab/>
      </w:r>
      <w:r>
        <w:rPr>
          <w:rFonts w:ascii="Arial" w:cs="Arial" w:eastAsia="Arial" w:hAnsi="Arial"/>
          <w:sz w:val="16"/>
          <w:szCs w:val="16"/>
          <w:color w:val="auto"/>
        </w:rPr>
        <w:t>, 2023 (“</w:t>
      </w:r>
      <w:r>
        <w:rPr>
          <w:rFonts w:ascii="Arial" w:cs="Arial" w:eastAsia="Arial" w:hAnsi="Arial"/>
          <w:sz w:val="16"/>
          <w:szCs w:val="16"/>
          <w:b w:val="1"/>
          <w:bCs w:val="1"/>
          <w:color w:val="auto"/>
        </w:rPr>
        <w:t>Issuance Date</w:t>
      </w:r>
      <w:r>
        <w:rPr>
          <w:rFonts w:ascii="Arial" w:cs="Arial" w:eastAsia="Arial" w:hAnsi="Arial"/>
          <w:sz w:val="16"/>
          <w:szCs w:val="16"/>
          <w:color w:val="auto"/>
        </w:rPr>
        <w:t>”)</w:t>
      </w:r>
    </w:p>
    <w:p>
      <w:pPr>
        <w:spacing w:after="0" w:line="207" w:lineRule="exact"/>
        <w:rPr>
          <w:sz w:val="20"/>
          <w:szCs w:val="20"/>
          <w:color w:val="auto"/>
        </w:rPr>
      </w:pPr>
    </w:p>
    <w:p>
      <w:pPr>
        <w:jc w:val="both"/>
        <w:ind w:firstLine="1296"/>
        <w:spacing w:after="0" w:line="288" w:lineRule="auto"/>
        <w:rPr>
          <w:sz w:val="20"/>
          <w:szCs w:val="20"/>
          <w:color w:val="auto"/>
        </w:rPr>
      </w:pPr>
      <w:r>
        <w:rPr>
          <w:rFonts w:ascii="Arial" w:cs="Arial" w:eastAsia="Arial" w:hAnsi="Arial"/>
          <w:sz w:val="16"/>
          <w:szCs w:val="16"/>
          <w:color w:val="auto"/>
        </w:rPr>
        <w:t>Presto Automation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hereby certifies that, for good and valuable consideration, the receipt and sufficiency of which are hereby acknowledged, Metropolitan Offshore Partners Fund VII, LP, the registered holder hereof or its permitted assigns (the “</w:t>
      </w:r>
      <w:r>
        <w:rPr>
          <w:rFonts w:ascii="Arial" w:cs="Arial" w:eastAsia="Arial" w:hAnsi="Arial"/>
          <w:sz w:val="16"/>
          <w:szCs w:val="16"/>
          <w:b w:val="1"/>
          <w:bCs w:val="1"/>
          <w:color w:val="auto"/>
        </w:rPr>
        <w:t>Holder</w:t>
      </w:r>
      <w:r>
        <w:rPr>
          <w:rFonts w:ascii="Arial" w:cs="Arial" w:eastAsia="Arial" w:hAnsi="Arial"/>
          <w:sz w:val="16"/>
          <w:szCs w:val="16"/>
          <w:color w:val="auto"/>
        </w:rPr>
        <w:t>”), is entitled, subject to the terms set forth below, to purchase from the Company, at the Exercise Price (as defined below) then in effect, at any time or times on or after the Issuance Date, but not after 11:59 p.m., New York time, on the Expiration Date, (as defined below), 317,100 duly authorized, validly issued, fully paid, nonassessable shares of Common Stock, subject to adjustment as provided herein (the “</w:t>
      </w:r>
      <w:r>
        <w:rPr>
          <w:rFonts w:ascii="Arial" w:cs="Arial" w:eastAsia="Arial" w:hAnsi="Arial"/>
          <w:sz w:val="16"/>
          <w:szCs w:val="16"/>
          <w:b w:val="1"/>
          <w:bCs w:val="1"/>
          <w:color w:val="auto"/>
        </w:rPr>
        <w:t>Warrant Shares</w:t>
      </w:r>
      <w:r>
        <w:rPr>
          <w:rFonts w:ascii="Arial" w:cs="Arial" w:eastAsia="Arial" w:hAnsi="Arial"/>
          <w:sz w:val="16"/>
          <w:szCs w:val="16"/>
          <w:color w:val="auto"/>
        </w:rPr>
        <w:t>”). Except as otherwise defined herein, capitalized terms in this Warrant to Purchase Common Stock (including any Warrants to Purchase Common Stock issued in exchange, transfer or replacement hereof, this “</w:t>
      </w:r>
      <w:r>
        <w:rPr>
          <w:rFonts w:ascii="Arial" w:cs="Arial" w:eastAsia="Arial" w:hAnsi="Arial"/>
          <w:sz w:val="16"/>
          <w:szCs w:val="16"/>
          <w:b w:val="1"/>
          <w:bCs w:val="1"/>
          <w:color w:val="auto"/>
        </w:rPr>
        <w:t>Warrant</w:t>
      </w:r>
      <w:r>
        <w:rPr>
          <w:rFonts w:ascii="Arial" w:cs="Arial" w:eastAsia="Arial" w:hAnsi="Arial"/>
          <w:sz w:val="16"/>
          <w:szCs w:val="16"/>
          <w:color w:val="auto"/>
        </w:rPr>
        <w:t>”) shall have the meanings set forth in Section 17‎. This Warrant is being issued pursuant to Section 3 of that certain Third Amendment to Credit Agreement, dated October 10, 2023, among E La Carte, LLC, the Company and Metropolitan Partners Group Administration, LLC, as agent (the “</w:t>
      </w:r>
      <w:r>
        <w:rPr>
          <w:rFonts w:ascii="Arial" w:cs="Arial" w:eastAsia="Arial" w:hAnsi="Arial"/>
          <w:sz w:val="16"/>
          <w:szCs w:val="16"/>
          <w:b w:val="1"/>
          <w:bCs w:val="1"/>
          <w:color w:val="auto"/>
        </w:rPr>
        <w:t>Third Amendment</w:t>
      </w:r>
      <w:r>
        <w:rPr>
          <w:rFonts w:ascii="Arial" w:cs="Arial" w:eastAsia="Arial" w:hAnsi="Arial"/>
          <w:sz w:val="16"/>
          <w:szCs w:val="16"/>
          <w:color w:val="auto"/>
        </w:rPr>
        <w:t>”), and to Section 7 of that certain Third Amended and Restated Fee Letter, dated October 10, 2023, among E La Carte, LLC, the Company and Metropolitan Partners Group Administration (the “</w:t>
      </w:r>
      <w:r>
        <w:rPr>
          <w:rFonts w:ascii="Arial" w:cs="Arial" w:eastAsia="Arial" w:hAnsi="Arial"/>
          <w:sz w:val="16"/>
          <w:szCs w:val="16"/>
          <w:b w:val="1"/>
          <w:bCs w:val="1"/>
          <w:color w:val="auto"/>
        </w:rPr>
        <w:t>Fee Letter</w:t>
      </w:r>
      <w:r>
        <w:rPr>
          <w:rFonts w:ascii="Arial" w:cs="Arial" w:eastAsia="Arial" w:hAnsi="Arial"/>
          <w:sz w:val="16"/>
          <w:szCs w:val="16"/>
          <w:color w:val="auto"/>
        </w:rPr>
        <w:t>”). Capitalized terms used herein and not otherwise defined shall have the definitions ascribed to such terms in the Credit Agreement (as defined in the Fee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252730</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0" w:name="page241"/>
    <w:bookmarkEnd w:id="240"/>
    <w:p>
      <w:pPr>
        <w:ind w:left="1480" w:hanging="176"/>
        <w:spacing w:after="0"/>
        <w:tabs>
          <w:tab w:leader="none" w:pos="148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EXERCISE OF WARRANT.</w:t>
      </w:r>
    </w:p>
    <w:p>
      <w:pPr>
        <w:spacing w:after="0" w:line="225" w:lineRule="exact"/>
        <w:rPr>
          <w:rFonts w:ascii="Arial" w:cs="Arial" w:eastAsia="Arial" w:hAnsi="Arial"/>
          <w:sz w:val="18"/>
          <w:szCs w:val="18"/>
          <w:color w:val="auto"/>
        </w:rPr>
      </w:pPr>
    </w:p>
    <w:p>
      <w:pPr>
        <w:jc w:val="both"/>
        <w:ind w:firstLine="1952"/>
        <w:spacing w:after="0" w:line="282" w:lineRule="auto"/>
        <w:tabs>
          <w:tab w:leader="none" w:pos="2188" w:val="left"/>
        </w:tabs>
        <w:numPr>
          <w:ilvl w:val="1"/>
          <w:numId w:val="230"/>
        </w:numPr>
        <w:rPr>
          <w:rFonts w:ascii="Arial" w:cs="Arial" w:eastAsia="Arial" w:hAnsi="Arial"/>
          <w:sz w:val="16"/>
          <w:szCs w:val="16"/>
          <w:color w:val="auto"/>
        </w:rPr>
      </w:pPr>
      <w:r>
        <w:rPr>
          <w:rFonts w:ascii="Arial" w:cs="Arial" w:eastAsia="Arial" w:hAnsi="Arial"/>
          <w:sz w:val="16"/>
          <w:szCs w:val="16"/>
          <w:u w:val="single" w:color="auto"/>
          <w:color w:val="auto"/>
        </w:rPr>
        <w:t>Mechanics of Exercise</w:t>
      </w:r>
      <w:r>
        <w:rPr>
          <w:rFonts w:ascii="Arial" w:cs="Arial" w:eastAsia="Arial" w:hAnsi="Arial"/>
          <w:sz w:val="16"/>
          <w:szCs w:val="16"/>
          <w:color w:val="auto"/>
        </w:rPr>
        <w:t xml:space="preserve">. Subject to the terms and conditions hereof (including, without limitation, the limitations set forth in Section </w:t>
      </w:r>
      <w:r>
        <w:rPr>
          <w:rFonts w:ascii="Arial" w:cs="Arial" w:eastAsia="Arial" w:hAnsi="Arial"/>
          <w:sz w:val="19"/>
          <w:szCs w:val="19"/>
          <w:b w:val="1"/>
          <w:bCs w:val="1"/>
          <w:color w:val="auto"/>
        </w:rPr>
        <w:t>‎</w:t>
      </w:r>
      <w:r>
        <w:rPr>
          <w:rFonts w:ascii="Arial" w:cs="Arial" w:eastAsia="Arial" w:hAnsi="Arial"/>
          <w:sz w:val="16"/>
          <w:szCs w:val="16"/>
          <w:color w:val="auto"/>
        </w:rPr>
        <w:t xml:space="preserve">1(f)), this Warrant may be exercised by the Holder at any time or times on or after the Issuance Date, in whole or in part, by (i) delivery (whether via facsimile or otherwise) of a written notice, in the form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(the “</w:t>
      </w:r>
      <w:r>
        <w:rPr>
          <w:rFonts w:ascii="Arial" w:cs="Arial" w:eastAsia="Arial" w:hAnsi="Arial"/>
          <w:sz w:val="16"/>
          <w:szCs w:val="16"/>
          <w:b w:val="1"/>
          <w:bCs w:val="1"/>
          <w:color w:val="auto"/>
        </w:rPr>
        <w:t>Exercise Notice</w:t>
      </w:r>
      <w:r>
        <w:rPr>
          <w:rFonts w:ascii="Arial" w:cs="Arial" w:eastAsia="Arial" w:hAnsi="Arial"/>
          <w:sz w:val="16"/>
          <w:szCs w:val="16"/>
          <w:color w:val="auto"/>
        </w:rPr>
        <w:t>”), of the Holder’s election to exercise this Warrant and (ii) (A) payment to the Company of an amount equal to the applicable Exercise Price multiplied by the number of Warrant Shares as to which this Warrant is being exercised (the “</w:t>
      </w:r>
      <w:r>
        <w:rPr>
          <w:rFonts w:ascii="Arial" w:cs="Arial" w:eastAsia="Arial" w:hAnsi="Arial"/>
          <w:sz w:val="16"/>
          <w:szCs w:val="16"/>
          <w:b w:val="1"/>
          <w:bCs w:val="1"/>
          <w:color w:val="auto"/>
        </w:rPr>
        <w:t>Aggregate Exercise Price</w:t>
      </w:r>
      <w:r>
        <w:rPr>
          <w:rFonts w:ascii="Arial" w:cs="Arial" w:eastAsia="Arial" w:hAnsi="Arial"/>
          <w:sz w:val="16"/>
          <w:szCs w:val="16"/>
          <w:color w:val="auto"/>
        </w:rPr>
        <w:t xml:space="preserve">”) in cash by wire transfer of immediately available funds or (B) if the provisions of Section 1(d) are applicable, by notifying the Company that this Warrant is being exercised pursuant to a Cashless Exercise.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after the date the Warrant Shares which are the subject of the Exercise Notice being delivered to the Holder.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w:t>
      </w:r>
      <w:r>
        <w:rPr>
          <w:rFonts w:ascii="Arial" w:cs="Arial" w:eastAsia="Arial" w:hAnsi="Arial"/>
          <w:sz w:val="16"/>
          <w:szCs w:val="16"/>
          <w:b w:val="1"/>
          <w:bCs w:val="1"/>
          <w:color w:val="auto"/>
        </w:rPr>
        <w:t>The Holder and any assignee, by acceptance of this Warrant, acknowledge and</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agree that, by reason of the provisions of this paragraph, following the purchase of a portion of the Warrant Shares hereunder, the number of Warrant Shares available for purchase hereunder at any given time may be less than the amount stated on the face hereof. </w:t>
      </w:r>
      <w:r>
        <w:rPr>
          <w:rFonts w:ascii="Arial" w:cs="Arial" w:eastAsia="Arial" w:hAnsi="Arial"/>
          <w:sz w:val="16"/>
          <w:szCs w:val="16"/>
          <w:color w:val="auto"/>
        </w:rPr>
        <w:t>On or before the third</w:t>
      </w:r>
      <w:r>
        <w:rPr>
          <w:rFonts w:ascii="Arial" w:cs="Arial" w:eastAsia="Arial" w:hAnsi="Arial"/>
          <w:sz w:val="16"/>
          <w:szCs w:val="16"/>
          <w:b w:val="1"/>
          <w:bCs w:val="1"/>
          <w:color w:val="auto"/>
        </w:rPr>
        <w:t xml:space="preserve"> </w:t>
      </w:r>
      <w:r>
        <w:rPr>
          <w:rFonts w:ascii="Arial" w:cs="Arial" w:eastAsia="Arial" w:hAnsi="Arial"/>
          <w:sz w:val="16"/>
          <w:szCs w:val="16"/>
          <w:color w:val="auto"/>
        </w:rPr>
        <w:t>(3rd) Trading Day following the date on which the Company has received the Exercise Notice (the “</w:t>
      </w:r>
      <w:r>
        <w:rPr>
          <w:rFonts w:ascii="Arial" w:cs="Arial" w:eastAsia="Arial" w:hAnsi="Arial"/>
          <w:sz w:val="16"/>
          <w:szCs w:val="16"/>
          <w:b w:val="1"/>
          <w:bCs w:val="1"/>
          <w:color w:val="auto"/>
        </w:rPr>
        <w:t>Share Delivery Date</w:t>
      </w:r>
      <w:r>
        <w:rPr>
          <w:rFonts w:ascii="Arial" w:cs="Arial" w:eastAsia="Arial" w:hAnsi="Arial"/>
          <w:sz w:val="16"/>
          <w:szCs w:val="16"/>
          <w:color w:val="auto"/>
        </w:rPr>
        <w:t>”), so long as the Holder delivers the Aggregate Exercise Price (or notice of a Cashless Exercise) on or prior to the second (2nd) Trading Day following the date on which the Company has received the Exercise Notice (provided that if the Aggregate Exercise Price (or notice of a Cashless Exercise) has not been delivered by such date, the Share Delivery Date shall be extended one (1) Trading Day after the Aggregate Exercise Price (or notice of a Cashless Exercise) is delivered), the Company shall (X) provided that the Company’s transfer agent (“</w:t>
      </w:r>
      <w:r>
        <w:rPr>
          <w:rFonts w:ascii="Arial" w:cs="Arial" w:eastAsia="Arial" w:hAnsi="Arial"/>
          <w:sz w:val="16"/>
          <w:szCs w:val="16"/>
          <w:b w:val="1"/>
          <w:bCs w:val="1"/>
          <w:color w:val="auto"/>
        </w:rPr>
        <w:t>Transfer Agent</w:t>
      </w:r>
      <w:r>
        <w:rPr>
          <w:rFonts w:ascii="Arial" w:cs="Arial" w:eastAsia="Arial" w:hAnsi="Arial"/>
          <w:sz w:val="16"/>
          <w:szCs w:val="16"/>
          <w:color w:val="auto"/>
        </w:rPr>
        <w:t>”) is participating in The Depository Trust Company (“</w:t>
      </w:r>
      <w:r>
        <w:rPr>
          <w:rFonts w:ascii="Arial" w:cs="Arial" w:eastAsia="Arial" w:hAnsi="Arial"/>
          <w:sz w:val="16"/>
          <w:szCs w:val="16"/>
          <w:b w:val="1"/>
          <w:bCs w:val="1"/>
          <w:color w:val="auto"/>
        </w:rPr>
        <w:t>DTC</w:t>
      </w:r>
      <w:r>
        <w:rPr>
          <w:rFonts w:ascii="Arial" w:cs="Arial" w:eastAsia="Arial" w:hAnsi="Arial"/>
          <w:sz w:val="16"/>
          <w:szCs w:val="16"/>
          <w:color w:val="auto"/>
        </w:rPr>
        <w:t>”) Fast Automated Securities Transfer Program (“</w:t>
      </w:r>
      <w:r>
        <w:rPr>
          <w:rFonts w:ascii="Arial" w:cs="Arial" w:eastAsia="Arial" w:hAnsi="Arial"/>
          <w:sz w:val="16"/>
          <w:szCs w:val="16"/>
          <w:b w:val="1"/>
          <w:bCs w:val="1"/>
          <w:color w:val="auto"/>
        </w:rPr>
        <w:t>FAST</w:t>
      </w:r>
      <w:r>
        <w:rPr>
          <w:rFonts w:ascii="Arial" w:cs="Arial" w:eastAsia="Arial" w:hAnsi="Arial"/>
          <w:sz w:val="16"/>
          <w:szCs w:val="16"/>
          <w:color w:val="auto"/>
        </w:rPr>
        <w:t xml:space="preserve">”) and the Warrant Shares are eligible to be issued without a restrictive legend, credit such aggregate number of Warrant Shares to which the Holder is entitled pursuant to such exercise to the Holder’s or its designee’s balance account with DTC through its Deposit/Withdrawal At Custodian system, or (Y) if the Transfer Agent is not participating in FAST or the Warrant Shares are not eligible to be issued without a restrictive legend, issue and dispatch by overnight courier to the address as specified in the Exercise Notice, a certificate, registered in the Company’s share register in the name of the Holder or its designee, for the number of Warrant Shares to which the Holder is entitled pursuant to such exercise. The Company shall be responsible for all fees and expenses of the Transfer Agent and all fees and expenses with respect to the issuance of Warrant Shares via DTC, if any. Upon delivery of the Exercise Notice and the Aggregate Exercise Price (or notice of a Cashless Exercise), the Holder shall be deemed for all corporate purposes to have become the holder of record of the Warrant Shares with respect to which this Warrant has been exercised, irrespective of the date such Warrant Shares are credited to the Holder’s DTC account or the date of delivery of the certificates evidencing such Warrant Shares, as the case may be. If this Warrant is submitted in connection with any exercise pursuant to this Section </w:t>
      </w:r>
      <w:r>
        <w:rPr>
          <w:rFonts w:ascii="Arial" w:cs="Arial" w:eastAsia="Arial" w:hAnsi="Arial"/>
          <w:sz w:val="19"/>
          <w:szCs w:val="19"/>
          <w:b w:val="1"/>
          <w:bCs w:val="1"/>
          <w:color w:val="auto"/>
        </w:rPr>
        <w:t>‎</w:t>
      </w:r>
      <w:r>
        <w:rPr>
          <w:rFonts w:ascii="Arial" w:cs="Arial" w:eastAsia="Arial" w:hAnsi="Arial"/>
          <w:sz w:val="16"/>
          <w:szCs w:val="16"/>
          <w:color w:val="auto"/>
        </w:rPr>
        <w:t xml:space="preserve">1(a) and the number of Warrant Shares represented by this Warrant submitted for exercise is greater than the number of Warrant Shares being acquired upon an exercise, then the Company shall as soon as reasonably practicable and in no event later than three (3) Trading Days after any exercise and at its own expense, issue a new Warrant (in accordance with Section </w:t>
      </w:r>
      <w:r>
        <w:rPr>
          <w:rFonts w:ascii="Arial" w:cs="Arial" w:eastAsia="Arial" w:hAnsi="Arial"/>
          <w:sz w:val="19"/>
          <w:szCs w:val="19"/>
          <w:b w:val="1"/>
          <w:bCs w:val="1"/>
          <w:color w:val="auto"/>
        </w:rPr>
        <w:t>‎</w:t>
      </w:r>
      <w:r>
        <w:rPr>
          <w:rFonts w:ascii="Arial" w:cs="Arial" w:eastAsia="Arial" w:hAnsi="Arial"/>
          <w:sz w:val="16"/>
          <w:szCs w:val="16"/>
          <w:color w:val="auto"/>
        </w:rPr>
        <w:t>1(d)) representing the right to purchase the number of Warrant Shares issuable immediately prior to such exercise under this Warrant, less the number of Warrant Shares with respect to which this Warrant is exercised upon surrender of the Warrant so exercised. No fractional Warrant Shares are to be issued upon the exercise of this Warrant, but rather the number of Warrant Shares to be issued shall be rounded down to the nearest whole number. The Company shall pay any and all transfer, stamp, issuance and similar taxes (but not any United States federal, state or local income taxes) that may be payable with respect to the issuance and delivery of Warrant Shares upon exercise of this Warrant. The Company’s obligations to issue and deliver Warrant Shares in accordance with the terms and subject to the conditions hereof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1" w:name="page242"/>
    <w:bookmarkEnd w:id="241"/>
    <w:p>
      <w:pPr>
        <w:ind w:left="2200" w:hanging="248"/>
        <w:spacing w:after="0"/>
        <w:tabs>
          <w:tab w:leader="none" w:pos="2200" w:val="left"/>
        </w:tabs>
        <w:numPr>
          <w:ilvl w:val="0"/>
          <w:numId w:val="231"/>
        </w:numPr>
        <w:rPr>
          <w:rFonts w:ascii="Arial" w:cs="Arial" w:eastAsia="Arial" w:hAnsi="Arial"/>
          <w:sz w:val="17"/>
          <w:szCs w:val="17"/>
          <w:color w:val="auto"/>
        </w:rPr>
      </w:pPr>
      <w:r>
        <w:rPr>
          <w:rFonts w:ascii="Arial" w:cs="Arial" w:eastAsia="Arial" w:hAnsi="Arial"/>
          <w:sz w:val="17"/>
          <w:szCs w:val="17"/>
          <w:u w:val="single" w:color="auto"/>
          <w:color w:val="auto"/>
        </w:rPr>
        <w:t>Exercise Price</w:t>
      </w:r>
      <w:r>
        <w:rPr>
          <w:rFonts w:ascii="Arial" w:cs="Arial" w:eastAsia="Arial" w:hAnsi="Arial"/>
          <w:sz w:val="17"/>
          <w:szCs w:val="17"/>
          <w:color w:val="auto"/>
        </w:rPr>
        <w:t>. For purposes of this Warrant, “</w:t>
      </w:r>
      <w:r>
        <w:rPr>
          <w:rFonts w:ascii="Arial" w:cs="Arial" w:eastAsia="Arial" w:hAnsi="Arial"/>
          <w:sz w:val="17"/>
          <w:szCs w:val="17"/>
          <w:b w:val="1"/>
          <w:bCs w:val="1"/>
          <w:color w:val="auto"/>
        </w:rPr>
        <w:t>Exercise Price</w:t>
      </w:r>
      <w:r>
        <w:rPr>
          <w:rFonts w:ascii="Arial" w:cs="Arial" w:eastAsia="Arial" w:hAnsi="Arial"/>
          <w:sz w:val="17"/>
          <w:szCs w:val="17"/>
          <w:color w:val="auto"/>
        </w:rPr>
        <w:t>” means $0.01, subject to adjustment as provided herein.</w:t>
      </w:r>
    </w:p>
    <w:p>
      <w:pPr>
        <w:spacing w:after="0" w:line="240" w:lineRule="exact"/>
        <w:rPr>
          <w:rFonts w:ascii="Arial" w:cs="Arial" w:eastAsia="Arial" w:hAnsi="Arial"/>
          <w:sz w:val="17"/>
          <w:szCs w:val="17"/>
          <w:color w:val="auto"/>
        </w:rPr>
      </w:pPr>
    </w:p>
    <w:p>
      <w:pPr>
        <w:jc w:val="both"/>
        <w:ind w:firstLine="1952"/>
        <w:spacing w:after="0" w:line="283" w:lineRule="auto"/>
        <w:tabs>
          <w:tab w:leader="none" w:pos="2188" w:val="left"/>
        </w:tabs>
        <w:numPr>
          <w:ilvl w:val="0"/>
          <w:numId w:val="231"/>
        </w:numPr>
        <w:rPr>
          <w:rFonts w:ascii="Arial" w:cs="Arial" w:eastAsia="Arial" w:hAnsi="Arial"/>
          <w:sz w:val="16"/>
          <w:szCs w:val="16"/>
          <w:color w:val="auto"/>
        </w:rPr>
      </w:pPr>
      <w:r>
        <w:rPr>
          <w:rFonts w:ascii="Arial" w:cs="Arial" w:eastAsia="Arial" w:hAnsi="Arial"/>
          <w:sz w:val="16"/>
          <w:szCs w:val="16"/>
          <w:u w:val="single" w:color="auto"/>
          <w:color w:val="auto"/>
        </w:rPr>
        <w:t>Company’s Failure to Timely Deliver Securities</w:t>
      </w:r>
      <w:r>
        <w:rPr>
          <w:rFonts w:ascii="Arial" w:cs="Arial" w:eastAsia="Arial" w:hAnsi="Arial"/>
          <w:sz w:val="16"/>
          <w:szCs w:val="16"/>
          <w:color w:val="auto"/>
        </w:rPr>
        <w:t>. If the Company shall fail, for any reason or for no reason, on or prior to the Share Delivery Date, if the Transfer Agent is not participating in FAST or such shares of Common Stock may not be issued without legends under the Securities Act, to issue and deliver to the Holder (or its designee) a certificate for the number of Warrant Shares to which the Holder is entitled and register such Warrant Shares on the Company’s share register or, if the Transfer Agent is participating in FAST and such shares of Common Stock may not be issued without legends under the Securities Act, to credit the balance account of the Holder or the Holder’s designee with DTC for such number of Warrant Shares to which the Holder is entitled upon the Holder’s exercise of this Warrant (as the case may be) (a “</w:t>
      </w:r>
      <w:r>
        <w:rPr>
          <w:rFonts w:ascii="Arial" w:cs="Arial" w:eastAsia="Arial" w:hAnsi="Arial"/>
          <w:sz w:val="16"/>
          <w:szCs w:val="16"/>
          <w:b w:val="1"/>
          <w:bCs w:val="1"/>
          <w:color w:val="auto"/>
        </w:rPr>
        <w:t>Delivery Failure</w:t>
      </w:r>
      <w:r>
        <w:rPr>
          <w:rFonts w:ascii="Arial" w:cs="Arial" w:eastAsia="Arial" w:hAnsi="Arial"/>
          <w:sz w:val="16"/>
          <w:szCs w:val="16"/>
          <w:color w:val="auto"/>
        </w:rPr>
        <w:t xml:space="preserve">”), then, in addition to all other remedies available to the Holder, (X) the Company shall pay in cash to the Holder on each day after the Share Delivery Date and during such Delivery Failure an amount in cash, as liquidated damages and not as a penalty, equal to 2.0% of the product of (A) the sum of the number of shares of Common Stock not issued to the Holder on or prior to the Share Delivery Date and to which the Holder is entitled, and (B) any trading price of the Common Stock selected by the Holder in writing as in effect at any time during the period beginning on the applicable exercise date and ending on the applicable Share Delivery Date, and (Y) the Holder, upon written notice to the Company, may void its Exercise Notice with respect to, and retain or have returned, as the case may be, any portion of this Warrant that has not been exercised pursuant to such Exercise Notice; provided that the voiding of an Exercise Notice shall not affect the Company’s obligations to make any payments which have accrued prior to the date of such notice pursuant to this Section </w:t>
      </w:r>
      <w:r>
        <w:rPr>
          <w:rFonts w:ascii="Arial" w:cs="Arial" w:eastAsia="Arial" w:hAnsi="Arial"/>
          <w:sz w:val="19"/>
          <w:szCs w:val="19"/>
          <w:b w:val="1"/>
          <w:bCs w:val="1"/>
          <w:color w:val="auto"/>
        </w:rPr>
        <w:t>‎</w:t>
      </w:r>
      <w:r>
        <w:rPr>
          <w:rFonts w:ascii="Arial" w:cs="Arial" w:eastAsia="Arial" w:hAnsi="Arial"/>
          <w:sz w:val="16"/>
          <w:szCs w:val="16"/>
          <w:color w:val="auto"/>
        </w:rPr>
        <w:t>1(c) or otherwise. In addition to the foregoing, if on or after such Share Delivery Date the Holder purchases (in an open market transaction or otherwise) shares of Common Stock to deliver in satisfaction of a sale by the Holder of all or any portion of the number of shares of Common Stock issuable upon such exercise that the Holder is entitled to receive from the Company (a “</w:t>
      </w:r>
      <w:r>
        <w:rPr>
          <w:rFonts w:ascii="Arial" w:cs="Arial" w:eastAsia="Arial" w:hAnsi="Arial"/>
          <w:sz w:val="16"/>
          <w:szCs w:val="16"/>
          <w:b w:val="1"/>
          <w:bCs w:val="1"/>
          <w:color w:val="auto"/>
        </w:rPr>
        <w:t>Buy-In</w:t>
      </w:r>
      <w:r>
        <w:rPr>
          <w:rFonts w:ascii="Arial" w:cs="Arial" w:eastAsia="Arial" w:hAnsi="Arial"/>
          <w:sz w:val="16"/>
          <w:szCs w:val="16"/>
          <w:color w:val="auto"/>
        </w:rPr>
        <w:t>”), then, in addition to all other remedies available to the Holder, the Company shall, within three (3) Business Days after the Holder’s request and in the Holder’s discretion, either (i) pay cash to the Holder in an amount equal to the Holder’s total purchase price (including brokerage commissions and other out-of-pocket expenses, if any) for the shares of Common Stock so purchased (including, without limitation, by any other Person in respect, or on behalf, of the Holder) (the “</w:t>
      </w:r>
      <w:r>
        <w:rPr>
          <w:rFonts w:ascii="Arial" w:cs="Arial" w:eastAsia="Arial" w:hAnsi="Arial"/>
          <w:sz w:val="16"/>
          <w:szCs w:val="16"/>
          <w:b w:val="1"/>
          <w:bCs w:val="1"/>
          <w:color w:val="auto"/>
        </w:rPr>
        <w:t>Buy-In Price</w:t>
      </w:r>
      <w:r>
        <w:rPr>
          <w:rFonts w:ascii="Arial" w:cs="Arial" w:eastAsia="Arial" w:hAnsi="Arial"/>
          <w:sz w:val="16"/>
          <w:szCs w:val="16"/>
          <w:color w:val="auto"/>
        </w:rPr>
        <w:t>”), at which point the Company’s obligation to so issue and deliver such certificate (and to issue such shares of Common Stock) or credit the balance account of such Holder or such Holder’s designee, as applicable, with DTC for the number of Warrant Shares to which the Holder is entitled upon the Holder’s exercise hereunder (as the case may be) (and to issue such Warrant Shares) shall terminate, or (ii) promptly honor its obligation to so issue and deliver to the Holder a certificate or certificates representing such Warrant Shares or credit the balance account of such Holder or such Holder’s designee, as applicable, with DTC for the number of Warrant Shares to which the Holder is entitled upon the Holder’s exercise hereunder (as the case may be) and pay cash to the Holder in an amount equal to the excess (if any) of the Buy-In Price over the product of (A) such number of Warrant Shares multiplied by (B) the Closing Sale Price of the Common Stock on the Share Delivery Date with respect to the related Exercise Notice (the “</w:t>
      </w:r>
      <w:r>
        <w:rPr>
          <w:rFonts w:ascii="Arial" w:cs="Arial" w:eastAsia="Arial" w:hAnsi="Arial"/>
          <w:sz w:val="16"/>
          <w:szCs w:val="16"/>
          <w:b w:val="1"/>
          <w:bCs w:val="1"/>
          <w:color w:val="auto"/>
        </w:rPr>
        <w:t>Buy-In Payment Amount</w:t>
      </w:r>
      <w:r>
        <w:rPr>
          <w:rFonts w:ascii="Arial" w:cs="Arial" w:eastAsia="Arial" w:hAnsi="Arial"/>
          <w:sz w:val="16"/>
          <w:szCs w:val="16"/>
          <w:color w:val="auto"/>
        </w:rPr>
        <w:t>”). The Holder shall provide the Company written notice indicating the amounts payable to the Holder in respect of the Buy-In and, upon request of the Company, evidence of the amount of such loss. Nothing shall limit the Holder’s right to pursue any other remedies available to it hereunder, at law or in equity, including, without limitation, a decree of specific performance and/or injunctive relief with respect to the Company’s failure to timely deliver certificates representing shares of Common Stock (or to electronically deliver such shares of Common Stock) upon the exercise of this Warrant as required pursuant to the terms hereof.</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2" w:name="page243"/>
    <w:bookmarkEnd w:id="242"/>
    <w:p>
      <w:pPr>
        <w:jc w:val="both"/>
        <w:ind w:firstLine="1952"/>
        <w:spacing w:after="0" w:line="255" w:lineRule="auto"/>
        <w:tabs>
          <w:tab w:leader="none" w:pos="2212" w:val="left"/>
        </w:tabs>
        <w:numPr>
          <w:ilvl w:val="0"/>
          <w:numId w:val="232"/>
        </w:numPr>
        <w:rPr>
          <w:rFonts w:ascii="Arial" w:cs="Arial" w:eastAsia="Arial" w:hAnsi="Arial"/>
          <w:sz w:val="18"/>
          <w:szCs w:val="18"/>
          <w:color w:val="auto"/>
        </w:rPr>
      </w:pPr>
      <w:r>
        <w:rPr>
          <w:rFonts w:ascii="Arial" w:cs="Arial" w:eastAsia="Arial" w:hAnsi="Arial"/>
          <w:sz w:val="18"/>
          <w:szCs w:val="18"/>
          <w:u w:val="single" w:color="auto"/>
          <w:color w:val="auto"/>
        </w:rPr>
        <w:t>Cashless Exercise</w:t>
      </w:r>
      <w:r>
        <w:rPr>
          <w:rFonts w:ascii="Arial" w:cs="Arial" w:eastAsia="Arial" w:hAnsi="Arial"/>
          <w:sz w:val="18"/>
          <w:szCs w:val="18"/>
          <w:color w:val="auto"/>
        </w:rPr>
        <w:t xml:space="preserve">. Notwithstanding anything contained herein to the contrary (other than Section </w:t>
      </w:r>
      <w:r>
        <w:rPr>
          <w:rFonts w:ascii="Arial" w:cs="Arial" w:eastAsia="Arial" w:hAnsi="Arial"/>
          <w:sz w:val="21"/>
          <w:szCs w:val="21"/>
          <w:b w:val="1"/>
          <w:bCs w:val="1"/>
          <w:color w:val="auto"/>
        </w:rPr>
        <w:t>‎</w:t>
      </w:r>
      <w:r>
        <w:rPr>
          <w:rFonts w:ascii="Arial" w:cs="Arial" w:eastAsia="Arial" w:hAnsi="Arial"/>
          <w:sz w:val="18"/>
          <w:szCs w:val="18"/>
          <w:color w:val="auto"/>
        </w:rPr>
        <w:t xml:space="preserve">1(f) below), the Holder may, in its sole discretion (and without limiting the Holder’s rights and remedies contained herein), exercise this Warrant in whole or in part and, subject to the provisions of Section </w:t>
      </w:r>
      <w:r>
        <w:rPr>
          <w:rFonts w:ascii="Arial" w:cs="Arial" w:eastAsia="Arial" w:hAnsi="Arial"/>
          <w:sz w:val="21"/>
          <w:szCs w:val="21"/>
          <w:b w:val="1"/>
          <w:bCs w:val="1"/>
          <w:color w:val="auto"/>
        </w:rPr>
        <w:t>‎</w:t>
      </w:r>
      <w:r>
        <w:rPr>
          <w:rFonts w:ascii="Arial" w:cs="Arial" w:eastAsia="Arial" w:hAnsi="Arial"/>
          <w:sz w:val="18"/>
          <w:szCs w:val="18"/>
          <w:color w:val="auto"/>
        </w:rPr>
        <w:t>1(a), in lieu of making the cash payment otherwise contemplated to be made to the Company upon such exercise in payment of the Aggregate Exercise Price, elect instead to receive upon such exercise the “Net Number” of Warrant Shares determined according to the following formula:</w:t>
      </w:r>
    </w:p>
    <w:p>
      <w:pPr>
        <w:spacing w:after="0" w:line="19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Net Number = </w:t>
      </w:r>
      <w:r>
        <w:rPr>
          <w:rFonts w:ascii="Arial" w:cs="Arial" w:eastAsia="Arial" w:hAnsi="Arial"/>
          <w:sz w:val="18"/>
          <w:szCs w:val="18"/>
          <w:u w:val="single" w:color="auto"/>
          <w:color w:val="auto"/>
        </w:rPr>
        <w:t>(A x B) - (A x C)</w:t>
      </w:r>
    </w:p>
    <w:p>
      <w:pPr>
        <w:spacing w:after="0" w:line="23"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B</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For purposes of the foregoing formula: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 the total number of shares with respect to which this Warrant is then being exercised.</w:t>
      </w:r>
    </w:p>
    <w:p>
      <w:pPr>
        <w:spacing w:after="0" w:line="225" w:lineRule="exact"/>
        <w:rPr>
          <w:sz w:val="20"/>
          <w:szCs w:val="20"/>
          <w:color w:val="auto"/>
        </w:rPr>
      </w:pPr>
    </w:p>
    <w:p>
      <w:pPr>
        <w:ind w:left="1300" w:right="20"/>
        <w:spacing w:after="0" w:line="342" w:lineRule="auto"/>
        <w:rPr>
          <w:sz w:val="20"/>
          <w:szCs w:val="20"/>
          <w:color w:val="auto"/>
        </w:rPr>
      </w:pPr>
      <w:r>
        <w:rPr>
          <w:rFonts w:ascii="Arial" w:cs="Arial" w:eastAsia="Arial" w:hAnsi="Arial"/>
          <w:sz w:val="16"/>
          <w:szCs w:val="16"/>
          <w:color w:val="auto"/>
        </w:rPr>
        <w:t>B = the quotient of (x) the sum of the VWAP of the Common Stock of each of the five (5) Trading Days ending at the close of business on the Principal Market immediately prior to the time of exercise as set forth in the applicable Exercise Notice, divided by (y) five (5).</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 = the Exercise Price then in effect for the applicable Warrant Shares at the time of such exercise.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purposes of Rule 144(d) promulgated under the Securities Act, as in effect on the date hereof, it is intended that the Warrant Shares issued in a Cashless Exercise shall be deemed to have been acquired by the Holder, and the holding period for the Warrant Shares shall be deemed to have commenced, on the date this Warrant was originally issued pursuant to the Credit Agreement.</w:t>
      </w:r>
    </w:p>
    <w:p>
      <w:pPr>
        <w:spacing w:after="0" w:line="184" w:lineRule="exact"/>
        <w:rPr>
          <w:sz w:val="20"/>
          <w:szCs w:val="20"/>
          <w:color w:val="auto"/>
        </w:rPr>
      </w:pPr>
    </w:p>
    <w:p>
      <w:pPr>
        <w:jc w:val="both"/>
        <w:ind w:firstLine="1952"/>
        <w:spacing w:after="0" w:line="263" w:lineRule="auto"/>
        <w:tabs>
          <w:tab w:leader="none" w:pos="2188" w:val="left"/>
        </w:tabs>
        <w:numPr>
          <w:ilvl w:val="0"/>
          <w:numId w:val="233"/>
        </w:numPr>
        <w:rPr>
          <w:rFonts w:ascii="Arial" w:cs="Arial" w:eastAsia="Arial" w:hAnsi="Arial"/>
          <w:sz w:val="18"/>
          <w:szCs w:val="18"/>
          <w:color w:val="auto"/>
        </w:rPr>
      </w:pPr>
      <w:r>
        <w:rPr>
          <w:rFonts w:ascii="Arial" w:cs="Arial" w:eastAsia="Arial" w:hAnsi="Arial"/>
          <w:sz w:val="18"/>
          <w:szCs w:val="18"/>
          <w:u w:val="single" w:color="auto"/>
          <w:color w:val="auto"/>
        </w:rPr>
        <w:t>Disputes</w:t>
      </w:r>
      <w:r>
        <w:rPr>
          <w:rFonts w:ascii="Arial" w:cs="Arial" w:eastAsia="Arial" w:hAnsi="Arial"/>
          <w:sz w:val="18"/>
          <w:szCs w:val="18"/>
          <w:color w:val="auto"/>
        </w:rPr>
        <w:t xml:space="preserve">. In the case of a dispute as to the determination of the Exercise Price or the arithmetic calculation of the number of Warrant Shares to be issued pursuant to the terms hereof, the Company shall promptly issue to the Holder the number of Warrant Shares that are not disputed and resolve such dispute in accordance with Section </w:t>
      </w:r>
      <w:r>
        <w:rPr>
          <w:rFonts w:ascii="Arial" w:cs="Arial" w:eastAsia="Arial" w:hAnsi="Arial"/>
          <w:sz w:val="21"/>
          <w:szCs w:val="21"/>
          <w:b w:val="1"/>
          <w:bCs w:val="1"/>
          <w:color w:val="auto"/>
        </w:rPr>
        <w:t>‎</w:t>
      </w:r>
      <w:r>
        <w:rPr>
          <w:rFonts w:ascii="Arial" w:cs="Arial" w:eastAsia="Arial" w:hAnsi="Arial"/>
          <w:sz w:val="18"/>
          <w:szCs w:val="18"/>
          <w:color w:val="auto"/>
        </w:rPr>
        <w:t>12.</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43" w:name="page244"/>
    <w:bookmarkEnd w:id="243"/>
    <w:p>
      <w:pPr>
        <w:jc w:val="both"/>
        <w:ind w:firstLine="1952"/>
        <w:spacing w:after="0" w:line="281" w:lineRule="auto"/>
        <w:tabs>
          <w:tab w:leader="none" w:pos="2196" w:val="left"/>
        </w:tabs>
        <w:numPr>
          <w:ilvl w:val="1"/>
          <w:numId w:val="234"/>
        </w:numPr>
        <w:rPr>
          <w:rFonts w:ascii="Arial" w:cs="Arial" w:eastAsia="Arial" w:hAnsi="Arial"/>
          <w:sz w:val="16"/>
          <w:szCs w:val="16"/>
          <w:color w:val="auto"/>
        </w:rPr>
      </w:pPr>
      <w:r>
        <w:rPr>
          <w:rFonts w:ascii="Arial" w:cs="Arial" w:eastAsia="Arial" w:hAnsi="Arial"/>
          <w:sz w:val="16"/>
          <w:szCs w:val="16"/>
          <w:u w:val="single" w:color="auto"/>
          <w:color w:val="auto"/>
        </w:rPr>
        <w:t>Limitations on Exercises</w:t>
      </w:r>
      <w:r>
        <w:rPr>
          <w:rFonts w:ascii="Arial" w:cs="Arial" w:eastAsia="Arial" w:hAnsi="Arial"/>
          <w:sz w:val="16"/>
          <w:szCs w:val="16"/>
          <w:color w:val="auto"/>
        </w:rPr>
        <w:t>. Notwithstanding anything to the contrary contained herein, the Company shall not effect the exercise of any portion of this Warrant, and the Holder shall not have the right to exercise any portion of this Warrant, pursuant to the terms and conditions of this Warrant and any such exercise shall be null and void and treated as if never made, to the extent that after giving effect to such exercise, the Holder together with the other Attribution Parties collectively would beneficially own in excess of 4.99% (the “</w:t>
      </w:r>
      <w:r>
        <w:rPr>
          <w:rFonts w:ascii="Arial" w:cs="Arial" w:eastAsia="Arial" w:hAnsi="Arial"/>
          <w:sz w:val="16"/>
          <w:szCs w:val="16"/>
          <w:b w:val="1"/>
          <w:bCs w:val="1"/>
          <w:color w:val="auto"/>
        </w:rPr>
        <w:t>Maximum Percentage</w:t>
      </w:r>
      <w:r>
        <w:rPr>
          <w:rFonts w:ascii="Arial" w:cs="Arial" w:eastAsia="Arial" w:hAnsi="Arial"/>
          <w:sz w:val="16"/>
          <w:szCs w:val="16"/>
          <w:color w:val="auto"/>
        </w:rPr>
        <w:t xml:space="preserve">”) of the number of shares of Common Stock outstanding immediately after giving effect to such exercise. For purposes of the foregoing sentence, the aggregate number of shares of Common Stock beneficially owned by the Holder and the other Attribution Parties shall include the number of shares of Common Stock held by the Holder and all other Attribution Parties plus the number of shares of Common Stock issuable upon exercise of this Warrant with respect to which the determination of such sentence is being made, but shall exclude the number of shares of Common Stock which would be issuable upon (A) exercise of the remaining, unexercised portion of this Warrant beneficially owned by the Holder or any of the other Attribution Parties and (B) exercise or conversion of the unexercised or unconverted portion of any other securities of the Company (including, without limitation, any convertible notes or convertible preferred stock or warrants) beneficially owned by the Holder or any other Attribution Party subject to a limitation on conversion or exercise analogous to the limitation contained in this Section </w:t>
      </w:r>
      <w:r>
        <w:rPr>
          <w:rFonts w:ascii="Arial" w:cs="Arial" w:eastAsia="Arial" w:hAnsi="Arial"/>
          <w:sz w:val="19"/>
          <w:szCs w:val="19"/>
          <w:b w:val="1"/>
          <w:bCs w:val="1"/>
          <w:color w:val="auto"/>
        </w:rPr>
        <w:t>‎</w:t>
      </w:r>
      <w:r>
        <w:rPr>
          <w:rFonts w:ascii="Arial" w:cs="Arial" w:eastAsia="Arial" w:hAnsi="Arial"/>
          <w:sz w:val="16"/>
          <w:szCs w:val="16"/>
          <w:color w:val="auto"/>
        </w:rPr>
        <w:t xml:space="preserve">1(f). For purposes of this Section </w:t>
      </w:r>
      <w:r>
        <w:rPr>
          <w:rFonts w:ascii="Arial" w:cs="Arial" w:eastAsia="Arial" w:hAnsi="Arial"/>
          <w:sz w:val="19"/>
          <w:szCs w:val="19"/>
          <w:b w:val="1"/>
          <w:bCs w:val="1"/>
          <w:color w:val="auto"/>
        </w:rPr>
        <w:t>‎</w:t>
      </w:r>
      <w:r>
        <w:rPr>
          <w:rFonts w:ascii="Arial" w:cs="Arial" w:eastAsia="Arial" w:hAnsi="Arial"/>
          <w:sz w:val="16"/>
          <w:szCs w:val="16"/>
          <w:color w:val="auto"/>
        </w:rPr>
        <w:t>1(f), beneficial ownership shall be calculated in accordance with Section 13(d) of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For purposes of this Warrant, in determining the number of outstanding shares of Common Stock the Holder may acquire upon the exercise of this Warrant without exceeding the Maximum Percentage, the Holder may rely on the number of outstanding shares of Common Stock as reflected in (x) the Company’s most recent Annual Report on Form 10-K, Quarterly Report on Form 10-Q, Current Report on Form 8-K or other public filing with the Securities and Exchange Commission (the “</w:t>
      </w:r>
      <w:r>
        <w:rPr>
          <w:rFonts w:ascii="Arial" w:cs="Arial" w:eastAsia="Arial" w:hAnsi="Arial"/>
          <w:sz w:val="16"/>
          <w:szCs w:val="16"/>
          <w:b w:val="1"/>
          <w:bCs w:val="1"/>
          <w:color w:val="auto"/>
        </w:rPr>
        <w:t>SEC</w:t>
      </w:r>
      <w:r>
        <w:rPr>
          <w:rFonts w:ascii="Arial" w:cs="Arial" w:eastAsia="Arial" w:hAnsi="Arial"/>
          <w:sz w:val="16"/>
          <w:szCs w:val="16"/>
          <w:color w:val="auto"/>
        </w:rPr>
        <w:t>”), as the case may be, (y) a more recent public announcement by the Company or (z) any other written notice by the Company or the Transfer Agent, if any, setting forth the number of shares of Common Stock outstanding (the “</w:t>
      </w:r>
      <w:r>
        <w:rPr>
          <w:rFonts w:ascii="Arial" w:cs="Arial" w:eastAsia="Arial" w:hAnsi="Arial"/>
          <w:sz w:val="16"/>
          <w:szCs w:val="16"/>
          <w:b w:val="1"/>
          <w:bCs w:val="1"/>
          <w:color w:val="auto"/>
        </w:rPr>
        <w:t>Reported Outstanding Share Number</w:t>
      </w:r>
      <w:r>
        <w:rPr>
          <w:rFonts w:ascii="Arial" w:cs="Arial" w:eastAsia="Arial" w:hAnsi="Arial"/>
          <w:sz w:val="16"/>
          <w:szCs w:val="16"/>
          <w:color w:val="auto"/>
        </w:rPr>
        <w:t xml:space="preserve">”). If the Company receives an Exercise Notice from the Holder at a time when the actual number of outstanding shares of Common Stock is less than the Reported Outstanding Share Number, the Company shall (i) notify the Holder in writing of the number of shares of Common Stock then outstanding and, to the extent that such Exercise Notice would otherwise cause the Holder’s beneficial ownership, as determined pursuant to this Section </w:t>
      </w:r>
      <w:r>
        <w:rPr>
          <w:rFonts w:ascii="Arial" w:cs="Arial" w:eastAsia="Arial" w:hAnsi="Arial"/>
          <w:sz w:val="19"/>
          <w:szCs w:val="19"/>
          <w:b w:val="1"/>
          <w:bCs w:val="1"/>
          <w:color w:val="auto"/>
        </w:rPr>
        <w:t>‎</w:t>
      </w:r>
      <w:r>
        <w:rPr>
          <w:rFonts w:ascii="Arial" w:cs="Arial" w:eastAsia="Arial" w:hAnsi="Arial"/>
          <w:sz w:val="16"/>
          <w:szCs w:val="16"/>
          <w:color w:val="auto"/>
        </w:rPr>
        <w:t>1(f), to exceed the Maximum Percentage, the Holder must notify the Company of a reduced number of Warrant Shares to be purchased pursuant to such Exercise Notice (the number of shares by which such purchase is reduced, the “</w:t>
      </w:r>
      <w:r>
        <w:rPr>
          <w:rFonts w:ascii="Arial" w:cs="Arial" w:eastAsia="Arial" w:hAnsi="Arial"/>
          <w:sz w:val="16"/>
          <w:szCs w:val="16"/>
          <w:b w:val="1"/>
          <w:bCs w:val="1"/>
          <w:color w:val="auto"/>
        </w:rPr>
        <w:t>Reduction Shares</w:t>
      </w:r>
      <w:r>
        <w:rPr>
          <w:rFonts w:ascii="Arial" w:cs="Arial" w:eastAsia="Arial" w:hAnsi="Arial"/>
          <w:sz w:val="16"/>
          <w:szCs w:val="16"/>
          <w:color w:val="auto"/>
        </w:rPr>
        <w:t>”) and</w:t>
      </w:r>
    </w:p>
    <w:p>
      <w:pPr>
        <w:jc w:val="both"/>
        <w:ind w:firstLine="8"/>
        <w:spacing w:after="0" w:line="280" w:lineRule="auto"/>
        <w:tabs>
          <w:tab w:leader="none" w:pos="283" w:val="left"/>
        </w:tabs>
        <w:numPr>
          <w:ilvl w:val="0"/>
          <w:numId w:val="235"/>
        </w:numPr>
        <w:rPr>
          <w:rFonts w:ascii="Arial" w:cs="Arial" w:eastAsia="Arial" w:hAnsi="Arial"/>
          <w:sz w:val="16"/>
          <w:szCs w:val="16"/>
          <w:color w:val="auto"/>
        </w:rPr>
      </w:pPr>
      <w:r>
        <w:rPr>
          <w:rFonts w:ascii="Arial" w:cs="Arial" w:eastAsia="Arial" w:hAnsi="Arial"/>
          <w:sz w:val="16"/>
          <w:szCs w:val="16"/>
          <w:color w:val="auto"/>
        </w:rPr>
        <w:t>as soon as reasonably practicable, the Company shall return to the Holder any exercise price paid by the Holder for the Reduction Shares. For any reason at any time, upon the written or oral request of the Holder, the Company shall within one (1) Business Day confirm orally and in writing or by electronic mail to the Holder the number of shares of Common Stock then outstanding. In any case, the number of outstanding shares of Common Stock shall be determined after giving effect to the conversion or exercise of securities of the Company, including this Warrant, by the Holder and any other Attribution Party since the date as of which the Reported Outstanding Share Number was reported. In the event that the issuance of shares of Common Stock to the Holder upon exercise of this Warrant results in the Holder and the other Attribution Parties being deemed to beneficially own, in the aggregate, more than the Maximum Percentage of the number of outstanding shares of Common Stock (as determined under Section 13(d) of the Exchange Act), the number of shares so issued by which the Holder’s and the other Attribution Parties’ aggregate beneficial ownership exceeds the Maximum Percentage (the “</w:t>
      </w:r>
      <w:r>
        <w:rPr>
          <w:rFonts w:ascii="Arial" w:cs="Arial" w:eastAsia="Arial" w:hAnsi="Arial"/>
          <w:sz w:val="16"/>
          <w:szCs w:val="16"/>
          <w:b w:val="1"/>
          <w:bCs w:val="1"/>
          <w:color w:val="auto"/>
        </w:rPr>
        <w:t>Excess Shares</w:t>
      </w:r>
      <w:r>
        <w:rPr>
          <w:rFonts w:ascii="Arial" w:cs="Arial" w:eastAsia="Arial" w:hAnsi="Arial"/>
          <w:sz w:val="16"/>
          <w:szCs w:val="16"/>
          <w:color w:val="auto"/>
        </w:rPr>
        <w:t xml:space="preserve">”) shall be deemed null and void and shall be cancelled ab initio, and the Holder shall not have the power to vote or to transfer the Excess Shares. As soon as reasonably practicable after the issuance of the Excess Shares has been deemed null and void, the Company shall return to the Holder the exercise price paid by the Holder for the Excess Shares. Upon delivery of a written notice to the Company, the Holder may from time to time increase (with such increase not effective until the sixty-first (61st) day after delivery of such notice) or decrease the Maximum Percentage to any other percentage not in excess of 9.99% as specified in such notice; provided that (i) any such increase in the Maximum Percentage will not be effective until the sixty-first (61st) day after such notice is delivered to the Company and (ii) any such increase or decrease will apply only to the Holder and the other Attribution Parties and not to any other holder that is not an Attribution Party of the Holder. For purposes of clarity, the shares of Common Stock issuable pursuant to the terms of this Warrant in excess of the Maximum Percentage shall not be deemed to be beneficially owned by the Holder for any purpose including for purposes of Section 13(d) or Rule 16a-1(a)(1) of the Exchange Act. No prior inability to exercise this Warrant pursuant to this paragraph shall have any effect on the applicability of the provisions of this paragraph with respect to any subsequent determination of exercisability. The provisions of this paragraph shall be construed and implemented in a manner otherwise than in strict conformity with the terms of this Section </w:t>
      </w:r>
      <w:r>
        <w:rPr>
          <w:rFonts w:ascii="Arial" w:cs="Arial" w:eastAsia="Arial" w:hAnsi="Arial"/>
          <w:sz w:val="19"/>
          <w:szCs w:val="19"/>
          <w:b w:val="1"/>
          <w:bCs w:val="1"/>
          <w:color w:val="auto"/>
        </w:rPr>
        <w:t>‎</w:t>
      </w:r>
      <w:r>
        <w:rPr>
          <w:rFonts w:ascii="Arial" w:cs="Arial" w:eastAsia="Arial" w:hAnsi="Arial"/>
          <w:sz w:val="16"/>
          <w:szCs w:val="16"/>
          <w:color w:val="auto"/>
        </w:rPr>
        <w:t xml:space="preserve">1(f) to the extent necessary to correct this paragraph or any portion of this paragraph which may be defective or inconsistent with the intended beneficial ownership limitation contained in this Section </w:t>
      </w:r>
      <w:r>
        <w:rPr>
          <w:rFonts w:ascii="Arial" w:cs="Arial" w:eastAsia="Arial" w:hAnsi="Arial"/>
          <w:sz w:val="19"/>
          <w:szCs w:val="19"/>
          <w:b w:val="1"/>
          <w:bCs w:val="1"/>
          <w:color w:val="auto"/>
        </w:rPr>
        <w:t>‎</w:t>
      </w:r>
      <w:r>
        <w:rPr>
          <w:rFonts w:ascii="Arial" w:cs="Arial" w:eastAsia="Arial" w:hAnsi="Arial"/>
          <w:sz w:val="16"/>
          <w:szCs w:val="16"/>
          <w:color w:val="auto"/>
        </w:rPr>
        <w:t>1(f) or to make changes or supplements necessary or desirable to properly give effect to such limitation. The limitation contained in this paragraph may not be waived and shall apply to a successor holder of this Warrant. Notwithstanding anything to the contrary contained herein, the Holder and the Company agree that the total number of shares of Common Stock issuable pursuant to the terms of this Warrant and the other warrants issued in connection with the Third Amendment (together with this Warrant, the “</w:t>
      </w:r>
      <w:r>
        <w:rPr>
          <w:rFonts w:ascii="Arial" w:cs="Arial" w:eastAsia="Arial" w:hAnsi="Arial"/>
          <w:sz w:val="16"/>
          <w:szCs w:val="16"/>
          <w:b w:val="1"/>
          <w:bCs w:val="1"/>
          <w:color w:val="auto"/>
        </w:rPr>
        <w:t>Third Amendment Warrants</w:t>
      </w:r>
      <w:r>
        <w:rPr>
          <w:rFonts w:ascii="Arial" w:cs="Arial" w:eastAsia="Arial" w:hAnsi="Arial"/>
          <w:sz w:val="16"/>
          <w:szCs w:val="16"/>
          <w:color w:val="auto"/>
        </w:rPr>
        <w:t>”), together with the total number of shares of Common Stock issued pursuant to Section 4.11 of the stock purchase agreement, dated October 10, 2023 (the “</w:t>
      </w:r>
      <w:r>
        <w:rPr>
          <w:rFonts w:ascii="Arial" w:cs="Arial" w:eastAsia="Arial" w:hAnsi="Arial"/>
          <w:sz w:val="16"/>
          <w:szCs w:val="16"/>
          <w:b w:val="1"/>
          <w:bCs w:val="1"/>
          <w:color w:val="auto"/>
        </w:rPr>
        <w:t>Cleveland Avenue Purchase Agreement</w:t>
      </w:r>
      <w:r>
        <w:rPr>
          <w:rFonts w:ascii="Arial" w:cs="Arial" w:eastAsia="Arial" w:hAnsi="Arial"/>
          <w:sz w:val="16"/>
          <w:szCs w:val="16"/>
          <w:color w:val="auto"/>
        </w:rPr>
        <w:t>”), by and between the Company and Presto CA LLC (“</w:t>
      </w:r>
      <w:r>
        <w:rPr>
          <w:rFonts w:ascii="Arial" w:cs="Arial" w:eastAsia="Arial" w:hAnsi="Arial"/>
          <w:sz w:val="16"/>
          <w:szCs w:val="16"/>
          <w:b w:val="1"/>
          <w:bCs w:val="1"/>
          <w:color w:val="auto"/>
        </w:rPr>
        <w:t>Cleveland Avenue</w:t>
      </w:r>
      <w:r>
        <w:rPr>
          <w:rFonts w:ascii="Arial" w:cs="Arial" w:eastAsia="Arial" w:hAnsi="Arial"/>
          <w:sz w:val="16"/>
          <w:szCs w:val="16"/>
          <w:color w:val="auto"/>
        </w:rPr>
        <w:t>”), may not exceed the requirements of Nasdaq Listing Rule 5635(d) (“</w:t>
      </w:r>
      <w:r>
        <w:rPr>
          <w:rFonts w:ascii="Arial" w:cs="Arial" w:eastAsia="Arial" w:hAnsi="Arial"/>
          <w:sz w:val="16"/>
          <w:szCs w:val="16"/>
          <w:b w:val="1"/>
          <w:bCs w:val="1"/>
          <w:color w:val="auto"/>
        </w:rPr>
        <w:t>Nasdaq</w:t>
      </w:r>
      <w:r>
        <w:rPr>
          <w:rFonts w:ascii="Arial" w:cs="Arial" w:eastAsia="Arial" w:hAnsi="Arial"/>
          <w:sz w:val="16"/>
          <w:szCs w:val="16"/>
          <w:color w:val="auto"/>
        </w:rPr>
        <w:t xml:space="preserve"> </w:t>
      </w:r>
      <w:r>
        <w:rPr>
          <w:rFonts w:ascii="Arial" w:cs="Arial" w:eastAsia="Arial" w:hAnsi="Arial"/>
          <w:sz w:val="16"/>
          <w:szCs w:val="16"/>
          <w:b w:val="1"/>
          <w:bCs w:val="1"/>
          <w:color w:val="auto"/>
        </w:rPr>
        <w:t>19.99% Cap</w:t>
      </w:r>
      <w:r>
        <w:rPr>
          <w:rFonts w:ascii="Arial" w:cs="Arial" w:eastAsia="Arial" w:hAnsi="Arial"/>
          <w:sz w:val="16"/>
          <w:szCs w:val="16"/>
          <w:color w:val="auto"/>
        </w:rPr>
        <w:t>”), except that such limitation will not apply following Approval (defined below). If the aggregate number of shares of Common Stock issued</w:t>
      </w:r>
      <w:r>
        <w:rPr>
          <w:rFonts w:ascii="Arial" w:cs="Arial" w:eastAsia="Arial" w:hAnsi="Arial"/>
          <w:sz w:val="16"/>
          <w:szCs w:val="16"/>
          <w:b w:val="1"/>
          <w:bCs w:val="1"/>
          <w:color w:val="auto"/>
        </w:rPr>
        <w:t xml:space="preserve"> </w:t>
      </w:r>
      <w:r>
        <w:rPr>
          <w:rFonts w:ascii="Arial" w:cs="Arial" w:eastAsia="Arial" w:hAnsi="Arial"/>
          <w:sz w:val="16"/>
          <w:szCs w:val="16"/>
          <w:color w:val="auto"/>
        </w:rPr>
        <w:t>to the holders of the Third Amendment Warrants and Cleveland Avenue reaches the Nasdaq 19.99% Cap, so as not to violate the 20% limit established in Listing Rule 5635(d), the Company shall as soon as reasonably practicable take all action necessary to obtain stockholder approval of the issuance of additional shares of Common Stock issuable upon the exercise of the Third Amendment Warrants and pursuant to the terms of the Cleveland Avenue Purchase Agreement, if necessary, in accordance with the requirements of Nasdaq Listing Rule 5635(d) (the “</w:t>
      </w:r>
      <w:r>
        <w:rPr>
          <w:rFonts w:ascii="Arial" w:cs="Arial" w:eastAsia="Arial" w:hAnsi="Arial"/>
          <w:sz w:val="16"/>
          <w:szCs w:val="16"/>
          <w:b w:val="1"/>
          <w:bCs w:val="1"/>
          <w:color w:val="auto"/>
        </w:rPr>
        <w:t>Approval</w:t>
      </w:r>
      <w:r>
        <w:rPr>
          <w:rFonts w:ascii="Arial" w:cs="Arial" w:eastAsia="Arial" w:hAnsi="Arial"/>
          <w:sz w:val="16"/>
          <w:szCs w:val="16"/>
          <w:color w:val="auto"/>
        </w:rPr>
        <w:t>”). Without limiting the generality of the foregoing sentence, as soon as reasonably practicable after the date of the application of the Nasdaq 19.99% Cap, but in no event later than seventy-five (75) days after such occurrence, the Company shall hold a meeting of its stockholders to seek the Approval. In connection with such meeting, the Company shall provide each stockholder with a proxy statement and shall use its reasonable best efforts to solicit the Approval and to cause its board of directors to recommend to the stockholders that they provide the Approval. Until Approval is obtained, (i) increases to the Warrant Shares pursuant to Section 2(b) hereof and (ii) issuances of Common Stock pursuant to Section 4.11 of the Cleveland Avenue Purchase Agreement shall be made between</w:t>
      </w:r>
    </w:p>
    <w:p>
      <w:pPr>
        <w:spacing w:after="0" w:line="22" w:lineRule="exact"/>
        <w:rPr>
          <w:rFonts w:ascii="Arial" w:cs="Arial" w:eastAsia="Arial" w:hAnsi="Arial"/>
          <w:sz w:val="16"/>
          <w:szCs w:val="16"/>
          <w:color w:val="auto"/>
        </w:rPr>
      </w:pPr>
    </w:p>
    <w:p>
      <w:pPr>
        <w:jc w:val="both"/>
        <w:ind w:firstLine="8"/>
        <w:spacing w:after="0" w:line="295" w:lineRule="auto"/>
        <w:tabs>
          <w:tab w:leader="none" w:pos="256" w:val="left"/>
        </w:tabs>
        <w:numPr>
          <w:ilvl w:val="0"/>
          <w:numId w:val="236"/>
        </w:numPr>
        <w:rPr>
          <w:rFonts w:ascii="Arial" w:cs="Arial" w:eastAsia="Arial" w:hAnsi="Arial"/>
          <w:sz w:val="16"/>
          <w:szCs w:val="16"/>
          <w:color w:val="auto"/>
        </w:rPr>
      </w:pPr>
      <w:r>
        <w:rPr>
          <w:rFonts w:ascii="Arial" w:cs="Arial" w:eastAsia="Arial" w:hAnsi="Arial"/>
          <w:sz w:val="16"/>
          <w:szCs w:val="16"/>
          <w:color w:val="auto"/>
        </w:rPr>
        <w:t>the holders of the Third Amendment Warrants, and (y) Cleveland Avenue as nearly as possible on a pro rata basis based on the total amount of shares of Common Stock issued or issuable to such party (i.e. at any given time, the amount of Third Amendment Warrants (without regard to the Maximum Percentage limitation herein, but subject to the Nasdaq 19.99% Cap) which may be exercised is equal to two (2) times the sum of (i) the shares of Common Stock originally issued pursuant to the Cleveland Avenue Purchase Agreement and (ii) the shares issued pursuant to Section 4.11 thereof).</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4" w:name="page245"/>
    <w:bookmarkEnd w:id="244"/>
    <w:p>
      <w:pPr>
        <w:jc w:val="both"/>
        <w:ind w:firstLine="1952"/>
        <w:spacing w:after="0" w:line="285" w:lineRule="auto"/>
        <w:tabs>
          <w:tab w:leader="none" w:pos="2199" w:val="left"/>
        </w:tabs>
        <w:numPr>
          <w:ilvl w:val="1"/>
          <w:numId w:val="237"/>
        </w:numPr>
        <w:rPr>
          <w:rFonts w:ascii="Arial" w:cs="Arial" w:eastAsia="Arial" w:hAnsi="Arial"/>
          <w:sz w:val="16"/>
          <w:szCs w:val="16"/>
          <w:color w:val="auto"/>
        </w:rPr>
      </w:pPr>
      <w:r>
        <w:rPr>
          <w:rFonts w:ascii="Arial" w:cs="Arial" w:eastAsia="Arial" w:hAnsi="Arial"/>
          <w:sz w:val="16"/>
          <w:szCs w:val="16"/>
          <w:u w:val="single" w:color="auto"/>
          <w:color w:val="auto"/>
        </w:rPr>
        <w:t>Insufficient Authorized Shares</w:t>
      </w:r>
      <w:r>
        <w:rPr>
          <w:rFonts w:ascii="Arial" w:cs="Arial" w:eastAsia="Arial" w:hAnsi="Arial"/>
          <w:sz w:val="16"/>
          <w:szCs w:val="16"/>
          <w:color w:val="auto"/>
        </w:rPr>
        <w:t>. If at any time while this Warrant remains outstanding the Company does not have a sufficient number of authorized and unreserved shares of Common Stock to satisfy its obligation to reserve for issuance upon exercise of this Warrant at least a number of shares of Common Stock equal to the number of shares of Common Stock as shall from time to time be necessary to effect the exercise of all of this Warrant then outstanding (the “</w:t>
      </w:r>
      <w:r>
        <w:rPr>
          <w:rFonts w:ascii="Arial" w:cs="Arial" w:eastAsia="Arial" w:hAnsi="Arial"/>
          <w:sz w:val="16"/>
          <w:szCs w:val="16"/>
          <w:b w:val="1"/>
          <w:bCs w:val="1"/>
          <w:color w:val="auto"/>
        </w:rPr>
        <w:t>Required Reserve Amount</w:t>
      </w:r>
      <w:r>
        <w:rPr>
          <w:rFonts w:ascii="Arial" w:cs="Arial" w:eastAsia="Arial" w:hAnsi="Arial"/>
          <w:sz w:val="16"/>
          <w:szCs w:val="16"/>
          <w:color w:val="auto"/>
        </w:rPr>
        <w:t>” and the failure to have such sufficient number of authorized and unreserved shares of Common Stock, an “</w:t>
      </w:r>
      <w:r>
        <w:rPr>
          <w:rFonts w:ascii="Arial" w:cs="Arial" w:eastAsia="Arial" w:hAnsi="Arial"/>
          <w:sz w:val="16"/>
          <w:szCs w:val="16"/>
          <w:b w:val="1"/>
          <w:bCs w:val="1"/>
          <w:color w:val="auto"/>
        </w:rPr>
        <w:t>Authorized Share Failure</w:t>
      </w:r>
      <w:r>
        <w:rPr>
          <w:rFonts w:ascii="Arial" w:cs="Arial" w:eastAsia="Arial" w:hAnsi="Arial"/>
          <w:sz w:val="16"/>
          <w:szCs w:val="16"/>
          <w:color w:val="auto"/>
        </w:rPr>
        <w:t>”), then the Company shall as soon as reasonably practicable take all action necessary to increase the Company’s authorized shares of Common Stock to an amount sufficient to allow the Company to reserve the Required Reserve Amount for this Warrant then outstanding. Without limiting the generality of the foregoing sentence, as soon as reasonably practicable after the date of the occurrence of an Authorized Share Failure, but in no event later than seventy-five (75) days after the occurrence of such Authorized Share Failure, the Company shall hold a meeting of its stockholders for the approval of an increase in the number of authorized shares of Common Stock. In connection with such meeting, the Company shall provide each stockholder with a proxy statement and shall use its reasonable best efforts to solicit its stockholders’ approval of such increase in authorized shares of Common Stock and to cause its board of directors to recommend to the stockholders that they approve such proposal. In the event that the Company is prohibited from issuing shares of Common Stock upon an exercise of this Warrant due to the failure by the Company to have sufficient shares of Common Stock available out of the authorized but unissued shares of Common Stock (such unavailable number of shares of Common Stock, the “</w:t>
      </w:r>
      <w:r>
        <w:rPr>
          <w:rFonts w:ascii="Arial" w:cs="Arial" w:eastAsia="Arial" w:hAnsi="Arial"/>
          <w:sz w:val="16"/>
          <w:szCs w:val="16"/>
          <w:b w:val="1"/>
          <w:bCs w:val="1"/>
          <w:color w:val="auto"/>
        </w:rPr>
        <w:t>Authorization Failure Shares</w:t>
      </w:r>
      <w:r>
        <w:rPr>
          <w:rFonts w:ascii="Arial" w:cs="Arial" w:eastAsia="Arial" w:hAnsi="Arial"/>
          <w:sz w:val="16"/>
          <w:szCs w:val="16"/>
          <w:color w:val="auto"/>
        </w:rPr>
        <w:t xml:space="preserve">”), in lieu of delivering such Authorization Failure Shares to the Holder, the Company shall pay cash in exchange for the cancellation of such portion of this Warrant exercisable into such Authorization Failure Shares at a price equal to the sum of (i) the product of (x) such number of Authorization Failure Shares and (y) the Closing Sale Price of the Common Stock on the date the Holder delivers the applicable Exercise Notice with respect to such Authorization Failure Shares to the Company; and (ii) to the extent the Holder purchases (in an open market transaction or otherwise) shares of Common Stock to deliver in satisfaction of a sale by the Holder of Authorization Failure Shares, any Buy-In Payment Amount, brokerage commissions and other out-of-pocket expenses, if any, of the Holder incurred in connection therewith. Nothing contained in this Section </w:t>
      </w:r>
      <w:r>
        <w:rPr>
          <w:rFonts w:ascii="Arial" w:cs="Arial" w:eastAsia="Arial" w:hAnsi="Arial"/>
          <w:sz w:val="19"/>
          <w:szCs w:val="19"/>
          <w:b w:val="1"/>
          <w:bCs w:val="1"/>
          <w:color w:val="auto"/>
        </w:rPr>
        <w:t>‎</w:t>
      </w:r>
      <w:r>
        <w:rPr>
          <w:rFonts w:ascii="Arial" w:cs="Arial" w:eastAsia="Arial" w:hAnsi="Arial"/>
          <w:sz w:val="16"/>
          <w:szCs w:val="16"/>
          <w:color w:val="auto"/>
        </w:rPr>
        <w:t>1(g) shall limit any obligations of the Company under any provision of the Credit Agreement.</w:t>
      </w:r>
    </w:p>
    <w:p>
      <w:pPr>
        <w:spacing w:after="0" w:line="152" w:lineRule="exact"/>
        <w:rPr>
          <w:rFonts w:ascii="Arial" w:cs="Arial" w:eastAsia="Arial" w:hAnsi="Arial"/>
          <w:sz w:val="16"/>
          <w:szCs w:val="16"/>
          <w:color w:val="auto"/>
        </w:rPr>
      </w:pPr>
    </w:p>
    <w:p>
      <w:pPr>
        <w:ind w:firstLine="1304"/>
        <w:spacing w:after="0" w:line="277" w:lineRule="auto"/>
        <w:tabs>
          <w:tab w:leader="none" w:pos="1476" w:val="left"/>
        </w:tabs>
        <w:numPr>
          <w:ilvl w:val="0"/>
          <w:numId w:val="238"/>
        </w:numPr>
        <w:rPr>
          <w:rFonts w:ascii="Arial" w:cs="Arial" w:eastAsia="Arial" w:hAnsi="Arial"/>
          <w:sz w:val="18"/>
          <w:szCs w:val="18"/>
          <w:color w:val="auto"/>
        </w:rPr>
      </w:pPr>
      <w:r>
        <w:rPr>
          <w:rFonts w:ascii="Arial" w:cs="Arial" w:eastAsia="Arial" w:hAnsi="Arial"/>
          <w:sz w:val="18"/>
          <w:szCs w:val="18"/>
          <w:u w:val="single" w:color="auto"/>
          <w:color w:val="auto"/>
        </w:rPr>
        <w:t>ADJUSTMENT OF EXERCISE PRICE AND NUMBER OF WARRANT SHARES</w:t>
      </w:r>
      <w:r>
        <w:rPr>
          <w:rFonts w:ascii="Arial" w:cs="Arial" w:eastAsia="Arial" w:hAnsi="Arial"/>
          <w:sz w:val="18"/>
          <w:szCs w:val="18"/>
          <w:color w:val="auto"/>
        </w:rPr>
        <w:t>. The Exercise Price and the number of Warrant Shares issuable upon exercise of this Warrant are subject to adjustments from time to time as set forth in this Section 2.</w:t>
      </w:r>
    </w:p>
    <w:p>
      <w:pPr>
        <w:spacing w:after="0" w:line="170" w:lineRule="exact"/>
        <w:rPr>
          <w:rFonts w:ascii="Arial" w:cs="Arial" w:eastAsia="Arial" w:hAnsi="Arial"/>
          <w:sz w:val="18"/>
          <w:szCs w:val="18"/>
          <w:color w:val="auto"/>
        </w:rPr>
      </w:pPr>
    </w:p>
    <w:p>
      <w:pPr>
        <w:jc w:val="both"/>
        <w:ind w:firstLine="1952"/>
        <w:spacing w:after="0" w:line="269" w:lineRule="auto"/>
        <w:tabs>
          <w:tab w:leader="none" w:pos="2202" w:val="left"/>
        </w:tabs>
        <w:numPr>
          <w:ilvl w:val="1"/>
          <w:numId w:val="238"/>
        </w:numPr>
        <w:rPr>
          <w:rFonts w:ascii="Arial" w:cs="Arial" w:eastAsia="Arial" w:hAnsi="Arial"/>
          <w:sz w:val="17"/>
          <w:szCs w:val="17"/>
          <w:color w:val="auto"/>
        </w:rPr>
      </w:pPr>
      <w:r>
        <w:rPr>
          <w:rFonts w:ascii="Arial" w:cs="Arial" w:eastAsia="Arial" w:hAnsi="Arial"/>
          <w:sz w:val="17"/>
          <w:szCs w:val="17"/>
          <w:u w:val="single" w:color="auto"/>
          <w:color w:val="auto"/>
        </w:rPr>
        <w:t>Adjustment Upon Subdivision or Combination of Shares of Common Stock</w:t>
      </w:r>
      <w:r>
        <w:rPr>
          <w:rFonts w:ascii="Arial" w:cs="Arial" w:eastAsia="Arial" w:hAnsi="Arial"/>
          <w:sz w:val="17"/>
          <w:szCs w:val="17"/>
          <w:color w:val="auto"/>
        </w:rPr>
        <w:t>. If the Company at any time on or after the Issuance Date subdivides (by any stock split, stock dividend, recapitalization or otherwise) one or more classes of its outstanding shares of Common Stock into a greater number of shares, the Exercise Price in effect immediately prior to such subdivision will be proportionately reduced and the number of Warrant Shares will be proportionately increased, so that after such adjustment the aggregate Exercise Price payable hereunder for the adjusted number of Warrant Shares shall be the same as the aggregate Exercise Price in effect immediately prior to such adjustment (without regard to any limitations on exercise contained herein). If the Company at any time on or after the Issuance Date combines (by combination, reverse stock split or otherwise) one or more classes of its outstanding shares of Common Stock into a smaller number of shares, the Exercise Price in effect immediately prior to such combination will be proportionately increased and the number of Warrant Shares will be proportionately decreased, so that after such adjustment the aggregate Exercise Price payable hereunder for the adjusted number of Warrant Shares shall be the same as the aggregate Exercise Price in effect immediately prior to such adjustment (without regard to any limitations on exercise contained herein). Any adjustment under this Section 2(a) shall become effective at the close of business on the date the subdivision or combination becomes effective. Corresponding adjustments shall be made to the Applicable Price (as defined below).</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5" w:name="page246"/>
    <w:bookmarkEnd w:id="245"/>
    <w:p>
      <w:pPr>
        <w:jc w:val="both"/>
        <w:ind w:firstLine="1952"/>
        <w:spacing w:after="0" w:line="254" w:lineRule="auto"/>
        <w:tabs>
          <w:tab w:leader="none" w:pos="2199" w:val="left"/>
        </w:tabs>
        <w:numPr>
          <w:ilvl w:val="0"/>
          <w:numId w:val="239"/>
        </w:numPr>
        <w:rPr>
          <w:rFonts w:ascii="Arial" w:cs="Arial" w:eastAsia="Arial" w:hAnsi="Arial"/>
          <w:sz w:val="18"/>
          <w:szCs w:val="18"/>
          <w:color w:val="auto"/>
        </w:rPr>
      </w:pPr>
      <w:r>
        <w:rPr>
          <w:rFonts w:ascii="Arial" w:cs="Arial" w:eastAsia="Arial" w:hAnsi="Arial"/>
          <w:sz w:val="18"/>
          <w:szCs w:val="18"/>
          <w:u w:val="single" w:color="auto"/>
          <w:color w:val="auto"/>
        </w:rPr>
        <w:t>Adjustment Upon Issuance of Shares of Common Stock</w:t>
      </w:r>
      <w:r>
        <w:rPr>
          <w:rFonts w:ascii="Arial" w:cs="Arial" w:eastAsia="Arial" w:hAnsi="Arial"/>
          <w:sz w:val="18"/>
          <w:szCs w:val="18"/>
          <w:color w:val="auto"/>
        </w:rPr>
        <w:t>. If and whenever on or after the Issuance Date but prior to April 1, 2024 (the “</w:t>
      </w:r>
      <w:r>
        <w:rPr>
          <w:rFonts w:ascii="Arial" w:cs="Arial" w:eastAsia="Arial" w:hAnsi="Arial"/>
          <w:sz w:val="18"/>
          <w:szCs w:val="18"/>
          <w:b w:val="1"/>
          <w:bCs w:val="1"/>
          <w:color w:val="auto"/>
        </w:rPr>
        <w:t>Anti-Dilution Period</w:t>
      </w:r>
      <w:r>
        <w:rPr>
          <w:rFonts w:ascii="Arial" w:cs="Arial" w:eastAsia="Arial" w:hAnsi="Arial"/>
          <w:sz w:val="18"/>
          <w:szCs w:val="18"/>
          <w:color w:val="auto"/>
        </w:rPr>
        <w:t>”), the Company issues or sells, or in accordance with this Section 2 is deemed to have issued or sold, any shares of Common Stock (including the issuance or sale of shares of Common Stock owned or held by or for the account of the Company, but excluding Excluded Securities) for a consideration per share (the “</w:t>
      </w:r>
      <w:r>
        <w:rPr>
          <w:rFonts w:ascii="Arial" w:cs="Arial" w:eastAsia="Arial" w:hAnsi="Arial"/>
          <w:sz w:val="18"/>
          <w:szCs w:val="18"/>
          <w:b w:val="1"/>
          <w:bCs w:val="1"/>
          <w:color w:val="auto"/>
        </w:rPr>
        <w:t>New Issuance Price</w:t>
      </w:r>
      <w:r>
        <w:rPr>
          <w:rFonts w:ascii="Arial" w:cs="Arial" w:eastAsia="Arial" w:hAnsi="Arial"/>
          <w:sz w:val="18"/>
          <w:szCs w:val="18"/>
          <w:color w:val="auto"/>
        </w:rPr>
        <w:t>”) less than $2.00 per share (the “</w:t>
      </w:r>
      <w:r>
        <w:rPr>
          <w:rFonts w:ascii="Arial" w:cs="Arial" w:eastAsia="Arial" w:hAnsi="Arial"/>
          <w:sz w:val="18"/>
          <w:szCs w:val="18"/>
          <w:b w:val="1"/>
          <w:bCs w:val="1"/>
          <w:color w:val="auto"/>
        </w:rPr>
        <w:t>Applicable Price</w:t>
      </w:r>
      <w:r>
        <w:rPr>
          <w:rFonts w:ascii="Arial" w:cs="Arial" w:eastAsia="Arial" w:hAnsi="Arial"/>
          <w:sz w:val="18"/>
          <w:szCs w:val="18"/>
          <w:color w:val="auto"/>
        </w:rPr>
        <w:t>”, and the foregoing a “</w:t>
      </w:r>
      <w:r>
        <w:rPr>
          <w:rFonts w:ascii="Arial" w:cs="Arial" w:eastAsia="Arial" w:hAnsi="Arial"/>
          <w:sz w:val="18"/>
          <w:szCs w:val="18"/>
          <w:b w:val="1"/>
          <w:bCs w:val="1"/>
          <w:color w:val="auto"/>
        </w:rPr>
        <w:t>Dilutive</w:t>
      </w:r>
      <w:r>
        <w:rPr>
          <w:rFonts w:ascii="Arial" w:cs="Arial" w:eastAsia="Arial" w:hAnsi="Arial"/>
          <w:sz w:val="18"/>
          <w:szCs w:val="18"/>
          <w:color w:val="auto"/>
        </w:rPr>
        <w:t xml:space="preserve"> </w:t>
      </w:r>
      <w:r>
        <w:rPr>
          <w:rFonts w:ascii="Arial" w:cs="Arial" w:eastAsia="Arial" w:hAnsi="Arial"/>
          <w:sz w:val="18"/>
          <w:szCs w:val="18"/>
          <w:b w:val="1"/>
          <w:bCs w:val="1"/>
          <w:color w:val="auto"/>
        </w:rPr>
        <w:t>Issuance</w:t>
      </w:r>
      <w:r>
        <w:rPr>
          <w:rFonts w:ascii="Arial" w:cs="Arial" w:eastAsia="Arial" w:hAnsi="Arial"/>
          <w:sz w:val="18"/>
          <w:szCs w:val="18"/>
          <w:color w:val="auto"/>
        </w:rPr>
        <w:t>”), then immediately after such Dilutive Issuance, the number of Warrant Shares shall be increased to an amount equal to (x) the number of</w:t>
      </w:r>
      <w:r>
        <w:rPr>
          <w:rFonts w:ascii="Arial" w:cs="Arial" w:eastAsia="Arial" w:hAnsi="Arial"/>
          <w:sz w:val="18"/>
          <w:szCs w:val="18"/>
          <w:b w:val="1"/>
          <w:bCs w:val="1"/>
          <w:color w:val="auto"/>
        </w:rPr>
        <w:t xml:space="preserve"> </w:t>
      </w:r>
      <w:r>
        <w:rPr>
          <w:rFonts w:ascii="Arial" w:cs="Arial" w:eastAsia="Arial" w:hAnsi="Arial"/>
          <w:sz w:val="18"/>
          <w:szCs w:val="18"/>
          <w:color w:val="auto"/>
        </w:rPr>
        <w:t>Warrant Shares prior to such Dilutive Issuance, multiplied by (y) the quotient of the Applicable Price divided by the New Issuance Price. For all purposes of the foregoing (including, without limitation, determining the adjusted number of Warrant Shares and the New Issuance Price under this Section 2(b)), the following shall be applicable:</w:t>
      </w:r>
    </w:p>
    <w:p>
      <w:pPr>
        <w:spacing w:after="0" w:line="191" w:lineRule="exact"/>
        <w:rPr>
          <w:rFonts w:ascii="Arial" w:cs="Arial" w:eastAsia="Arial" w:hAnsi="Arial"/>
          <w:sz w:val="18"/>
          <w:szCs w:val="18"/>
          <w:color w:val="auto"/>
        </w:rPr>
      </w:pPr>
    </w:p>
    <w:p>
      <w:pPr>
        <w:jc w:val="both"/>
        <w:ind w:firstLine="2600"/>
        <w:spacing w:after="0" w:line="267" w:lineRule="auto"/>
        <w:tabs>
          <w:tab w:leader="none" w:pos="2807" w:val="left"/>
        </w:tabs>
        <w:numPr>
          <w:ilvl w:val="1"/>
          <w:numId w:val="239"/>
        </w:numPr>
        <w:rPr>
          <w:rFonts w:ascii="Arial" w:cs="Arial" w:eastAsia="Arial" w:hAnsi="Arial"/>
          <w:sz w:val="17"/>
          <w:szCs w:val="17"/>
          <w:color w:val="auto"/>
        </w:rPr>
      </w:pPr>
      <w:r>
        <w:rPr>
          <w:rFonts w:ascii="Arial" w:cs="Arial" w:eastAsia="Arial" w:hAnsi="Arial"/>
          <w:sz w:val="17"/>
          <w:szCs w:val="17"/>
          <w:u w:val="single" w:color="auto"/>
          <w:color w:val="auto"/>
        </w:rPr>
        <w:t>Issuance of Options</w:t>
      </w:r>
      <w:r>
        <w:rPr>
          <w:rFonts w:ascii="Arial" w:cs="Arial" w:eastAsia="Arial" w:hAnsi="Arial"/>
          <w:sz w:val="17"/>
          <w:szCs w:val="17"/>
          <w:color w:val="auto"/>
        </w:rPr>
        <w:t>. If, during the Anti-Dilution Period, the Company in any manner grants or sells any Options and the lowest price per share for which one share of Common Stock is at any time issuable upon the exercise of any such Option or upon conversion, exercise or exchange of any Convertible Securities issuable upon exercise of any such Option or otherwise pursuant to the terms thereof is less than the Applicable Price, then such share of Common Stock shall be deemed to be outstanding and to have been issued and sold by the Company at the time of the granting or sale of such Option for such price per share. For purposes of this Section 2(b)(i), the “lowest price per share for which one share of Common Stock is at any time issuable upon the exercise of any such Options or upon conversion, exercise or exchange of any Convertible Securities issuable upon exercise of any such Option or otherwise pursuant to the terms thereof” shall be equal to (1) the lower of (x) the sum of the lowest amounts of consideration (if any) received or receivable by the Company with respect to any one share of Common Stock upon the granting or sale of such Option, upon exercise of such Option and upon conversion, exercise or exchange of any Convertible Security issuable upon exercise of such Option or otherwise pursuant to the terms thereof and (y) the lowest exercise price set forth in such Option for which one share of Common Stock is issuable (or may become issuable assuming all possible market conditions) upon the exercise of any such Options or upon conversion, exercise or exchange of any Convertible Securities issuable upon exercise of any such Option or otherwise pursuant to the terms thereof minus (2) the sum of all amounts paid or payable to the holder of such Option (or any other Person) upon the granting or sale of such Option, upon exercise of such Option and upon conversion, exercise or exchange of any Convertible Security issuable upon exercise of such Option or otherwise pursuant to the terms thereof plus the value of any other consideration received or receivable by, or benefit conferred on, the holder of such Option (or any other Person). Except as contemplated below, no further increase in the Warrant Shares shall be made upon the actual issuance of such shares of Common Stock or of such Convertible Securities upon the exercise of such Options or otherwise pursuant to the terms of or upon the actual issuance of such shares of Common Stock upon conversion, exercise or exchange of such Convertible Securities.</w:t>
      </w:r>
    </w:p>
    <w:p>
      <w:pPr>
        <w:spacing w:after="0" w:line="189" w:lineRule="exact"/>
        <w:rPr>
          <w:rFonts w:ascii="Arial" w:cs="Arial" w:eastAsia="Arial" w:hAnsi="Arial"/>
          <w:sz w:val="17"/>
          <w:szCs w:val="17"/>
          <w:color w:val="auto"/>
        </w:rPr>
      </w:pPr>
    </w:p>
    <w:p>
      <w:pPr>
        <w:jc w:val="both"/>
        <w:ind w:firstLine="2600"/>
        <w:spacing w:after="0" w:line="285" w:lineRule="auto"/>
        <w:tabs>
          <w:tab w:leader="none" w:pos="2857" w:val="left"/>
        </w:tabs>
        <w:numPr>
          <w:ilvl w:val="1"/>
          <w:numId w:val="239"/>
        </w:numPr>
        <w:rPr>
          <w:rFonts w:ascii="Arial" w:cs="Arial" w:eastAsia="Arial" w:hAnsi="Arial"/>
          <w:sz w:val="16"/>
          <w:szCs w:val="16"/>
          <w:color w:val="auto"/>
        </w:rPr>
      </w:pPr>
      <w:r>
        <w:rPr>
          <w:rFonts w:ascii="Arial" w:cs="Arial" w:eastAsia="Arial" w:hAnsi="Arial"/>
          <w:sz w:val="16"/>
          <w:szCs w:val="16"/>
          <w:u w:val="single" w:color="auto"/>
          <w:color w:val="auto"/>
        </w:rPr>
        <w:t>Issuance of Convertible Securities</w:t>
      </w:r>
      <w:r>
        <w:rPr>
          <w:rFonts w:ascii="Arial" w:cs="Arial" w:eastAsia="Arial" w:hAnsi="Arial"/>
          <w:sz w:val="16"/>
          <w:szCs w:val="16"/>
          <w:color w:val="auto"/>
        </w:rPr>
        <w:t>. If, during the Anti-Dilution Period, the Company in any manner issues or sells any Convertible Securities and the lowest price per share for which one share of Common Stock is at any time issuable upon the conversion, exercise or exchange thereof or otherwise pursuant to the terms thereof is less than the Applicable Price, then such share of Common Stock shall be deemed to be outstanding and to have been issued and sold by the Company at the time of the issuance or sale of such Convertible Securities for such price per share. For the purposes of this Section 2(b)(ii), the “lowest price per share for which one share of Common Stock is at any time issuable upon the conversion, exercise or exchange thereof or otherwise pursuant to the terms thereof” shall be equal to (1) the lower of (x) the sum of the lowest amounts of consideration (if any) received or receivable by the Company with respect to one share of Common Stock upon the issuance or sale of the Convertible Security and upon conversion, exercise or exchange of such Convertible Security or otherwise pursuant to the terms thereof and (y) the lowest conversion price set forth in such Convertible Security for which one share of Common Stock is issuable (or may become issuable assuming all possible market conditions) upon conversion, exercise or exchange thereof or otherwise pursuant to the terms thereof minus (2) the sum of all amounts paid or payable to the holder of such Convertible Security (or any other Person) upon the issuance or sale of such Convertible Security plus the value of any other consideration received or receivable by, or benefit conferred on, the holder of such Convertible Security (or any other Person). Except as contemplated below, no further increase of the Warrant Shares shall be made upon the actual issuance of such shares of Common Stock upon conversion, exercise or exchange of such Convertible Securities or otherwise pursuant to the terms thereof, and if any such issuance or sale of such Convertible Securities is made upon exercise of any Options for which adjustment of this Warrant has been or is to be made pursuant to other provisions of this Section 2(b), except as contemplated below, no further increase of the Warrant Shares shall be made by reason of such issuance or sale.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6" w:name="page247"/>
    <w:bookmarkEnd w:id="246"/>
    <w:p>
      <w:pPr>
        <w:jc w:val="both"/>
        <w:ind w:firstLine="2600"/>
        <w:spacing w:after="0" w:line="269" w:lineRule="auto"/>
        <w:tabs>
          <w:tab w:leader="none" w:pos="2907" w:val="left"/>
        </w:tabs>
        <w:numPr>
          <w:ilvl w:val="1"/>
          <w:numId w:val="240"/>
        </w:numPr>
        <w:rPr>
          <w:rFonts w:ascii="Arial" w:cs="Arial" w:eastAsia="Arial" w:hAnsi="Arial"/>
          <w:sz w:val="17"/>
          <w:szCs w:val="17"/>
          <w:color w:val="auto"/>
        </w:rPr>
      </w:pPr>
      <w:r>
        <w:rPr>
          <w:rFonts w:ascii="Arial" w:cs="Arial" w:eastAsia="Arial" w:hAnsi="Arial"/>
          <w:sz w:val="17"/>
          <w:szCs w:val="17"/>
          <w:u w:val="single" w:color="auto"/>
          <w:color w:val="auto"/>
        </w:rPr>
        <w:t>Change in Option Price or Rate of Conversion</w:t>
      </w:r>
      <w:r>
        <w:rPr>
          <w:rFonts w:ascii="Arial" w:cs="Arial" w:eastAsia="Arial" w:hAnsi="Arial"/>
          <w:sz w:val="17"/>
          <w:szCs w:val="17"/>
          <w:color w:val="auto"/>
        </w:rPr>
        <w:t>. If the purchase or exercise price provided for in any Options, the additional consideration, if any, payable upon the issue, conversion, exercise or exchange of any Convertible Securities, or the rate at which any Convertible Securities are convertible into or exercisable or exchangeable for shares of Common Stock increases or decreases at any time (other than proportional changes in conversion or exercise prices, as applicable, in connection with an event referred to in Section 2(b)), the number of Warrant Shares in effect at the time of such increase or decrease shall be increased to the number of Warrant Shares which would have been in effect at such time had such Options or Convertible Securities provided for such increased or decreased purchase price, additional consideration or increased or decreased conversion rate, as the case may be, at the time initially granted, issued or sold. For purposes of this Section 2(b)(iii), if the terms of any Option or Convertible Security that was outstanding as of the Issuance Date are increased or decreased in the manner described in the immediately preceding sentence, then such Option or Convertible Security and the shares of Common Stock deemed issuable upon exercise, conversion or exchange thereof shall be deemed to have been issued as of the date of such increase or decrease. No adjustment pursuant to this Section 2(b) shall be made if such adjustment would result in a decrease of the number of Warrant Shares.</w:t>
      </w:r>
    </w:p>
    <w:p>
      <w:pPr>
        <w:spacing w:after="0" w:line="181" w:lineRule="exact"/>
        <w:rPr>
          <w:rFonts w:ascii="Arial" w:cs="Arial" w:eastAsia="Arial" w:hAnsi="Arial"/>
          <w:sz w:val="17"/>
          <w:szCs w:val="17"/>
          <w:color w:val="auto"/>
        </w:rPr>
      </w:pPr>
    </w:p>
    <w:p>
      <w:pPr>
        <w:jc w:val="both"/>
        <w:ind w:firstLine="2600"/>
        <w:spacing w:after="0" w:line="283" w:lineRule="auto"/>
        <w:tabs>
          <w:tab w:leader="none" w:pos="2924" w:val="left"/>
        </w:tabs>
        <w:numPr>
          <w:ilvl w:val="1"/>
          <w:numId w:val="240"/>
        </w:numPr>
        <w:rPr>
          <w:rFonts w:ascii="Arial" w:cs="Arial" w:eastAsia="Arial" w:hAnsi="Arial"/>
          <w:sz w:val="16"/>
          <w:szCs w:val="16"/>
          <w:color w:val="auto"/>
        </w:rPr>
      </w:pPr>
      <w:r>
        <w:rPr>
          <w:rFonts w:ascii="Arial" w:cs="Arial" w:eastAsia="Arial" w:hAnsi="Arial"/>
          <w:sz w:val="16"/>
          <w:szCs w:val="16"/>
          <w:u w:val="single" w:color="auto"/>
          <w:color w:val="auto"/>
        </w:rPr>
        <w:t>Calculation of Consideration Received</w:t>
      </w:r>
      <w:r>
        <w:rPr>
          <w:rFonts w:ascii="Arial" w:cs="Arial" w:eastAsia="Arial" w:hAnsi="Arial"/>
          <w:sz w:val="16"/>
          <w:szCs w:val="16"/>
          <w:color w:val="auto"/>
        </w:rPr>
        <w:t>. If any Option and/or Convertible Security and/or Adjustment Right is issued in connection with the issuance or sale or deemed issuance or sale of any other securities of the Company (as determined by the Holder, the “</w:t>
      </w:r>
      <w:r>
        <w:rPr>
          <w:rFonts w:ascii="Arial" w:cs="Arial" w:eastAsia="Arial" w:hAnsi="Arial"/>
          <w:sz w:val="16"/>
          <w:szCs w:val="16"/>
          <w:b w:val="1"/>
          <w:bCs w:val="1"/>
          <w:color w:val="auto"/>
        </w:rPr>
        <w:t>Primary Security</w:t>
      </w:r>
      <w:r>
        <w:rPr>
          <w:rFonts w:ascii="Arial" w:cs="Arial" w:eastAsia="Arial" w:hAnsi="Arial"/>
          <w:sz w:val="16"/>
          <w:szCs w:val="16"/>
          <w:color w:val="auto"/>
        </w:rPr>
        <w:t>”, and such Option and/or Convertible Security and/or Adjustment Right, the “</w:t>
      </w:r>
      <w:r>
        <w:rPr>
          <w:rFonts w:ascii="Arial" w:cs="Arial" w:eastAsia="Arial" w:hAnsi="Arial"/>
          <w:sz w:val="16"/>
          <w:szCs w:val="16"/>
          <w:b w:val="1"/>
          <w:bCs w:val="1"/>
          <w:color w:val="auto"/>
        </w:rPr>
        <w:t>Secondary Securities</w:t>
      </w:r>
      <w:r>
        <w:rPr>
          <w:rFonts w:ascii="Arial" w:cs="Arial" w:eastAsia="Arial" w:hAnsi="Arial"/>
          <w:sz w:val="16"/>
          <w:szCs w:val="16"/>
          <w:color w:val="auto"/>
        </w:rPr>
        <w:t>” and together with the Primary Security, each a “</w:t>
      </w:r>
      <w:r>
        <w:rPr>
          <w:rFonts w:ascii="Arial" w:cs="Arial" w:eastAsia="Arial" w:hAnsi="Arial"/>
          <w:sz w:val="16"/>
          <w:szCs w:val="16"/>
          <w:b w:val="1"/>
          <w:bCs w:val="1"/>
          <w:color w:val="auto"/>
        </w:rPr>
        <w:t>Unit</w:t>
      </w:r>
      <w:r>
        <w:rPr>
          <w:rFonts w:ascii="Arial" w:cs="Arial" w:eastAsia="Arial" w:hAnsi="Arial"/>
          <w:sz w:val="16"/>
          <w:szCs w:val="16"/>
          <w:color w:val="auto"/>
        </w:rPr>
        <w:t>”), together comprising one integrated transaction (or one or more transactions if such issuances or sales or deemed issuances or sales of securities of the Company either (A) have at least one investor or purchaser in common, (B) are consummated in reasonable proximity to each other and/or (C) are consummated under the same plan of financing), the aggregate consideration per share of Common Stock with respect to such Primary Security shall be deemed to be the lowest of (x) the purchase price of such Unit, (y) if such Primary Security is an Option and/or Convertible Security, the lowest price per share for which one share of Common Stock is at any time issuable upon the exercise or conversion of the Primary Security in accordance with Section 2(b)(i), 2(b)(ii) or 2(b)(iii) above and (z) the quotient of (I) the sum of the three (3) lowest VWAPs of the Common Stock during the five (5) Trading Day period immediately following the public announcement of such Dilutive Issuance, divided by (II) three (3) (for the avoidance of doubt, if such public announcement is released prior to the opening of the Principal Market on a Trading Day, such Trading Day shall be the first Trading Day in such five</w:t>
      </w:r>
    </w:p>
    <w:p>
      <w:pPr>
        <w:spacing w:after="0" w:line="3" w:lineRule="exact"/>
        <w:rPr>
          <w:rFonts w:ascii="Arial" w:cs="Arial" w:eastAsia="Arial" w:hAnsi="Arial"/>
          <w:sz w:val="16"/>
          <w:szCs w:val="16"/>
          <w:color w:val="auto"/>
        </w:rPr>
      </w:pPr>
    </w:p>
    <w:p>
      <w:pPr>
        <w:jc w:val="both"/>
        <w:ind w:firstLine="8"/>
        <w:spacing w:after="0" w:line="281" w:lineRule="auto"/>
        <w:tabs>
          <w:tab w:leader="none" w:pos="266" w:val="left"/>
        </w:tabs>
        <w:numPr>
          <w:ilvl w:val="0"/>
          <w:numId w:val="241"/>
        </w:numPr>
        <w:rPr>
          <w:rFonts w:ascii="Arial" w:cs="Arial" w:eastAsia="Arial" w:hAnsi="Arial"/>
          <w:sz w:val="16"/>
          <w:szCs w:val="16"/>
          <w:color w:val="auto"/>
        </w:rPr>
      </w:pPr>
      <w:r>
        <w:rPr>
          <w:rFonts w:ascii="Arial" w:cs="Arial" w:eastAsia="Arial" w:hAnsi="Arial"/>
          <w:sz w:val="16"/>
          <w:szCs w:val="16"/>
          <w:color w:val="auto"/>
        </w:rPr>
        <w:t>Trading Day period). If any shares of Common Stock, Options or Convertible Securities are issued or sold or deemed to have been issued or sold for cash, the consideration received therefor will be deemed to be the net amount of consideration received by the Company therefor. If any shares of Common Stock, Options or Convertible Securities are issued or sold for a consideration other than cash, the amount of such consideration received by the Company will be the fair value of such consideration, except where such consideration consists of publicly traded securities, in which case the amount of consideration received by the Company for such securities will be the arithmetic average of the VWAPs of such security for each of the five (5) Trading Days immediately preceding the date of receipt. If any shares of Common Stock, Options or Convertible Securities are issued to the owners of the non-surviving entity in connection with any merger in which the Company is the surviving entity, the amount of consideration therefor will be deemed to be the fair value of such portion of the net assets and business of the non-surviving entity as is attributable to such shares of Common Stock, Options or Convertible Securities (as the case may be). The fair value of any consideration other than cash or publicly traded securities will be determined jointly by the Company and the Holder. If such parties are unable to reach agreement within 10 days after the occurrence of an event requiring valuation (the</w:t>
      </w:r>
    </w:p>
    <w:p>
      <w:pPr>
        <w:spacing w:after="0" w:line="6"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“Valuation Event”), the fair value of such consideration will be determined within five Trading Days after the 10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following such Valuation Event by an independent, reputable appraiser jointly selected by the Company and the Holder. The determination of such appraiser shall be final and binding upon all parties absent manifest error and the fees and expenses of such appraiser shall be borne by the Company.</w:t>
      </w:r>
    </w:p>
    <w:p>
      <w:pPr>
        <w:spacing w:after="0" w:line="202" w:lineRule="exact"/>
        <w:rPr>
          <w:sz w:val="20"/>
          <w:szCs w:val="20"/>
          <w:color w:val="auto"/>
        </w:rPr>
      </w:pPr>
    </w:p>
    <w:p>
      <w:pPr>
        <w:jc w:val="both"/>
        <w:ind w:firstLine="2600"/>
        <w:spacing w:after="0" w:line="257" w:lineRule="auto"/>
        <w:tabs>
          <w:tab w:leader="none" w:pos="2847" w:val="left"/>
        </w:tabs>
        <w:numPr>
          <w:ilvl w:val="1"/>
          <w:numId w:val="242"/>
        </w:numPr>
        <w:rPr>
          <w:rFonts w:ascii="Arial" w:cs="Arial" w:eastAsia="Arial" w:hAnsi="Arial"/>
          <w:sz w:val="18"/>
          <w:szCs w:val="18"/>
          <w:color w:val="auto"/>
        </w:rPr>
      </w:pPr>
      <w:r>
        <w:rPr>
          <w:rFonts w:ascii="Arial" w:cs="Arial" w:eastAsia="Arial" w:hAnsi="Arial"/>
          <w:sz w:val="18"/>
          <w:szCs w:val="18"/>
          <w:u w:val="single" w:color="auto"/>
          <w:color w:val="auto"/>
        </w:rPr>
        <w:t>Record Date</w:t>
      </w:r>
      <w:r>
        <w:rPr>
          <w:rFonts w:ascii="Arial" w:cs="Arial" w:eastAsia="Arial" w:hAnsi="Arial"/>
          <w:sz w:val="18"/>
          <w:szCs w:val="18"/>
          <w:color w:val="auto"/>
        </w:rPr>
        <w:t>. If the Company takes a record of the holders of shares of Common Stock for the purpose of entitling them (A) to receive a dividend or other distribution payable in shares of Common Stock, Options or in Convertible Securities or (B) to subscribe for or purchase shares of Common Stock, Options or Convertible Securities, then such record date will be deemed to be the date of the issuance or sale of the shares of Common Stock deemed to have been issued or sold upon the declaration of such dividend or the making of such other distribution or the date of the granting of such right of subscription or purchase (as the case may be).</w:t>
      </w:r>
    </w:p>
    <w:p>
      <w:pPr>
        <w:spacing w:after="0" w:line="187" w:lineRule="exact"/>
        <w:rPr>
          <w:rFonts w:ascii="Arial" w:cs="Arial" w:eastAsia="Arial" w:hAnsi="Arial"/>
          <w:sz w:val="18"/>
          <w:szCs w:val="18"/>
          <w:color w:val="auto"/>
        </w:rPr>
      </w:pPr>
    </w:p>
    <w:p>
      <w:pPr>
        <w:ind w:firstLine="1952"/>
        <w:spacing w:after="0" w:line="277" w:lineRule="auto"/>
        <w:tabs>
          <w:tab w:leader="none" w:pos="2188" w:val="left"/>
        </w:tabs>
        <w:numPr>
          <w:ilvl w:val="0"/>
          <w:numId w:val="243"/>
        </w:numPr>
        <w:rPr>
          <w:rFonts w:ascii="Arial" w:cs="Arial" w:eastAsia="Arial" w:hAnsi="Arial"/>
          <w:sz w:val="18"/>
          <w:szCs w:val="18"/>
          <w:color w:val="auto"/>
        </w:rPr>
      </w:pPr>
      <w:r>
        <w:rPr>
          <w:rFonts w:ascii="Arial" w:cs="Arial" w:eastAsia="Arial" w:hAnsi="Arial"/>
          <w:sz w:val="18"/>
          <w:szCs w:val="18"/>
          <w:u w:val="single" w:color="auto"/>
          <w:color w:val="auto"/>
        </w:rPr>
        <w:t>Par Value</w:t>
      </w:r>
      <w:r>
        <w:rPr>
          <w:rFonts w:ascii="Arial" w:cs="Arial" w:eastAsia="Arial" w:hAnsi="Arial"/>
          <w:sz w:val="18"/>
          <w:szCs w:val="18"/>
          <w:color w:val="auto"/>
        </w:rPr>
        <w:t>. Notwithstanding anything to the contrary in this Warrant, in no event shall the Exercise Price be reduced below the par value of the Company’s Common Stock.</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7" w:name="page248"/>
    <w:bookmarkEnd w:id="247"/>
    <w:p>
      <w:pPr>
        <w:jc w:val="both"/>
        <w:ind w:firstLine="1952"/>
        <w:spacing w:after="0" w:line="263" w:lineRule="auto"/>
        <w:tabs>
          <w:tab w:leader="none" w:pos="2199" w:val="left"/>
        </w:tabs>
        <w:numPr>
          <w:ilvl w:val="1"/>
          <w:numId w:val="244"/>
        </w:numPr>
        <w:rPr>
          <w:rFonts w:ascii="Arial" w:cs="Arial" w:eastAsia="Arial" w:hAnsi="Arial"/>
          <w:sz w:val="18"/>
          <w:szCs w:val="18"/>
          <w:color w:val="auto"/>
        </w:rPr>
      </w:pPr>
      <w:r>
        <w:rPr>
          <w:rFonts w:ascii="Arial" w:cs="Arial" w:eastAsia="Arial" w:hAnsi="Arial"/>
          <w:sz w:val="18"/>
          <w:szCs w:val="18"/>
          <w:u w:val="single" w:color="auto"/>
          <w:color w:val="auto"/>
        </w:rPr>
        <w:t>Voluntary Adjustment by Company</w:t>
      </w:r>
      <w:r>
        <w:rPr>
          <w:rFonts w:ascii="Arial" w:cs="Arial" w:eastAsia="Arial" w:hAnsi="Arial"/>
          <w:sz w:val="18"/>
          <w:szCs w:val="18"/>
          <w:color w:val="auto"/>
        </w:rPr>
        <w:t>. Subject to Section 2(c), the Company may at any time during the term of this Warrant, with prior written notice to the Holder, reduce the then current Exercise Price to any amount and for any period of time deemed appropriate by the board of directors of the Company.</w:t>
      </w:r>
    </w:p>
    <w:p>
      <w:pPr>
        <w:spacing w:after="0" w:line="170" w:lineRule="exact"/>
        <w:rPr>
          <w:rFonts w:ascii="Arial" w:cs="Arial" w:eastAsia="Arial" w:hAnsi="Arial"/>
          <w:sz w:val="18"/>
          <w:szCs w:val="18"/>
          <w:color w:val="auto"/>
        </w:rPr>
      </w:pPr>
    </w:p>
    <w:p>
      <w:pPr>
        <w:jc w:val="both"/>
        <w:ind w:firstLine="1304"/>
        <w:spacing w:after="0" w:line="268" w:lineRule="auto"/>
        <w:tabs>
          <w:tab w:leader="none" w:pos="1489" w:val="left"/>
        </w:tabs>
        <w:numPr>
          <w:ilvl w:val="0"/>
          <w:numId w:val="245"/>
        </w:numPr>
        <w:rPr>
          <w:rFonts w:ascii="Arial" w:cs="Arial" w:eastAsia="Arial" w:hAnsi="Arial"/>
          <w:sz w:val="17"/>
          <w:szCs w:val="17"/>
          <w:color w:val="auto"/>
        </w:rPr>
      </w:pPr>
      <w:r>
        <w:rPr>
          <w:rFonts w:ascii="Arial" w:cs="Arial" w:eastAsia="Arial" w:hAnsi="Arial"/>
          <w:sz w:val="17"/>
          <w:szCs w:val="17"/>
          <w:u w:val="single" w:color="auto"/>
          <w:color w:val="auto"/>
        </w:rPr>
        <w:t>RIGHTS UPON DISTRIBUTION OF ASSETS</w:t>
      </w:r>
      <w:r>
        <w:rPr>
          <w:rFonts w:ascii="Arial" w:cs="Arial" w:eastAsia="Arial" w:hAnsi="Arial"/>
          <w:sz w:val="17"/>
          <w:szCs w:val="17"/>
          <w:color w:val="auto"/>
        </w:rPr>
        <w:t xml:space="preserve">. In addition to any adjustments pursuant to Section </w:t>
      </w:r>
      <w:r>
        <w:rPr>
          <w:rFonts w:ascii="Arial" w:cs="Arial" w:eastAsia="Arial" w:hAnsi="Arial"/>
          <w:sz w:val="20"/>
          <w:szCs w:val="20"/>
          <w:b w:val="1"/>
          <w:bCs w:val="1"/>
          <w:color w:val="auto"/>
        </w:rPr>
        <w:t>‎</w:t>
      </w:r>
      <w:r>
        <w:rPr>
          <w:rFonts w:ascii="Arial" w:cs="Arial" w:eastAsia="Arial" w:hAnsi="Arial"/>
          <w:sz w:val="17"/>
          <w:szCs w:val="17"/>
          <w:color w:val="auto"/>
        </w:rPr>
        <w:t>2 above,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(a “</w:t>
      </w:r>
      <w:r>
        <w:rPr>
          <w:rFonts w:ascii="Arial" w:cs="Arial" w:eastAsia="Arial" w:hAnsi="Arial"/>
          <w:sz w:val="17"/>
          <w:szCs w:val="17"/>
          <w:b w:val="1"/>
          <w:bCs w:val="1"/>
          <w:color w:val="auto"/>
        </w:rPr>
        <w:t>Distribution</w:t>
      </w:r>
      <w:r>
        <w:rPr>
          <w:rFonts w:ascii="Arial" w:cs="Arial" w:eastAsia="Arial" w:hAnsi="Arial"/>
          <w:sz w:val="17"/>
          <w:szCs w:val="17"/>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such Distribution, or, if no such record is taken, the date as of which the record holders of shares of Common Stock are to be determined for the participation in such Distribution (provided, however, that to the extent that the Holder’s right to participate in any such Distribution would result in the Holder and the other Attribution Parties exceeding the Maximum Percentage, then the Holder shall not be entitled to participate in such Distribution to the extent of the Maximum Percentage (and shall not be entitled to beneficial ownership of such shares of Common Stock as a result of such Distribution (and beneficial ownership) to the extent of any such excess) and the portion of such Distribution shall be held in abeyance for the benefit of the Holder until such time or times, if ever,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held similarly in abeyance) to the same extent as if there had been no such limitation).</w:t>
      </w:r>
    </w:p>
    <w:p>
      <w:pPr>
        <w:spacing w:after="0" w:line="181" w:lineRule="exact"/>
        <w:rPr>
          <w:rFonts w:ascii="Arial" w:cs="Arial" w:eastAsia="Arial" w:hAnsi="Arial"/>
          <w:sz w:val="17"/>
          <w:szCs w:val="17"/>
          <w:color w:val="auto"/>
        </w:rPr>
      </w:pPr>
    </w:p>
    <w:p>
      <w:pPr>
        <w:ind w:left="1480" w:hanging="176"/>
        <w:spacing w:after="0"/>
        <w:tabs>
          <w:tab w:leader="none" w:pos="1480" w:val="left"/>
        </w:tabs>
        <w:numPr>
          <w:ilvl w:val="0"/>
          <w:numId w:val="245"/>
        </w:numPr>
        <w:rPr>
          <w:rFonts w:ascii="Arial" w:cs="Arial" w:eastAsia="Arial" w:hAnsi="Arial"/>
          <w:sz w:val="18"/>
          <w:szCs w:val="18"/>
          <w:color w:val="auto"/>
        </w:rPr>
      </w:pPr>
      <w:r>
        <w:rPr>
          <w:rFonts w:ascii="Arial" w:cs="Arial" w:eastAsia="Arial" w:hAnsi="Arial"/>
          <w:sz w:val="18"/>
          <w:szCs w:val="18"/>
          <w:u w:val="single" w:color="auto"/>
          <w:color w:val="auto"/>
        </w:rPr>
        <w:t>PURCHASE RIGHTS; FUNDAMENTAL TRANSACTIONS</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jc w:val="both"/>
        <w:ind w:firstLine="1952"/>
        <w:spacing w:after="0" w:line="268" w:lineRule="auto"/>
        <w:tabs>
          <w:tab w:leader="none" w:pos="2202" w:val="left"/>
        </w:tabs>
        <w:numPr>
          <w:ilvl w:val="1"/>
          <w:numId w:val="245"/>
        </w:numPr>
        <w:rPr>
          <w:rFonts w:ascii="Arial" w:cs="Arial" w:eastAsia="Arial" w:hAnsi="Arial"/>
          <w:sz w:val="17"/>
          <w:szCs w:val="17"/>
          <w:color w:val="auto"/>
        </w:rPr>
      </w:pPr>
      <w:r>
        <w:rPr>
          <w:rFonts w:ascii="Arial" w:cs="Arial" w:eastAsia="Arial" w:hAnsi="Arial"/>
          <w:sz w:val="17"/>
          <w:szCs w:val="17"/>
          <w:u w:val="single" w:color="auto"/>
          <w:color w:val="auto"/>
        </w:rPr>
        <w:t>Purchase Rights</w:t>
      </w:r>
      <w:r>
        <w:rPr>
          <w:rFonts w:ascii="Arial" w:cs="Arial" w:eastAsia="Arial" w:hAnsi="Arial"/>
          <w:sz w:val="17"/>
          <w:szCs w:val="17"/>
          <w:color w:val="auto"/>
        </w:rPr>
        <w:t xml:space="preserve">. In addition to any adjustments pursuant to Section </w:t>
      </w:r>
      <w:r>
        <w:rPr>
          <w:rFonts w:ascii="Arial" w:cs="Arial" w:eastAsia="Arial" w:hAnsi="Arial"/>
          <w:sz w:val="20"/>
          <w:szCs w:val="20"/>
          <w:b w:val="1"/>
          <w:bCs w:val="1"/>
          <w:color w:val="auto"/>
        </w:rPr>
        <w:t>‎</w:t>
      </w:r>
      <w:r>
        <w:rPr>
          <w:rFonts w:ascii="Arial" w:cs="Arial" w:eastAsia="Arial" w:hAnsi="Arial"/>
          <w:sz w:val="17"/>
          <w:szCs w:val="17"/>
          <w:color w:val="auto"/>
        </w:rPr>
        <w:t>2 above, if at any time the Company grants, issues or sells any Options, Convertible Securities or rights to purchase stock, warrants, securities or other property pro rata to the record holders of any class of Common Stock (the “</w:t>
      </w:r>
      <w:r>
        <w:rPr>
          <w:rFonts w:ascii="Arial" w:cs="Arial" w:eastAsia="Arial" w:hAnsi="Arial"/>
          <w:sz w:val="17"/>
          <w:szCs w:val="17"/>
          <w:b w:val="1"/>
          <w:bCs w:val="1"/>
          <w:color w:val="auto"/>
        </w:rPr>
        <w:t>Purchase Rights</w:t>
      </w:r>
      <w:r>
        <w:rPr>
          <w:rFonts w:ascii="Arial" w:cs="Arial" w:eastAsia="Arial" w:hAnsi="Arial"/>
          <w:sz w:val="17"/>
          <w:szCs w:val="17"/>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the grant, issuance or sale of such Purchase Rights, or, if no such record is taken, the date as of which the record holders of shares of Common Stock are to be determined for the grant, issuance or sale of such Purchase Rights (provided, however, that to the extent that the Holder’s right to participate in any such Purchase Right would result in the Holder and the other Attribution Parties exceeding the Maximum Percentage, then the Holder shall not be entitled to participate in such Purchase Right to the extent of the Maximum Percentage (and shall not be entitled to beneficial ownership of such shares of Common Stock as a result of such Purchase Right (and beneficial ownership) to the extent of any such excess) and such Purchase Right to such extent shall be held in abeyance for the benefit of the Holder until such time or times, if ever,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held similarly in abeyance) to the same extent as if there had been no such limitation).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8" w:name="page249"/>
    <w:bookmarkEnd w:id="248"/>
    <w:p>
      <w:pPr>
        <w:ind w:left="2200" w:hanging="248"/>
        <w:spacing w:after="0"/>
        <w:tabs>
          <w:tab w:leader="none" w:pos="2200" w:val="left"/>
        </w:tabs>
        <w:numPr>
          <w:ilvl w:val="0"/>
          <w:numId w:val="246"/>
        </w:numPr>
        <w:rPr>
          <w:rFonts w:ascii="Arial" w:cs="Arial" w:eastAsia="Arial" w:hAnsi="Arial"/>
          <w:sz w:val="18"/>
          <w:szCs w:val="18"/>
          <w:color w:val="auto"/>
        </w:rPr>
      </w:pPr>
      <w:r>
        <w:rPr>
          <w:rFonts w:ascii="Arial" w:cs="Arial" w:eastAsia="Arial" w:hAnsi="Arial"/>
          <w:sz w:val="18"/>
          <w:szCs w:val="18"/>
          <w:u w:val="single" w:color="auto"/>
          <w:color w:val="auto"/>
        </w:rPr>
        <w:t>Fundamental Transactions</w:t>
      </w:r>
      <w:r>
        <w:rPr>
          <w:rFonts w:ascii="Arial" w:cs="Arial" w:eastAsia="Arial" w:hAnsi="Arial"/>
          <w:sz w:val="18"/>
          <w:szCs w:val="18"/>
          <w:color w:val="auto"/>
        </w:rPr>
        <w:t>. The Company shall not enter into or be party to a Fundamental Transaction unless:</w:t>
      </w:r>
    </w:p>
    <w:p>
      <w:pPr>
        <w:spacing w:after="0" w:line="225" w:lineRule="exact"/>
        <w:rPr>
          <w:rFonts w:ascii="Arial" w:cs="Arial" w:eastAsia="Arial" w:hAnsi="Arial"/>
          <w:sz w:val="18"/>
          <w:szCs w:val="18"/>
          <w:color w:val="auto"/>
        </w:rPr>
      </w:pPr>
    </w:p>
    <w:p>
      <w:pPr>
        <w:jc w:val="both"/>
        <w:ind w:firstLine="2600"/>
        <w:spacing w:after="0" w:line="273" w:lineRule="auto"/>
        <w:tabs>
          <w:tab w:leader="none" w:pos="2807" w:val="left"/>
        </w:tabs>
        <w:numPr>
          <w:ilvl w:val="1"/>
          <w:numId w:val="246"/>
        </w:numPr>
        <w:rPr>
          <w:rFonts w:ascii="Arial" w:cs="Arial" w:eastAsia="Arial" w:hAnsi="Arial"/>
          <w:sz w:val="17"/>
          <w:szCs w:val="17"/>
          <w:color w:val="auto"/>
        </w:rPr>
      </w:pPr>
      <w:r>
        <w:rPr>
          <w:rFonts w:ascii="Arial" w:cs="Arial" w:eastAsia="Arial" w:hAnsi="Arial"/>
          <w:sz w:val="17"/>
          <w:szCs w:val="17"/>
          <w:color w:val="auto"/>
        </w:rPr>
        <w:t>in the event that the Successor Entity (including its Parent Entity) is not a publicly traded entity with common equity quoted on or listed for trading on an Eligible Market and registered under the Exchange Act, the Company or the Successor Entity, as applicable, shall, on or prior to the date of consummation of such Fundamental Transaction, purchase this Warrant from the Holder by paying to the Holder cash in an amount equal to the Black Scholes Going Private Value (without regard to the limitation set forth in Section 1(f))</w:t>
      </w:r>
      <w:r>
        <w:rPr>
          <w:rFonts w:ascii="Arial" w:cs="Arial" w:eastAsia="Arial" w:hAnsi="Arial"/>
          <w:sz w:val="17"/>
          <w:szCs w:val="17"/>
          <w:b w:val="1"/>
          <w:bCs w:val="1"/>
          <w:color w:val="auto"/>
        </w:rPr>
        <w:t>‎</w:t>
      </w:r>
      <w:r>
        <w:rPr>
          <w:rFonts w:ascii="Arial" w:cs="Arial" w:eastAsia="Arial" w:hAnsi="Arial"/>
          <w:sz w:val="17"/>
          <w:szCs w:val="17"/>
          <w:color w:val="auto"/>
        </w:rPr>
        <w:t xml:space="preserve"> whereupon the Successor Entity shall have no obligation to assume the obligations of the Company under this Warrant and the other Loan Documents, including any obligation to deliver to the Holder in exchange for this Warrant any security of the Successor Entity, and</w:t>
      </w:r>
    </w:p>
    <w:p>
      <w:pPr>
        <w:spacing w:after="0" w:line="177" w:lineRule="exact"/>
        <w:rPr>
          <w:rFonts w:ascii="Arial" w:cs="Arial" w:eastAsia="Arial" w:hAnsi="Arial"/>
          <w:sz w:val="17"/>
          <w:szCs w:val="17"/>
          <w:color w:val="auto"/>
        </w:rPr>
      </w:pPr>
    </w:p>
    <w:p>
      <w:pPr>
        <w:jc w:val="both"/>
        <w:ind w:firstLine="2600"/>
        <w:spacing w:after="0" w:line="291" w:lineRule="auto"/>
        <w:tabs>
          <w:tab w:leader="none" w:pos="2870" w:val="left"/>
        </w:tabs>
        <w:numPr>
          <w:ilvl w:val="1"/>
          <w:numId w:val="246"/>
        </w:numPr>
        <w:rPr>
          <w:rFonts w:ascii="Arial" w:cs="Arial" w:eastAsia="Arial" w:hAnsi="Arial"/>
          <w:sz w:val="16"/>
          <w:szCs w:val="16"/>
          <w:color w:val="auto"/>
        </w:rPr>
      </w:pPr>
      <w:r>
        <w:rPr>
          <w:rFonts w:ascii="Arial" w:cs="Arial" w:eastAsia="Arial" w:hAnsi="Arial"/>
          <w:sz w:val="16"/>
          <w:szCs w:val="16"/>
          <w:color w:val="auto"/>
        </w:rPr>
        <w:t>in the event that the Successor Entity (including its Parent Entity) is a publicly traded entity with common equity quoted on or listed for trading on an Eligible Market and registered under the Exchange Act, the Successor Entity assumes in writing all of the obligations</w:t>
      </w:r>
    </w:p>
    <w:p>
      <w:pPr>
        <w:jc w:val="both"/>
        <w:spacing w:after="0" w:line="281" w:lineRule="auto"/>
        <w:rPr>
          <w:rFonts w:ascii="Arial" w:cs="Arial" w:eastAsia="Arial" w:hAnsi="Arial"/>
          <w:sz w:val="16"/>
          <w:szCs w:val="16"/>
          <w:color w:val="auto"/>
        </w:rPr>
      </w:pPr>
      <w:r>
        <w:rPr>
          <w:rFonts w:ascii="Arial" w:cs="Arial" w:eastAsia="Arial" w:hAnsi="Arial"/>
          <w:sz w:val="16"/>
          <w:szCs w:val="16"/>
          <w:color w:val="auto"/>
        </w:rPr>
        <w:t>of the Company under this Warrant and the other Loan Documents in accordance with the provisions of this Section 4(b)(ii)</w:t>
      </w:r>
      <w:r>
        <w:rPr>
          <w:rFonts w:ascii="Arial" w:cs="Arial" w:eastAsia="Arial" w:hAnsi="Arial"/>
          <w:sz w:val="16"/>
          <w:szCs w:val="16"/>
          <w:b w:val="1"/>
          <w:bCs w:val="1"/>
          <w:color w:val="auto"/>
        </w:rPr>
        <w:t>‎</w:t>
      </w:r>
      <w:r>
        <w:rPr>
          <w:rFonts w:ascii="Arial" w:cs="Arial" w:eastAsia="Arial" w:hAnsi="Arial"/>
          <w:sz w:val="16"/>
          <w:szCs w:val="16"/>
          <w:color w:val="auto"/>
        </w:rPr>
        <w:t xml:space="preserve"> pursuant to written agreements in form and substance satisfactory to the Holder and approved by the Holder prior to such Fundamental Transaction, including agreements to deliver to the Holder in exchange for this Warrant a security of the Successor Entity evidenced by a written instrument substantially similar in form and substance to this Warrant, including, without limitation, which is exercisable for a corresponding number of shares of capital stock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adjustments to the number of shares of capital stock and such exercise price being for the purpose of protecting the economic value of this Warrant immediately prior to the</w:t>
      </w:r>
    </w:p>
    <w:p>
      <w:pPr>
        <w:spacing w:after="0" w:line="4" w:lineRule="exact"/>
        <w:rPr>
          <w:rFonts w:ascii="Arial" w:cs="Arial" w:eastAsia="Arial" w:hAnsi="Arial"/>
          <w:sz w:val="16"/>
          <w:szCs w:val="16"/>
          <w:color w:val="auto"/>
        </w:rPr>
      </w:pPr>
    </w:p>
    <w:p>
      <w:pPr>
        <w:jc w:val="both"/>
        <w:spacing w:after="0" w:line="281" w:lineRule="auto"/>
        <w:rPr>
          <w:rFonts w:ascii="Arial" w:cs="Arial" w:eastAsia="Arial" w:hAnsi="Arial"/>
          <w:sz w:val="16"/>
          <w:szCs w:val="16"/>
          <w:color w:val="auto"/>
        </w:rPr>
      </w:pPr>
      <w:r>
        <w:rPr>
          <w:rFonts w:ascii="Arial" w:cs="Arial" w:eastAsia="Arial" w:hAnsi="Arial"/>
          <w:sz w:val="16"/>
          <w:szCs w:val="16"/>
          <w:color w:val="auto"/>
        </w:rPr>
        <w:t>consummation of such Fundamental Transaction). Upon the consummation of each Fundamental Transaction described in this Section 4(b)(ii)</w:t>
      </w:r>
      <w:r>
        <w:rPr>
          <w:rFonts w:ascii="Arial" w:cs="Arial" w:eastAsia="Arial" w:hAnsi="Arial"/>
          <w:sz w:val="16"/>
          <w:szCs w:val="16"/>
          <w:b w:val="1"/>
          <w:bCs w:val="1"/>
          <w:color w:val="auto"/>
        </w:rPr>
        <w:t>‎</w:t>
      </w:r>
      <w:r>
        <w:rPr>
          <w:rFonts w:ascii="Arial" w:cs="Arial" w:eastAsia="Arial" w:hAnsi="Arial"/>
          <w:sz w:val="16"/>
          <w:szCs w:val="16"/>
          <w:color w:val="auto"/>
        </w:rPr>
        <w:t xml:space="preserve"> (each such Fundamental Transaction, a “</w:t>
      </w:r>
      <w:r>
        <w:rPr>
          <w:rFonts w:ascii="Arial" w:cs="Arial" w:eastAsia="Arial" w:hAnsi="Arial"/>
          <w:sz w:val="16"/>
          <w:szCs w:val="16"/>
          <w:b w:val="1"/>
          <w:bCs w:val="1"/>
          <w:color w:val="auto"/>
        </w:rPr>
        <w:t>Public Fundamental Transaction</w:t>
      </w:r>
      <w:r>
        <w:rPr>
          <w:rFonts w:ascii="Arial" w:cs="Arial" w:eastAsia="Arial" w:hAnsi="Arial"/>
          <w:sz w:val="16"/>
          <w:szCs w:val="16"/>
          <w:color w:val="auto"/>
        </w:rPr>
        <w:t>”), the Successor Entity shall (x) succeed to, and be substituted for (so that from and after the date of the applicable Public Fundamental Transaction, the provisions of this Warrant and the other Loan Documents referring to the “Company” or the “Borrower” shall refer instead to the Successor Entity), and may exercise every right and power of the Company and shall assume all of the obligations of the Company under this Warrant and the other Loan Documents with the same effect as if such Successor Entity had been named as the Company herein or therein, and (y) deliver to the Holder confirmation that there shall be issued upon exercise of this Warrant at any time after the consummation of the applicable Public Fundamental Transaction, in lieu of the shares of Common Stock (or other securities, cash, assets or other property (except such items still issuable under Sections 3</w:t>
      </w:r>
      <w:r>
        <w:rPr>
          <w:rFonts w:ascii="Arial" w:cs="Arial" w:eastAsia="Arial" w:hAnsi="Arial"/>
          <w:sz w:val="16"/>
          <w:szCs w:val="16"/>
          <w:b w:val="1"/>
          <w:bCs w:val="1"/>
          <w:color w:val="auto"/>
        </w:rPr>
        <w:t>‎</w:t>
      </w:r>
      <w:r>
        <w:rPr>
          <w:rFonts w:ascii="Arial" w:cs="Arial" w:eastAsia="Arial" w:hAnsi="Arial"/>
          <w:sz w:val="16"/>
          <w:szCs w:val="16"/>
          <w:color w:val="auto"/>
        </w:rPr>
        <w:t xml:space="preserve"> and 4(a)</w:t>
      </w:r>
      <w:r>
        <w:rPr>
          <w:rFonts w:ascii="Arial" w:cs="Arial" w:eastAsia="Arial" w:hAnsi="Arial"/>
          <w:sz w:val="16"/>
          <w:szCs w:val="16"/>
          <w:b w:val="1"/>
          <w:bCs w:val="1"/>
          <w:color w:val="auto"/>
        </w:rPr>
        <w:t>‎</w:t>
      </w:r>
      <w:r>
        <w:rPr>
          <w:rFonts w:ascii="Arial" w:cs="Arial" w:eastAsia="Arial" w:hAnsi="Arial"/>
          <w:sz w:val="16"/>
          <w:szCs w:val="16"/>
          <w:color w:val="auto"/>
        </w:rPr>
        <w:t xml:space="preserve"> above, which shall continue to be receivable thereafter)) issuable upon the exercise of this Warrant prior to the applicable Public Fundamental Transaction, such shares of publicly traded common stock (or its equivalent) of the Successor Entity (including its Parent Entity) which the Holder would have been entitled to receive upon the happening of the applicable Public Fundamental Transaction had this Warrant been exercised immediately prior to the applicable Public Fundamental Transaction (without regard to any limitations on the exercise of this Warrant), as adjusted in accordance with the provisions of this Warrant. Notwithstanding the foregoing, and without limiting Section 1(f)</w:t>
      </w:r>
      <w:r>
        <w:rPr>
          <w:rFonts w:ascii="Arial" w:cs="Arial" w:eastAsia="Arial" w:hAnsi="Arial"/>
          <w:sz w:val="16"/>
          <w:szCs w:val="16"/>
          <w:b w:val="1"/>
          <w:bCs w:val="1"/>
          <w:color w:val="auto"/>
        </w:rPr>
        <w:t>‎</w:t>
      </w:r>
      <w:r>
        <w:rPr>
          <w:rFonts w:ascii="Arial" w:cs="Arial" w:eastAsia="Arial" w:hAnsi="Arial"/>
          <w:sz w:val="16"/>
          <w:szCs w:val="16"/>
          <w:color w:val="auto"/>
        </w:rPr>
        <w:t xml:space="preserve"> hereof, the Holder may elect,</w:t>
      </w:r>
    </w:p>
    <w:p>
      <w:pPr>
        <w:spacing w:after="0" w:line="7" w:lineRule="exact"/>
        <w:rPr>
          <w:rFonts w:ascii="Arial" w:cs="Arial" w:eastAsia="Arial" w:hAnsi="Arial"/>
          <w:sz w:val="16"/>
          <w:szCs w:val="16"/>
          <w:color w:val="auto"/>
        </w:rPr>
      </w:pPr>
    </w:p>
    <w:p>
      <w:pPr>
        <w:spacing w:after="0" w:line="260" w:lineRule="auto"/>
        <w:rPr>
          <w:rFonts w:ascii="Arial" w:cs="Arial" w:eastAsia="Arial" w:hAnsi="Arial"/>
          <w:sz w:val="16"/>
          <w:szCs w:val="16"/>
          <w:color w:val="auto"/>
        </w:rPr>
      </w:pPr>
      <w:r>
        <w:rPr>
          <w:rFonts w:ascii="Arial" w:cs="Arial" w:eastAsia="Arial" w:hAnsi="Arial"/>
          <w:sz w:val="18"/>
          <w:szCs w:val="18"/>
          <w:color w:val="auto"/>
        </w:rPr>
        <w:t>at its sole option, by delivery of written notice to the Company to waive this Section 4(b)(ii)</w:t>
      </w:r>
      <w:r>
        <w:rPr>
          <w:rFonts w:ascii="Arial" w:cs="Arial" w:eastAsia="Arial" w:hAnsi="Arial"/>
          <w:sz w:val="18"/>
          <w:szCs w:val="18"/>
          <w:b w:val="1"/>
          <w:bCs w:val="1"/>
          <w:color w:val="auto"/>
        </w:rPr>
        <w:t>‎</w:t>
      </w:r>
      <w:r>
        <w:rPr>
          <w:rFonts w:ascii="Arial" w:cs="Arial" w:eastAsia="Arial" w:hAnsi="Arial"/>
          <w:sz w:val="18"/>
          <w:szCs w:val="18"/>
          <w:color w:val="auto"/>
        </w:rPr>
        <w:t xml:space="preserve"> to permit the Public Fundamental Transaction without the assumption of this Warrant.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9" w:name="page250"/>
    <w:bookmarkEnd w:id="249"/>
    <w:p>
      <w:pPr>
        <w:jc w:val="both"/>
        <w:spacing w:after="0" w:line="269" w:lineRule="auto"/>
        <w:rPr>
          <w:sz w:val="20"/>
          <w:szCs w:val="20"/>
          <w:color w:val="auto"/>
        </w:rPr>
      </w:pPr>
      <w:r>
        <w:rPr>
          <w:rFonts w:ascii="Arial" w:cs="Arial" w:eastAsia="Arial" w:hAnsi="Arial"/>
          <w:sz w:val="17"/>
          <w:szCs w:val="17"/>
          <w:color w:val="auto"/>
        </w:rPr>
        <w:t>In addition to and not in substitution for any other rights hereunder, prior to the consummation of each Fundamental Transaction pursuant to which holders of shares of Common Stock are entitled to receive securities or other assets with respect to or in exchange for shares of Common Stock (a “</w:t>
      </w:r>
      <w:r>
        <w:rPr>
          <w:rFonts w:ascii="Arial" w:cs="Arial" w:eastAsia="Arial" w:hAnsi="Arial"/>
          <w:sz w:val="17"/>
          <w:szCs w:val="17"/>
          <w:b w:val="1"/>
          <w:bCs w:val="1"/>
          <w:color w:val="auto"/>
        </w:rPr>
        <w:t>Corporate</w:t>
      </w:r>
      <w:r>
        <w:rPr>
          <w:rFonts w:ascii="Arial" w:cs="Arial" w:eastAsia="Arial" w:hAnsi="Arial"/>
          <w:sz w:val="17"/>
          <w:szCs w:val="17"/>
          <w:color w:val="auto"/>
        </w:rPr>
        <w:t xml:space="preserve"> </w:t>
      </w:r>
      <w:r>
        <w:rPr>
          <w:rFonts w:ascii="Arial" w:cs="Arial" w:eastAsia="Arial" w:hAnsi="Arial"/>
          <w:sz w:val="17"/>
          <w:szCs w:val="17"/>
          <w:b w:val="1"/>
          <w:bCs w:val="1"/>
          <w:color w:val="auto"/>
        </w:rPr>
        <w:t>Event</w:t>
      </w:r>
      <w:r>
        <w:rPr>
          <w:rFonts w:ascii="Arial" w:cs="Arial" w:eastAsia="Arial" w:hAnsi="Arial"/>
          <w:sz w:val="17"/>
          <w:szCs w:val="17"/>
          <w:color w:val="auto"/>
        </w:rPr>
        <w:t>”), the Company shall make appropriate provision to insure that the Holder will thereafter have the right to receive upon an exercise of this Warrant</w:t>
      </w:r>
      <w:r>
        <w:rPr>
          <w:rFonts w:ascii="Arial" w:cs="Arial" w:eastAsia="Arial" w:hAnsi="Arial"/>
          <w:sz w:val="17"/>
          <w:szCs w:val="17"/>
          <w:b w:val="1"/>
          <w:bCs w:val="1"/>
          <w:color w:val="auto"/>
        </w:rPr>
        <w:t xml:space="preserve"> </w:t>
      </w:r>
      <w:r>
        <w:rPr>
          <w:rFonts w:ascii="Arial" w:cs="Arial" w:eastAsia="Arial" w:hAnsi="Arial"/>
          <w:sz w:val="17"/>
          <w:szCs w:val="17"/>
          <w:color w:val="auto"/>
        </w:rPr>
        <w:t>at any time after the consummation of the applicable Fundamental Transaction but prior to the Expiration Date, in lieu of the shares of the Common Stock (or other securities, cash, assets or other property (except such items still issuable under Sections 3‎ and 4(a)‎ above, which shall continue to be receivable thereafter)) issuable upon the exercise of the Warrant prior to such Fundamental Transaction, such shares of stock, securities, cash, assets or any other property whatsoever (including warrants or other purchase or subscription rights) which the Holder would have been entitled to receive upon the happening of the applicable Fundamental Transaction had this Warrant been exercised immediately prior to the applicable Fundamental Transaction (without regard to any limitations on the exercise of this Warrant). Provision made pursuant to the preceding sentence shall be in a form and substance reasonably satisfactory to the Holder.</w:t>
      </w:r>
    </w:p>
    <w:p>
      <w:pPr>
        <w:spacing w:after="0" w:line="172" w:lineRule="exact"/>
        <w:rPr>
          <w:sz w:val="20"/>
          <w:szCs w:val="20"/>
          <w:color w:val="auto"/>
        </w:rPr>
      </w:pPr>
    </w:p>
    <w:p>
      <w:pPr>
        <w:jc w:val="both"/>
        <w:ind w:firstLine="1952"/>
        <w:spacing w:after="0" w:line="271" w:lineRule="auto"/>
        <w:tabs>
          <w:tab w:leader="none" w:pos="2188" w:val="left"/>
        </w:tabs>
        <w:numPr>
          <w:ilvl w:val="1"/>
          <w:numId w:val="247"/>
        </w:numPr>
        <w:rPr>
          <w:rFonts w:ascii="Arial" w:cs="Arial" w:eastAsia="Arial" w:hAnsi="Arial"/>
          <w:sz w:val="17"/>
          <w:szCs w:val="17"/>
          <w:color w:val="auto"/>
        </w:rPr>
      </w:pPr>
      <w:r>
        <w:rPr>
          <w:rFonts w:ascii="Arial" w:cs="Arial" w:eastAsia="Arial" w:hAnsi="Arial"/>
          <w:sz w:val="17"/>
          <w:szCs w:val="17"/>
          <w:u w:val="single" w:color="auto"/>
          <w:color w:val="auto"/>
        </w:rPr>
        <w:t>Holder Optional Redemptions</w:t>
      </w:r>
      <w:r>
        <w:rPr>
          <w:rFonts w:ascii="Arial" w:cs="Arial" w:eastAsia="Arial" w:hAnsi="Arial"/>
          <w:sz w:val="17"/>
          <w:szCs w:val="17"/>
          <w:color w:val="auto"/>
        </w:rPr>
        <w:t xml:space="preserve">. Notwithstanding the foregoing and the provisions of Section </w:t>
      </w:r>
      <w:r>
        <w:rPr>
          <w:rFonts w:ascii="Arial" w:cs="Arial" w:eastAsia="Arial" w:hAnsi="Arial"/>
          <w:sz w:val="20"/>
          <w:szCs w:val="20"/>
          <w:b w:val="1"/>
          <w:bCs w:val="1"/>
          <w:color w:val="auto"/>
        </w:rPr>
        <w:t>‎</w:t>
      </w:r>
      <w:r>
        <w:rPr>
          <w:rFonts w:ascii="Arial" w:cs="Arial" w:eastAsia="Arial" w:hAnsi="Arial"/>
          <w:sz w:val="17"/>
          <w:szCs w:val="17"/>
          <w:color w:val="auto"/>
        </w:rPr>
        <w:t>4(b)(ii) above, at the request of the Holder delivered at any time commencing on the earliest to occur of (x) the public disclosure of any Public Fundamental Transaction, (y) the consummation of any Public Fundamental Transaction and (z) the Holder first becoming aware of any Public Fundamental Transaction through the date that is ninety (90) days after the public disclosure of the consummation of such Public Fundamental Transaction by the Company pursuant to a Current Report on Form 8-K filed with the SEC, the Company or the Successor Entity (as the case may be) shall purchase this Warrant from the Holder on the date of such request by paying to the Holder cash in an amount equal to the Black Scholes Value. Payment of such amounts shall be made by the Company (or at the Company’s direction) to the Holder on or prior to the later of (x) the second (2nd) Trading Day after the date of such request and (y) the date of consummation of such Public Fundamental Transaction.</w:t>
      </w:r>
    </w:p>
    <w:p>
      <w:pPr>
        <w:spacing w:after="0" w:line="166" w:lineRule="exact"/>
        <w:rPr>
          <w:rFonts w:ascii="Arial" w:cs="Arial" w:eastAsia="Arial" w:hAnsi="Arial"/>
          <w:sz w:val="17"/>
          <w:szCs w:val="17"/>
          <w:color w:val="auto"/>
        </w:rPr>
      </w:pPr>
    </w:p>
    <w:p>
      <w:pPr>
        <w:jc w:val="both"/>
        <w:ind w:firstLine="1952"/>
        <w:spacing w:after="0" w:line="300" w:lineRule="auto"/>
        <w:tabs>
          <w:tab w:leader="none" w:pos="2199" w:val="left"/>
        </w:tabs>
        <w:numPr>
          <w:ilvl w:val="1"/>
          <w:numId w:val="247"/>
        </w:numPr>
        <w:rPr>
          <w:rFonts w:ascii="Arial" w:cs="Arial" w:eastAsia="Arial" w:hAnsi="Arial"/>
          <w:sz w:val="16"/>
          <w:szCs w:val="16"/>
          <w:color w:val="auto"/>
        </w:rPr>
      </w:pPr>
      <w:r>
        <w:rPr>
          <w:rFonts w:ascii="Arial" w:cs="Arial" w:eastAsia="Arial" w:hAnsi="Arial"/>
          <w:sz w:val="16"/>
          <w:szCs w:val="16"/>
          <w:u w:val="single" w:color="auto"/>
          <w:color w:val="auto"/>
        </w:rPr>
        <w:t>Application</w:t>
      </w:r>
      <w:r>
        <w:rPr>
          <w:rFonts w:ascii="Arial" w:cs="Arial" w:eastAsia="Arial" w:hAnsi="Arial"/>
          <w:sz w:val="16"/>
          <w:szCs w:val="16"/>
          <w:color w:val="auto"/>
        </w:rPr>
        <w:t xml:space="preserve">. The provisions of this Section </w:t>
      </w:r>
      <w:r>
        <w:rPr>
          <w:rFonts w:ascii="Arial" w:cs="Arial" w:eastAsia="Arial" w:hAnsi="Arial"/>
          <w:sz w:val="19"/>
          <w:szCs w:val="19"/>
          <w:b w:val="1"/>
          <w:bCs w:val="1"/>
          <w:color w:val="auto"/>
        </w:rPr>
        <w:t>‎</w:t>
      </w:r>
      <w:r>
        <w:rPr>
          <w:rFonts w:ascii="Arial" w:cs="Arial" w:eastAsia="Arial" w:hAnsi="Arial"/>
          <w:sz w:val="16"/>
          <w:szCs w:val="16"/>
          <w:color w:val="auto"/>
        </w:rPr>
        <w:t>4 shall apply similarly and equally to successive Fundamental Transactions and Corporate Events and shall be applied as if this Warrant (and any such subsequent warrants) were fully exercisable and without regard to any limitations on the exercise of this Warrant (provided that the Holder shall continue to be entitled to the benefit of the Maximum Percentage, applied however with respect to shares of capital stock registered under the Exchange Act and thereafter receivable upon exercise of this Warrant (or any such other warrant)).</w:t>
      </w:r>
    </w:p>
    <w:p>
      <w:pPr>
        <w:spacing w:after="0" w:line="157" w:lineRule="exact"/>
        <w:rPr>
          <w:rFonts w:ascii="Arial" w:cs="Arial" w:eastAsia="Arial" w:hAnsi="Arial"/>
          <w:sz w:val="16"/>
          <w:szCs w:val="16"/>
          <w:color w:val="auto"/>
        </w:rPr>
      </w:pPr>
    </w:p>
    <w:p>
      <w:pPr>
        <w:jc w:val="both"/>
        <w:ind w:firstLine="1304"/>
        <w:spacing w:after="0" w:line="268" w:lineRule="auto"/>
        <w:tabs>
          <w:tab w:leader="none" w:pos="1476" w:val="left"/>
        </w:tabs>
        <w:numPr>
          <w:ilvl w:val="0"/>
          <w:numId w:val="248"/>
        </w:numPr>
        <w:rPr>
          <w:rFonts w:ascii="Arial" w:cs="Arial" w:eastAsia="Arial" w:hAnsi="Arial"/>
          <w:sz w:val="17"/>
          <w:szCs w:val="17"/>
          <w:color w:val="auto"/>
        </w:rPr>
      </w:pPr>
      <w:r>
        <w:rPr>
          <w:rFonts w:ascii="Arial" w:cs="Arial" w:eastAsia="Arial" w:hAnsi="Arial"/>
          <w:sz w:val="17"/>
          <w:szCs w:val="17"/>
          <w:u w:val="single" w:color="auto"/>
          <w:color w:val="auto"/>
        </w:rPr>
        <w:t>NONCIRCUMVENTION</w:t>
      </w:r>
      <w:r>
        <w:rPr>
          <w:rFonts w:ascii="Arial" w:cs="Arial" w:eastAsia="Arial" w:hAnsi="Arial"/>
          <w:sz w:val="17"/>
          <w:szCs w:val="17"/>
          <w:color w:val="auto"/>
        </w:rPr>
        <w:t>. The Company hereby covenants and agrees that the Company will not, by amendment of its Certificate of Incorporation or Bylaws, or through any reorganization, transfer of assets, consolidation, merger, scheme of arrangement, dissolution, issuance or sale of securities, or any other voluntary action, avoid or seek to avoid the observance or performance of any of the terms of this Warrant, and will at all times in good faith carry out all of the provisions of this Warrant and take all action as may be required to protect the rights of the Holder. Without limiting the generality of the foregoing, the Company (i) shall not increase the par value of any shares of Common Stock receivable upon the exercise of this Warrant above the Exercise Price then in effect, (ii) shall take all such actions as may be necessary or appropriate in order that the Company may validly and legally issue fully paid and nonassessable shares of Common Stock upon the proper exercise of this Warrant by the Holder, and (iii) shall, so long as this Warrant is outstanding, take all action necessary to reserve and keep available out of its authorized and unissued shares of Common Stock, solely for the purpose of effecting the exercise of this Warrant, the number of shares of Common Stock as shall from time to time be necessary to effect the exercise of this Warrant (without regard to any limitations on exercise). Notwithstanding anything herein to the contrary, if after the sixty (60) calendar day anniversary of the Issuance Date, the Holder is not permitted to exercise this Warrant in full for any reason (other than pursuant to restrictions set forth in Section 1(f) hereof), the Company shall use its reasonable best efforts to promptly remedy such failure, including, without limitation, obtaining such consents or approvals as necessary to permit such exercise into shares of Common Stock.</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0" w:name="page251"/>
    <w:bookmarkEnd w:id="250"/>
    <w:p>
      <w:pPr>
        <w:jc w:val="both"/>
        <w:ind w:firstLine="1304"/>
        <w:spacing w:after="0" w:line="287" w:lineRule="auto"/>
        <w:tabs>
          <w:tab w:leader="none" w:pos="1476" w:val="left"/>
        </w:tabs>
        <w:numPr>
          <w:ilvl w:val="0"/>
          <w:numId w:val="249"/>
        </w:numPr>
        <w:rPr>
          <w:rFonts w:ascii="Arial" w:cs="Arial" w:eastAsia="Arial" w:hAnsi="Arial"/>
          <w:sz w:val="16"/>
          <w:szCs w:val="16"/>
          <w:color w:val="auto"/>
        </w:rPr>
      </w:pPr>
      <w:r>
        <w:rPr>
          <w:rFonts w:ascii="Arial" w:cs="Arial" w:eastAsia="Arial" w:hAnsi="Arial"/>
          <w:sz w:val="16"/>
          <w:szCs w:val="16"/>
          <w:u w:val="single" w:color="auto"/>
          <w:color w:val="auto"/>
        </w:rPr>
        <w:t>WARRANT HOLDER NOT DEEMED A STOCKHOLDER</w:t>
      </w:r>
      <w:r>
        <w:rPr>
          <w:rFonts w:ascii="Arial" w:cs="Arial" w:eastAsia="Arial" w:hAnsi="Arial"/>
          <w:sz w:val="16"/>
          <w:szCs w:val="16"/>
          <w:color w:val="auto"/>
        </w:rPr>
        <w:t xml:space="preserve">. Except as otherwise specifically provided herein, the Holder, solely in such Person’s capacity as a holder of this Warrant, shall not be entitled to vote or receive dividends or be deemed the holder of share capital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 Notwithstanding this Section </w:t>
      </w:r>
      <w:r>
        <w:rPr>
          <w:rFonts w:ascii="Arial" w:cs="Arial" w:eastAsia="Arial" w:hAnsi="Arial"/>
          <w:sz w:val="19"/>
          <w:szCs w:val="19"/>
          <w:b w:val="1"/>
          <w:bCs w:val="1"/>
          <w:color w:val="auto"/>
        </w:rPr>
        <w:t>‎</w:t>
      </w:r>
      <w:r>
        <w:rPr>
          <w:rFonts w:ascii="Arial" w:cs="Arial" w:eastAsia="Arial" w:hAnsi="Arial"/>
          <w:sz w:val="16"/>
          <w:szCs w:val="16"/>
          <w:color w:val="auto"/>
        </w:rPr>
        <w:t>6, the Company shall provide the Holder with copies of the same notices and other information given to the stockholders of the Company generally, contemporaneously with the giving thereof to the stockholders.</w:t>
      </w:r>
    </w:p>
    <w:p>
      <w:pPr>
        <w:spacing w:after="0" w:line="161" w:lineRule="exact"/>
        <w:rPr>
          <w:rFonts w:ascii="Arial" w:cs="Arial" w:eastAsia="Arial" w:hAnsi="Arial"/>
          <w:sz w:val="16"/>
          <w:szCs w:val="16"/>
          <w:color w:val="auto"/>
        </w:rPr>
      </w:pPr>
    </w:p>
    <w:p>
      <w:pPr>
        <w:ind w:left="1480" w:hanging="176"/>
        <w:spacing w:after="0"/>
        <w:tabs>
          <w:tab w:leader="none" w:pos="1480" w:val="left"/>
        </w:tabs>
        <w:numPr>
          <w:ilvl w:val="0"/>
          <w:numId w:val="249"/>
        </w:numPr>
        <w:rPr>
          <w:rFonts w:ascii="Arial" w:cs="Arial" w:eastAsia="Arial" w:hAnsi="Arial"/>
          <w:sz w:val="18"/>
          <w:szCs w:val="18"/>
          <w:color w:val="auto"/>
        </w:rPr>
      </w:pPr>
      <w:r>
        <w:rPr>
          <w:rFonts w:ascii="Arial" w:cs="Arial" w:eastAsia="Arial" w:hAnsi="Arial"/>
          <w:sz w:val="18"/>
          <w:szCs w:val="18"/>
          <w:u w:val="single" w:color="auto"/>
          <w:color w:val="auto"/>
        </w:rPr>
        <w:t>REISSUANCE OF WARRANTS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952"/>
        <w:spacing w:after="0" w:line="250" w:lineRule="auto"/>
        <w:tabs>
          <w:tab w:leader="none" w:pos="2188" w:val="left"/>
        </w:tabs>
        <w:numPr>
          <w:ilvl w:val="1"/>
          <w:numId w:val="249"/>
        </w:numPr>
        <w:rPr>
          <w:rFonts w:ascii="Arial" w:cs="Arial" w:eastAsia="Arial" w:hAnsi="Arial"/>
          <w:sz w:val="18"/>
          <w:szCs w:val="18"/>
          <w:color w:val="auto"/>
        </w:rPr>
      </w:pPr>
      <w:r>
        <w:rPr>
          <w:rFonts w:ascii="Arial" w:cs="Arial" w:eastAsia="Arial" w:hAnsi="Arial"/>
          <w:sz w:val="18"/>
          <w:szCs w:val="18"/>
          <w:u w:val="single" w:color="auto"/>
          <w:color w:val="auto"/>
        </w:rPr>
        <w:t>Transfer of Warrant</w:t>
      </w:r>
      <w:r>
        <w:rPr>
          <w:rFonts w:ascii="Arial" w:cs="Arial" w:eastAsia="Arial" w:hAnsi="Arial"/>
          <w:sz w:val="18"/>
          <w:szCs w:val="18"/>
          <w:color w:val="auto"/>
        </w:rPr>
        <w:t xml:space="preserve">. If this Warrant is to be transferred and reissued to the transferee, the Holder shall surrender this Warrant to the Company together with a written assignment of this Warrant substantially in the form attached hereto duly executed by the Holder or its agent or attorney and funds sufficient to pay any transfer taxes payable upon the making of such transfer, whereupon the Company will forthwith issue and deliver upon the order of the Holder a new Warrant (in accordance with Section </w:t>
      </w:r>
      <w:r>
        <w:rPr>
          <w:rFonts w:ascii="Arial" w:cs="Arial" w:eastAsia="Arial" w:hAnsi="Arial"/>
          <w:sz w:val="21"/>
          <w:szCs w:val="21"/>
          <w:b w:val="1"/>
          <w:bCs w:val="1"/>
          <w:color w:val="auto"/>
        </w:rPr>
        <w:t>‎</w:t>
      </w:r>
      <w:r>
        <w:rPr>
          <w:rFonts w:ascii="Arial" w:cs="Arial" w:eastAsia="Arial" w:hAnsi="Arial"/>
          <w:sz w:val="18"/>
          <w:szCs w:val="18"/>
          <w:color w:val="auto"/>
        </w:rPr>
        <w:t xml:space="preserve">7(d)), registered as the Holder may request, representing the right to purchase the number of Warrant Shares being transferred by the Holder and, if less than the total number of Warrant Shares then underlying this Warrant is being transferred, a new Warrant (in accordance with Section </w:t>
      </w:r>
      <w:r>
        <w:rPr>
          <w:rFonts w:ascii="Arial" w:cs="Arial" w:eastAsia="Arial" w:hAnsi="Arial"/>
          <w:sz w:val="21"/>
          <w:szCs w:val="21"/>
          <w:b w:val="1"/>
          <w:bCs w:val="1"/>
          <w:color w:val="auto"/>
        </w:rPr>
        <w:t>‎</w:t>
      </w:r>
      <w:r>
        <w:rPr>
          <w:rFonts w:ascii="Arial" w:cs="Arial" w:eastAsia="Arial" w:hAnsi="Arial"/>
          <w:sz w:val="18"/>
          <w:szCs w:val="18"/>
          <w:color w:val="auto"/>
        </w:rPr>
        <w:t xml:space="preserve">7(d)) to the Holder representing the right to purchase the number of Warrant Shares not being transferred. For the avoidance of doubt, this Section </w:t>
      </w:r>
      <w:r>
        <w:rPr>
          <w:rFonts w:ascii="Arial" w:cs="Arial" w:eastAsia="Arial" w:hAnsi="Arial"/>
          <w:sz w:val="21"/>
          <w:szCs w:val="21"/>
          <w:b w:val="1"/>
          <w:bCs w:val="1"/>
          <w:color w:val="auto"/>
        </w:rPr>
        <w:t>‎</w:t>
      </w:r>
      <w:r>
        <w:rPr>
          <w:rFonts w:ascii="Arial" w:cs="Arial" w:eastAsia="Arial" w:hAnsi="Arial"/>
          <w:sz w:val="18"/>
          <w:szCs w:val="18"/>
          <w:color w:val="auto"/>
        </w:rPr>
        <w:t>7(a) will not apply to a sale, transfer, pledge or assignment of this Warrant that does not involve a reissuance of this Warrant.</w:t>
      </w:r>
    </w:p>
    <w:p>
      <w:pPr>
        <w:spacing w:after="0" w:line="192" w:lineRule="exact"/>
        <w:rPr>
          <w:rFonts w:ascii="Arial" w:cs="Arial" w:eastAsia="Arial" w:hAnsi="Arial"/>
          <w:sz w:val="18"/>
          <w:szCs w:val="18"/>
          <w:color w:val="auto"/>
        </w:rPr>
      </w:pPr>
    </w:p>
    <w:p>
      <w:pPr>
        <w:jc w:val="both"/>
        <w:ind w:firstLine="1952"/>
        <w:spacing w:after="0" w:line="275" w:lineRule="auto"/>
        <w:tabs>
          <w:tab w:leader="none" w:pos="2199" w:val="left"/>
        </w:tabs>
        <w:numPr>
          <w:ilvl w:val="1"/>
          <w:numId w:val="249"/>
        </w:numPr>
        <w:rPr>
          <w:rFonts w:ascii="Arial" w:cs="Arial" w:eastAsia="Arial" w:hAnsi="Arial"/>
          <w:sz w:val="17"/>
          <w:szCs w:val="17"/>
          <w:color w:val="auto"/>
        </w:rPr>
      </w:pPr>
      <w:r>
        <w:rPr>
          <w:rFonts w:ascii="Arial" w:cs="Arial" w:eastAsia="Arial" w:hAnsi="Arial"/>
          <w:sz w:val="17"/>
          <w:szCs w:val="17"/>
          <w:u w:val="single" w:color="auto"/>
          <w:color w:val="auto"/>
        </w:rPr>
        <w:t>Lost, Stolen or Mutilated Warrant</w:t>
      </w:r>
      <w:r>
        <w:rPr>
          <w:rFonts w:ascii="Arial" w:cs="Arial" w:eastAsia="Arial" w:hAnsi="Arial"/>
          <w:sz w:val="17"/>
          <w:szCs w:val="17"/>
          <w:color w:val="auto"/>
        </w:rPr>
        <w:t xml:space="preserve">. Upon receipt by the Company of evidence reasonably satisfactory to the Company of the loss, theft, destruction or mutilation of this Warrant (as to which a written certification and the indemnification contemplated below shall suffice as such evidence), and, in the case of loss, theft or destruction, of any indemnification undertaking by the Holder to the Company in customary and reasonable form and, in the case of mutilation, upon surrender and cancellation of this Warrant, the Company shall execute and deliver to the Holder a new Warrant (in accordance with Section </w:t>
      </w:r>
      <w:r>
        <w:rPr>
          <w:rFonts w:ascii="Arial" w:cs="Arial" w:eastAsia="Arial" w:hAnsi="Arial"/>
          <w:sz w:val="20"/>
          <w:szCs w:val="20"/>
          <w:b w:val="1"/>
          <w:bCs w:val="1"/>
          <w:color w:val="auto"/>
        </w:rPr>
        <w:t>‎</w:t>
      </w:r>
      <w:r>
        <w:rPr>
          <w:rFonts w:ascii="Arial" w:cs="Arial" w:eastAsia="Arial" w:hAnsi="Arial"/>
          <w:sz w:val="17"/>
          <w:szCs w:val="17"/>
          <w:color w:val="auto"/>
        </w:rPr>
        <w:t>7(d)) representing the right to purchase the Warrant Shares then underlying this Warrant.</w:t>
      </w:r>
    </w:p>
    <w:p>
      <w:pPr>
        <w:spacing w:after="0" w:line="163" w:lineRule="exact"/>
        <w:rPr>
          <w:rFonts w:ascii="Arial" w:cs="Arial" w:eastAsia="Arial" w:hAnsi="Arial"/>
          <w:sz w:val="17"/>
          <w:szCs w:val="17"/>
          <w:color w:val="auto"/>
        </w:rPr>
      </w:pPr>
    </w:p>
    <w:p>
      <w:pPr>
        <w:jc w:val="both"/>
        <w:ind w:firstLine="1952"/>
        <w:spacing w:after="0" w:line="295" w:lineRule="auto"/>
        <w:tabs>
          <w:tab w:leader="none" w:pos="2188" w:val="left"/>
        </w:tabs>
        <w:numPr>
          <w:ilvl w:val="1"/>
          <w:numId w:val="249"/>
        </w:numPr>
        <w:rPr>
          <w:rFonts w:ascii="Arial" w:cs="Arial" w:eastAsia="Arial" w:hAnsi="Arial"/>
          <w:sz w:val="16"/>
          <w:szCs w:val="16"/>
          <w:color w:val="auto"/>
        </w:rPr>
      </w:pPr>
      <w:r>
        <w:rPr>
          <w:rFonts w:ascii="Arial" w:cs="Arial" w:eastAsia="Arial" w:hAnsi="Arial"/>
          <w:sz w:val="16"/>
          <w:szCs w:val="16"/>
          <w:u w:val="single" w:color="auto"/>
          <w:color w:val="auto"/>
        </w:rPr>
        <w:t>Exchangeable for Multiple Warrants</w:t>
      </w:r>
      <w:r>
        <w:rPr>
          <w:rFonts w:ascii="Arial" w:cs="Arial" w:eastAsia="Arial" w:hAnsi="Arial"/>
          <w:sz w:val="16"/>
          <w:szCs w:val="16"/>
          <w:color w:val="auto"/>
        </w:rPr>
        <w:t xml:space="preserve">. This Warrant is exchangeable, upon the surrender hereof by the Holder at the principal office of the Company, for a new Warrant or Warrants (in accordance with Section </w:t>
      </w:r>
      <w:r>
        <w:rPr>
          <w:rFonts w:ascii="Arial" w:cs="Arial" w:eastAsia="Arial" w:hAnsi="Arial"/>
          <w:sz w:val="19"/>
          <w:szCs w:val="19"/>
          <w:b w:val="1"/>
          <w:bCs w:val="1"/>
          <w:color w:val="auto"/>
        </w:rPr>
        <w:t>‎</w:t>
      </w:r>
      <w:r>
        <w:rPr>
          <w:rFonts w:ascii="Arial" w:cs="Arial" w:eastAsia="Arial" w:hAnsi="Arial"/>
          <w:sz w:val="16"/>
          <w:szCs w:val="16"/>
          <w:color w:val="auto"/>
        </w:rPr>
        <w:t xml:space="preserve">7(d)) representing in the aggregate the right to purchase the number of Warrant Shares then underlying this Warrant, and each such new Warrant will represent the right to purchase such portion of such Warrant Shares as is designated by the Holder at the time of such surrender;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warrants for fractional shares of Common Stock shall be given.</w:t>
      </w:r>
    </w:p>
    <w:p>
      <w:pPr>
        <w:spacing w:after="0" w:line="159" w:lineRule="exact"/>
        <w:rPr>
          <w:rFonts w:ascii="Arial" w:cs="Arial" w:eastAsia="Arial" w:hAnsi="Arial"/>
          <w:sz w:val="16"/>
          <w:szCs w:val="16"/>
          <w:color w:val="auto"/>
        </w:rPr>
      </w:pPr>
    </w:p>
    <w:p>
      <w:pPr>
        <w:jc w:val="both"/>
        <w:ind w:firstLine="1952"/>
        <w:spacing w:after="0" w:line="290" w:lineRule="auto"/>
        <w:tabs>
          <w:tab w:leader="none" w:pos="2199" w:val="left"/>
        </w:tabs>
        <w:numPr>
          <w:ilvl w:val="1"/>
          <w:numId w:val="249"/>
        </w:numPr>
        <w:rPr>
          <w:rFonts w:ascii="Arial" w:cs="Arial" w:eastAsia="Arial" w:hAnsi="Arial"/>
          <w:sz w:val="16"/>
          <w:szCs w:val="16"/>
          <w:color w:val="auto"/>
        </w:rPr>
      </w:pPr>
      <w:r>
        <w:rPr>
          <w:rFonts w:ascii="Arial" w:cs="Arial" w:eastAsia="Arial" w:hAnsi="Arial"/>
          <w:sz w:val="16"/>
          <w:szCs w:val="16"/>
          <w:u w:val="single" w:color="auto"/>
          <w:color w:val="auto"/>
        </w:rPr>
        <w:t>Issuance of New Warrants</w:t>
      </w:r>
      <w:r>
        <w:rPr>
          <w:rFonts w:ascii="Arial" w:cs="Arial" w:eastAsia="Arial" w:hAnsi="Arial"/>
          <w:sz w:val="16"/>
          <w:szCs w:val="16"/>
          <w:color w:val="auto"/>
        </w:rPr>
        <w:t xml:space="preserve">. Whenever the Company is required to issue a new Warrant pursuant to the terms of this Warrant, such new Warrant (i) shall be of like tenor with this Warrant, (ii) shall represent, as indicated on the face of such new Warrant, the right to purchase the Warrant Shares then underlying this Warrant (or in the case of a new Warrant being issued pursuant to Section </w:t>
      </w:r>
      <w:r>
        <w:rPr>
          <w:rFonts w:ascii="Arial" w:cs="Arial" w:eastAsia="Arial" w:hAnsi="Arial"/>
          <w:sz w:val="19"/>
          <w:szCs w:val="19"/>
          <w:b w:val="1"/>
          <w:bCs w:val="1"/>
          <w:color w:val="auto"/>
        </w:rPr>
        <w:t>‎</w:t>
      </w:r>
      <w:r>
        <w:rPr>
          <w:rFonts w:ascii="Arial" w:cs="Arial" w:eastAsia="Arial" w:hAnsi="Arial"/>
          <w:sz w:val="16"/>
          <w:szCs w:val="16"/>
          <w:color w:val="auto"/>
        </w:rPr>
        <w:t xml:space="preserve">7(a) or Section </w:t>
      </w:r>
      <w:r>
        <w:rPr>
          <w:rFonts w:ascii="Arial" w:cs="Arial" w:eastAsia="Arial" w:hAnsi="Arial"/>
          <w:sz w:val="19"/>
          <w:szCs w:val="19"/>
          <w:b w:val="1"/>
          <w:bCs w:val="1"/>
          <w:color w:val="auto"/>
        </w:rPr>
        <w:t>‎</w:t>
      </w:r>
      <w:r>
        <w:rPr>
          <w:rFonts w:ascii="Arial" w:cs="Arial" w:eastAsia="Arial" w:hAnsi="Arial"/>
          <w:sz w:val="16"/>
          <w:szCs w:val="16"/>
          <w:color w:val="auto"/>
        </w:rPr>
        <w:t>7(c), the Warrant Shares designated by the Holder which, when added to the number of shares of Common Stock underlying the other new Warrants issued in connection with such issuance, does not exceed the number of Warrant Shares then underlying this Warrant), (iii) shall have an issuance date, as indicated on the face of such new Warrant which is the same as the Issuance Date, and (iv) shall have the same rights and conditions as this Warrant.</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1" w:name="page252"/>
    <w:bookmarkEnd w:id="251"/>
    <w:p>
      <w:pPr>
        <w:jc w:val="both"/>
        <w:ind w:firstLine="1304"/>
        <w:spacing w:after="0" w:line="296" w:lineRule="auto"/>
        <w:tabs>
          <w:tab w:leader="none" w:pos="1489" w:val="left"/>
        </w:tabs>
        <w:numPr>
          <w:ilvl w:val="0"/>
          <w:numId w:val="250"/>
        </w:numPr>
        <w:rPr>
          <w:rFonts w:ascii="Arial" w:cs="Arial" w:eastAsia="Arial" w:hAnsi="Arial"/>
          <w:sz w:val="16"/>
          <w:szCs w:val="16"/>
          <w:color w:val="auto"/>
        </w:rPr>
      </w:pPr>
      <w:r>
        <w:rPr>
          <w:rFonts w:ascii="Arial" w:cs="Arial" w:eastAsia="Arial" w:hAnsi="Arial"/>
          <w:sz w:val="16"/>
          <w:szCs w:val="16"/>
          <w:u w:val="single" w:color="auto"/>
          <w:color w:val="auto"/>
        </w:rPr>
        <w:t>NOTICES OF CHANGES IN WARRANT</w:t>
      </w:r>
      <w:r>
        <w:rPr>
          <w:rFonts w:ascii="Arial" w:cs="Arial" w:eastAsia="Arial" w:hAnsi="Arial"/>
          <w:sz w:val="16"/>
          <w:szCs w:val="16"/>
          <w:color w:val="auto"/>
        </w:rPr>
        <w:t>. Whenever notice is required to be given under this Warrant, unless otherwise provided herein, such notice shall be given in accordance with Section 8.2 of the Credit Agreement. Upon every adjustment of the Exercise Price or the number of shares of Common Stock issuable upon exercise of a Warrant, the Company shall give written notice thereof to the Holders, which notice shall state the Exercise Price resulting from such adjustment and the increase or decrease, if any, in the number of Warrant Shares purchasable at such price upon the exercise of a Warrant, setting forth in reasonable detail the method of calculation and the facts upon which such calculation is based.</w:t>
      </w:r>
    </w:p>
    <w:p>
      <w:pPr>
        <w:spacing w:after="0" w:line="161" w:lineRule="exact"/>
        <w:rPr>
          <w:rFonts w:ascii="Arial" w:cs="Arial" w:eastAsia="Arial" w:hAnsi="Arial"/>
          <w:sz w:val="16"/>
          <w:szCs w:val="16"/>
          <w:color w:val="auto"/>
        </w:rPr>
      </w:pPr>
    </w:p>
    <w:p>
      <w:pPr>
        <w:jc w:val="both"/>
        <w:ind w:firstLine="1304"/>
        <w:spacing w:after="0" w:line="301" w:lineRule="auto"/>
        <w:tabs>
          <w:tab w:leader="none" w:pos="1476" w:val="left"/>
        </w:tabs>
        <w:numPr>
          <w:ilvl w:val="0"/>
          <w:numId w:val="250"/>
        </w:numPr>
        <w:rPr>
          <w:rFonts w:ascii="Arial" w:cs="Arial" w:eastAsia="Arial" w:hAnsi="Arial"/>
          <w:sz w:val="16"/>
          <w:szCs w:val="16"/>
          <w:color w:val="auto"/>
        </w:rPr>
      </w:pPr>
      <w:r>
        <w:rPr>
          <w:rFonts w:ascii="Arial" w:cs="Arial" w:eastAsia="Arial" w:hAnsi="Arial"/>
          <w:sz w:val="16"/>
          <w:szCs w:val="16"/>
          <w:u w:val="single" w:color="auto"/>
          <w:color w:val="auto"/>
        </w:rPr>
        <w:t>AMENDMENT AND WAIVER</w:t>
      </w:r>
      <w:r>
        <w:rPr>
          <w:rFonts w:ascii="Arial" w:cs="Arial" w:eastAsia="Arial" w:hAnsi="Arial"/>
          <w:sz w:val="16"/>
          <w:szCs w:val="16"/>
          <w:color w:val="auto"/>
        </w:rPr>
        <w:t>. Except as otherwise provided herein, the provisions of this Warrant may be amended or waived and the Company may take any action herein prohibited, or omit to perform any act herein required to be performed by it, only if the Company has obtained the written consent of (i) the Holder, if there is one Holder, or (ii) the Holder or Holders of the Warrant or Warrants representing the majority of Warrant Shares if there is more than one Holder, and with respect to any amendment, the amendment is in writing and signed by the Company and the Holder.</w:t>
      </w:r>
    </w:p>
    <w:p>
      <w:pPr>
        <w:spacing w:after="0" w:line="157" w:lineRule="exact"/>
        <w:rPr>
          <w:rFonts w:ascii="Arial" w:cs="Arial" w:eastAsia="Arial" w:hAnsi="Arial"/>
          <w:sz w:val="16"/>
          <w:szCs w:val="16"/>
          <w:color w:val="auto"/>
        </w:rPr>
      </w:pPr>
    </w:p>
    <w:p>
      <w:pPr>
        <w:jc w:val="both"/>
        <w:ind w:firstLine="1304"/>
        <w:spacing w:after="0" w:line="283" w:lineRule="auto"/>
        <w:tabs>
          <w:tab w:leader="none" w:pos="1566" w:val="left"/>
        </w:tabs>
        <w:numPr>
          <w:ilvl w:val="0"/>
          <w:numId w:val="250"/>
        </w:numPr>
        <w:rPr>
          <w:rFonts w:ascii="Arial" w:cs="Arial" w:eastAsia="Arial" w:hAnsi="Arial"/>
          <w:sz w:val="16"/>
          <w:szCs w:val="16"/>
          <w:color w:val="auto"/>
        </w:rPr>
      </w:pPr>
      <w:r>
        <w:rPr>
          <w:rFonts w:ascii="Arial" w:cs="Arial" w:eastAsia="Arial" w:hAnsi="Arial"/>
          <w:sz w:val="16"/>
          <w:szCs w:val="16"/>
          <w:u w:val="single" w:color="auto"/>
          <w:color w:val="auto"/>
        </w:rPr>
        <w:t>GOVERNING LAW; JURISDICTION; JURY TRIAL</w:t>
      </w:r>
      <w:r>
        <w:rPr>
          <w:rFonts w:ascii="Arial" w:cs="Arial" w:eastAsia="Arial" w:hAnsi="Arial"/>
          <w:sz w:val="16"/>
          <w:szCs w:val="16"/>
          <w:color w:val="auto"/>
        </w:rPr>
        <w:t xml:space="preserve">. This Warrant shall be governed by and construed and enforced in accordance with, and all questions concerning the construction, validity, interpretation and performance of this Warrant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The Company and the Holder each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The Company and the Holder each hereby irrevocably waives personal service of process and consents to process being served in any such suit, action or proceeding by mailing a copy thereof to the Company or such Holder, as applicable at the address set forth in Section 8.2 of the Credit Agreement and agrees that such service shall constitute good and sufficient service of process and notice thereof. Nothing contained herein shall be deemed to limit in any way any right to serve process in any manner permitted by law. Nothing contained herein shall be deemed or operate to preclude the Holder from bringing suit or taking other legal action against the Company in any other jurisdiction to collect on the Company’s obligations to the Holder, to realize on any collateral or any other security for such obligations, or to enforce a judgment or other court ruling in favor of the Holder. </w:t>
      </w:r>
      <w:r>
        <w:rPr>
          <w:rFonts w:ascii="Arial" w:cs="Arial" w:eastAsia="Arial" w:hAnsi="Arial"/>
          <w:sz w:val="16"/>
          <w:szCs w:val="16"/>
          <w:b w:val="1"/>
          <w:bCs w:val="1"/>
          <w:color w:val="auto"/>
        </w:rPr>
        <w:t>THE COMPANY HEREBY AND THE HOLDER EACH</w:t>
      </w:r>
    </w:p>
    <w:p>
      <w:pPr>
        <w:spacing w:after="0" w:line="1" w:lineRule="exact"/>
        <w:rPr>
          <w:rFonts w:ascii="Arial" w:cs="Arial" w:eastAsia="Arial" w:hAnsi="Arial"/>
          <w:sz w:val="16"/>
          <w:szCs w:val="16"/>
          <w:color w:val="auto"/>
        </w:rPr>
      </w:pPr>
    </w:p>
    <w:p>
      <w:pPr>
        <w:jc w:val="both"/>
        <w:spacing w:after="0" w:line="255" w:lineRule="auto"/>
        <w:rPr>
          <w:rFonts w:ascii="Arial" w:cs="Arial" w:eastAsia="Arial" w:hAnsi="Arial"/>
          <w:sz w:val="16"/>
          <w:szCs w:val="16"/>
          <w:color w:val="auto"/>
        </w:rPr>
      </w:pPr>
      <w:r>
        <w:rPr>
          <w:rFonts w:ascii="Arial" w:cs="Arial" w:eastAsia="Arial" w:hAnsi="Arial"/>
          <w:sz w:val="18"/>
          <w:szCs w:val="18"/>
          <w:b w:val="1"/>
          <w:bCs w:val="1"/>
          <w:color w:val="auto"/>
        </w:rPr>
        <w:t>IRREVOCABLY WAIVES ANY RIGHT IT MAY HAVE, AND AGREES NOT TO REQUEST, A JURY TRIAL FOR THE ADJUDICATION OF ANY DISPUTE HEREUNDER OR IN CONNECTION WITH OR ARISING OUT OF THIS WARRANT OR ANY TRANSACTION CONTEMPLATED HEREBY.</w:t>
      </w:r>
    </w:p>
    <w:p>
      <w:pPr>
        <w:spacing w:after="0" w:line="189" w:lineRule="exact"/>
        <w:rPr>
          <w:rFonts w:ascii="Arial" w:cs="Arial" w:eastAsia="Arial" w:hAnsi="Arial"/>
          <w:sz w:val="16"/>
          <w:szCs w:val="16"/>
          <w:color w:val="auto"/>
        </w:rPr>
      </w:pPr>
    </w:p>
    <w:p>
      <w:pPr>
        <w:jc w:val="both"/>
        <w:ind w:firstLine="1304"/>
        <w:spacing w:after="0" w:line="301" w:lineRule="auto"/>
        <w:tabs>
          <w:tab w:leader="none" w:pos="1573" w:val="left"/>
        </w:tabs>
        <w:numPr>
          <w:ilvl w:val="0"/>
          <w:numId w:val="250"/>
        </w:numPr>
        <w:rPr>
          <w:rFonts w:ascii="Arial" w:cs="Arial" w:eastAsia="Arial" w:hAnsi="Arial"/>
          <w:sz w:val="16"/>
          <w:szCs w:val="16"/>
          <w:color w:val="auto"/>
        </w:rPr>
      </w:pPr>
      <w:r>
        <w:rPr>
          <w:rFonts w:ascii="Arial" w:cs="Arial" w:eastAsia="Arial" w:hAnsi="Arial"/>
          <w:sz w:val="16"/>
          <w:szCs w:val="16"/>
          <w:u w:val="single" w:color="auto"/>
          <w:color w:val="auto"/>
        </w:rPr>
        <w:t>CONSTRUCTION; HEADINGS; BUSINESS DAYS</w:t>
      </w:r>
      <w:r>
        <w:rPr>
          <w:rFonts w:ascii="Arial" w:cs="Arial" w:eastAsia="Arial" w:hAnsi="Arial"/>
          <w:sz w:val="16"/>
          <w:szCs w:val="16"/>
          <w:color w:val="auto"/>
        </w:rPr>
        <w:t>. This Warrant shall be deemed to be jointly drafted by the Company and the Holder and shall not be construed against any Person as the drafter hereof. The headings of this Warrant are for convenience of reference and shall not form part of, or affect the interpretation of, this Warrant.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2" w:name="page253"/>
    <w:bookmarkEnd w:id="252"/>
    <w:p>
      <w:pPr>
        <w:jc w:val="both"/>
        <w:ind w:firstLine="1304"/>
        <w:spacing w:after="0" w:line="268" w:lineRule="auto"/>
        <w:tabs>
          <w:tab w:leader="none" w:pos="1566" w:val="left"/>
        </w:tabs>
        <w:numPr>
          <w:ilvl w:val="0"/>
          <w:numId w:val="251"/>
        </w:numPr>
        <w:rPr>
          <w:rFonts w:ascii="Arial" w:cs="Arial" w:eastAsia="Arial" w:hAnsi="Arial"/>
          <w:sz w:val="17"/>
          <w:szCs w:val="17"/>
          <w:color w:val="auto"/>
        </w:rPr>
      </w:pPr>
      <w:r>
        <w:rPr>
          <w:rFonts w:ascii="Arial" w:cs="Arial" w:eastAsia="Arial" w:hAnsi="Arial"/>
          <w:sz w:val="17"/>
          <w:szCs w:val="17"/>
          <w:u w:val="single" w:color="auto"/>
          <w:color w:val="auto"/>
        </w:rPr>
        <w:t>DISPUTE RESOLUTION</w:t>
      </w:r>
      <w:r>
        <w:rPr>
          <w:rFonts w:ascii="Arial" w:cs="Arial" w:eastAsia="Arial" w:hAnsi="Arial"/>
          <w:sz w:val="17"/>
          <w:szCs w:val="17"/>
          <w:color w:val="auto"/>
        </w:rPr>
        <w:t xml:space="preserve">. In the case of a dispute as to the determination of the Exercise Price or the arithmetic calculation of the Warrant Shares, the Company shall submit the disputed determinations or arithmetic calculations via facsimile or electronic mail within two (2) Business Days of receipt of the Exercise Notice giving rise to such dispute, as the case may be, to the Holder. If the Holder and the Company are unable to agree upon such determination or calculation of the Exercise Price or the Warrant Shares within three (3) Business Days of such disputed determination or arithmetic calculation being submitted to the Holder, then the Company shall, within two (2) Business Days submit via facsimile or electronic mail the dispute to a nationally recognized accounting firm selected by the Holder and reasonably satisfactory to the Company. If the Company does not object in writing to the selection of the accounting firm within two (2) Business Days of notice of the Holder’s selection, the Company will have deemed to have consented to such selection. If the Company does object, the Company shall provide the Holder its rationale for such rejection and five (5) acceptable alternative firms. The Company shall cause at its expense the accepted accounting firm to perform the determinations or calculations and notify the Company and the Holder of the results no later than three (3) Business Days from the time it receives the disputed determinations or calculations. Such accounting firm’s determination or calculation, as the case may be, shall be binding upon all parties absent demonstrable error. In the event that the accounting firm resolves the dispute in the Holder’s favor, a Delivery Failure will be deemed to have occurred and the Buy-In and other remedies available to the Holder under Section </w:t>
      </w:r>
      <w:r>
        <w:rPr>
          <w:rFonts w:ascii="Arial" w:cs="Arial" w:eastAsia="Arial" w:hAnsi="Arial"/>
          <w:sz w:val="20"/>
          <w:szCs w:val="20"/>
          <w:b w:val="1"/>
          <w:bCs w:val="1"/>
          <w:color w:val="auto"/>
        </w:rPr>
        <w:t>‎</w:t>
      </w:r>
      <w:r>
        <w:rPr>
          <w:rFonts w:ascii="Arial" w:cs="Arial" w:eastAsia="Arial" w:hAnsi="Arial"/>
          <w:sz w:val="17"/>
          <w:szCs w:val="17"/>
          <w:color w:val="auto"/>
        </w:rPr>
        <w:t>1(c) will apply.</w:t>
      </w:r>
    </w:p>
    <w:p>
      <w:pPr>
        <w:spacing w:after="0" w:line="174" w:lineRule="exact"/>
        <w:rPr>
          <w:rFonts w:ascii="Arial" w:cs="Arial" w:eastAsia="Arial" w:hAnsi="Arial"/>
          <w:sz w:val="17"/>
          <w:szCs w:val="17"/>
          <w:color w:val="auto"/>
        </w:rPr>
      </w:pPr>
    </w:p>
    <w:p>
      <w:pPr>
        <w:jc w:val="both"/>
        <w:ind w:firstLine="1304"/>
        <w:spacing w:after="0" w:line="272" w:lineRule="auto"/>
        <w:tabs>
          <w:tab w:leader="none" w:pos="1566" w:val="left"/>
        </w:tabs>
        <w:numPr>
          <w:ilvl w:val="0"/>
          <w:numId w:val="251"/>
        </w:numPr>
        <w:rPr>
          <w:rFonts w:ascii="Arial" w:cs="Arial" w:eastAsia="Arial" w:hAnsi="Arial"/>
          <w:sz w:val="17"/>
          <w:szCs w:val="17"/>
          <w:color w:val="auto"/>
        </w:rPr>
      </w:pPr>
      <w:r>
        <w:rPr>
          <w:rFonts w:ascii="Arial" w:cs="Arial" w:eastAsia="Arial" w:hAnsi="Arial"/>
          <w:sz w:val="17"/>
          <w:szCs w:val="17"/>
          <w:u w:val="single" w:color="auto"/>
          <w:color w:val="auto"/>
        </w:rPr>
        <w:t>REMEDIES, OTHER OBLIGATIONS, BREACHES AND INJUNCTIVE RELIEF</w:t>
      </w:r>
      <w:r>
        <w:rPr>
          <w:rFonts w:ascii="Arial" w:cs="Arial" w:eastAsia="Arial" w:hAnsi="Arial"/>
          <w:sz w:val="17"/>
          <w:szCs w:val="17"/>
          <w:color w:val="auto"/>
        </w:rPr>
        <w:t>. The remedies provided in this Warrant shall be cumulative and in addition to all other remedies available under this Warrant and the other Loan Documents, at law or in equity (including a decree of specific performance and/or other injunctive relief), and nothing herein shall limit the right of the Holder to pursue actual damages for any failure by the Company to comply with the terms of this Warrant.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shall be entitled, in addition to all other available remedies, to an injunction restraining any breach, without the necessity of showing economic loss and without any bond or other security being required.</w:t>
      </w:r>
    </w:p>
    <w:p>
      <w:pPr>
        <w:spacing w:after="0" w:line="177" w:lineRule="exact"/>
        <w:rPr>
          <w:rFonts w:ascii="Arial" w:cs="Arial" w:eastAsia="Arial" w:hAnsi="Arial"/>
          <w:sz w:val="17"/>
          <w:szCs w:val="17"/>
          <w:color w:val="auto"/>
        </w:rPr>
      </w:pPr>
    </w:p>
    <w:p>
      <w:pPr>
        <w:jc w:val="both"/>
        <w:ind w:firstLine="1304"/>
        <w:spacing w:after="0" w:line="259" w:lineRule="auto"/>
        <w:tabs>
          <w:tab w:leader="none" w:pos="1566" w:val="left"/>
        </w:tabs>
        <w:numPr>
          <w:ilvl w:val="0"/>
          <w:numId w:val="251"/>
        </w:numPr>
        <w:rPr>
          <w:rFonts w:ascii="Arial" w:cs="Arial" w:eastAsia="Arial" w:hAnsi="Arial"/>
          <w:sz w:val="18"/>
          <w:szCs w:val="18"/>
          <w:color w:val="auto"/>
        </w:rPr>
      </w:pPr>
      <w:r>
        <w:rPr>
          <w:rFonts w:ascii="Arial" w:cs="Arial" w:eastAsia="Arial" w:hAnsi="Arial"/>
          <w:sz w:val="18"/>
          <w:szCs w:val="18"/>
          <w:u w:val="single" w:color="auto"/>
          <w:color w:val="auto"/>
        </w:rPr>
        <w:t>TRANSFER</w:t>
      </w:r>
      <w:r>
        <w:rPr>
          <w:rFonts w:ascii="Arial" w:cs="Arial" w:eastAsia="Arial" w:hAnsi="Arial"/>
          <w:sz w:val="18"/>
          <w:szCs w:val="18"/>
          <w:color w:val="auto"/>
        </w:rPr>
        <w:t>. This Warrant and the Warrant Shares may be offered for sale, sold, transferred, pledged or assigned without the consent of the Company, subject to compliance with applicable state and federal securities laws. The Holder acknowledges that the Warrant Shares acquired upon the exercise of this Warrant, if not registered, and the Holder does not utilize cashless exercise, will have restrictions upon resale imposed by state and federal securities laws.</w:t>
      </w:r>
    </w:p>
    <w:p>
      <w:pPr>
        <w:spacing w:after="0" w:line="186" w:lineRule="exact"/>
        <w:rPr>
          <w:rFonts w:ascii="Arial" w:cs="Arial" w:eastAsia="Arial" w:hAnsi="Arial"/>
          <w:sz w:val="18"/>
          <w:szCs w:val="18"/>
          <w:color w:val="auto"/>
        </w:rPr>
      </w:pPr>
    </w:p>
    <w:p>
      <w:pPr>
        <w:jc w:val="both"/>
        <w:ind w:firstLine="1304"/>
        <w:spacing w:after="0" w:line="271" w:lineRule="auto"/>
        <w:tabs>
          <w:tab w:leader="none" w:pos="1566" w:val="left"/>
        </w:tabs>
        <w:numPr>
          <w:ilvl w:val="0"/>
          <w:numId w:val="251"/>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of this Warrant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Warrant so long as this Warrant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3" w:name="page254"/>
    <w:bookmarkEnd w:id="253"/>
    <w:p>
      <w:pPr>
        <w:ind w:firstLine="1304"/>
        <w:spacing w:after="0" w:line="277" w:lineRule="auto"/>
        <w:tabs>
          <w:tab w:leader="none" w:pos="1566" w:val="left"/>
        </w:tabs>
        <w:numPr>
          <w:ilvl w:val="0"/>
          <w:numId w:val="252"/>
        </w:numPr>
        <w:rPr>
          <w:rFonts w:ascii="Arial" w:cs="Arial" w:eastAsia="Arial" w:hAnsi="Arial"/>
          <w:sz w:val="18"/>
          <w:szCs w:val="18"/>
          <w:color w:val="auto"/>
        </w:rPr>
      </w:pPr>
      <w:r>
        <w:rPr>
          <w:rFonts w:ascii="Arial" w:cs="Arial" w:eastAsia="Arial" w:hAnsi="Arial"/>
          <w:sz w:val="18"/>
          <w:szCs w:val="18"/>
          <w:u w:val="single" w:color="auto"/>
          <w:color w:val="auto"/>
        </w:rPr>
        <w:t>NO DISCLOSURE</w:t>
      </w:r>
      <w:r>
        <w:rPr>
          <w:rFonts w:ascii="Arial" w:cs="Arial" w:eastAsia="Arial" w:hAnsi="Arial"/>
          <w:sz w:val="18"/>
          <w:szCs w:val="18"/>
          <w:color w:val="auto"/>
        </w:rPr>
        <w:t>. The Company shall not provide material, non-public information or confidential or proprietary information to the Holder without such Holder’s written consent.</w:t>
      </w:r>
    </w:p>
    <w:p>
      <w:pPr>
        <w:spacing w:after="0" w:line="170" w:lineRule="exact"/>
        <w:rPr>
          <w:rFonts w:ascii="Arial" w:cs="Arial" w:eastAsia="Arial" w:hAnsi="Arial"/>
          <w:sz w:val="18"/>
          <w:szCs w:val="18"/>
          <w:color w:val="auto"/>
        </w:rPr>
      </w:pPr>
    </w:p>
    <w:p>
      <w:pPr>
        <w:ind w:left="1580" w:hanging="276"/>
        <w:spacing w:after="0"/>
        <w:tabs>
          <w:tab w:leader="none" w:pos="1580" w:val="left"/>
        </w:tabs>
        <w:numPr>
          <w:ilvl w:val="0"/>
          <w:numId w:val="252"/>
        </w:numPr>
        <w:rPr>
          <w:rFonts w:ascii="Arial" w:cs="Arial" w:eastAsia="Arial" w:hAnsi="Arial"/>
          <w:sz w:val="18"/>
          <w:szCs w:val="18"/>
          <w:color w:val="auto"/>
        </w:rPr>
      </w:pPr>
      <w:r>
        <w:rPr>
          <w:rFonts w:ascii="Arial" w:cs="Arial" w:eastAsia="Arial" w:hAnsi="Arial"/>
          <w:sz w:val="18"/>
          <w:szCs w:val="18"/>
          <w:u w:val="single" w:color="auto"/>
          <w:color w:val="auto"/>
        </w:rPr>
        <w:t>REPRESENTATIONS OF HOLDERS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952"/>
        <w:spacing w:after="0" w:line="263" w:lineRule="auto"/>
        <w:tabs>
          <w:tab w:leader="none" w:pos="2188" w:val="left"/>
        </w:tabs>
        <w:numPr>
          <w:ilvl w:val="1"/>
          <w:numId w:val="252"/>
        </w:numPr>
        <w:rPr>
          <w:rFonts w:ascii="Arial" w:cs="Arial" w:eastAsia="Arial" w:hAnsi="Arial"/>
          <w:sz w:val="18"/>
          <w:szCs w:val="18"/>
          <w:color w:val="auto"/>
        </w:rPr>
      </w:pPr>
      <w:r>
        <w:rPr>
          <w:rFonts w:ascii="Arial" w:cs="Arial" w:eastAsia="Arial" w:hAnsi="Arial"/>
          <w:sz w:val="18"/>
          <w:szCs w:val="18"/>
          <w:u w:val="single" w:color="auto"/>
          <w:color w:val="auto"/>
        </w:rPr>
        <w:t>Investment Intent</w:t>
      </w:r>
      <w:r>
        <w:rPr>
          <w:rFonts w:ascii="Arial" w:cs="Arial" w:eastAsia="Arial" w:hAnsi="Arial"/>
          <w:sz w:val="18"/>
          <w:szCs w:val="18"/>
          <w:color w:val="auto"/>
        </w:rPr>
        <w:t>. Each Holder represents and warrants that it is acquiring this Warrant and the Warrant Shares (collectively, the “</w:t>
      </w:r>
      <w:r>
        <w:rPr>
          <w:rFonts w:ascii="Arial" w:cs="Arial" w:eastAsia="Arial" w:hAnsi="Arial"/>
          <w:sz w:val="18"/>
          <w:szCs w:val="18"/>
          <w:b w:val="1"/>
          <w:bCs w:val="1"/>
          <w:color w:val="auto"/>
        </w:rPr>
        <w:t>Securities</w:t>
      </w:r>
      <w:r>
        <w:rPr>
          <w:rFonts w:ascii="Arial" w:cs="Arial" w:eastAsia="Arial" w:hAnsi="Arial"/>
          <w:sz w:val="18"/>
          <w:szCs w:val="18"/>
          <w:color w:val="auto"/>
        </w:rPr>
        <w:t>”), solely for its beneficial account, for investment purposes, and not with a view to, or for resale in connection with, any distribution of the Securities in violation of applicable securities laws.</w:t>
      </w:r>
    </w:p>
    <w:p>
      <w:pPr>
        <w:spacing w:after="0" w:line="183" w:lineRule="exact"/>
        <w:rPr>
          <w:rFonts w:ascii="Arial" w:cs="Arial" w:eastAsia="Arial" w:hAnsi="Arial"/>
          <w:sz w:val="18"/>
          <w:szCs w:val="18"/>
          <w:color w:val="auto"/>
        </w:rPr>
      </w:pPr>
    </w:p>
    <w:p>
      <w:pPr>
        <w:jc w:val="both"/>
        <w:ind w:firstLine="1952"/>
        <w:spacing w:after="0" w:line="286" w:lineRule="auto"/>
        <w:tabs>
          <w:tab w:leader="none" w:pos="2199" w:val="left"/>
        </w:tabs>
        <w:numPr>
          <w:ilvl w:val="1"/>
          <w:numId w:val="252"/>
        </w:numPr>
        <w:rPr>
          <w:rFonts w:ascii="Arial" w:cs="Arial" w:eastAsia="Arial" w:hAnsi="Arial"/>
          <w:sz w:val="17"/>
          <w:szCs w:val="17"/>
          <w:color w:val="auto"/>
        </w:rPr>
      </w:pPr>
      <w:r>
        <w:rPr>
          <w:rFonts w:ascii="Arial" w:cs="Arial" w:eastAsia="Arial" w:hAnsi="Arial"/>
          <w:sz w:val="17"/>
          <w:szCs w:val="17"/>
          <w:u w:val="single" w:color="auto"/>
          <w:color w:val="auto"/>
        </w:rPr>
        <w:t>Unregistered Securities</w:t>
      </w:r>
      <w:r>
        <w:rPr>
          <w:rFonts w:ascii="Arial" w:cs="Arial" w:eastAsia="Arial" w:hAnsi="Arial"/>
          <w:sz w:val="17"/>
          <w:szCs w:val="17"/>
          <w:color w:val="auto"/>
        </w:rPr>
        <w:t>. Each Holder represents and warrants that it understands that the Securities have not been registered under the Securities Act or any state securities laws by reason of specific exemptions under the provisions thereof, the availability of which depend in part upon the bona fide nature of its investment intent and upon the accuracy of its representations made herein.</w:t>
      </w:r>
    </w:p>
    <w:p>
      <w:pPr>
        <w:spacing w:after="0" w:line="165" w:lineRule="exact"/>
        <w:rPr>
          <w:rFonts w:ascii="Arial" w:cs="Arial" w:eastAsia="Arial" w:hAnsi="Arial"/>
          <w:sz w:val="17"/>
          <w:szCs w:val="17"/>
          <w:color w:val="auto"/>
        </w:rPr>
      </w:pPr>
    </w:p>
    <w:p>
      <w:pPr>
        <w:jc w:val="both"/>
        <w:ind w:firstLine="1952"/>
        <w:spacing w:after="0" w:line="263" w:lineRule="auto"/>
        <w:tabs>
          <w:tab w:leader="none" w:pos="2242" w:val="left"/>
        </w:tabs>
        <w:numPr>
          <w:ilvl w:val="1"/>
          <w:numId w:val="252"/>
        </w:numPr>
        <w:rPr>
          <w:rFonts w:ascii="Arial" w:cs="Arial" w:eastAsia="Arial" w:hAnsi="Arial"/>
          <w:sz w:val="18"/>
          <w:szCs w:val="18"/>
          <w:color w:val="auto"/>
        </w:rPr>
      </w:pPr>
      <w:r>
        <w:rPr>
          <w:rFonts w:ascii="Arial" w:cs="Arial" w:eastAsia="Arial" w:hAnsi="Arial"/>
          <w:sz w:val="18"/>
          <w:szCs w:val="18"/>
          <w:u w:val="single" w:color="auto"/>
          <w:color w:val="auto"/>
        </w:rPr>
        <w:t>Reliance</w:t>
      </w:r>
      <w:r>
        <w:rPr>
          <w:rFonts w:ascii="Arial" w:cs="Arial" w:eastAsia="Arial" w:hAnsi="Arial"/>
          <w:sz w:val="18"/>
          <w:szCs w:val="18"/>
          <w:color w:val="auto"/>
        </w:rPr>
        <w:t>. Each Holder represents and warrants that it understands that the Company is relying in part upon the representations and agreements of the Holders contained herein for the purpose of determining whether the offer, sale and issuance of the Securities meet the requirements for such exemptions described in Section 17(b).</w:t>
      </w:r>
    </w:p>
    <w:p>
      <w:pPr>
        <w:spacing w:after="0" w:line="183" w:lineRule="exact"/>
        <w:rPr>
          <w:rFonts w:ascii="Arial" w:cs="Arial" w:eastAsia="Arial" w:hAnsi="Arial"/>
          <w:sz w:val="18"/>
          <w:szCs w:val="18"/>
          <w:color w:val="auto"/>
        </w:rPr>
      </w:pPr>
    </w:p>
    <w:p>
      <w:pPr>
        <w:ind w:left="2200" w:hanging="248"/>
        <w:spacing w:after="0"/>
        <w:tabs>
          <w:tab w:leader="none" w:pos="2200" w:val="left"/>
        </w:tabs>
        <w:numPr>
          <w:ilvl w:val="1"/>
          <w:numId w:val="252"/>
        </w:numPr>
        <w:rPr>
          <w:rFonts w:ascii="Arial" w:cs="Arial" w:eastAsia="Arial" w:hAnsi="Arial"/>
          <w:sz w:val="16"/>
          <w:szCs w:val="16"/>
          <w:color w:val="auto"/>
        </w:rPr>
      </w:pPr>
      <w:r>
        <w:rPr>
          <w:rFonts w:ascii="Arial" w:cs="Arial" w:eastAsia="Arial" w:hAnsi="Arial"/>
          <w:sz w:val="16"/>
          <w:szCs w:val="16"/>
          <w:u w:val="single" w:color="auto"/>
          <w:color w:val="auto"/>
        </w:rPr>
        <w:t>Accredited Investor</w:t>
      </w:r>
      <w:r>
        <w:rPr>
          <w:rFonts w:ascii="Arial" w:cs="Arial" w:eastAsia="Arial" w:hAnsi="Arial"/>
          <w:sz w:val="16"/>
          <w:szCs w:val="16"/>
          <w:color w:val="auto"/>
        </w:rPr>
        <w:t>. Each Holder represents and warrants that it is an “accredited investor” as defined in Rule 501(a) under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Securities Act.</w:t>
      </w:r>
    </w:p>
    <w:p>
      <w:pPr>
        <w:spacing w:after="0" w:line="210" w:lineRule="exact"/>
        <w:rPr>
          <w:rFonts w:ascii="Arial" w:cs="Arial" w:eastAsia="Arial" w:hAnsi="Arial"/>
          <w:sz w:val="16"/>
          <w:szCs w:val="16"/>
          <w:color w:val="auto"/>
        </w:rPr>
      </w:pPr>
    </w:p>
    <w:p>
      <w:pPr>
        <w:jc w:val="both"/>
        <w:ind w:right="20" w:firstLine="1952"/>
        <w:spacing w:after="0" w:line="263" w:lineRule="auto"/>
        <w:tabs>
          <w:tab w:leader="none" w:pos="2202" w:val="left"/>
        </w:tabs>
        <w:numPr>
          <w:ilvl w:val="1"/>
          <w:numId w:val="252"/>
        </w:numPr>
        <w:rPr>
          <w:rFonts w:ascii="Arial" w:cs="Arial" w:eastAsia="Arial" w:hAnsi="Arial"/>
          <w:sz w:val="18"/>
          <w:szCs w:val="18"/>
          <w:color w:val="auto"/>
        </w:rPr>
      </w:pPr>
      <w:r>
        <w:rPr>
          <w:rFonts w:ascii="Arial" w:cs="Arial" w:eastAsia="Arial" w:hAnsi="Arial"/>
          <w:sz w:val="18"/>
          <w:szCs w:val="18"/>
          <w:u w:val="single" w:color="auto"/>
          <w:color w:val="auto"/>
        </w:rPr>
        <w:t>Sophisticated Investor</w:t>
      </w:r>
      <w:r>
        <w:rPr>
          <w:rFonts w:ascii="Arial" w:cs="Arial" w:eastAsia="Arial" w:hAnsi="Arial"/>
          <w:sz w:val="18"/>
          <w:szCs w:val="18"/>
          <w:color w:val="auto"/>
        </w:rPr>
        <w:t>. Each Holder represents and warrants that it has such knowledge, skill and experience in business, financial and investment matters that it is capable of evaluating the merits and risks of an investment in the Securities, including experience in and knowledge of the industry in which the Company operates.</w:t>
      </w:r>
    </w:p>
    <w:p>
      <w:pPr>
        <w:spacing w:after="0" w:line="183" w:lineRule="exact"/>
        <w:rPr>
          <w:rFonts w:ascii="Arial" w:cs="Arial" w:eastAsia="Arial" w:hAnsi="Arial"/>
          <w:sz w:val="18"/>
          <w:szCs w:val="18"/>
          <w:color w:val="auto"/>
        </w:rPr>
      </w:pPr>
    </w:p>
    <w:p>
      <w:pPr>
        <w:jc w:val="both"/>
        <w:ind w:firstLine="1952"/>
        <w:spacing w:after="0" w:line="263" w:lineRule="auto"/>
        <w:tabs>
          <w:tab w:leader="none" w:pos="2169" w:val="left"/>
        </w:tabs>
        <w:numPr>
          <w:ilvl w:val="1"/>
          <w:numId w:val="252"/>
        </w:numPr>
        <w:rPr>
          <w:rFonts w:ascii="Arial" w:cs="Arial" w:eastAsia="Arial" w:hAnsi="Arial"/>
          <w:sz w:val="18"/>
          <w:szCs w:val="18"/>
          <w:color w:val="auto"/>
        </w:rPr>
      </w:pPr>
      <w:r>
        <w:rPr>
          <w:rFonts w:ascii="Arial" w:cs="Arial" w:eastAsia="Arial" w:hAnsi="Arial"/>
          <w:sz w:val="18"/>
          <w:szCs w:val="18"/>
          <w:u w:val="single" w:color="auto"/>
          <w:color w:val="auto"/>
        </w:rPr>
        <w:t>Restricted Securities</w:t>
      </w:r>
      <w:r>
        <w:rPr>
          <w:rFonts w:ascii="Arial" w:cs="Arial" w:eastAsia="Arial" w:hAnsi="Arial"/>
          <w:sz w:val="18"/>
          <w:szCs w:val="18"/>
          <w:color w:val="auto"/>
        </w:rPr>
        <w:t>. Each Holder represents and warrants that it understand that the Securities will be “restricted securities” under applicable federal securities laws and that the Securities Act and the rules of the SEC provide in substance that it may dispose of the Securities only pursuant to an effective registration statement under the Securities Act or an exemption therefrom.</w:t>
      </w:r>
    </w:p>
    <w:p>
      <w:pPr>
        <w:spacing w:after="0" w:line="183" w:lineRule="exact"/>
        <w:rPr>
          <w:rFonts w:ascii="Arial" w:cs="Arial" w:eastAsia="Arial" w:hAnsi="Arial"/>
          <w:sz w:val="18"/>
          <w:szCs w:val="18"/>
          <w:color w:val="auto"/>
        </w:rPr>
      </w:pPr>
    </w:p>
    <w:p>
      <w:pPr>
        <w:jc w:val="both"/>
        <w:ind w:firstLine="1952"/>
        <w:spacing w:after="0" w:line="270" w:lineRule="auto"/>
        <w:tabs>
          <w:tab w:leader="none" w:pos="2212" w:val="left"/>
        </w:tabs>
        <w:numPr>
          <w:ilvl w:val="1"/>
          <w:numId w:val="252"/>
        </w:numPr>
        <w:rPr>
          <w:rFonts w:ascii="Arial" w:cs="Arial" w:eastAsia="Arial" w:hAnsi="Arial"/>
          <w:sz w:val="17"/>
          <w:szCs w:val="17"/>
          <w:color w:val="auto"/>
        </w:rPr>
      </w:pPr>
      <w:r>
        <w:rPr>
          <w:rFonts w:ascii="Arial" w:cs="Arial" w:eastAsia="Arial" w:hAnsi="Arial"/>
          <w:sz w:val="17"/>
          <w:szCs w:val="17"/>
          <w:u w:val="single" w:color="auto"/>
          <w:color w:val="auto"/>
        </w:rPr>
        <w:t>Information</w:t>
      </w:r>
      <w:r>
        <w:rPr>
          <w:rFonts w:ascii="Arial" w:cs="Arial" w:eastAsia="Arial" w:hAnsi="Arial"/>
          <w:sz w:val="17"/>
          <w:szCs w:val="17"/>
          <w:color w:val="auto"/>
        </w:rPr>
        <w:t>. Each Holder represents and warrants that it has been furnished by the Company all information (or provided access to all information) regarding the business and financial condition of the Company, the attributes of the Securities, and the merits and risks of an investment in such Securities which it has requested or otherwise needs to evaluate the investment in such Securities; that in making the proposed investment decision, such Holder is relying solely on such information, the representations, warranties and agreements of the Company and the other Loan Parties contained herein and in the other Loan Documents and on investigations made by it and its representatives; that the offer to sell the Securities hereunder was communicated to such Holder in such a manner that it was able to ask questions of and receive answers from the management of the Company concerning the terms and conditions of the proposed transaction and that at no time was it presented with or solicited by or through any leaflet, public promotional meeting, television advertisement or any other form of general or public advertising or solicitation; and such Holder recognizes that an investment in the Securities involves risks and can result in a total loss of all funds invested.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4" w:name="page255"/>
    <w:bookmarkEnd w:id="254"/>
    <w:p>
      <w:pPr>
        <w:jc w:val="both"/>
        <w:ind w:firstLine="1952"/>
        <w:spacing w:after="0" w:line="287" w:lineRule="auto"/>
        <w:tabs>
          <w:tab w:leader="none" w:pos="2199" w:val="left"/>
        </w:tabs>
        <w:numPr>
          <w:ilvl w:val="2"/>
          <w:numId w:val="253"/>
        </w:numPr>
        <w:rPr>
          <w:rFonts w:ascii="Arial" w:cs="Arial" w:eastAsia="Arial" w:hAnsi="Arial"/>
          <w:sz w:val="16"/>
          <w:szCs w:val="16"/>
          <w:color w:val="auto"/>
        </w:rPr>
      </w:pPr>
      <w:r>
        <w:rPr>
          <w:rFonts w:ascii="Arial" w:cs="Arial" w:eastAsia="Arial" w:hAnsi="Arial"/>
          <w:sz w:val="16"/>
          <w:szCs w:val="16"/>
          <w:u w:val="single" w:color="auto"/>
          <w:color w:val="auto"/>
        </w:rPr>
        <w:t>Non-Reliance</w:t>
      </w:r>
      <w:r>
        <w:rPr>
          <w:rFonts w:ascii="Arial" w:cs="Arial" w:eastAsia="Arial" w:hAnsi="Arial"/>
          <w:sz w:val="16"/>
          <w:szCs w:val="16"/>
          <w:color w:val="auto"/>
        </w:rPr>
        <w:t xml:space="preserve">. Notwithstanding anything in this Warrant to the contrary, each Holder hereby acknowledges, with respect to itself, that the Company may possess material non-public information with respect to the Company and/or its securities not known to each Holder as of the date hereof or at a time when each Holder exercises its right to purchase Warrant Shares pursuant to this Warrant and that any such information may impact the value of the Warrant and the Warrant Shares. Each Holder with respect to itself irrevocably waives any claim, or potential claim, that it may have based on the failure of the Company or its Affiliates, officers, directors, employees, agents or other representatives to disclose such information in connection with the execution and delivery of this Warrant or the purchase of Warrant Shares hereunder;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notwithstanding anything in this Section 17(h) or otherwise to the contrary, each Holder does not and shall not be deemed to have waived or otherwise compromised any rights or claims based upon or arising out of (i) the Company’s disclosure obligations under the federal securities laws with respect to any untrue statement of a material fact or omission to state a material fact necessary in order to make the statements made, in the light of the circumstances under which they were made, not misleading in any public statement or filing made by the Company pursuant to the Exchange Act, or (ii) any breach or inaccuracy of any representation or warranty of the Company or any other Loan Party in the Credit Agreement or any other Loan Document. Each Holder with respect to itself acknowledges that the Company would not enter into this Warrant in the absence of the agreements set forth in this Section 17.</w:t>
      </w:r>
    </w:p>
    <w:p>
      <w:pPr>
        <w:spacing w:after="0" w:line="167" w:lineRule="exact"/>
        <w:rPr>
          <w:rFonts w:ascii="Arial" w:cs="Arial" w:eastAsia="Arial" w:hAnsi="Arial"/>
          <w:sz w:val="16"/>
          <w:szCs w:val="16"/>
          <w:color w:val="auto"/>
        </w:rPr>
      </w:pPr>
    </w:p>
    <w:p>
      <w:pPr>
        <w:jc w:val="both"/>
        <w:ind w:firstLine="1304"/>
        <w:spacing w:after="0" w:line="263" w:lineRule="auto"/>
        <w:tabs>
          <w:tab w:leader="none" w:pos="1566" w:val="left"/>
        </w:tabs>
        <w:numPr>
          <w:ilvl w:val="1"/>
          <w:numId w:val="254"/>
        </w:numPr>
        <w:rPr>
          <w:rFonts w:ascii="Arial" w:cs="Arial" w:eastAsia="Arial" w:hAnsi="Arial"/>
          <w:sz w:val="18"/>
          <w:szCs w:val="18"/>
          <w:color w:val="auto"/>
        </w:rPr>
      </w:pPr>
      <w:r>
        <w:rPr>
          <w:rFonts w:ascii="Arial" w:cs="Arial" w:eastAsia="Arial" w:hAnsi="Arial"/>
          <w:sz w:val="18"/>
          <w:szCs w:val="18"/>
          <w:u w:val="single" w:color="auto"/>
          <w:color w:val="auto"/>
        </w:rPr>
        <w:t>REPRESENTATIONS OF THE COMPANY</w:t>
      </w:r>
      <w:r>
        <w:rPr>
          <w:rFonts w:ascii="Arial" w:cs="Arial" w:eastAsia="Arial" w:hAnsi="Arial"/>
          <w:sz w:val="18"/>
          <w:szCs w:val="18"/>
          <w:color w:val="auto"/>
        </w:rPr>
        <w:t>. The Company represents and warrants to the Holder that, except as set forth in (i) the SEC Reports or (ii) the draft Annual Report on Form 10-K for the fiscal year ended June 30, 2023 in the form provided to the Holder (the “</w:t>
      </w:r>
      <w:r>
        <w:rPr>
          <w:rFonts w:ascii="Arial" w:cs="Arial" w:eastAsia="Arial" w:hAnsi="Arial"/>
          <w:sz w:val="18"/>
          <w:szCs w:val="18"/>
          <w:b w:val="1"/>
          <w:bCs w:val="1"/>
          <w:i w:val="1"/>
          <w:iCs w:val="1"/>
          <w:color w:val="auto"/>
        </w:rPr>
        <w:t>2023 Form 10-K</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2200" w:hanging="248"/>
        <w:spacing w:after="0"/>
        <w:tabs>
          <w:tab w:leader="none" w:pos="2200" w:val="left"/>
        </w:tabs>
        <w:numPr>
          <w:ilvl w:val="2"/>
          <w:numId w:val="254"/>
        </w:numPr>
        <w:rPr>
          <w:rFonts w:ascii="Arial" w:cs="Arial" w:eastAsia="Arial" w:hAnsi="Arial"/>
          <w:sz w:val="16"/>
          <w:szCs w:val="16"/>
          <w:color w:val="auto"/>
        </w:rPr>
      </w:pPr>
      <w:r>
        <w:rPr>
          <w:rFonts w:ascii="Arial" w:cs="Arial" w:eastAsia="Arial" w:hAnsi="Arial"/>
          <w:sz w:val="16"/>
          <w:szCs w:val="16"/>
          <w:color w:val="auto"/>
        </w:rPr>
        <w:t>The Company (i) is duly organized, validly existing and in good standing under the laws of its jurisdiction of incorporation;</w:t>
      </w:r>
    </w:p>
    <w:p>
      <w:pPr>
        <w:spacing w:after="0" w:line="46" w:lineRule="exact"/>
        <w:rPr>
          <w:rFonts w:ascii="Arial" w:cs="Arial" w:eastAsia="Arial" w:hAnsi="Arial"/>
          <w:sz w:val="16"/>
          <w:szCs w:val="16"/>
          <w:color w:val="auto"/>
        </w:rPr>
      </w:pPr>
    </w:p>
    <w:p>
      <w:pPr>
        <w:jc w:val="both"/>
        <w:ind w:firstLine="8"/>
        <w:spacing w:after="0" w:line="286" w:lineRule="auto"/>
        <w:tabs>
          <w:tab w:leader="none" w:pos="277" w:val="left"/>
        </w:tabs>
        <w:numPr>
          <w:ilvl w:val="0"/>
          <w:numId w:val="255"/>
        </w:numPr>
        <w:rPr>
          <w:rFonts w:ascii="Arial" w:cs="Arial" w:eastAsia="Arial" w:hAnsi="Arial"/>
          <w:sz w:val="16"/>
          <w:szCs w:val="16"/>
          <w:color w:val="auto"/>
        </w:rPr>
      </w:pPr>
      <w:r>
        <w:rPr>
          <w:rFonts w:ascii="Arial" w:cs="Arial" w:eastAsia="Arial" w:hAnsi="Arial"/>
          <w:sz w:val="16"/>
          <w:szCs w:val="16"/>
          <w:color w:val="auto"/>
        </w:rPr>
        <w:t>has the requisite power and authority to own, lease and operate its properties, to carry on its business as it is now being conducted and to enter into, deliver and perform its obligations under this Warrant; and (iii) is duly licensed or qualified to conduct its business and, if applicable, is in good standing under the laws of each jurisdiction (other than its jurisdiction of incorporation) in which the conduct of its business or the ownership of its properties or assets requires such license or qualification, except, with respect to the foregoing clause (iii), where the failure to be in good standing would not reasonably be expected to have a Company Material Adverse Effect. For purposes of this Warrant, a “</w:t>
      </w:r>
      <w:r>
        <w:rPr>
          <w:rFonts w:ascii="Arial" w:cs="Arial" w:eastAsia="Arial" w:hAnsi="Arial"/>
          <w:sz w:val="16"/>
          <w:szCs w:val="16"/>
          <w:b w:val="1"/>
          <w:bCs w:val="1"/>
          <w:color w:val="auto"/>
        </w:rPr>
        <w:t>Company Material Adverse Effect</w:t>
      </w:r>
      <w:r>
        <w:rPr>
          <w:rFonts w:ascii="Arial" w:cs="Arial" w:eastAsia="Arial" w:hAnsi="Arial"/>
          <w:sz w:val="16"/>
          <w:szCs w:val="16"/>
          <w:color w:val="auto"/>
        </w:rPr>
        <w:t>” means an event, change, development, occurrence, condition or effect with respect to the Company and its subsidiaries, taken together as a whole (on a consolidated basis), that, individually or in the aggregate, (A) would reasonably be expected to have a material adverse effect on the business, financial condition or results of operations of the Company and its subsidiaries, taken together as a whole (on a consolidated basis) or (B) would prevent, materially delay or materially impede the performance by the Company or its subsidiaries of their respective obligations under this Warrant or the other Loan Documents.</w:t>
      </w:r>
    </w:p>
    <w:p>
      <w:pPr>
        <w:spacing w:after="0" w:line="172" w:lineRule="exact"/>
        <w:rPr>
          <w:rFonts w:ascii="Arial" w:cs="Arial" w:eastAsia="Arial" w:hAnsi="Arial"/>
          <w:sz w:val="16"/>
          <w:szCs w:val="16"/>
          <w:color w:val="auto"/>
        </w:rPr>
      </w:pPr>
    </w:p>
    <w:p>
      <w:pPr>
        <w:jc w:val="both"/>
        <w:ind w:firstLine="1952"/>
        <w:spacing w:after="0" w:line="301" w:lineRule="auto"/>
        <w:tabs>
          <w:tab w:leader="none" w:pos="2242" w:val="left"/>
        </w:tabs>
        <w:numPr>
          <w:ilvl w:val="2"/>
          <w:numId w:val="255"/>
        </w:numPr>
        <w:rPr>
          <w:rFonts w:ascii="Arial" w:cs="Arial" w:eastAsia="Arial" w:hAnsi="Arial"/>
          <w:sz w:val="16"/>
          <w:szCs w:val="16"/>
          <w:color w:val="auto"/>
        </w:rPr>
      </w:pPr>
      <w:r>
        <w:rPr>
          <w:rFonts w:ascii="Arial" w:cs="Arial" w:eastAsia="Arial" w:hAnsi="Arial"/>
          <w:sz w:val="16"/>
          <w:szCs w:val="16"/>
          <w:color w:val="auto"/>
        </w:rPr>
        <w:t>This Warrant is duly authorized, validly issued and constitutes legal, valid and binding obligations of the Company, enforceable against the Company in accordance with its terms, except that the enforcement thereof may be subject to applicable bankruptcy, insolvency or similar laws affecting creditors’ rights generally or by equitable principles relating to enforceability (collectively, the “</w:t>
      </w:r>
      <w:r>
        <w:rPr>
          <w:rFonts w:ascii="Arial" w:cs="Arial" w:eastAsia="Arial" w:hAnsi="Arial"/>
          <w:sz w:val="16"/>
          <w:szCs w:val="16"/>
          <w:b w:val="1"/>
          <w:bCs w:val="1"/>
          <w:color w:val="auto"/>
        </w:rPr>
        <w:t>Enforceability Exceptions</w:t>
      </w:r>
      <w:r>
        <w:rPr>
          <w:rFonts w:ascii="Arial" w:cs="Arial" w:eastAsia="Arial" w:hAnsi="Arial"/>
          <w:sz w:val="16"/>
          <w:szCs w:val="16"/>
          <w:color w:val="auto"/>
        </w:rPr>
        <w:t>”), and has not been issued in violation of any preemptive rights created under the Company’s organizational documents or the laws of the State of Delaware.</w:t>
      </w:r>
    </w:p>
    <w:p>
      <w:pPr>
        <w:spacing w:after="0" w:line="157" w:lineRule="exact"/>
        <w:rPr>
          <w:rFonts w:ascii="Arial" w:cs="Arial" w:eastAsia="Arial" w:hAnsi="Arial"/>
          <w:sz w:val="16"/>
          <w:szCs w:val="16"/>
          <w:color w:val="auto"/>
        </w:rPr>
      </w:pPr>
    </w:p>
    <w:p>
      <w:pPr>
        <w:jc w:val="both"/>
        <w:ind w:firstLine="1952"/>
        <w:spacing w:after="0" w:line="263" w:lineRule="auto"/>
        <w:tabs>
          <w:tab w:leader="none" w:pos="2223" w:val="left"/>
        </w:tabs>
        <w:numPr>
          <w:ilvl w:val="2"/>
          <w:numId w:val="255"/>
        </w:numPr>
        <w:rPr>
          <w:rFonts w:ascii="Arial" w:cs="Arial" w:eastAsia="Arial" w:hAnsi="Arial"/>
          <w:sz w:val="18"/>
          <w:szCs w:val="18"/>
          <w:color w:val="auto"/>
        </w:rPr>
      </w:pPr>
      <w:r>
        <w:rPr>
          <w:rFonts w:ascii="Arial" w:cs="Arial" w:eastAsia="Arial" w:hAnsi="Arial"/>
          <w:sz w:val="18"/>
          <w:szCs w:val="18"/>
          <w:color w:val="auto"/>
        </w:rPr>
        <w:t>The Warrant Shares have been duly authorized and, when issued and delivered to the Holder upon conversion of this Warrant, will be validly issued, fully paid and nonassessable and will not have been issued in violation of any preemptive rights created under the Company’s organizational documents or the laws of the State of Delaware.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5" w:name="page256"/>
    <w:bookmarkEnd w:id="255"/>
    <w:p>
      <w:pPr>
        <w:jc w:val="both"/>
        <w:ind w:firstLine="1952"/>
        <w:spacing w:after="0" w:line="270" w:lineRule="auto"/>
        <w:tabs>
          <w:tab w:leader="none" w:pos="2215" w:val="left"/>
        </w:tabs>
        <w:numPr>
          <w:ilvl w:val="1"/>
          <w:numId w:val="256"/>
        </w:numPr>
        <w:rPr>
          <w:rFonts w:ascii="Arial" w:cs="Arial" w:eastAsia="Arial" w:hAnsi="Arial"/>
          <w:sz w:val="17"/>
          <w:szCs w:val="17"/>
          <w:color w:val="auto"/>
        </w:rPr>
      </w:pPr>
      <w:r>
        <w:rPr>
          <w:rFonts w:ascii="Arial" w:cs="Arial" w:eastAsia="Arial" w:hAnsi="Arial"/>
          <w:sz w:val="17"/>
          <w:szCs w:val="17"/>
          <w:color w:val="auto"/>
        </w:rPr>
        <w:t>The execution and delivery of this Warrant, the issuance and delivery of the Warrant Shares in accordance with the terms hereof and the compliance by the Company with all of the provisions of this Warrant and the consummation of the transactions contemplated herein will not conflict with or result in a breach or violation of any of the terms or provisions of, or constitute a default under, or result in the creation or imposition of any lien, charge or encumbrance upon any of the property or assets of the Company pursuant to the terms of (i) any indenture, mortgage, deed of trust, loan agreement, lease, license or other agreement or instrument to which the Company is a party or by which the Company is bound or to which any of the property or assets of the Company is subject; (ii) the organizational documents of the Company; or (iii) any statute or any judgment, order, rule or regulation of any court or governmental agency or body, domestic or foreign, having jurisdiction over the Company or any of its properties that, in the case of clauses (i) and (iii), would reasonably be expected to have a Company Material Adverse Effect or have a material adverse effect on the Company’s ability to consummate the transactions contemplated hereby.</w:t>
      </w:r>
    </w:p>
    <w:p>
      <w:pPr>
        <w:spacing w:after="0" w:line="180" w:lineRule="exact"/>
        <w:rPr>
          <w:rFonts w:ascii="Arial" w:cs="Arial" w:eastAsia="Arial" w:hAnsi="Arial"/>
          <w:sz w:val="17"/>
          <w:szCs w:val="17"/>
          <w:color w:val="auto"/>
        </w:rPr>
      </w:pPr>
    </w:p>
    <w:p>
      <w:pPr>
        <w:jc w:val="both"/>
        <w:ind w:firstLine="1952"/>
        <w:spacing w:after="0" w:line="285" w:lineRule="auto"/>
        <w:tabs>
          <w:tab w:leader="none" w:pos="2217" w:val="left"/>
        </w:tabs>
        <w:numPr>
          <w:ilvl w:val="1"/>
          <w:numId w:val="256"/>
        </w:numPr>
        <w:rPr>
          <w:rFonts w:ascii="Arial" w:cs="Arial" w:eastAsia="Arial" w:hAnsi="Arial"/>
          <w:sz w:val="16"/>
          <w:szCs w:val="16"/>
          <w:color w:val="auto"/>
        </w:rPr>
      </w:pPr>
      <w:r>
        <w:rPr>
          <w:rFonts w:ascii="Arial" w:cs="Arial" w:eastAsia="Arial" w:hAnsi="Arial"/>
          <w:sz w:val="16"/>
          <w:szCs w:val="16"/>
          <w:color w:val="auto"/>
        </w:rPr>
        <w:t>Assuming the accuracy of the representations and warranties of the Holder, the Company is not required to obtain any consent, waiver, authorization or order of, give any notice to, or make any filing or registration with, any court or other federal, state, local or other governmental authority, self-regulatory organization (including the Nasdaq Stock Market) or other person in connection with the execution, delivery and performance of this Warrant, other than (i) filings required by applicable state securities laws, (ii) the filing of the registration statement pursuant to the First Amendment Registration Rights Agreement, (iii) the filing of a Notice of Exempt Offering of Securities on Form D with the SEC, if applicable and</w:t>
      </w:r>
    </w:p>
    <w:p>
      <w:pPr>
        <w:spacing w:after="0" w:line="1" w:lineRule="exact"/>
        <w:rPr>
          <w:rFonts w:ascii="Arial" w:cs="Arial" w:eastAsia="Arial" w:hAnsi="Arial"/>
          <w:sz w:val="16"/>
          <w:szCs w:val="16"/>
          <w:color w:val="auto"/>
        </w:rPr>
      </w:pPr>
    </w:p>
    <w:p>
      <w:pPr>
        <w:ind w:firstLine="8"/>
        <w:spacing w:after="0" w:line="260" w:lineRule="auto"/>
        <w:tabs>
          <w:tab w:leader="none" w:pos="307" w:val="left"/>
        </w:tabs>
        <w:numPr>
          <w:ilvl w:val="0"/>
          <w:numId w:val="257"/>
        </w:numPr>
        <w:rPr>
          <w:rFonts w:ascii="Arial" w:cs="Arial" w:eastAsia="Arial" w:hAnsi="Arial"/>
          <w:sz w:val="18"/>
          <w:szCs w:val="18"/>
          <w:color w:val="auto"/>
        </w:rPr>
      </w:pPr>
      <w:r>
        <w:rPr>
          <w:rFonts w:ascii="Arial" w:cs="Arial" w:eastAsia="Arial" w:hAnsi="Arial"/>
          <w:sz w:val="18"/>
          <w:szCs w:val="18"/>
          <w:color w:val="auto"/>
        </w:rPr>
        <w:t>those the failure of which to obtain would not be reasonably likely to have a Company Material Adverse Effect or have a material adverse effect on the Company’s ability to consummate the transactions contemplated hereby.</w:t>
      </w:r>
    </w:p>
    <w:p>
      <w:pPr>
        <w:spacing w:after="0" w:line="185" w:lineRule="exact"/>
        <w:rPr>
          <w:rFonts w:ascii="Arial" w:cs="Arial" w:eastAsia="Arial" w:hAnsi="Arial"/>
          <w:sz w:val="18"/>
          <w:szCs w:val="18"/>
          <w:color w:val="auto"/>
        </w:rPr>
      </w:pPr>
    </w:p>
    <w:p>
      <w:pPr>
        <w:jc w:val="both"/>
        <w:ind w:firstLine="1952"/>
        <w:spacing w:after="0" w:line="286" w:lineRule="auto"/>
        <w:tabs>
          <w:tab w:leader="none" w:pos="2182" w:val="left"/>
        </w:tabs>
        <w:numPr>
          <w:ilvl w:val="1"/>
          <w:numId w:val="257"/>
        </w:numPr>
        <w:rPr>
          <w:rFonts w:ascii="Arial" w:cs="Arial" w:eastAsia="Arial" w:hAnsi="Arial"/>
          <w:sz w:val="16"/>
          <w:szCs w:val="16"/>
          <w:color w:val="auto"/>
        </w:rPr>
      </w:pPr>
      <w:r>
        <w:rPr>
          <w:rFonts w:ascii="Arial" w:cs="Arial" w:eastAsia="Arial" w:hAnsi="Arial"/>
          <w:sz w:val="16"/>
          <w:szCs w:val="16"/>
          <w:color w:val="auto"/>
        </w:rPr>
        <w:t>The Company has filed all reports, schedules, forms, statements and other documents required to be filed by the Company under the Securities Act and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being collectively referred to herein as the “</w:t>
      </w:r>
      <w:r>
        <w:rPr>
          <w:rFonts w:ascii="Arial" w:cs="Arial" w:eastAsia="Arial" w:hAnsi="Arial"/>
          <w:sz w:val="16"/>
          <w:szCs w:val="16"/>
          <w:b w:val="1"/>
          <w:bCs w:val="1"/>
          <w:i w:val="1"/>
          <w:iCs w:val="1"/>
          <w:u w:val="single" w:color="auto"/>
          <w:color w:val="auto"/>
        </w:rPr>
        <w:t>SEC Reports</w:t>
      </w:r>
      <w:r>
        <w:rPr>
          <w:rFonts w:ascii="Arial" w:cs="Arial" w:eastAsia="Arial" w:hAnsi="Arial"/>
          <w:sz w:val="16"/>
          <w:szCs w:val="16"/>
          <w:color w:val="auto"/>
        </w:rPr>
        <w:t>”) on a timely basis or has received a valid extension of such time of filing and has filed any such SEC Reports prior to the expiration of any such extension. As of its date, the 2023 Form 10-K will comply in all material respects with the requirements of the Securities Act and the Exchange Act, as applicable, and the 2023 Form 10-K, when filed, will not contain any untrue statement of a material fact or omit to state a material fact required to be stated therein or necessary in order to make the statements therein, in the light of the circumstances under which they were made, not misleading. The financial statements of the Company included in the SEC Reports comply, and the financial statements of the Company to be included in the 2023 Form 10-K will comply, in all material respects with applicable accounting requirements and the rules and regulations of the Commission with respect thereto as in effect at the time of filing. Such financial statements have been, or will be, as applicable, prepared in all material respects in accordance with United States generally accepted accounting principles applied on a consistent basis during the periods involved (“</w:t>
      </w:r>
      <w:r>
        <w:rPr>
          <w:rFonts w:ascii="Arial" w:cs="Arial" w:eastAsia="Arial" w:hAnsi="Arial"/>
          <w:sz w:val="16"/>
          <w:szCs w:val="16"/>
          <w:b w:val="1"/>
          <w:bCs w:val="1"/>
          <w:i w:val="1"/>
          <w:iCs w:val="1"/>
          <w:u w:val="single" w:color="auto"/>
          <w:color w:val="auto"/>
        </w:rPr>
        <w:t>GAAP</w:t>
      </w:r>
      <w:r>
        <w:rPr>
          <w:rFonts w:ascii="Arial" w:cs="Arial" w:eastAsia="Arial" w:hAnsi="Arial"/>
          <w:sz w:val="16"/>
          <w:szCs w:val="16"/>
          <w:color w:val="auto"/>
        </w:rPr>
        <w:t>”), except as may be otherwise specified in such financial statements or the notes thereto and except that unaudited financial statements may not contain all footnotes required by GAAP, and fairly present, or will fairly present, as applicable,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spacing w:after="0" w:line="167" w:lineRule="exact"/>
        <w:rPr>
          <w:rFonts w:ascii="Arial" w:cs="Arial" w:eastAsia="Arial" w:hAnsi="Arial"/>
          <w:sz w:val="16"/>
          <w:szCs w:val="16"/>
          <w:color w:val="auto"/>
        </w:rPr>
      </w:pPr>
    </w:p>
    <w:p>
      <w:pPr>
        <w:jc w:val="both"/>
        <w:ind w:firstLine="1952"/>
        <w:spacing w:after="0" w:line="275" w:lineRule="auto"/>
        <w:tabs>
          <w:tab w:leader="none" w:pos="2207" w:val="left"/>
        </w:tabs>
        <w:numPr>
          <w:ilvl w:val="1"/>
          <w:numId w:val="257"/>
        </w:numPr>
        <w:rPr>
          <w:rFonts w:ascii="Arial" w:cs="Arial" w:eastAsia="Arial" w:hAnsi="Arial"/>
          <w:sz w:val="17"/>
          <w:szCs w:val="17"/>
          <w:color w:val="auto"/>
        </w:rPr>
      </w:pPr>
      <w:r>
        <w:rPr>
          <w:rFonts w:ascii="Arial" w:cs="Arial" w:eastAsia="Arial" w:hAnsi="Arial"/>
          <w:sz w:val="17"/>
          <w:szCs w:val="17"/>
          <w:color w:val="auto"/>
        </w:rPr>
        <w:t>Except for such matters as have not had and would not be reasonably likely to have a Company Material Adverse Effect or have a material adverse effect on the Company’s ability to consummate the transactions contemplated hereby, there is no (i) suit, action, investigation, proceeding or arbitration before a governmental authority or arbitrator pending, or, to the knowledge of the Company, threatened in writing against the Company or any of its directors or officers in their capacities as such or (ii) judgment, decree, injunction, ruling or order of any governmental authority or arbitrator outstanding against the Company or any of its directors or officers in their capacities as such.</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6" w:name="page257"/>
    <w:bookmarkEnd w:id="256"/>
    <w:p>
      <w:pPr>
        <w:jc w:val="both"/>
        <w:ind w:firstLine="1952"/>
        <w:spacing w:after="0" w:line="255" w:lineRule="auto"/>
        <w:tabs>
          <w:tab w:leader="none" w:pos="2207" w:val="left"/>
        </w:tabs>
        <w:numPr>
          <w:ilvl w:val="1"/>
          <w:numId w:val="258"/>
        </w:numPr>
        <w:rPr>
          <w:rFonts w:ascii="Arial" w:cs="Arial" w:eastAsia="Arial" w:hAnsi="Arial"/>
          <w:sz w:val="18"/>
          <w:szCs w:val="18"/>
          <w:color w:val="auto"/>
        </w:rPr>
      </w:pPr>
      <w:r>
        <w:rPr>
          <w:rFonts w:ascii="Arial" w:cs="Arial" w:eastAsia="Arial" w:hAnsi="Arial"/>
          <w:sz w:val="18"/>
          <w:szCs w:val="18"/>
          <w:color w:val="auto"/>
        </w:rPr>
        <w:t>Except for such matters as have not had and would not be reasonably likely to have a Company Material Adverse Effect or have a material adverse effect on the Company’s ability to consummate the transactions contemplated hereby, the Company is, and has been since its inception, in compliance with all laws applicable to the conduct of the business of the Company. The Company has not received any written, or to its knowledge, other communication from a governmental entity that alleges that the Company is not in compliance with or is in default or violation of any applicable law, except where such noncompliance, default or violation would not be reasonably expected to have, individually or in the aggregate, a Company Material Adverse Effect.</w:t>
      </w:r>
    </w:p>
    <w:p>
      <w:pPr>
        <w:spacing w:after="0" w:line="192" w:lineRule="exact"/>
        <w:rPr>
          <w:rFonts w:ascii="Arial" w:cs="Arial" w:eastAsia="Arial" w:hAnsi="Arial"/>
          <w:sz w:val="18"/>
          <w:szCs w:val="18"/>
          <w:color w:val="auto"/>
        </w:rPr>
      </w:pPr>
    </w:p>
    <w:p>
      <w:pPr>
        <w:jc w:val="both"/>
        <w:ind w:firstLine="1952"/>
        <w:spacing w:after="0" w:line="263" w:lineRule="auto"/>
        <w:tabs>
          <w:tab w:leader="none" w:pos="2165" w:val="left"/>
        </w:tabs>
        <w:numPr>
          <w:ilvl w:val="1"/>
          <w:numId w:val="258"/>
        </w:numPr>
        <w:rPr>
          <w:rFonts w:ascii="Arial" w:cs="Arial" w:eastAsia="Arial" w:hAnsi="Arial"/>
          <w:sz w:val="18"/>
          <w:szCs w:val="18"/>
          <w:color w:val="auto"/>
        </w:rPr>
      </w:pPr>
      <w:r>
        <w:rPr>
          <w:rFonts w:ascii="Arial" w:cs="Arial" w:eastAsia="Arial" w:hAnsi="Arial"/>
          <w:sz w:val="18"/>
          <w:szCs w:val="18"/>
          <w:color w:val="auto"/>
        </w:rPr>
        <w:t>The Company has all franchises, permits, licenses and any similar authority necessary for the conduct of its business as now being conducted by it, the lack of which would have a material adverse effect, and to the Company’s knowledge, the Company is not in default in any material respect under any of such franchises, permits, licenses or other authority.</w:t>
      </w:r>
    </w:p>
    <w:p>
      <w:pPr>
        <w:spacing w:after="0" w:line="183" w:lineRule="exact"/>
        <w:rPr>
          <w:rFonts w:ascii="Arial" w:cs="Arial" w:eastAsia="Arial" w:hAnsi="Arial"/>
          <w:sz w:val="18"/>
          <w:szCs w:val="18"/>
          <w:color w:val="auto"/>
        </w:rPr>
      </w:pPr>
    </w:p>
    <w:p>
      <w:pPr>
        <w:jc w:val="both"/>
        <w:ind w:firstLine="1952"/>
        <w:spacing w:after="0" w:line="259" w:lineRule="auto"/>
        <w:tabs>
          <w:tab w:leader="none" w:pos="2163" w:val="left"/>
        </w:tabs>
        <w:numPr>
          <w:ilvl w:val="1"/>
          <w:numId w:val="258"/>
        </w:numPr>
        <w:rPr>
          <w:rFonts w:ascii="Arial" w:cs="Arial" w:eastAsia="Arial" w:hAnsi="Arial"/>
          <w:sz w:val="18"/>
          <w:szCs w:val="18"/>
          <w:color w:val="auto"/>
        </w:rPr>
      </w:pPr>
      <w:r>
        <w:rPr>
          <w:rFonts w:ascii="Arial" w:cs="Arial" w:eastAsia="Arial" w:hAnsi="Arial"/>
          <w:sz w:val="18"/>
          <w:szCs w:val="18"/>
          <w:color w:val="auto"/>
        </w:rPr>
        <w:t>There is no action, suit, proceeding or investigation pending or, to the Company’s knowledge, currently threatened in writing against the Company that questions the validity of this Warrant or the right of the Company to enter into this Warrant, or to consummate the transactions contemplated hereby, or that might result, if determined adversely to the Company, in a material adverse effect, or in any material change in the current equity ownership of the Company.</w:t>
      </w:r>
    </w:p>
    <w:p>
      <w:pPr>
        <w:spacing w:after="0" w:line="186" w:lineRule="exact"/>
        <w:rPr>
          <w:rFonts w:ascii="Arial" w:cs="Arial" w:eastAsia="Arial" w:hAnsi="Arial"/>
          <w:sz w:val="18"/>
          <w:szCs w:val="18"/>
          <w:color w:val="auto"/>
        </w:rPr>
      </w:pPr>
    </w:p>
    <w:p>
      <w:pPr>
        <w:jc w:val="both"/>
        <w:ind w:firstLine="1952"/>
        <w:spacing w:after="0" w:line="291" w:lineRule="auto"/>
        <w:tabs>
          <w:tab w:leader="none" w:pos="2212" w:val="left"/>
        </w:tabs>
        <w:numPr>
          <w:ilvl w:val="1"/>
          <w:numId w:val="258"/>
        </w:numPr>
        <w:rPr>
          <w:rFonts w:ascii="Arial" w:cs="Arial" w:eastAsia="Arial" w:hAnsi="Arial"/>
          <w:sz w:val="16"/>
          <w:szCs w:val="16"/>
          <w:color w:val="auto"/>
        </w:rPr>
      </w:pPr>
      <w:r>
        <w:rPr>
          <w:rFonts w:ascii="Arial" w:cs="Arial" w:eastAsia="Arial" w:hAnsi="Arial"/>
          <w:sz w:val="16"/>
          <w:szCs w:val="16"/>
          <w:color w:val="auto"/>
        </w:rPr>
        <w:t>To the Company’s knowledge, the Company owns or possesses sufficient legal rights to all (a) patents, patent applications and inventions; (b) trademarks, service marks, trade names, trade dress, logos, domain names or corporate names and registrations and applications for registration thereof, together with all of the goodwill associated therewith; (c) copyrights (registered or unregistered) and copyrightable works and registrations and applications for registrations thereof; (d) computer software, data, and databases and documentation thereof; (e) trade secrets and other confidential information; and (f) licenses, information and proprietary rights and processes necessary for its business as now conducted. The Company has not received any written communications alleging that the Company has violated or, by conducting its business as proposed, would violate any of the patents, trademarks, service marks, trade names, copyrights or trade secrets or other proprietary rights of any other person or entity.</w:t>
      </w:r>
    </w:p>
    <w:p>
      <w:pPr>
        <w:spacing w:after="0" w:line="166" w:lineRule="exact"/>
        <w:rPr>
          <w:rFonts w:ascii="Arial" w:cs="Arial" w:eastAsia="Arial" w:hAnsi="Arial"/>
          <w:sz w:val="16"/>
          <w:szCs w:val="16"/>
          <w:color w:val="auto"/>
        </w:rPr>
      </w:pPr>
    </w:p>
    <w:p>
      <w:pPr>
        <w:ind w:left="1580" w:hanging="276"/>
        <w:spacing w:after="0"/>
        <w:tabs>
          <w:tab w:leader="none" w:pos="1580" w:val="left"/>
        </w:tabs>
        <w:numPr>
          <w:ilvl w:val="0"/>
          <w:numId w:val="259"/>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Warrant, the following terms shall have the following meanings:</w:t>
      </w:r>
    </w:p>
    <w:p>
      <w:pPr>
        <w:spacing w:after="0" w:line="221" w:lineRule="exact"/>
        <w:rPr>
          <w:rFonts w:ascii="Arial" w:cs="Arial" w:eastAsia="Arial" w:hAnsi="Arial"/>
          <w:sz w:val="18"/>
          <w:szCs w:val="18"/>
          <w:color w:val="auto"/>
        </w:rPr>
      </w:pPr>
    </w:p>
    <w:p>
      <w:pPr>
        <w:jc w:val="both"/>
        <w:ind w:firstLine="1952"/>
        <w:spacing w:after="0" w:line="261" w:lineRule="auto"/>
        <w:tabs>
          <w:tab w:leader="none" w:pos="2189" w:val="left"/>
        </w:tabs>
        <w:numPr>
          <w:ilvl w:val="1"/>
          <w:numId w:val="2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Adjustment Right</w:t>
      </w:r>
      <w:r>
        <w:rPr>
          <w:rFonts w:ascii="Arial" w:cs="Arial" w:eastAsia="Arial" w:hAnsi="Arial"/>
          <w:sz w:val="18"/>
          <w:szCs w:val="18"/>
          <w:color w:val="auto"/>
        </w:rPr>
        <w:t>” means any right granted with respect to any securities issued in connection with, or with respect to, any issuance or sale (or deemed issuance or sale in accordance with Section 2) of shares of Common Stock (other than rights of the type described in Section 3 and 4 hereof) that could result in a decrease in the net consideration received by the Company in connection with, or with respect to, such securities (including, without limitation, any cash settlement rights, cash adjustment or other similar rights).</w:t>
      </w:r>
    </w:p>
    <w:p>
      <w:pPr>
        <w:spacing w:after="0" w:line="179" w:lineRule="exact"/>
        <w:rPr>
          <w:rFonts w:ascii="Arial" w:cs="Arial" w:eastAsia="Arial" w:hAnsi="Arial"/>
          <w:sz w:val="18"/>
          <w:szCs w:val="18"/>
          <w:color w:val="auto"/>
        </w:rPr>
      </w:pPr>
    </w:p>
    <w:p>
      <w:pPr>
        <w:ind w:firstLine="1952"/>
        <w:spacing w:after="0" w:line="282" w:lineRule="auto"/>
        <w:tabs>
          <w:tab w:leader="none" w:pos="2199" w:val="left"/>
        </w:tabs>
        <w:numPr>
          <w:ilvl w:val="1"/>
          <w:numId w:val="2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7" w:name="page258"/>
    <w:bookmarkEnd w:id="257"/>
    <w:p>
      <w:pPr>
        <w:jc w:val="both"/>
        <w:ind w:firstLine="1952"/>
        <w:spacing w:after="0" w:line="266" w:lineRule="auto"/>
        <w:tabs>
          <w:tab w:leader="none" w:pos="2216" w:val="left"/>
        </w:tabs>
        <w:numPr>
          <w:ilvl w:val="0"/>
          <w:numId w:val="26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Approved Stock Plan</w:t>
      </w:r>
      <w:r>
        <w:rPr>
          <w:rFonts w:ascii="Arial" w:cs="Arial" w:eastAsia="Arial" w:hAnsi="Arial"/>
          <w:sz w:val="18"/>
          <w:szCs w:val="18"/>
          <w:color w:val="auto"/>
        </w:rPr>
        <w:t>” means any employee benefit plan which has been approved by the board of directors of the Company prior to or subsequent to the date hereof pursuant to which shares of Common Stock and standard options to purchase Common Stock may be issued to any employee, officer or director for services provided to the Company in their capacity as such.</w:t>
      </w:r>
    </w:p>
    <w:p>
      <w:pPr>
        <w:spacing w:after="0" w:line="175" w:lineRule="exact"/>
        <w:rPr>
          <w:rFonts w:ascii="Arial" w:cs="Arial" w:eastAsia="Arial" w:hAnsi="Arial"/>
          <w:sz w:val="18"/>
          <w:szCs w:val="18"/>
          <w:color w:val="auto"/>
        </w:rPr>
      </w:pPr>
    </w:p>
    <w:p>
      <w:pPr>
        <w:jc w:val="both"/>
        <w:ind w:firstLine="1952"/>
        <w:spacing w:after="0" w:line="294" w:lineRule="auto"/>
        <w:tabs>
          <w:tab w:leader="none" w:pos="2212" w:val="left"/>
        </w:tabs>
        <w:numPr>
          <w:ilvl w:val="0"/>
          <w:numId w:val="26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Attribution Parties</w:t>
      </w:r>
      <w:r>
        <w:rPr>
          <w:rFonts w:ascii="Arial" w:cs="Arial" w:eastAsia="Arial" w:hAnsi="Arial"/>
          <w:sz w:val="16"/>
          <w:szCs w:val="16"/>
          <w:color w:val="auto"/>
        </w:rPr>
        <w:t>” means, collectively, the following Persons and entities: (i) any investment vehicle, including, any funds, feeder funds or managed accounts, currently, or from time to time after the Issuance Date, directly or indirectly managed or advised by the Holder’s investment manager or any of its Affiliates or principals, (ii) any direct or indirect Affiliates of the Holder or any of the foregoing, (iii) any Person acting or who could be deemed to be acting as a Group together with the Holder or any of the foregoing and (iv) any other Persons whose beneficial ownership of the Company’s Common Stock would or could be aggregated with the Holder’s and the other Attribution Parties for purposes of Section 13(d) of the Exchange Act. For clarity, the purpose of the foregoing is to subject collectively the Holder and all other Attribution Parties to the Maximum Percentage.</w:t>
      </w:r>
    </w:p>
    <w:p>
      <w:pPr>
        <w:spacing w:after="0" w:line="159" w:lineRule="exact"/>
        <w:rPr>
          <w:rFonts w:ascii="Arial" w:cs="Arial" w:eastAsia="Arial" w:hAnsi="Arial"/>
          <w:sz w:val="16"/>
          <w:szCs w:val="16"/>
          <w:color w:val="auto"/>
        </w:rPr>
      </w:pPr>
    </w:p>
    <w:p>
      <w:pPr>
        <w:jc w:val="both"/>
        <w:ind w:firstLine="1952"/>
        <w:spacing w:after="0" w:line="267" w:lineRule="auto"/>
        <w:tabs>
          <w:tab w:leader="none" w:pos="2189" w:val="left"/>
        </w:tabs>
        <w:numPr>
          <w:ilvl w:val="0"/>
          <w:numId w:val="26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Black Scholes Going Private Value</w:t>
      </w:r>
      <w:r>
        <w:rPr>
          <w:rFonts w:ascii="Arial" w:cs="Arial" w:eastAsia="Arial" w:hAnsi="Arial"/>
          <w:sz w:val="17"/>
          <w:szCs w:val="17"/>
          <w:color w:val="auto"/>
        </w:rPr>
        <w:t xml:space="preserve">” means the value of the unexercised portion of this Warrant remaining on the date of the consummation of the Fundamental Transaction referred to in Section </w:t>
      </w:r>
      <w:r>
        <w:rPr>
          <w:rFonts w:ascii="Arial" w:cs="Arial" w:eastAsia="Arial" w:hAnsi="Arial"/>
          <w:sz w:val="20"/>
          <w:szCs w:val="20"/>
          <w:b w:val="1"/>
          <w:bCs w:val="1"/>
          <w:color w:val="auto"/>
        </w:rPr>
        <w:t>‎</w:t>
      </w:r>
      <w:r>
        <w:rPr>
          <w:rFonts w:ascii="Arial" w:cs="Arial" w:eastAsia="Arial" w:hAnsi="Arial"/>
          <w:sz w:val="17"/>
          <w:szCs w:val="17"/>
          <w:color w:val="auto"/>
        </w:rPr>
        <w:t>4(b)(i), which value is calculated using the Black Scholes Option Pricing Model obtained from the “OV” function on Bloomberg utilizing (i) an underlying price per share equal to the greater of (1) the highest Closing Sale Price of the Common Stock during the period beginning on the Trading Day immediately preceding the announcement of the applicable Fundamental Transaction (or the consummation of the applicable Fundamental Transaction, if earlier) and ending on the date of consummation of the applicable Fundamental Transaction and (2) the sum of the price per share being offered in cash in the applicable Fundamental Transaction (if any) plus the value of the non-cash consideration being offered in the applicable Fundamental Transaction (if any), (ii) a strike price equal to the Exercise Price in effect on the date of consummation of the applicable Fundamental Transaction, (iii) a risk-free interest rate corresponding to the U.S. Treasury rate for a period equal to the greater of (1) the remaining term of this Warrant as of the date of consummation of the applicable Fundamental Transaction and (2) the remaining term of this Warrant as of the date of consummation of the applicable Fundamental Transaction, (iv) a zero cost of borrow and (v) an expected volatility equal to the greater of 100% and the 60 day volatility obtained from the “HVT” function on Bloomberg (determined utilizing a 365 day annualization factor) as of the Trading Day immediately following the earliest to occur of (A) the public disclosure of the applicable Fundamental Transaction, and (B) the consummation of the applicable Fundamental Transaction.</w:t>
      </w:r>
    </w:p>
    <w:p>
      <w:pPr>
        <w:spacing w:after="0" w:line="185" w:lineRule="exact"/>
        <w:rPr>
          <w:rFonts w:ascii="Arial" w:cs="Arial" w:eastAsia="Arial" w:hAnsi="Arial"/>
          <w:sz w:val="17"/>
          <w:szCs w:val="17"/>
          <w:color w:val="auto"/>
        </w:rPr>
      </w:pPr>
    </w:p>
    <w:p>
      <w:pPr>
        <w:jc w:val="both"/>
        <w:ind w:firstLine="1952"/>
        <w:spacing w:after="0" w:line="267" w:lineRule="auto"/>
        <w:tabs>
          <w:tab w:leader="none" w:pos="2182" w:val="left"/>
        </w:tabs>
        <w:numPr>
          <w:ilvl w:val="0"/>
          <w:numId w:val="26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Black Scholes Value</w:t>
      </w:r>
      <w:r>
        <w:rPr>
          <w:rFonts w:ascii="Arial" w:cs="Arial" w:eastAsia="Arial" w:hAnsi="Arial"/>
          <w:sz w:val="17"/>
          <w:szCs w:val="17"/>
          <w:color w:val="auto"/>
        </w:rPr>
        <w:t xml:space="preserve">” means the value of the unexercised portion of this Warrant remaining on the date of the Holder’s request pursuant to Section </w:t>
      </w:r>
      <w:r>
        <w:rPr>
          <w:rFonts w:ascii="Arial" w:cs="Arial" w:eastAsia="Arial" w:hAnsi="Arial"/>
          <w:sz w:val="20"/>
          <w:szCs w:val="20"/>
          <w:b w:val="1"/>
          <w:bCs w:val="1"/>
          <w:color w:val="auto"/>
        </w:rPr>
        <w:t>‎</w:t>
      </w:r>
      <w:r>
        <w:rPr>
          <w:rFonts w:ascii="Arial" w:cs="Arial" w:eastAsia="Arial" w:hAnsi="Arial"/>
          <w:sz w:val="17"/>
          <w:szCs w:val="17"/>
          <w:color w:val="auto"/>
        </w:rPr>
        <w:t xml:space="preserve">4(c), which value is calculated using the Black Scholes Option Pricing Model obtained from the “OV” function on Bloomberg utilizing (i) an underlying price per share equal to the greater of (1) the highest Closing Sale Price of the Common Stock during the period beginning on the Trading Day immediately preceding the announcement of the applicable Fundamental Transaction (or the consummation of the applicable Fundamental Transaction, if earlier) and ending on the Trading Day of the Holder’s request pursuant to Section </w:t>
      </w:r>
      <w:r>
        <w:rPr>
          <w:rFonts w:ascii="Arial" w:cs="Arial" w:eastAsia="Arial" w:hAnsi="Arial"/>
          <w:sz w:val="20"/>
          <w:szCs w:val="20"/>
          <w:b w:val="1"/>
          <w:bCs w:val="1"/>
          <w:color w:val="auto"/>
        </w:rPr>
        <w:t>‎</w:t>
      </w:r>
      <w:r>
        <w:rPr>
          <w:rFonts w:ascii="Arial" w:cs="Arial" w:eastAsia="Arial" w:hAnsi="Arial"/>
          <w:sz w:val="17"/>
          <w:szCs w:val="17"/>
          <w:color w:val="auto"/>
        </w:rPr>
        <w:t xml:space="preserve">4(c) and (2) the sum of the price per share being offered in cash in the applicable Fundamental Transaction (if any) plus the value of the non-cash consideration being offered in the applicable Fundamental Transaction (if any), (ii) a strike price equal to the Exercise Price in effect on the date of the Holder’s request pursuant to Section 4(c), (iii) a risk-free interest rate corresponding to the U.S. Treasury rate for a period equal to the greater of (1) the remaining term of this Warrant as of the date of the Holder’s request pursuant to Section </w:t>
      </w:r>
      <w:r>
        <w:rPr>
          <w:rFonts w:ascii="Arial" w:cs="Arial" w:eastAsia="Arial" w:hAnsi="Arial"/>
          <w:sz w:val="20"/>
          <w:szCs w:val="20"/>
          <w:b w:val="1"/>
          <w:bCs w:val="1"/>
          <w:color w:val="auto"/>
        </w:rPr>
        <w:t>‎</w:t>
      </w:r>
      <w:r>
        <w:rPr>
          <w:rFonts w:ascii="Arial" w:cs="Arial" w:eastAsia="Arial" w:hAnsi="Arial"/>
          <w:sz w:val="17"/>
          <w:szCs w:val="17"/>
          <w:color w:val="auto"/>
        </w:rPr>
        <w:t xml:space="preserve">4(c) and (2) the remaining term of this Warrant as of the date of consummation of the applicable Fundamental Transaction or as of the date of the Holder’s request pursuant to Section </w:t>
      </w:r>
      <w:r>
        <w:rPr>
          <w:rFonts w:ascii="Arial" w:cs="Arial" w:eastAsia="Arial" w:hAnsi="Arial"/>
          <w:sz w:val="20"/>
          <w:szCs w:val="20"/>
          <w:b w:val="1"/>
          <w:bCs w:val="1"/>
          <w:color w:val="auto"/>
        </w:rPr>
        <w:t>‎</w:t>
      </w:r>
      <w:r>
        <w:rPr>
          <w:rFonts w:ascii="Arial" w:cs="Arial" w:eastAsia="Arial" w:hAnsi="Arial"/>
          <w:sz w:val="17"/>
          <w:szCs w:val="17"/>
          <w:color w:val="auto"/>
        </w:rPr>
        <w:t>4(c) if such request is prior to the date of the consummation of the applicable Fundamental Transaction, (iv) a zero cost of borrow and (v) an expected volatility equal to the greater of 100% and the 60 day volatility obtained from the “HVT” function on Bloomberg (determined utilizing a 365 day annualization factor) as of the Trading Day immediately following the earliest to occur of (A) the public disclosure of the applicable Fundamental Transaction, (B) the consummation of the applicable Fundamental Transaction and (C) the date on which the Holder first became aware of the applicable Fundamental Transaction.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8" w:name="page259"/>
    <w:bookmarkEnd w:id="258"/>
    <w:p>
      <w:pPr>
        <w:ind w:left="2200" w:hanging="248"/>
        <w:spacing w:after="0"/>
        <w:tabs>
          <w:tab w:leader="none" w:pos="220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Bloomberg</w:t>
      </w:r>
      <w:r>
        <w:rPr>
          <w:rFonts w:ascii="Arial" w:cs="Arial" w:eastAsia="Arial" w:hAnsi="Arial"/>
          <w:sz w:val="18"/>
          <w:szCs w:val="18"/>
          <w:color w:val="auto"/>
        </w:rPr>
        <w:t>” means Bloomberg, L.P.</w:t>
      </w:r>
    </w:p>
    <w:p>
      <w:pPr>
        <w:spacing w:after="0" w:line="225" w:lineRule="exact"/>
        <w:rPr>
          <w:rFonts w:ascii="Arial" w:cs="Arial" w:eastAsia="Arial" w:hAnsi="Arial"/>
          <w:sz w:val="18"/>
          <w:szCs w:val="18"/>
          <w:color w:val="auto"/>
        </w:rPr>
      </w:pPr>
    </w:p>
    <w:p>
      <w:pPr>
        <w:ind w:firstLine="1952"/>
        <w:spacing w:after="0" w:line="347" w:lineRule="auto"/>
        <w:tabs>
          <w:tab w:leader="none" w:pos="2212" w:val="left"/>
        </w:tabs>
        <w:numPr>
          <w:ilvl w:val="0"/>
          <w:numId w:val="26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Business Day</w:t>
      </w:r>
      <w:r>
        <w:rPr>
          <w:rFonts w:ascii="Arial" w:cs="Arial" w:eastAsia="Arial" w:hAnsi="Arial"/>
          <w:sz w:val="16"/>
          <w:szCs w:val="16"/>
          <w:color w:val="auto"/>
        </w:rPr>
        <w:t>” means any day except any Saturday, any Sunday, any day which is a federal legal holiday in the United States or any day on which banking institutions in the State of New York are authorized or required by law or other governmental action to close.</w:t>
      </w:r>
    </w:p>
    <w:p>
      <w:pPr>
        <w:spacing w:after="0" w:line="115" w:lineRule="exact"/>
        <w:rPr>
          <w:rFonts w:ascii="Arial" w:cs="Arial" w:eastAsia="Arial" w:hAnsi="Arial"/>
          <w:sz w:val="16"/>
          <w:szCs w:val="16"/>
          <w:color w:val="auto"/>
        </w:rPr>
      </w:pPr>
    </w:p>
    <w:p>
      <w:pPr>
        <w:jc w:val="both"/>
        <w:ind w:firstLine="1952"/>
        <w:spacing w:after="0" w:line="268" w:lineRule="auto"/>
        <w:tabs>
          <w:tab w:leader="none" w:pos="2172" w:val="left"/>
        </w:tabs>
        <w:numPr>
          <w:ilvl w:val="0"/>
          <w:numId w:val="26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Closing Bid Price</w:t>
      </w:r>
      <w:r>
        <w:rPr>
          <w:rFonts w:ascii="Arial" w:cs="Arial" w:eastAsia="Arial" w:hAnsi="Arial"/>
          <w:sz w:val="17"/>
          <w:szCs w:val="17"/>
          <w:color w:val="auto"/>
        </w:rPr>
        <w:t>” and “</w:t>
      </w:r>
      <w:r>
        <w:rPr>
          <w:rFonts w:ascii="Arial" w:cs="Arial" w:eastAsia="Arial" w:hAnsi="Arial"/>
          <w:sz w:val="17"/>
          <w:szCs w:val="17"/>
          <w:b w:val="1"/>
          <w:bCs w:val="1"/>
          <w:color w:val="auto"/>
        </w:rPr>
        <w:t>Closing Sale Price</w:t>
      </w:r>
      <w:r>
        <w:rPr>
          <w:rFonts w:ascii="Arial" w:cs="Arial" w:eastAsia="Arial" w:hAnsi="Arial"/>
          <w:sz w:val="17"/>
          <w:szCs w:val="17"/>
          <w:color w:val="auto"/>
        </w:rPr>
        <w:t xml:space="preserve">” means, for any security as of any date, the last closing bid price and last closing trade price, respectively, for such security on the Principal Market, as reported by Bloomberg, or, if the Principal Market begins to operate on an extended hours basis and does not designate the closing bid price or the closing trade price, as the case may be, then the last bid price or the last trade price, respectively, of such security prior to 4:00:00 p.m., New York time, as reported by Bloomberg, or, if the Principal Market is not the principal securities exchange or trading market for such security, the last closing bid price or last trade price, respectively, of such security on the principal securities exchange or trading market where such security is listed or traded as reported by Bloomberg, or if the foregoing do not apply, the last closing bid price or last trade price, respectively, of such security in the over-the-counter market on the electronic bulletin board for such security as reported by Bloomberg, or, if no closing bid price or last trade price, respectively, is reported for such security by Bloomberg, the average of the bid prices, or the ask prices, respectively, of any market makers for such security as reported in the OTC Link or “pink sheets” by OTC Markets Group Inc. (formerly Pink OTC Markets Inc.). If the Closing Bid Price or the Closing Sale Price cannot be calculated for a security on a particular date on any of the foregoing bases, the Closing Bid Price or the Closing Sale Price, as the case may be, of such security on such date shall be the fair market value as mutually determined by the Company and the Holder. If the Company and the Holder are unable to agree upon the fair market value of such security, then such dispute shall be resolved pursuant to Section </w:t>
      </w:r>
      <w:r>
        <w:rPr>
          <w:rFonts w:ascii="Arial" w:cs="Arial" w:eastAsia="Arial" w:hAnsi="Arial"/>
          <w:sz w:val="20"/>
          <w:szCs w:val="20"/>
          <w:b w:val="1"/>
          <w:bCs w:val="1"/>
          <w:color w:val="auto"/>
        </w:rPr>
        <w:t>‎</w:t>
      </w:r>
      <w:r>
        <w:rPr>
          <w:rFonts w:ascii="Arial" w:cs="Arial" w:eastAsia="Arial" w:hAnsi="Arial"/>
          <w:sz w:val="17"/>
          <w:szCs w:val="17"/>
          <w:color w:val="auto"/>
        </w:rPr>
        <w:t>12. All such determinations to be appropriately adjusted for any stock dividend, stock split, stock combination, reclassification or other similar transaction during the applicable calculation period.</w:t>
      </w:r>
    </w:p>
    <w:p>
      <w:pPr>
        <w:spacing w:after="0" w:line="172" w:lineRule="exact"/>
        <w:rPr>
          <w:rFonts w:ascii="Arial" w:cs="Arial" w:eastAsia="Arial" w:hAnsi="Arial"/>
          <w:sz w:val="17"/>
          <w:szCs w:val="17"/>
          <w:color w:val="auto"/>
        </w:rPr>
      </w:pPr>
    </w:p>
    <w:p>
      <w:pPr>
        <w:ind w:firstLine="1952"/>
        <w:spacing w:after="0" w:line="312" w:lineRule="auto"/>
        <w:tabs>
          <w:tab w:leader="none" w:pos="2159" w:val="left"/>
        </w:tabs>
        <w:numPr>
          <w:ilvl w:val="0"/>
          <w:numId w:val="26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Common Stock</w:t>
      </w:r>
      <w:r>
        <w:rPr>
          <w:rFonts w:ascii="Arial" w:cs="Arial" w:eastAsia="Arial" w:hAnsi="Arial"/>
          <w:sz w:val="17"/>
          <w:szCs w:val="17"/>
          <w:color w:val="auto"/>
        </w:rPr>
        <w:t>” means (i) the Company’s shares of common stock, par value $0.0001 per share, and (ii) any share capital into which such common stock shall have been changed or any share capital resulting from a reclassification of such common stock.</w:t>
      </w:r>
    </w:p>
    <w:p>
      <w:pPr>
        <w:spacing w:after="0" w:line="139" w:lineRule="exact"/>
        <w:rPr>
          <w:rFonts w:ascii="Arial" w:cs="Arial" w:eastAsia="Arial" w:hAnsi="Arial"/>
          <w:sz w:val="17"/>
          <w:szCs w:val="17"/>
          <w:color w:val="auto"/>
        </w:rPr>
      </w:pPr>
    </w:p>
    <w:p>
      <w:pPr>
        <w:ind w:firstLine="1952"/>
        <w:spacing w:after="0" w:line="282" w:lineRule="auto"/>
        <w:tabs>
          <w:tab w:leader="none" w:pos="2226" w:val="left"/>
        </w:tabs>
        <w:numPr>
          <w:ilvl w:val="0"/>
          <w:numId w:val="2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Convertible Securities</w:t>
      </w:r>
      <w:r>
        <w:rPr>
          <w:rFonts w:ascii="Arial" w:cs="Arial" w:eastAsia="Arial" w:hAnsi="Arial"/>
          <w:sz w:val="18"/>
          <w:szCs w:val="18"/>
          <w:color w:val="auto"/>
        </w:rPr>
        <w:t>” means any stock or securities (other than Options) directly or indirectly convertible into or exercisable or exchangeable for shares of Common Stock.</w:t>
      </w:r>
    </w:p>
    <w:p>
      <w:pPr>
        <w:spacing w:after="0" w:line="161" w:lineRule="exact"/>
        <w:rPr>
          <w:rFonts w:ascii="Arial" w:cs="Arial" w:eastAsia="Arial" w:hAnsi="Arial"/>
          <w:sz w:val="18"/>
          <w:szCs w:val="18"/>
          <w:color w:val="auto"/>
        </w:rPr>
      </w:pPr>
    </w:p>
    <w:p>
      <w:pPr>
        <w:ind w:right="20" w:firstLine="1952"/>
        <w:spacing w:after="0" w:line="282" w:lineRule="auto"/>
        <w:tabs>
          <w:tab w:leader="none" w:pos="2172" w:val="left"/>
        </w:tabs>
        <w:numPr>
          <w:ilvl w:val="0"/>
          <w:numId w:val="2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Market</w:t>
      </w:r>
      <w:r>
        <w:rPr>
          <w:rFonts w:ascii="Arial" w:cs="Arial" w:eastAsia="Arial" w:hAnsi="Arial"/>
          <w:sz w:val="18"/>
          <w:szCs w:val="18"/>
          <w:color w:val="auto"/>
        </w:rPr>
        <w:t>” means The Nasdaq Capital Market, The Nasdaq Global Select Market, The Nasdaq Global Market, the NYSE American, or The New York Stock Exchange.</w:t>
      </w:r>
    </w:p>
    <w:p>
      <w:pPr>
        <w:spacing w:after="0" w:line="161" w:lineRule="exact"/>
        <w:rPr>
          <w:rFonts w:ascii="Arial" w:cs="Arial" w:eastAsia="Arial" w:hAnsi="Arial"/>
          <w:sz w:val="18"/>
          <w:szCs w:val="18"/>
          <w:color w:val="auto"/>
        </w:rPr>
      </w:pPr>
    </w:p>
    <w:p>
      <w:pPr>
        <w:jc w:val="both"/>
        <w:ind w:firstLine="1952"/>
        <w:spacing w:after="0" w:line="285" w:lineRule="auto"/>
        <w:tabs>
          <w:tab w:leader="none" w:pos="2249" w:val="left"/>
        </w:tabs>
        <w:numPr>
          <w:ilvl w:val="0"/>
          <w:numId w:val="26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Excluded Securities</w:t>
      </w:r>
      <w:r>
        <w:rPr>
          <w:rFonts w:ascii="Arial" w:cs="Arial" w:eastAsia="Arial" w:hAnsi="Arial"/>
          <w:sz w:val="16"/>
          <w:szCs w:val="16"/>
          <w:color w:val="auto"/>
        </w:rPr>
        <w:t>” means, without duplication, (i) shares of Common Stock or standard options to purchase Common Stock issued to directors, officers or employees of the Company for services rendered to the Company in their capacity as such pursuant to an Approved Stock Plan, provided that the exercise price of any such options is not lowered, none of such options are amended to increase the number of shares issuable thereunder and none of the terms or conditions of any such options are otherwise materially changed in any manner that adversely affects any of the holders of this Warrant; (ii) shares of Common Stock issued upon the conversion or exercise of Convertible Securities (other than standard options to purchase Common Stock issued pursuant to an Approved Stock Plan that are covered by clause (i) above) outstanding prior to the Issuance Date, provided that the conversion price of any such Convertible Securities (other than standard options to purchase Common Stock issued pursuant to an Approved Stock Plan that are covered by clause (i) above) is not lowered, none of such Convertible Securities (other than standard options to purchase Common Stock issued pursuant to an Approved Stock Plan that are covered by clause (i) above) are amended to increase the number of shares issuable thereunder and none of the terms or conditions of any such Convertible Securities (other than standard options to purchase Common Stock issued pursuant to an Approved Stock Plan that are covered by clause (i) above) are otherwise materially changed in any manner that adversely affects any of the Holders; and (iii) the shares of Common Stock issuable upon exercise of (A) warrants to purchase 400,000 shares of Common Stock, with an exercise price of $0.01 per share, issued to Metropolitan Levered Partners Fund VII, LP, Metropolitan Partners Fund VII, LP, Metropolitan Offshore Partners Fund VII, LP and CEOF Holdings LP (the “</w:t>
      </w:r>
      <w:r>
        <w:rPr>
          <w:rFonts w:ascii="Arial" w:cs="Arial" w:eastAsia="Arial" w:hAnsi="Arial"/>
          <w:sz w:val="16"/>
          <w:szCs w:val="16"/>
          <w:b w:val="1"/>
          <w:bCs w:val="1"/>
          <w:color w:val="auto"/>
        </w:rPr>
        <w:t>Metropolitan Entities</w:t>
      </w:r>
      <w:r>
        <w:rPr>
          <w:rFonts w:ascii="Arial" w:cs="Arial" w:eastAsia="Arial" w:hAnsi="Arial"/>
          <w:sz w:val="16"/>
          <w:szCs w:val="16"/>
          <w:color w:val="auto"/>
        </w:rPr>
        <w:t>”), (B) warrants to purchase 500,000 shares of Common Stock, with an exercise price of $0.01 per share, issued to the Metropolitan Entities, (C) warrants to purchase 2,000,000 shares of Common Stock, with an exercise price of $0.01 per share, issued to the Metropolitan Entities, (D) warrants to purchase 25,000 shares of Common Stock, with an exercise price of $0.01 per share, issued to Metropolitan Levered Partners Fund VII, LP, Metropolitan Partners Fund VII, LP, Metropolitan Offshore Partners Fund VII, LP and CEOF Holdings LP and (E) this Warrant and any other warrant issued to the Metropolitan Entities in connection with the Third Amendment.</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9" w:name="page260"/>
    <w:bookmarkEnd w:id="259"/>
    <w:p>
      <w:pPr>
        <w:ind w:right="20" w:firstLine="1952"/>
        <w:spacing w:after="0" w:line="312" w:lineRule="auto"/>
        <w:tabs>
          <w:tab w:leader="none" w:pos="2212" w:val="left"/>
        </w:tabs>
        <w:numPr>
          <w:ilvl w:val="0"/>
          <w:numId w:val="26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Expiration Date</w:t>
      </w:r>
      <w:r>
        <w:rPr>
          <w:rFonts w:ascii="Arial" w:cs="Arial" w:eastAsia="Arial" w:hAnsi="Arial"/>
          <w:sz w:val="17"/>
          <w:szCs w:val="17"/>
          <w:color w:val="auto"/>
        </w:rPr>
        <w:t>” means the date that is the five (5) year anniversary of the Issuance Date or, if such date falls on a day other than a Trading Day or on which trading does not take place on the Principal Market (a “</w:t>
      </w:r>
      <w:r>
        <w:rPr>
          <w:rFonts w:ascii="Arial" w:cs="Arial" w:eastAsia="Arial" w:hAnsi="Arial"/>
          <w:sz w:val="17"/>
          <w:szCs w:val="17"/>
          <w:b w:val="1"/>
          <w:bCs w:val="1"/>
          <w:color w:val="auto"/>
        </w:rPr>
        <w:t>Holiday</w:t>
      </w:r>
      <w:r>
        <w:rPr>
          <w:rFonts w:ascii="Arial" w:cs="Arial" w:eastAsia="Arial" w:hAnsi="Arial"/>
          <w:sz w:val="17"/>
          <w:szCs w:val="17"/>
          <w:color w:val="auto"/>
        </w:rPr>
        <w:t>”), the next date that is not a Holiday.</w:t>
      </w:r>
    </w:p>
    <w:p>
      <w:pPr>
        <w:spacing w:after="0" w:line="139" w:lineRule="exact"/>
        <w:rPr>
          <w:rFonts w:ascii="Arial" w:cs="Arial" w:eastAsia="Arial" w:hAnsi="Arial"/>
          <w:sz w:val="17"/>
          <w:szCs w:val="17"/>
          <w:color w:val="auto"/>
        </w:rPr>
      </w:pPr>
    </w:p>
    <w:p>
      <w:pPr>
        <w:jc w:val="both"/>
        <w:ind w:firstLine="1952"/>
        <w:spacing w:after="0" w:line="284" w:lineRule="auto"/>
        <w:tabs>
          <w:tab w:leader="none" w:pos="2226" w:val="left"/>
        </w:tabs>
        <w:numPr>
          <w:ilvl w:val="0"/>
          <w:numId w:val="26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Fundamental Transaction</w:t>
      </w:r>
      <w:r>
        <w:rPr>
          <w:rFonts w:ascii="Arial" w:cs="Arial" w:eastAsia="Arial" w:hAnsi="Arial"/>
          <w:sz w:val="16"/>
          <w:szCs w:val="16"/>
          <w:color w:val="auto"/>
        </w:rPr>
        <w:t>” means (A) that the Company shall, directly or indirectly, including through subsidiaries, Affiliates or otherwise, in one or more related transactions, (i) consolidate or merge with or into (whether or not the Company is the surviving corporation) another Subject Entity, or (ii) sell, assign, transfer, convey or otherwise dispose of all or substantially all of the properties or assets of the Company or any of its “significant subsidiaries” (as defined in Rule 1-02 of Regulation S-X) to one or more Subject Entities, or (iii) make, or allow one or more Subject Entities to make, or allow the Company to be subject to or have its Common Stock be subject to or party to one or more Subject Entities making, a purchase, tender or exchange offer that is accepted by the holders of at least either (x) 50% of the outstanding shares of Common Stock, (y) 50% of the outstanding shares of Common Stock calculated as if any shares of Common Stock held by all Subject Entities making or party to, or Affiliated with any Subject Entities making or party to, such purchase, tender or exchange offer were not outstanding; or (z) such number of shares of Common Stock such that all Subject Entities making or party to, or Affiliated with any Subject Entity making or party to, such purchase, tender or exchange offer, become collectively the beneficial owners (as defined in Rule 13d-3 under the Exchange Act) of at least 50% of the outstanding shares of Common Stock, or (iv) consummate a stock purchase agreement or other business combination (including, without limitation, a reorganization, recapitalization, spin-off or scheme of arrangement) with one or more Subject Entities whereby all such Subject Entities, individually or in the aggregate, acquire, either (x) at least 50% of the outstanding shares of Common Stock, (y) at least 50% of the outstanding shares of Common Stock calculated as if any shares of Common Stock held by all the Subject Entities making or party to, or Affiliated with any Subject Entity making or party to, such stock purchase agreement or other business combination were not outstanding; or (z) such number of shares of Common Stock such that the Subject Entities become collectively the beneficial owners (as defined in Rule 13d-3 under the Exchange Act) of at least 50% of the outstanding shares of Common Stock, or (v) reorganize, recapitalize or reclassify its Common Stock, (B) that the Company shall, directly or indirectly, including through subsidiaries, Affiliates or otherwise, in one or more related transactions, allow any Subject Entity individually or the Subject Entities in the aggregate to be or become the “beneficial owner” (as defined in Rule 13d-3 under the Exchange Act), directly or indirectly, whether through acquisition, purchase, assignment, conveyance, tender, tender offer, exchange, reduction in outstanding shares of Common Stock, merger, consolidation, business combination, reorganization, recapitalization, spin-off, scheme of arrangement, reorganization, recapitalization or reclassification or otherwise in any manner whatsoever, of either (x) at least 50% of the aggregate ordinary voting power represented by issued and outstanding Common Stock, (y) at least 50% of the aggregate ordinary voting power represented by issued and outstanding Common Stock not held by all such Subject Entities as of the date of this Warrant calculated as if any shares of Common Stock held by all such Subject Entities were not outstanding, or (z) a percentage of the aggregate ordinary voting power represented by issued and outstanding shares of Common Stock or other equity securities of the Company sufficient to allow such Subject Entities to effect a statutory short form merger or other transaction requiring other stockholders of the Company to surrender their shares of Common Stock without approval of the stockholders of the Company or (C) directly or indirectly, including through subsidiaries, Affiliates or otherwise, in one or more related transactions, the issuance of or the entering into any other instrument or transaction structured in a manner to circumvent, or that circumvents, the intent of this definition in which case this definition shall be construed and implemented in a manner otherwise than in strict conformity with the terms of this definition to the extent necessary to correct this definition or any portion of this definition which may be defective or inconsistent with the intended treatment of such instrument or transaction.</w:t>
      </w:r>
    </w:p>
    <w:p>
      <w:pPr>
        <w:spacing w:after="0" w:line="164" w:lineRule="exact"/>
        <w:rPr>
          <w:rFonts w:ascii="Arial" w:cs="Arial" w:eastAsia="Arial" w:hAnsi="Arial"/>
          <w:sz w:val="16"/>
          <w:szCs w:val="16"/>
          <w:color w:val="auto"/>
        </w:rPr>
      </w:pPr>
    </w:p>
    <w:p>
      <w:pPr>
        <w:ind w:left="2240" w:hanging="288"/>
        <w:spacing w:after="0"/>
        <w:tabs>
          <w:tab w:leader="none" w:pos="224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Group</w:t>
      </w:r>
      <w:r>
        <w:rPr>
          <w:rFonts w:ascii="Arial" w:cs="Arial" w:eastAsia="Arial" w:hAnsi="Arial"/>
          <w:sz w:val="18"/>
          <w:szCs w:val="18"/>
          <w:color w:val="auto"/>
        </w:rPr>
        <w:t>” means a “group” as that term is used in Section 13(d) of the Exchange Act and as defined in Rule 13d-5</w:t>
      </w:r>
    </w:p>
    <w:p>
      <w:pPr>
        <w:spacing w:after="0" w:line="2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thereunder.</w:t>
      </w:r>
    </w:p>
    <w:p>
      <w:pPr>
        <w:spacing w:after="0" w:line="206" w:lineRule="exact"/>
        <w:rPr>
          <w:rFonts w:ascii="Arial" w:cs="Arial" w:eastAsia="Arial" w:hAnsi="Arial"/>
          <w:sz w:val="18"/>
          <w:szCs w:val="18"/>
          <w:color w:val="auto"/>
        </w:rPr>
      </w:pPr>
    </w:p>
    <w:p>
      <w:pPr>
        <w:ind w:left="2240" w:hanging="288"/>
        <w:spacing w:after="0"/>
        <w:tabs>
          <w:tab w:leader="none" w:pos="2240" w:val="left"/>
        </w:tabs>
        <w:numPr>
          <w:ilvl w:val="0"/>
          <w:numId w:val="26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Options</w:t>
      </w:r>
      <w:r>
        <w:rPr>
          <w:rFonts w:ascii="Arial" w:cs="Arial" w:eastAsia="Arial" w:hAnsi="Arial"/>
          <w:sz w:val="17"/>
          <w:szCs w:val="17"/>
          <w:color w:val="auto"/>
        </w:rPr>
        <w:t>” means any rights, warrants or options to subscribe for or purchase shares of Common Stock or Convertible</w:t>
      </w:r>
    </w:p>
    <w:p>
      <w:pPr>
        <w:spacing w:after="0" w:line="3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Securities.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0" w:name="page261"/>
    <w:bookmarkEnd w:id="260"/>
    <w:p>
      <w:pPr>
        <w:jc w:val="both"/>
        <w:ind w:firstLine="1952"/>
        <w:spacing w:after="0" w:line="258" w:lineRule="auto"/>
        <w:tabs>
          <w:tab w:leader="none" w:pos="2169" w:val="left"/>
        </w:tabs>
        <w:numPr>
          <w:ilvl w:val="0"/>
          <w:numId w:val="2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Entity</w:t>
      </w:r>
      <w:r>
        <w:rPr>
          <w:rFonts w:ascii="Arial" w:cs="Arial" w:eastAsia="Arial" w:hAnsi="Arial"/>
          <w:sz w:val="18"/>
          <w:szCs w:val="18"/>
          <w:color w:val="auto"/>
        </w:rPr>
        <w:t>” of a Person means an entity that, directly or indirectly, controls the applicable Person, including such entity whose common shares or common stock or equivalent equity security is quoted or listed on an Eligible Market (or, if so elected by the Holder, any other market, exchange or quotation system), or, if there is more than one such Person or such entity, the Person or such entity designated by the Holder or in the absence of such designation, such Person or entity with the largest public market capitalization as of the date of consummation of the Fundamental Transaction.</w:t>
      </w:r>
    </w:p>
    <w:p>
      <w:pPr>
        <w:spacing w:after="0" w:line="183" w:lineRule="exact"/>
        <w:rPr>
          <w:rFonts w:ascii="Arial" w:cs="Arial" w:eastAsia="Arial" w:hAnsi="Arial"/>
          <w:sz w:val="18"/>
          <w:szCs w:val="18"/>
          <w:color w:val="auto"/>
        </w:rPr>
      </w:pPr>
    </w:p>
    <w:p>
      <w:pPr>
        <w:ind w:right="20" w:firstLine="1952"/>
        <w:spacing w:after="0" w:line="282" w:lineRule="auto"/>
        <w:tabs>
          <w:tab w:leader="none" w:pos="2192" w:val="left"/>
        </w:tabs>
        <w:numPr>
          <w:ilvl w:val="0"/>
          <w:numId w:val="2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61" w:lineRule="exact"/>
        <w:rPr>
          <w:rFonts w:ascii="Arial" w:cs="Arial" w:eastAsia="Arial" w:hAnsi="Arial"/>
          <w:sz w:val="18"/>
          <w:szCs w:val="18"/>
          <w:color w:val="auto"/>
        </w:rPr>
      </w:pPr>
    </w:p>
    <w:p>
      <w:pPr>
        <w:ind w:right="20" w:firstLine="1952"/>
        <w:spacing w:after="0" w:line="282" w:lineRule="auto"/>
        <w:tabs>
          <w:tab w:leader="none" w:pos="2186" w:val="left"/>
        </w:tabs>
        <w:numPr>
          <w:ilvl w:val="0"/>
          <w:numId w:val="2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Principal Market</w:t>
      </w:r>
      <w:r>
        <w:rPr>
          <w:rFonts w:ascii="Arial" w:cs="Arial" w:eastAsia="Arial" w:hAnsi="Arial"/>
          <w:sz w:val="18"/>
          <w:szCs w:val="18"/>
          <w:color w:val="auto"/>
        </w:rPr>
        <w:t>” means the OTC Bulletin Board or any other Eligible Market, or any national securities exchange, market or trading or quotation facility on which the Common Stock is then listed or quoted.</w:t>
      </w:r>
    </w:p>
    <w:p>
      <w:pPr>
        <w:spacing w:after="0" w:line="161" w:lineRule="exact"/>
        <w:rPr>
          <w:rFonts w:ascii="Arial" w:cs="Arial" w:eastAsia="Arial" w:hAnsi="Arial"/>
          <w:sz w:val="18"/>
          <w:szCs w:val="18"/>
          <w:color w:val="auto"/>
        </w:rPr>
      </w:pPr>
    </w:p>
    <w:p>
      <w:pPr>
        <w:ind w:left="2200" w:hanging="248"/>
        <w:spacing w:after="0"/>
        <w:tabs>
          <w:tab w:leader="none" w:pos="220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w:t>
      </w:r>
    </w:p>
    <w:p>
      <w:pPr>
        <w:spacing w:after="0" w:line="225" w:lineRule="exact"/>
        <w:rPr>
          <w:rFonts w:ascii="Arial" w:cs="Arial" w:eastAsia="Arial" w:hAnsi="Arial"/>
          <w:sz w:val="18"/>
          <w:szCs w:val="18"/>
          <w:color w:val="auto"/>
        </w:rPr>
      </w:pPr>
    </w:p>
    <w:p>
      <w:pPr>
        <w:ind w:left="2200" w:hanging="248"/>
        <w:spacing w:after="0"/>
        <w:tabs>
          <w:tab w:leader="none" w:pos="2200" w:val="left"/>
        </w:tabs>
        <w:numPr>
          <w:ilvl w:val="0"/>
          <w:numId w:val="26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Subject Entity</w:t>
      </w:r>
      <w:r>
        <w:rPr>
          <w:rFonts w:ascii="Arial" w:cs="Arial" w:eastAsia="Arial" w:hAnsi="Arial"/>
          <w:sz w:val="16"/>
          <w:szCs w:val="16"/>
          <w:color w:val="auto"/>
        </w:rPr>
        <w:t>” means any Person, Persons or Group or any Affiliate or associate of any such Person, Persons or Group.</w:t>
      </w:r>
    </w:p>
    <w:p>
      <w:pPr>
        <w:spacing w:after="0" w:line="248" w:lineRule="exact"/>
        <w:rPr>
          <w:rFonts w:ascii="Arial" w:cs="Arial" w:eastAsia="Arial" w:hAnsi="Arial"/>
          <w:sz w:val="16"/>
          <w:szCs w:val="16"/>
          <w:color w:val="auto"/>
        </w:rPr>
      </w:pPr>
    </w:p>
    <w:p>
      <w:pPr>
        <w:jc w:val="both"/>
        <w:ind w:firstLine="1952"/>
        <w:spacing w:after="0" w:line="266" w:lineRule="auto"/>
        <w:tabs>
          <w:tab w:leader="none" w:pos="2239" w:val="left"/>
        </w:tabs>
        <w:numPr>
          <w:ilvl w:val="0"/>
          <w:numId w:val="2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Successor Entity</w:t>
      </w:r>
      <w:r>
        <w:rPr>
          <w:rFonts w:ascii="Arial" w:cs="Arial" w:eastAsia="Arial" w:hAnsi="Arial"/>
          <w:sz w:val="18"/>
          <w:szCs w:val="18"/>
          <w:color w:val="auto"/>
        </w:rPr>
        <w:t>” means one or more Person or Persons (or, if so elected by the Holder, the Company or Parent Entity) formed by, resulting from or surviving any Fundamental Transaction or one or more Person or Persons (or, if so elected by the Holder, the Company or the Parent Entity) with which such Fundamental Transaction shall have been entered into.</w:t>
      </w:r>
    </w:p>
    <w:p>
      <w:pPr>
        <w:spacing w:after="0" w:line="175" w:lineRule="exact"/>
        <w:rPr>
          <w:rFonts w:ascii="Arial" w:cs="Arial" w:eastAsia="Arial" w:hAnsi="Arial"/>
          <w:sz w:val="18"/>
          <w:szCs w:val="18"/>
          <w:color w:val="auto"/>
        </w:rPr>
      </w:pPr>
    </w:p>
    <w:p>
      <w:pPr>
        <w:jc w:val="both"/>
        <w:ind w:firstLine="1952"/>
        <w:spacing w:after="0" w:line="298" w:lineRule="auto"/>
        <w:tabs>
          <w:tab w:leader="none" w:pos="2199" w:val="left"/>
        </w:tabs>
        <w:numPr>
          <w:ilvl w:val="0"/>
          <w:numId w:val="26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Trading Day</w:t>
      </w:r>
      <w:r>
        <w:rPr>
          <w:rFonts w:ascii="Arial" w:cs="Arial" w:eastAsia="Arial" w:hAnsi="Arial"/>
          <w:sz w:val="16"/>
          <w:szCs w:val="16"/>
          <w:color w:val="auto"/>
        </w:rPr>
        <w:t xml:space="preserve">” means any day on which the Common Stock is traded on the Principal Market, or, if the Principal Market is not the principal trading market for the Common Stock, then on the principal securities exchange or securities market on which the Common Stock is then traded;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time).</w:t>
      </w:r>
    </w:p>
    <w:p>
      <w:pPr>
        <w:spacing w:after="0" w:line="153" w:lineRule="exact"/>
        <w:rPr>
          <w:rFonts w:ascii="Arial" w:cs="Arial" w:eastAsia="Arial" w:hAnsi="Arial"/>
          <w:sz w:val="16"/>
          <w:szCs w:val="16"/>
          <w:color w:val="auto"/>
        </w:rPr>
      </w:pPr>
    </w:p>
    <w:p>
      <w:pPr>
        <w:jc w:val="both"/>
        <w:ind w:firstLine="1952"/>
        <w:spacing w:after="0" w:line="267" w:lineRule="auto"/>
        <w:tabs>
          <w:tab w:leader="none" w:pos="2199" w:val="left"/>
        </w:tabs>
        <w:numPr>
          <w:ilvl w:val="0"/>
          <w:numId w:val="26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VWAP</w:t>
      </w:r>
      <w:r>
        <w:rPr>
          <w:rFonts w:ascii="Arial" w:cs="Arial" w:eastAsia="Arial" w:hAnsi="Arial"/>
          <w:sz w:val="17"/>
          <w:szCs w:val="17"/>
          <w:color w:val="auto"/>
        </w:rPr>
        <w:t xml:space="preserve">” means, for any security as of any date, the dollar volume-weighted average price for such security on the Principal Market during the period beginning at 9:30:01 a.m., New York time (or such other time as the Principal Market publicly announces is the official open of trading), and ending at 4:00:00 p.m., New York time (or such other time as the Principal Market publicly announces is the official close of trading), as reported by Bloomberg through its “Volume at Price” function or, if the foregoing does not apply, the dollar volume-weighted average price of such security in the over-the-counter market on the electronic bulletin board for such security during the period beginning at 9:30:01 a.m., New York time (or such other time as such market publicly announces is the official open of trading), and ending at 4:00:00 p.m., New York time (or such other time as such market publicly announces is the official close of trading), as reported by Bloomberg, or, if no dollar volume-weighted average price is reported for such security by Bloomberg for such hours, the average of the highest Closing Bid Price and the lowest closing ask price of any of the market makers for such security as reported in the OTC Link or “pink sheets” by OTC Markets Group Inc. (formerly Pink OTC Markets Inc.). If the VWAP cannot be calculated for a security on a particular date on any of the foregoing bases, the VWAP of such security on such date shall be the fair market value as mutually determined by the Company and the Holder. If the Company and the Holder are unable to agree upon the fair market value of such security, then such dispute shall be resolved pursuant to Section </w:t>
      </w:r>
      <w:r>
        <w:rPr>
          <w:rFonts w:ascii="Arial" w:cs="Arial" w:eastAsia="Arial" w:hAnsi="Arial"/>
          <w:sz w:val="20"/>
          <w:szCs w:val="20"/>
          <w:b w:val="1"/>
          <w:bCs w:val="1"/>
          <w:color w:val="auto"/>
        </w:rPr>
        <w:t>‎</w:t>
      </w:r>
      <w:r>
        <w:rPr>
          <w:rFonts w:ascii="Arial" w:cs="Arial" w:eastAsia="Arial" w:hAnsi="Arial"/>
          <w:sz w:val="17"/>
          <w:szCs w:val="17"/>
          <w:color w:val="auto"/>
        </w:rPr>
        <w:t>12 with the term “VWAP” being substituted for the term “Exercise Price.” All such determinations shall be appropriately adjusted for any stock dividend, stock split, stock combination, reclassification or other similar transaction during the applicable calculation period.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 Follows]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1" w:name="page262"/>
    <w:bookmarkEnd w:id="261"/>
    <w:p>
      <w:pPr>
        <w:ind w:left="660"/>
        <w:spacing w:after="0"/>
        <w:rPr>
          <w:sz w:val="20"/>
          <w:szCs w:val="20"/>
          <w:color w:val="auto"/>
        </w:rPr>
      </w:pPr>
      <w:r>
        <w:rPr>
          <w:rFonts w:ascii="Arial" w:cs="Arial" w:eastAsia="Arial" w:hAnsi="Arial"/>
          <w:sz w:val="16"/>
          <w:szCs w:val="16"/>
          <w:b w:val="1"/>
          <w:bCs w:val="1"/>
          <w:color w:val="auto"/>
        </w:rPr>
        <w:t xml:space="preserve">IN WITNESS WHEREOF, </w:t>
      </w:r>
      <w:r>
        <w:rPr>
          <w:rFonts w:ascii="Arial" w:cs="Arial" w:eastAsia="Arial" w:hAnsi="Arial"/>
          <w:sz w:val="16"/>
          <w:szCs w:val="16"/>
          <w:color w:val="auto"/>
        </w:rPr>
        <w:t>the Company has caused this Warrant to Purchase Common Stock to be duly executed as of the Issuance Date set out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07"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PRESTO AUTOMATION INC.</w:t>
      </w:r>
    </w:p>
    <w:p>
      <w:pPr>
        <w:spacing w:after="0" w:line="2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Xavier Casanova</w:t>
      </w:r>
    </w:p>
    <w:p>
      <w:pPr>
        <w:spacing w:after="0" w:line="36"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62" w:name="page263"/>
    <w:bookmarkEnd w:id="262"/>
    <w:p>
      <w:pPr>
        <w:jc w:val="right"/>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EXERCISE NOTICE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EXECUTED BY THE REGISTERED HOLDER TO EXERCISE THIS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TO PURCHASE COMMON STOCK</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PRESTO AUTOMATION INC.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undersigned holder hereby exercises the right to purchase _________________ of the shares of Common Stock (“</w:t>
      </w:r>
      <w:r>
        <w:rPr>
          <w:rFonts w:ascii="Arial" w:cs="Arial" w:eastAsia="Arial" w:hAnsi="Arial"/>
          <w:sz w:val="17"/>
          <w:szCs w:val="17"/>
          <w:b w:val="1"/>
          <w:bCs w:val="1"/>
          <w:color w:val="auto"/>
        </w:rPr>
        <w:t>Warrant Shares</w:t>
      </w:r>
      <w:r>
        <w:rPr>
          <w:rFonts w:ascii="Arial" w:cs="Arial" w:eastAsia="Arial" w:hAnsi="Arial"/>
          <w:sz w:val="17"/>
          <w:szCs w:val="17"/>
          <w:color w:val="auto"/>
        </w:rPr>
        <w:t>”) of</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Presto Automation Inc.,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evidenced by the attached Warrant to Purchase Common Stock (the “</w:t>
      </w:r>
      <w:r>
        <w:rPr>
          <w:rFonts w:ascii="Arial" w:cs="Arial" w:eastAsia="Arial" w:hAnsi="Arial"/>
          <w:sz w:val="17"/>
          <w:szCs w:val="17"/>
          <w:b w:val="1"/>
          <w:bCs w:val="1"/>
          <w:color w:val="auto"/>
        </w:rPr>
        <w:t>Warrant</w:t>
      </w:r>
      <w:r>
        <w:rPr>
          <w:rFonts w:ascii="Arial" w:cs="Arial" w:eastAsia="Arial" w:hAnsi="Arial"/>
          <w:sz w:val="17"/>
          <w:szCs w:val="17"/>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used herein and not otherwise defined shall have the respective meanings set forth in the Warrant.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Form of Exercise Price. The Holder intends that payment of the Exercise Price shall be made as:</w:t>
      </w:r>
    </w:p>
    <w:p>
      <w:pPr>
        <w:spacing w:after="0" w:line="208" w:lineRule="exact"/>
        <w:rPr>
          <w:sz w:val="20"/>
          <w:szCs w:val="20"/>
          <w:color w:val="auto"/>
        </w:rPr>
      </w:pPr>
    </w:p>
    <w:tbl>
      <w:tblPr>
        <w:tblLayout w:type="fixed"/>
        <w:tblInd w:w="1300" w:type="dxa"/>
        <w:tblCellMar>
          <w:top w:w="0" w:type="dxa"/>
          <w:left w:w="0" w:type="dxa"/>
          <w:bottom w:w="0" w:type="dxa"/>
          <w:right w:w="0" w:type="dxa"/>
        </w:tblCellMar>
      </w:tblPr>
      <w:tr>
        <w:trPr>
          <w:trHeight w:val="207"/>
        </w:trPr>
        <w:tc>
          <w:tcPr>
            <w:tcW w:w="1200" w:type="dxa"/>
            <w:vAlign w:val="bottom"/>
          </w:tcPr>
          <w:p>
            <w:pPr>
              <w:jc w:val="right"/>
              <w:ind w:right="30"/>
              <w:spacing w:after="0"/>
              <w:rPr>
                <w:sz w:val="20"/>
                <w:szCs w:val="20"/>
                <w:color w:val="auto"/>
              </w:rPr>
            </w:pPr>
            <w:r>
              <w:rPr>
                <w:rFonts w:ascii="Arial" w:cs="Arial" w:eastAsia="Arial" w:hAnsi="Arial"/>
                <w:sz w:val="18"/>
                <w:szCs w:val="18"/>
                <w:color w:val="auto"/>
                <w:w w:val="88"/>
              </w:rPr>
              <w:t>____________</w:t>
            </w:r>
          </w:p>
        </w:tc>
        <w:tc>
          <w:tcPr>
            <w:tcW w:w="5780" w:type="dxa"/>
            <w:vAlign w:val="bottom"/>
            <w:gridSpan w:val="4"/>
          </w:tcPr>
          <w:p>
            <w:pPr>
              <w:ind w:left="100"/>
              <w:spacing w:after="0"/>
              <w:rPr>
                <w:sz w:val="20"/>
                <w:szCs w:val="20"/>
                <w:color w:val="auto"/>
              </w:rPr>
            </w:pPr>
            <w:r>
              <w:rPr>
                <w:rFonts w:ascii="Arial" w:cs="Arial" w:eastAsia="Arial" w:hAnsi="Arial"/>
                <w:sz w:val="18"/>
                <w:szCs w:val="18"/>
                <w:color w:val="auto"/>
                <w:w w:val="89"/>
              </w:rPr>
              <w:t>a “Cash Exercise” with respect to _________________ Warrant Shares; and/or</w:t>
            </w:r>
          </w:p>
        </w:tc>
      </w:tr>
      <w:tr>
        <w:trPr>
          <w:trHeight w:val="20"/>
        </w:trPr>
        <w:tc>
          <w:tcPr>
            <w:tcW w:w="1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r>
      <w:tr>
        <w:trPr>
          <w:trHeight w:val="412"/>
        </w:trPr>
        <w:tc>
          <w:tcPr>
            <w:tcW w:w="1200" w:type="dxa"/>
            <w:vAlign w:val="bottom"/>
          </w:tcPr>
          <w:p>
            <w:pPr>
              <w:jc w:val="right"/>
              <w:ind w:right="30"/>
              <w:spacing w:after="0"/>
              <w:rPr>
                <w:sz w:val="20"/>
                <w:szCs w:val="20"/>
                <w:color w:val="auto"/>
              </w:rPr>
            </w:pPr>
            <w:r>
              <w:rPr>
                <w:rFonts w:ascii="Arial" w:cs="Arial" w:eastAsia="Arial" w:hAnsi="Arial"/>
                <w:sz w:val="18"/>
                <w:szCs w:val="18"/>
                <w:color w:val="auto"/>
                <w:w w:val="88"/>
              </w:rPr>
              <w:t>____________</w:t>
            </w:r>
          </w:p>
        </w:tc>
        <w:tc>
          <w:tcPr>
            <w:tcW w:w="5780" w:type="dxa"/>
            <w:vAlign w:val="bottom"/>
            <w:gridSpan w:val="4"/>
          </w:tcPr>
          <w:p>
            <w:pPr>
              <w:ind w:left="100"/>
              <w:spacing w:after="0"/>
              <w:rPr>
                <w:sz w:val="20"/>
                <w:szCs w:val="20"/>
                <w:color w:val="auto"/>
              </w:rPr>
            </w:pPr>
            <w:r>
              <w:rPr>
                <w:rFonts w:ascii="Arial" w:cs="Arial" w:eastAsia="Arial" w:hAnsi="Arial"/>
                <w:sz w:val="18"/>
                <w:szCs w:val="18"/>
                <w:color w:val="auto"/>
                <w:w w:val="96"/>
              </w:rPr>
              <w:t>a “Cashless Exercise” with respect to _______________ Warrant Shares.</w:t>
            </w:r>
          </w:p>
        </w:tc>
      </w:tr>
      <w:tr>
        <w:trPr>
          <w:trHeight w:val="20"/>
        </w:trPr>
        <w:tc>
          <w:tcPr>
            <w:tcW w:w="1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the event that the Holder has elected a Cashless Exercise with respect to some or all of the Warrant Shares to be issued pursuant hereto, the Holder hereby represents and warrants that this Exercise Notice was executed by the Holder at [a.m.][p.m.] on the date set forth below.</w:t>
      </w:r>
    </w:p>
    <w:p>
      <w:pPr>
        <w:spacing w:after="0" w:line="170" w:lineRule="exact"/>
        <w:rPr>
          <w:sz w:val="20"/>
          <w:szCs w:val="20"/>
          <w:color w:val="auto"/>
        </w:rPr>
      </w:pPr>
    </w:p>
    <w:p>
      <w:pPr>
        <w:jc w:val="both"/>
        <w:ind w:firstLine="656"/>
        <w:spacing w:after="0" w:line="263" w:lineRule="auto"/>
        <w:tabs>
          <w:tab w:leader="none" w:pos="846" w:val="left"/>
        </w:tabs>
        <w:numPr>
          <w:ilvl w:val="0"/>
          <w:numId w:val="264"/>
        </w:numPr>
        <w:rPr>
          <w:rFonts w:ascii="Arial" w:cs="Arial" w:eastAsia="Arial" w:hAnsi="Arial"/>
          <w:sz w:val="18"/>
          <w:szCs w:val="18"/>
          <w:color w:val="auto"/>
        </w:rPr>
      </w:pPr>
      <w:r>
        <w:rPr>
          <w:rFonts w:ascii="Arial" w:cs="Arial" w:eastAsia="Arial" w:hAnsi="Arial"/>
          <w:sz w:val="18"/>
          <w:szCs w:val="18"/>
          <w:color w:val="auto"/>
        </w:rPr>
        <w:t>Payment of Exercise Price. In the event that the holder has elected a Cash Exercise with respect to some or all of the Warrant Shares to be issued pursuant hereto, the holder shall pay the Aggregate Exercise Price in the sum of $___________________ to the Company in accordance with the terms of the Warrant.</w:t>
      </w:r>
    </w:p>
    <w:p>
      <w:pPr>
        <w:spacing w:after="0" w:line="183" w:lineRule="exact"/>
        <w:rPr>
          <w:rFonts w:ascii="Arial" w:cs="Arial" w:eastAsia="Arial" w:hAnsi="Arial"/>
          <w:sz w:val="18"/>
          <w:szCs w:val="18"/>
          <w:color w:val="auto"/>
        </w:rPr>
      </w:pPr>
    </w:p>
    <w:p>
      <w:pPr>
        <w:ind w:left="840" w:hanging="184"/>
        <w:spacing w:after="0"/>
        <w:tabs>
          <w:tab w:leader="none" w:pos="840" w:val="left"/>
        </w:tabs>
        <w:numPr>
          <w:ilvl w:val="0"/>
          <w:numId w:val="264"/>
        </w:numPr>
        <w:rPr>
          <w:rFonts w:ascii="Arial" w:cs="Arial" w:eastAsia="Arial" w:hAnsi="Arial"/>
          <w:sz w:val="16"/>
          <w:szCs w:val="16"/>
          <w:color w:val="auto"/>
        </w:rPr>
      </w:pPr>
      <w:r>
        <w:rPr>
          <w:rFonts w:ascii="Arial" w:cs="Arial" w:eastAsia="Arial" w:hAnsi="Arial"/>
          <w:sz w:val="16"/>
          <w:szCs w:val="16"/>
          <w:color w:val="auto"/>
        </w:rPr>
        <w:t>Delivery of Warrant Shares. The Company shall deliver to the holder __________ Warrant Shares in accordance with the terms of the Warrant.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520" w:type="dxa"/>
            <w:vAlign w:val="bottom"/>
            <w:gridSpan w:val="2"/>
          </w:tcPr>
          <w:p>
            <w:pPr>
              <w:spacing w:after="0"/>
              <w:rPr>
                <w:sz w:val="20"/>
                <w:szCs w:val="20"/>
                <w:color w:val="auto"/>
              </w:rPr>
            </w:pPr>
            <w:r>
              <w:rPr>
                <w:rFonts w:ascii="Arial" w:cs="Arial" w:eastAsia="Arial" w:hAnsi="Arial"/>
                <w:sz w:val="18"/>
                <w:szCs w:val="18"/>
                <w:color w:val="auto"/>
              </w:rPr>
              <w:t>_______ Electronic Delivery</w:t>
            </w:r>
          </w:p>
        </w:tc>
        <w:tc>
          <w:tcPr>
            <w:tcW w:w="6720" w:type="dxa"/>
            <w:vAlign w:val="bottom"/>
            <w:gridSpan w:val="2"/>
          </w:tcPr>
          <w:p>
            <w:pPr>
              <w:ind w:left="1680"/>
              <w:spacing w:after="0"/>
              <w:rPr>
                <w:sz w:val="20"/>
                <w:szCs w:val="20"/>
                <w:color w:val="auto"/>
              </w:rPr>
            </w:pPr>
            <w:r>
              <w:rPr>
                <w:rFonts w:ascii="Arial" w:cs="Arial" w:eastAsia="Arial" w:hAnsi="Arial"/>
                <w:sz w:val="18"/>
                <w:szCs w:val="18"/>
                <w:color w:val="auto"/>
              </w:rPr>
              <w:t>DTC Participant:</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3360" w:type="dxa"/>
            <w:vAlign w:val="bottom"/>
          </w:tcPr>
          <w:p>
            <w:pPr>
              <w:ind w:left="1680"/>
              <w:spacing w:after="0" w:line="203" w:lineRule="exact"/>
              <w:rPr>
                <w:sz w:val="20"/>
                <w:szCs w:val="20"/>
                <w:color w:val="auto"/>
              </w:rPr>
            </w:pPr>
            <w:r>
              <w:rPr>
                <w:rFonts w:ascii="Arial" w:cs="Arial" w:eastAsia="Arial" w:hAnsi="Arial"/>
                <w:sz w:val="18"/>
                <w:szCs w:val="18"/>
                <w:color w:val="auto"/>
              </w:rPr>
              <w:t>DTC Number:</w:t>
            </w:r>
          </w:p>
        </w:tc>
        <w:tc>
          <w:tcPr>
            <w:tcW w:w="336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3360" w:type="dxa"/>
            <w:vAlign w:val="bottom"/>
          </w:tcPr>
          <w:p>
            <w:pPr>
              <w:ind w:left="1680"/>
              <w:spacing w:after="0" w:line="202" w:lineRule="exact"/>
              <w:rPr>
                <w:sz w:val="20"/>
                <w:szCs w:val="20"/>
                <w:color w:val="auto"/>
              </w:rPr>
            </w:pPr>
            <w:r>
              <w:rPr>
                <w:rFonts w:ascii="Arial" w:cs="Arial" w:eastAsia="Arial" w:hAnsi="Arial"/>
                <w:sz w:val="18"/>
                <w:szCs w:val="18"/>
                <w:color w:val="auto"/>
              </w:rPr>
              <w:t>Account Name:</w:t>
            </w:r>
          </w:p>
        </w:tc>
        <w:tc>
          <w:tcPr>
            <w:tcW w:w="33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3360" w:type="dxa"/>
            <w:vAlign w:val="bottom"/>
          </w:tcPr>
          <w:p>
            <w:pPr>
              <w:ind w:left="1680"/>
              <w:spacing w:after="0" w:line="202" w:lineRule="exact"/>
              <w:rPr>
                <w:sz w:val="20"/>
                <w:szCs w:val="20"/>
                <w:color w:val="auto"/>
              </w:rPr>
            </w:pPr>
            <w:r>
              <w:rPr>
                <w:rFonts w:ascii="Arial" w:cs="Arial" w:eastAsia="Arial" w:hAnsi="Arial"/>
                <w:sz w:val="18"/>
                <w:szCs w:val="18"/>
                <w:color w:val="auto"/>
              </w:rPr>
              <w:t>Account Number:</w:t>
            </w:r>
          </w:p>
        </w:tc>
        <w:tc>
          <w:tcPr>
            <w:tcW w:w="33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4520" w:type="dxa"/>
            <w:vAlign w:val="bottom"/>
            <w:gridSpan w:val="2"/>
          </w:tcPr>
          <w:p>
            <w:pPr>
              <w:spacing w:after="0"/>
              <w:rPr>
                <w:sz w:val="20"/>
                <w:szCs w:val="20"/>
                <w:color w:val="auto"/>
              </w:rPr>
            </w:pPr>
            <w:r>
              <w:rPr>
                <w:rFonts w:ascii="Arial" w:cs="Arial" w:eastAsia="Arial" w:hAnsi="Arial"/>
                <w:sz w:val="18"/>
                <w:szCs w:val="18"/>
                <w:color w:val="auto"/>
              </w:rPr>
              <w:t>_______ Physical Delivery</w:t>
            </w:r>
          </w:p>
        </w:tc>
        <w:tc>
          <w:tcPr>
            <w:tcW w:w="6720" w:type="dxa"/>
            <w:vAlign w:val="bottom"/>
            <w:gridSpan w:val="2"/>
          </w:tcPr>
          <w:p>
            <w:pPr>
              <w:ind w:left="1680"/>
              <w:spacing w:after="0"/>
              <w:rPr>
                <w:sz w:val="20"/>
                <w:szCs w:val="20"/>
                <w:color w:val="auto"/>
              </w:rPr>
            </w:pPr>
            <w:r>
              <w:rPr>
                <w:rFonts w:ascii="Arial" w:cs="Arial" w:eastAsia="Arial" w:hAnsi="Arial"/>
                <w:sz w:val="18"/>
                <w:szCs w:val="18"/>
                <w:color w:val="auto"/>
              </w:rPr>
              <w:t>Address:</w:t>
            </w:r>
          </w:p>
        </w:tc>
        <w:tc>
          <w:tcPr>
            <w:tcW w:w="0" w:type="dxa"/>
            <w:vAlign w:val="bottom"/>
          </w:tcPr>
          <w:p>
            <w:pPr>
              <w:spacing w:after="0"/>
              <w:rPr>
                <w:sz w:val="1"/>
                <w:szCs w:val="1"/>
                <w:color w:val="auto"/>
              </w:rPr>
            </w:pPr>
          </w:p>
        </w:tc>
      </w:tr>
      <w:tr>
        <w:trPr>
          <w:trHeight w:val="223"/>
        </w:trPr>
        <w:tc>
          <w:tcPr>
            <w:tcW w:w="4520" w:type="dxa"/>
            <w:vAlign w:val="bottom"/>
            <w:gridSpan w:val="2"/>
            <w:vMerge w:val="restart"/>
          </w:tcPr>
          <w:p>
            <w:pPr>
              <w:spacing w:after="0"/>
              <w:rPr>
                <w:sz w:val="20"/>
                <w:szCs w:val="20"/>
                <w:color w:val="auto"/>
              </w:rPr>
            </w:pPr>
            <w:r>
              <w:rPr>
                <w:rFonts w:ascii="Arial" w:cs="Arial" w:eastAsia="Arial" w:hAnsi="Arial"/>
                <w:sz w:val="18"/>
                <w:szCs w:val="18"/>
                <w:color w:val="auto"/>
              </w:rPr>
              <w:t>Date: _______________ __, ______</w:t>
            </w:r>
          </w:p>
        </w:tc>
        <w:tc>
          <w:tcPr>
            <w:tcW w:w="3360" w:type="dxa"/>
            <w:vAlign w:val="bottom"/>
          </w:tcPr>
          <w:p>
            <w:pPr>
              <w:spacing w:after="0"/>
              <w:rPr>
                <w:sz w:val="19"/>
                <w:szCs w:val="19"/>
                <w:color w:val="auto"/>
              </w:rPr>
            </w:pPr>
          </w:p>
        </w:tc>
        <w:tc>
          <w:tcPr>
            <w:tcW w:w="336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20" w:type="dxa"/>
            <w:vAlign w:val="bottom"/>
            <w:gridSpan w:val="2"/>
            <w:vMerge w:val="continue"/>
          </w:tcPr>
          <w:p>
            <w:pPr>
              <w:spacing w:after="0"/>
              <w:rPr>
                <w:sz w:val="19"/>
                <w:szCs w:val="19"/>
                <w:color w:val="auto"/>
              </w:rPr>
            </w:pPr>
          </w:p>
        </w:tc>
        <w:tc>
          <w:tcPr>
            <w:tcW w:w="3360" w:type="dxa"/>
            <w:vAlign w:val="bottom"/>
          </w:tcPr>
          <w:p>
            <w:pPr>
              <w:spacing w:after="0"/>
              <w:rPr>
                <w:sz w:val="19"/>
                <w:szCs w:val="19"/>
                <w:color w:val="auto"/>
              </w:rPr>
            </w:pPr>
          </w:p>
        </w:tc>
        <w:tc>
          <w:tcPr>
            <w:tcW w:w="33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46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33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rPr>
              <w:t>Name of Registered Holder</w:t>
            </w:r>
          </w:p>
        </w:tc>
        <w:tc>
          <w:tcPr>
            <w:tcW w:w="336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520" w:type="dxa"/>
            <w:vAlign w:val="bottom"/>
            <w:gridSpan w:val="2"/>
          </w:tcPr>
          <w:p>
            <w:pPr>
              <w:spacing w:after="0"/>
              <w:rPr>
                <w:sz w:val="20"/>
                <w:szCs w:val="20"/>
                <w:color w:val="auto"/>
              </w:rPr>
            </w:pPr>
            <w:r>
              <w:rPr>
                <w:rFonts w:ascii="Arial" w:cs="Arial" w:eastAsia="Arial" w:hAnsi="Arial"/>
                <w:sz w:val="18"/>
                <w:szCs w:val="18"/>
                <w:color w:val="auto"/>
              </w:rPr>
              <w:t>By:</w:t>
            </w:r>
          </w:p>
        </w:tc>
        <w:tc>
          <w:tcPr>
            <w:tcW w:w="33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60" w:type="dxa"/>
            <w:vAlign w:val="bottom"/>
          </w:tcPr>
          <w:p>
            <w:pPr>
              <w:spacing w:after="0"/>
              <w:rPr>
                <w:sz w:val="17"/>
                <w:szCs w:val="17"/>
                <w:color w:val="auto"/>
              </w:rPr>
            </w:pPr>
          </w:p>
        </w:tc>
        <w:tc>
          <w:tcPr>
            <w:tcW w:w="40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Name:</w:t>
            </w:r>
          </w:p>
        </w:tc>
        <w:tc>
          <w:tcPr>
            <w:tcW w:w="336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Title:</w:t>
            </w:r>
          </w:p>
        </w:tc>
        <w:tc>
          <w:tcPr>
            <w:tcW w:w="336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55"/>
        </w:trPr>
        <w:tc>
          <w:tcPr>
            <w:tcW w:w="46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263" w:name="page264"/>
    <w:bookmarkEnd w:id="263"/>
    <w:p>
      <w:pPr>
        <w:jc w:val="center"/>
        <w:spacing w:after="0"/>
        <w:rPr>
          <w:sz w:val="20"/>
          <w:szCs w:val="20"/>
          <w:color w:val="auto"/>
        </w:rPr>
      </w:pPr>
      <w:r>
        <w:rPr>
          <w:rFonts w:ascii="Arial" w:cs="Arial" w:eastAsia="Arial" w:hAnsi="Arial"/>
          <w:sz w:val="18"/>
          <w:szCs w:val="18"/>
          <w:b w:val="1"/>
          <w:bCs w:val="1"/>
          <w:color w:val="auto"/>
        </w:rPr>
        <w:t>ACKNOWLEDGMENT</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hereby acknowledges this Exercise Notice and hereby directs [TRANSFER AGENT] to issue the above indicated number of shares of Common Stock in accordance with the Transfer Agent Instructions dated _________________ from the Company and acknowledged and agreed to by [TRANSFER AGENT].</w:t>
      </w:r>
    </w:p>
    <w:p>
      <w:pPr>
        <w:spacing w:after="0" w:line="180"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PRESTO AUTOMATION INC.</w:t>
      </w:r>
    </w:p>
    <w:p>
      <w:pPr>
        <w:spacing w:after="0" w:line="2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14605</wp:posOffset>
            </wp:positionV>
            <wp:extent cx="2417445"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1">
                      <a:extLst>
                        <a:ext uri="{28A0092B-C50C-407E-A947-70E740481C1C}"/>
                      </a:extLst>
                    </a:blip>
                    <a:srcRect/>
                    <a:stretch>
                      <a:fillRect/>
                    </a:stretch>
                  </pic:blipFill>
                  <pic:spPr bwMode="auto">
                    <a:xfrm>
                      <a:off x="0" y="0"/>
                      <a:ext cx="2417445" cy="1714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4" w:name="page265"/>
    <w:bookmarkEnd w:id="264"/>
    <w:p>
      <w:pPr>
        <w:jc w:val="center"/>
        <w:ind w:right="-19"/>
        <w:spacing w:after="0"/>
        <w:rPr>
          <w:sz w:val="20"/>
          <w:szCs w:val="20"/>
          <w:color w:val="auto"/>
        </w:rPr>
      </w:pPr>
      <w:r>
        <w:rPr>
          <w:rFonts w:ascii="Arial" w:cs="Arial" w:eastAsia="Arial" w:hAnsi="Arial"/>
          <w:sz w:val="18"/>
          <w:szCs w:val="18"/>
          <w:b w:val="1"/>
          <w:bCs w:val="1"/>
          <w:color w:val="auto"/>
        </w:rPr>
        <w:t>ASSIGNMENT FORM</w:t>
      </w:r>
    </w:p>
    <w:p>
      <w:pPr>
        <w:spacing w:after="0" w:line="229"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(To assign the foregoing warrant, execute</w:t>
      </w:r>
    </w:p>
    <w:p>
      <w:pPr>
        <w:spacing w:after="0" w:line="23"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this form and supply required information.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 not use this form to exercise the warrant.)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VALUE RECEIVED, all of or shares of the foregoing Warrant and all rights evidenced thereby are hereby assigned to</w:t>
      </w:r>
    </w:p>
    <w:p>
      <w:pPr>
        <w:spacing w:after="0" w:line="200" w:lineRule="exact"/>
        <w:rPr>
          <w:sz w:val="20"/>
          <w:szCs w:val="20"/>
          <w:color w:val="auto"/>
        </w:rPr>
      </w:pPr>
    </w:p>
    <w:p>
      <w:pPr>
        <w:spacing w:after="0" w:line="241" w:lineRule="exact"/>
        <w:rPr>
          <w:sz w:val="20"/>
          <w:szCs w:val="20"/>
          <w:color w:val="auto"/>
        </w:rPr>
      </w:pPr>
    </w:p>
    <w:p>
      <w:pPr>
        <w:ind w:left="9080"/>
        <w:spacing w:after="0"/>
        <w:rPr>
          <w:sz w:val="20"/>
          <w:szCs w:val="20"/>
          <w:color w:val="auto"/>
        </w:rPr>
      </w:pPr>
      <w:r>
        <w:rPr>
          <w:rFonts w:ascii="Arial" w:cs="Arial" w:eastAsia="Arial" w:hAnsi="Arial"/>
          <w:sz w:val="18"/>
          <w:szCs w:val="18"/>
          <w:color w:val="auto"/>
        </w:rPr>
        <w:t>whose address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5709285"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3">
                      <a:extLst>
                        <a:ext uri="{28A0092B-C50C-407E-A947-70E740481C1C}"/>
                      </a:extLst>
                    </a:blip>
                    <a:srcRect/>
                    <a:stretch>
                      <a:fillRect/>
                    </a:stretch>
                  </pic:blipFill>
                  <pic:spPr bwMode="auto">
                    <a:xfrm>
                      <a:off x="0" y="0"/>
                      <a:ext cx="570928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5709285"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4">
                      <a:extLst>
                        <a:ext uri="{28A0092B-C50C-407E-A947-70E740481C1C}"/>
                      </a:extLst>
                    </a:blip>
                    <a:srcRect/>
                    <a:stretch>
                      <a:fillRect/>
                    </a:stretch>
                  </pic:blipFill>
                  <pic:spPr bwMode="auto">
                    <a:xfrm>
                      <a:off x="0" y="0"/>
                      <a:ext cx="570928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5709285"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5">
                      <a:extLst>
                        <a:ext uri="{28A0092B-C50C-407E-A947-70E740481C1C}"/>
                      </a:extLst>
                    </a:blip>
                    <a:srcRect/>
                    <a:stretch>
                      <a:fillRect/>
                    </a:stretch>
                  </pic:blipFill>
                  <pic:spPr bwMode="auto">
                    <a:xfrm>
                      <a:off x="0" y="0"/>
                      <a:ext cx="570928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7880"/>
        <w:spacing w:after="0"/>
        <w:rPr>
          <w:sz w:val="20"/>
          <w:szCs w:val="20"/>
          <w:color w:val="auto"/>
        </w:rPr>
      </w:pPr>
      <w:r>
        <w:rPr>
          <w:rFonts w:ascii="Arial" w:cs="Arial" w:eastAsia="Arial" w:hAnsi="Arial"/>
          <w:sz w:val="16"/>
          <w:szCs w:val="16"/>
          <w:color w:val="auto"/>
        </w:rPr>
        <w:t>Dated: __________________, ____________</w:t>
      </w:r>
    </w:p>
    <w:p>
      <w:pPr>
        <w:spacing w:after="0" w:line="46"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Holder’s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5715</wp:posOffset>
            </wp:positionV>
            <wp:extent cx="2143125"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6">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ind w:left="2100"/>
        <w:spacing w:after="0"/>
        <w:rPr>
          <w:sz w:val="20"/>
          <w:szCs w:val="20"/>
          <w:color w:val="auto"/>
        </w:rPr>
      </w:pPr>
      <w:r>
        <w:rPr>
          <w:rFonts w:ascii="Arial" w:cs="Arial" w:eastAsia="Arial" w:hAnsi="Arial"/>
          <w:sz w:val="18"/>
          <w:szCs w:val="18"/>
          <w:color w:val="auto"/>
        </w:rPr>
        <w:t>Holder’s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177165</wp:posOffset>
            </wp:positionV>
            <wp:extent cx="2143125"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7">
                      <a:extLst>
                        <a:ext uri="{28A0092B-C50C-407E-A947-70E740481C1C}"/>
                      </a:extLst>
                    </a:blip>
                    <a:srcRect/>
                    <a:stretch>
                      <a:fillRect/>
                    </a:stretch>
                  </pic:blipFill>
                  <pic:spPr bwMode="auto">
                    <a:xfrm>
                      <a:off x="0" y="0"/>
                      <a:ext cx="2143125" cy="1714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22860</wp:posOffset>
            </wp:positionV>
            <wp:extent cx="2143125"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8">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NOTE: The signature to this Assignment Form must correspond with the name as it appears on the face of the Warrant, without alteration or enlargement or any change whatsoever.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5" w:name="page266"/>
    <w:bookmarkEnd w:id="265"/>
    <w:p>
      <w:pPr>
        <w:jc w:val="right"/>
        <w:spacing w:after="0"/>
        <w:rPr>
          <w:sz w:val="20"/>
          <w:szCs w:val="20"/>
          <w:color w:val="auto"/>
        </w:rPr>
      </w:pPr>
      <w:r>
        <w:rPr>
          <w:rFonts w:ascii="Arial" w:cs="Arial" w:eastAsia="Arial" w:hAnsi="Arial"/>
          <w:sz w:val="22"/>
          <w:szCs w:val="22"/>
          <w:b w:val="1"/>
          <w:bCs w:val="1"/>
          <w:color w:val="auto"/>
        </w:rPr>
        <w:t>Exhibit 10.7</w:t>
      </w:r>
    </w:p>
    <w:p>
      <w:pPr>
        <w:spacing w:after="0" w:line="247" w:lineRule="exact"/>
        <w:rPr>
          <w:sz w:val="20"/>
          <w:szCs w:val="20"/>
          <w:color w:val="auto"/>
        </w:rPr>
      </w:pPr>
    </w:p>
    <w:p>
      <w:pPr>
        <w:ind w:left="10220"/>
        <w:spacing w:after="0"/>
        <w:rPr>
          <w:sz w:val="20"/>
          <w:szCs w:val="20"/>
          <w:color w:val="auto"/>
        </w:rPr>
      </w:pPr>
      <w:r>
        <w:rPr>
          <w:rFonts w:ascii="Arial" w:cs="Arial" w:eastAsia="Arial" w:hAnsi="Arial"/>
          <w:sz w:val="16"/>
          <w:szCs w:val="16"/>
          <w:b w:val="1"/>
          <w:bCs w:val="1"/>
          <w:i w:val="1"/>
          <w:iCs w:val="1"/>
          <w:color w:val="auto"/>
        </w:rPr>
        <w:t>Final Version</w:t>
      </w:r>
    </w:p>
    <w:p>
      <w:pPr>
        <w:spacing w:after="0" w:line="24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NEITHER THIS WARRANT, NOR THE SECURITIES ISSUABLE UPON EXERCISE OF THIS WARRANT (COLLECTIVELY, THE “SECURITIES”), HAVE BEEN REGISTERED UNDER THE SECURITIES ACT OF 1933, AS AMENDED (THE “SECURITIES ACT”), OR UNDER ANY STATE SECURITIES OR BLUE SKY LAWS. THE SECURITIES ARE SUBJECT TO RESTRICTIONS ON TRANSFERABILITY AND RESALE AND MAY NOT BE OFFERED, FOR SALE, SOLD, PLEDGED, HYPOTHECATED OR OTHERWISE TRANSFERRED OR ASSIGNED EXCEPT AS PERMITTED UNDER THE SECURITIES ACT AND APPLICABLE STATE SECURITIES OR BLUE SKY LAWS, PURSUANT TO REGISTRATION OR QUALIFICATION OR EXEMPTION THEREFROM. INVESTORS SHOULD BE AWARE THAT THEY MAY BE REQUIRED TO BEAR THE FINANCIAL RISKS OF THIS INVESTMENT FOR AN INDEFINITE PERIOD OF TIME. THE COMPANY MAY REQUIRE AN OPINION OF COUNSEL IN FORM AND SUBSTANCE REASONABLY SATISFACTORY TO THE COMPANY TO THE EFFECT THAT ANY PROPOSED TRANSFER IS IN COMPLIANCE WITH THE SECURITIES ACT AND ANY APPLICABLE STATE SECURITIES OR BLUE SKY LAWS.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PRESTO AUTOMATION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2"/>
          <w:szCs w:val="12"/>
          <w:b w:val="1"/>
          <w:bCs w:val="1"/>
          <w:color w:val="auto"/>
        </w:rPr>
        <w:t>arrant</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o</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urchase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ommon</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Warrant No.: 2023-12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of Common Stock: 381,900</w:t>
      </w:r>
    </w:p>
    <w:p>
      <w:pPr>
        <w:spacing w:after="0" w:line="9"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color w:val="auto"/>
        </w:rPr>
        <w:t>Date of Issuance:</w:t>
      </w:r>
      <w:r>
        <w:rPr>
          <w:sz w:val="20"/>
          <w:szCs w:val="20"/>
          <w:color w:val="auto"/>
        </w:rPr>
        <w:tab/>
      </w:r>
      <w:r>
        <w:rPr>
          <w:rFonts w:ascii="Arial" w:cs="Arial" w:eastAsia="Arial" w:hAnsi="Arial"/>
          <w:sz w:val="16"/>
          <w:szCs w:val="16"/>
          <w:color w:val="auto"/>
        </w:rPr>
        <w:t>, 2023 (“</w:t>
      </w:r>
      <w:r>
        <w:rPr>
          <w:rFonts w:ascii="Arial" w:cs="Arial" w:eastAsia="Arial" w:hAnsi="Arial"/>
          <w:sz w:val="16"/>
          <w:szCs w:val="16"/>
          <w:b w:val="1"/>
          <w:bCs w:val="1"/>
          <w:color w:val="auto"/>
        </w:rPr>
        <w:t>Issuance Date</w:t>
      </w:r>
      <w:r>
        <w:rPr>
          <w:rFonts w:ascii="Arial" w:cs="Arial" w:eastAsia="Arial" w:hAnsi="Arial"/>
          <w:sz w:val="16"/>
          <w:szCs w:val="16"/>
          <w:color w:val="auto"/>
        </w:rPr>
        <w:t>”)</w:t>
      </w:r>
    </w:p>
    <w:p>
      <w:pPr>
        <w:spacing w:after="0" w:line="207"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Presto Automation Inc.,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hereby certifies that, for good and valuable consideration, the receipt and sufficiency of which are hereby acknowledged, CEOF Holdings, LP, the registered holder hereof or its permitted assigns (the “</w:t>
      </w:r>
      <w:r>
        <w:rPr>
          <w:rFonts w:ascii="Arial" w:cs="Arial" w:eastAsia="Arial" w:hAnsi="Arial"/>
          <w:sz w:val="17"/>
          <w:szCs w:val="17"/>
          <w:b w:val="1"/>
          <w:bCs w:val="1"/>
          <w:color w:val="auto"/>
        </w:rPr>
        <w:t>Holder</w:t>
      </w:r>
      <w:r>
        <w:rPr>
          <w:rFonts w:ascii="Arial" w:cs="Arial" w:eastAsia="Arial" w:hAnsi="Arial"/>
          <w:sz w:val="17"/>
          <w:szCs w:val="17"/>
          <w:color w:val="auto"/>
        </w:rPr>
        <w:t>”), is entitled, subject to the terms set forth below, to purchase from the Company, at the Exercise Price (as defined below) then in effect, at any time or times on or after the Issuance Date, but not after 11:59 p.m., New York time, on the Expiration Date, (as defined below), 381,900 duly authorized, validly issued, fully paid, nonassessable shares of Common Stock, subject to adjustment as provided herein (the “</w:t>
      </w:r>
      <w:r>
        <w:rPr>
          <w:rFonts w:ascii="Arial" w:cs="Arial" w:eastAsia="Arial" w:hAnsi="Arial"/>
          <w:sz w:val="17"/>
          <w:szCs w:val="17"/>
          <w:b w:val="1"/>
          <w:bCs w:val="1"/>
          <w:color w:val="auto"/>
        </w:rPr>
        <w:t>Warrant Shares</w:t>
      </w:r>
      <w:r>
        <w:rPr>
          <w:rFonts w:ascii="Arial" w:cs="Arial" w:eastAsia="Arial" w:hAnsi="Arial"/>
          <w:sz w:val="17"/>
          <w:szCs w:val="17"/>
          <w:color w:val="auto"/>
        </w:rPr>
        <w:t>”). Except as otherwise defined herein, capitalized terms in this Warrant to Purchase Common Stock (including any Warrants to Purchase Common Stock issued in exchange, transfer or replacement hereof, this “</w:t>
      </w:r>
      <w:r>
        <w:rPr>
          <w:rFonts w:ascii="Arial" w:cs="Arial" w:eastAsia="Arial" w:hAnsi="Arial"/>
          <w:sz w:val="17"/>
          <w:szCs w:val="17"/>
          <w:b w:val="1"/>
          <w:bCs w:val="1"/>
          <w:color w:val="auto"/>
        </w:rPr>
        <w:t>Warrant</w:t>
      </w:r>
      <w:r>
        <w:rPr>
          <w:rFonts w:ascii="Arial" w:cs="Arial" w:eastAsia="Arial" w:hAnsi="Arial"/>
          <w:sz w:val="17"/>
          <w:szCs w:val="17"/>
          <w:color w:val="auto"/>
        </w:rPr>
        <w:t>”) shall have the meanings set forth in Section 17‎. This Warrant is being issued pursuant to Section 3 of that certain Third Amendment to Credit Agreement, dated October 10, 2023, among E La Carte, LLC, the Company and Metropolitan Partners Group Administration, LLC, as agent (the “</w:t>
      </w:r>
      <w:r>
        <w:rPr>
          <w:rFonts w:ascii="Arial" w:cs="Arial" w:eastAsia="Arial" w:hAnsi="Arial"/>
          <w:sz w:val="17"/>
          <w:szCs w:val="17"/>
          <w:b w:val="1"/>
          <w:bCs w:val="1"/>
          <w:color w:val="auto"/>
        </w:rPr>
        <w:t>Third Amendment</w:t>
      </w:r>
      <w:r>
        <w:rPr>
          <w:rFonts w:ascii="Arial" w:cs="Arial" w:eastAsia="Arial" w:hAnsi="Arial"/>
          <w:sz w:val="17"/>
          <w:szCs w:val="17"/>
          <w:color w:val="auto"/>
        </w:rPr>
        <w:t>”), and to Section 7 of that certain Third Amended and Restated Fee Letter, dated October 10, 2023, among E La Carte, LLC, the Company and Metropolitan Partners Group Administration (the “</w:t>
      </w:r>
      <w:r>
        <w:rPr>
          <w:rFonts w:ascii="Arial" w:cs="Arial" w:eastAsia="Arial" w:hAnsi="Arial"/>
          <w:sz w:val="17"/>
          <w:szCs w:val="17"/>
          <w:b w:val="1"/>
          <w:bCs w:val="1"/>
          <w:color w:val="auto"/>
        </w:rPr>
        <w:t>Fee Letter</w:t>
      </w:r>
      <w:r>
        <w:rPr>
          <w:rFonts w:ascii="Arial" w:cs="Arial" w:eastAsia="Arial" w:hAnsi="Arial"/>
          <w:sz w:val="17"/>
          <w:szCs w:val="17"/>
          <w:color w:val="auto"/>
        </w:rPr>
        <w:t>”). Capitalized terms used herein and not otherwise defined shall have the definitions ascribed to such terms in the Credit Agreement (as defined in the Fee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66" w:name="page267"/>
    <w:bookmarkEnd w:id="266"/>
    <w:p>
      <w:pPr>
        <w:ind w:left="1480" w:hanging="176"/>
        <w:spacing w:after="0"/>
        <w:tabs>
          <w:tab w:leader="none" w:pos="148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EXERCISE OF WARRANT.</w:t>
      </w:r>
    </w:p>
    <w:p>
      <w:pPr>
        <w:spacing w:after="0" w:line="225" w:lineRule="exact"/>
        <w:rPr>
          <w:rFonts w:ascii="Arial" w:cs="Arial" w:eastAsia="Arial" w:hAnsi="Arial"/>
          <w:sz w:val="18"/>
          <w:szCs w:val="18"/>
          <w:color w:val="auto"/>
        </w:rPr>
      </w:pPr>
    </w:p>
    <w:p>
      <w:pPr>
        <w:jc w:val="both"/>
        <w:ind w:firstLine="1952"/>
        <w:spacing w:after="0" w:line="282" w:lineRule="auto"/>
        <w:tabs>
          <w:tab w:leader="none" w:pos="2188" w:val="left"/>
        </w:tabs>
        <w:numPr>
          <w:ilvl w:val="1"/>
          <w:numId w:val="265"/>
        </w:numPr>
        <w:rPr>
          <w:rFonts w:ascii="Arial" w:cs="Arial" w:eastAsia="Arial" w:hAnsi="Arial"/>
          <w:sz w:val="16"/>
          <w:szCs w:val="16"/>
          <w:color w:val="auto"/>
        </w:rPr>
      </w:pPr>
      <w:r>
        <w:rPr>
          <w:rFonts w:ascii="Arial" w:cs="Arial" w:eastAsia="Arial" w:hAnsi="Arial"/>
          <w:sz w:val="16"/>
          <w:szCs w:val="16"/>
          <w:u w:val="single" w:color="auto"/>
          <w:color w:val="auto"/>
        </w:rPr>
        <w:t>Mechanics of Exercise</w:t>
      </w:r>
      <w:r>
        <w:rPr>
          <w:rFonts w:ascii="Arial" w:cs="Arial" w:eastAsia="Arial" w:hAnsi="Arial"/>
          <w:sz w:val="16"/>
          <w:szCs w:val="16"/>
          <w:color w:val="auto"/>
        </w:rPr>
        <w:t xml:space="preserve">. Subject to the terms and conditions hereof (including, without limitation, the limitations set forth in Section </w:t>
      </w:r>
      <w:r>
        <w:rPr>
          <w:rFonts w:ascii="Arial" w:cs="Arial" w:eastAsia="Arial" w:hAnsi="Arial"/>
          <w:sz w:val="19"/>
          <w:szCs w:val="19"/>
          <w:b w:val="1"/>
          <w:bCs w:val="1"/>
          <w:color w:val="auto"/>
        </w:rPr>
        <w:t>‎</w:t>
      </w:r>
      <w:r>
        <w:rPr>
          <w:rFonts w:ascii="Arial" w:cs="Arial" w:eastAsia="Arial" w:hAnsi="Arial"/>
          <w:sz w:val="16"/>
          <w:szCs w:val="16"/>
          <w:color w:val="auto"/>
        </w:rPr>
        <w:t xml:space="preserve">1(f)), this Warrant may be exercised by the Holder at any time or times on or after the Issuance Date, in whole or in part, by (i) delivery (whether via facsimile or otherwise) of a written notice, in the form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(the “</w:t>
      </w:r>
      <w:r>
        <w:rPr>
          <w:rFonts w:ascii="Arial" w:cs="Arial" w:eastAsia="Arial" w:hAnsi="Arial"/>
          <w:sz w:val="16"/>
          <w:szCs w:val="16"/>
          <w:b w:val="1"/>
          <w:bCs w:val="1"/>
          <w:color w:val="auto"/>
        </w:rPr>
        <w:t>Exercise Notice</w:t>
      </w:r>
      <w:r>
        <w:rPr>
          <w:rFonts w:ascii="Arial" w:cs="Arial" w:eastAsia="Arial" w:hAnsi="Arial"/>
          <w:sz w:val="16"/>
          <w:szCs w:val="16"/>
          <w:color w:val="auto"/>
        </w:rPr>
        <w:t>”), of the Holder’s election to exercise this Warrant and (ii) (A) payment to the Company of an amount equal to the applicable Exercise Price multiplied by the number of Warrant Shares as to which this Warrant is being exercised (the “</w:t>
      </w:r>
      <w:r>
        <w:rPr>
          <w:rFonts w:ascii="Arial" w:cs="Arial" w:eastAsia="Arial" w:hAnsi="Arial"/>
          <w:sz w:val="16"/>
          <w:szCs w:val="16"/>
          <w:b w:val="1"/>
          <w:bCs w:val="1"/>
          <w:color w:val="auto"/>
        </w:rPr>
        <w:t>Aggregate Exercise Price</w:t>
      </w:r>
      <w:r>
        <w:rPr>
          <w:rFonts w:ascii="Arial" w:cs="Arial" w:eastAsia="Arial" w:hAnsi="Arial"/>
          <w:sz w:val="16"/>
          <w:szCs w:val="16"/>
          <w:color w:val="auto"/>
        </w:rPr>
        <w:t xml:space="preserve">”) in cash by wire transfer of immediately available funds or (B) if the provisions of Section 1(d) are applicable, by notifying the Company that this Warrant is being exercised pursuant to a Cashless Exercise.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after the date the Warrant Shares which are the subject of the Exercise Notice being delivered to the Holder.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w:t>
      </w:r>
      <w:r>
        <w:rPr>
          <w:rFonts w:ascii="Arial" w:cs="Arial" w:eastAsia="Arial" w:hAnsi="Arial"/>
          <w:sz w:val="16"/>
          <w:szCs w:val="16"/>
          <w:b w:val="1"/>
          <w:bCs w:val="1"/>
          <w:color w:val="auto"/>
        </w:rPr>
        <w:t>The Holder and any assignee, by acceptance of this Warrant, acknowledge and</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agree that, by reason of the provisions of this paragraph, following the purchase of a portion of the Warrant Shares hereunder, the number of Warrant Shares available for purchase hereunder at any given time may be less than the amount stated on the face hereof. </w:t>
      </w:r>
      <w:r>
        <w:rPr>
          <w:rFonts w:ascii="Arial" w:cs="Arial" w:eastAsia="Arial" w:hAnsi="Arial"/>
          <w:sz w:val="16"/>
          <w:szCs w:val="16"/>
          <w:color w:val="auto"/>
        </w:rPr>
        <w:t>On or before the third</w:t>
      </w:r>
      <w:r>
        <w:rPr>
          <w:rFonts w:ascii="Arial" w:cs="Arial" w:eastAsia="Arial" w:hAnsi="Arial"/>
          <w:sz w:val="16"/>
          <w:szCs w:val="16"/>
          <w:b w:val="1"/>
          <w:bCs w:val="1"/>
          <w:color w:val="auto"/>
        </w:rPr>
        <w:t xml:space="preserve"> </w:t>
      </w:r>
      <w:r>
        <w:rPr>
          <w:rFonts w:ascii="Arial" w:cs="Arial" w:eastAsia="Arial" w:hAnsi="Arial"/>
          <w:sz w:val="16"/>
          <w:szCs w:val="16"/>
          <w:color w:val="auto"/>
        </w:rPr>
        <w:t>(3rd) Trading Day following the date on which the Company has received the Exercise Notice (the “</w:t>
      </w:r>
      <w:r>
        <w:rPr>
          <w:rFonts w:ascii="Arial" w:cs="Arial" w:eastAsia="Arial" w:hAnsi="Arial"/>
          <w:sz w:val="16"/>
          <w:szCs w:val="16"/>
          <w:b w:val="1"/>
          <w:bCs w:val="1"/>
          <w:color w:val="auto"/>
        </w:rPr>
        <w:t>Share Delivery Date</w:t>
      </w:r>
      <w:r>
        <w:rPr>
          <w:rFonts w:ascii="Arial" w:cs="Arial" w:eastAsia="Arial" w:hAnsi="Arial"/>
          <w:sz w:val="16"/>
          <w:szCs w:val="16"/>
          <w:color w:val="auto"/>
        </w:rPr>
        <w:t>”), so long as the Holder delivers the Aggregate Exercise Price (or notice of a Cashless Exercise) on or prior to the second (2nd) Trading Day following the date on which the Company has received the Exercise Notice (provided that if the Aggregate Exercise Price (or notice of a Cashless Exercise) has not been delivered by such date, the Share Delivery Date shall be extended one (1) Trading Day after the Aggregate Exercise Price (or notice of a Cashless Exercise) is delivered), the Company shall (X) provided that the Company’s transfer agent (“</w:t>
      </w:r>
      <w:r>
        <w:rPr>
          <w:rFonts w:ascii="Arial" w:cs="Arial" w:eastAsia="Arial" w:hAnsi="Arial"/>
          <w:sz w:val="16"/>
          <w:szCs w:val="16"/>
          <w:b w:val="1"/>
          <w:bCs w:val="1"/>
          <w:color w:val="auto"/>
        </w:rPr>
        <w:t>Transfer Agent</w:t>
      </w:r>
      <w:r>
        <w:rPr>
          <w:rFonts w:ascii="Arial" w:cs="Arial" w:eastAsia="Arial" w:hAnsi="Arial"/>
          <w:sz w:val="16"/>
          <w:szCs w:val="16"/>
          <w:color w:val="auto"/>
        </w:rPr>
        <w:t>”) is participating in The Depository Trust Company (“</w:t>
      </w:r>
      <w:r>
        <w:rPr>
          <w:rFonts w:ascii="Arial" w:cs="Arial" w:eastAsia="Arial" w:hAnsi="Arial"/>
          <w:sz w:val="16"/>
          <w:szCs w:val="16"/>
          <w:b w:val="1"/>
          <w:bCs w:val="1"/>
          <w:color w:val="auto"/>
        </w:rPr>
        <w:t>DTC</w:t>
      </w:r>
      <w:r>
        <w:rPr>
          <w:rFonts w:ascii="Arial" w:cs="Arial" w:eastAsia="Arial" w:hAnsi="Arial"/>
          <w:sz w:val="16"/>
          <w:szCs w:val="16"/>
          <w:color w:val="auto"/>
        </w:rPr>
        <w:t>”) Fast Automated Securities Transfer Program (“</w:t>
      </w:r>
      <w:r>
        <w:rPr>
          <w:rFonts w:ascii="Arial" w:cs="Arial" w:eastAsia="Arial" w:hAnsi="Arial"/>
          <w:sz w:val="16"/>
          <w:szCs w:val="16"/>
          <w:b w:val="1"/>
          <w:bCs w:val="1"/>
          <w:color w:val="auto"/>
        </w:rPr>
        <w:t>FAST</w:t>
      </w:r>
      <w:r>
        <w:rPr>
          <w:rFonts w:ascii="Arial" w:cs="Arial" w:eastAsia="Arial" w:hAnsi="Arial"/>
          <w:sz w:val="16"/>
          <w:szCs w:val="16"/>
          <w:color w:val="auto"/>
        </w:rPr>
        <w:t xml:space="preserve">”) and the Warrant Shares are eligible to be issued without a restrictive legend, credit such aggregate number of Warrant Shares to which the Holder is entitled pursuant to such exercise to the Holder’s or its designee’s balance account with DTC through its Deposit/Withdrawal At Custodian system, or (Y) if the Transfer Agent is not participating in FAST or the Warrant Shares are not eligible to be issued without a restrictive legend, issue and dispatch by overnight courier to the address as specified in the Exercise Notice, a certificate, registered in the Company’s share register in the name of the Holder or its designee, for the number of Warrant Shares to which the Holder is entitled pursuant to such exercise. The Company shall be responsible for all fees and expenses of the Transfer Agent and all fees and expenses with respect to the issuance of Warrant Shares via DTC, if any. Upon delivery of the Exercise Notice and the Aggregate Exercise Price (or notice of a Cashless Exercise), the Holder shall be deemed for all corporate purposes to have become the holder of record of the Warrant Shares with respect to which this Warrant has been exercised, irrespective of the date such Warrant Shares are credited to the Holder’s DTC account or the date of delivery of the certificates evidencing such Warrant Shares, as the case may be. If this Warrant is submitted in connection with any exercise pursuant to this Section </w:t>
      </w:r>
      <w:r>
        <w:rPr>
          <w:rFonts w:ascii="Arial" w:cs="Arial" w:eastAsia="Arial" w:hAnsi="Arial"/>
          <w:sz w:val="19"/>
          <w:szCs w:val="19"/>
          <w:b w:val="1"/>
          <w:bCs w:val="1"/>
          <w:color w:val="auto"/>
        </w:rPr>
        <w:t>‎</w:t>
      </w:r>
      <w:r>
        <w:rPr>
          <w:rFonts w:ascii="Arial" w:cs="Arial" w:eastAsia="Arial" w:hAnsi="Arial"/>
          <w:sz w:val="16"/>
          <w:szCs w:val="16"/>
          <w:color w:val="auto"/>
        </w:rPr>
        <w:t xml:space="preserve">1(a) and the number of Warrant Shares represented by this Warrant submitted for exercise is greater than the number of Warrant Shares being acquired upon an exercise, then the Company shall as soon as reasonably practicable and in no event later than three (3) Trading Days after any exercise and at its own expense, issue a new Warrant (in accordance with Section </w:t>
      </w:r>
      <w:r>
        <w:rPr>
          <w:rFonts w:ascii="Arial" w:cs="Arial" w:eastAsia="Arial" w:hAnsi="Arial"/>
          <w:sz w:val="19"/>
          <w:szCs w:val="19"/>
          <w:b w:val="1"/>
          <w:bCs w:val="1"/>
          <w:color w:val="auto"/>
        </w:rPr>
        <w:t>‎</w:t>
      </w:r>
      <w:r>
        <w:rPr>
          <w:rFonts w:ascii="Arial" w:cs="Arial" w:eastAsia="Arial" w:hAnsi="Arial"/>
          <w:sz w:val="16"/>
          <w:szCs w:val="16"/>
          <w:color w:val="auto"/>
        </w:rPr>
        <w:t>1(d)) representing the right to purchase the number of Warrant Shares issuable immediately prior to such exercise under this Warrant, less the number of Warrant Shares with respect to which this Warrant is exercised upon surrender of the Warrant so exercised. No fractional Warrant Shares are to be issued upon the exercise of this Warrant, but rather the number of Warrant Shares to be issued shall be rounded down to the nearest whole number. The Company shall pay any and all transfer, stamp, issuance and similar taxes (but not any United States federal, state or local income taxes) that may be payable with respect to the issuance and delivery of Warrant Shares upon exercise of this Warrant. The Company’s obligations to issue and deliver Warrant Shares in accordance with the terms and subject to the conditions hereof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7" w:name="page268"/>
    <w:bookmarkEnd w:id="267"/>
    <w:p>
      <w:pPr>
        <w:ind w:left="2200" w:hanging="248"/>
        <w:spacing w:after="0"/>
        <w:tabs>
          <w:tab w:leader="none" w:pos="2200" w:val="left"/>
        </w:tabs>
        <w:numPr>
          <w:ilvl w:val="0"/>
          <w:numId w:val="266"/>
        </w:numPr>
        <w:rPr>
          <w:rFonts w:ascii="Arial" w:cs="Arial" w:eastAsia="Arial" w:hAnsi="Arial"/>
          <w:sz w:val="17"/>
          <w:szCs w:val="17"/>
          <w:color w:val="auto"/>
        </w:rPr>
      </w:pPr>
      <w:r>
        <w:rPr>
          <w:rFonts w:ascii="Arial" w:cs="Arial" w:eastAsia="Arial" w:hAnsi="Arial"/>
          <w:sz w:val="17"/>
          <w:szCs w:val="17"/>
          <w:u w:val="single" w:color="auto"/>
          <w:color w:val="auto"/>
        </w:rPr>
        <w:t>Exercise Price</w:t>
      </w:r>
      <w:r>
        <w:rPr>
          <w:rFonts w:ascii="Arial" w:cs="Arial" w:eastAsia="Arial" w:hAnsi="Arial"/>
          <w:sz w:val="17"/>
          <w:szCs w:val="17"/>
          <w:color w:val="auto"/>
        </w:rPr>
        <w:t>. For purposes of this Warrant, “</w:t>
      </w:r>
      <w:r>
        <w:rPr>
          <w:rFonts w:ascii="Arial" w:cs="Arial" w:eastAsia="Arial" w:hAnsi="Arial"/>
          <w:sz w:val="17"/>
          <w:szCs w:val="17"/>
          <w:b w:val="1"/>
          <w:bCs w:val="1"/>
          <w:color w:val="auto"/>
        </w:rPr>
        <w:t>Exercise Price</w:t>
      </w:r>
      <w:r>
        <w:rPr>
          <w:rFonts w:ascii="Arial" w:cs="Arial" w:eastAsia="Arial" w:hAnsi="Arial"/>
          <w:sz w:val="17"/>
          <w:szCs w:val="17"/>
          <w:color w:val="auto"/>
        </w:rPr>
        <w:t>” means $0.01, subject to adjustment as provided herein.</w:t>
      </w:r>
    </w:p>
    <w:p>
      <w:pPr>
        <w:spacing w:after="0" w:line="240" w:lineRule="exact"/>
        <w:rPr>
          <w:rFonts w:ascii="Arial" w:cs="Arial" w:eastAsia="Arial" w:hAnsi="Arial"/>
          <w:sz w:val="17"/>
          <w:szCs w:val="17"/>
          <w:color w:val="auto"/>
        </w:rPr>
      </w:pPr>
    </w:p>
    <w:p>
      <w:pPr>
        <w:jc w:val="both"/>
        <w:ind w:firstLine="1952"/>
        <w:spacing w:after="0" w:line="283" w:lineRule="auto"/>
        <w:tabs>
          <w:tab w:leader="none" w:pos="2188" w:val="left"/>
        </w:tabs>
        <w:numPr>
          <w:ilvl w:val="0"/>
          <w:numId w:val="266"/>
        </w:numPr>
        <w:rPr>
          <w:rFonts w:ascii="Arial" w:cs="Arial" w:eastAsia="Arial" w:hAnsi="Arial"/>
          <w:sz w:val="16"/>
          <w:szCs w:val="16"/>
          <w:color w:val="auto"/>
        </w:rPr>
      </w:pPr>
      <w:r>
        <w:rPr>
          <w:rFonts w:ascii="Arial" w:cs="Arial" w:eastAsia="Arial" w:hAnsi="Arial"/>
          <w:sz w:val="16"/>
          <w:szCs w:val="16"/>
          <w:u w:val="single" w:color="auto"/>
          <w:color w:val="auto"/>
        </w:rPr>
        <w:t>Company’s Failure to Timely Deliver Securities</w:t>
      </w:r>
      <w:r>
        <w:rPr>
          <w:rFonts w:ascii="Arial" w:cs="Arial" w:eastAsia="Arial" w:hAnsi="Arial"/>
          <w:sz w:val="16"/>
          <w:szCs w:val="16"/>
          <w:color w:val="auto"/>
        </w:rPr>
        <w:t>. If the Company shall fail, for any reason or for no reason, on or prior to the Share Delivery Date, if the Transfer Agent is not participating in FAST or such shares of Common Stock may not be issued without legends under the Securities Act, to issue and deliver to the Holder (or its designee) a certificate for the number of Warrant Shares to which the Holder is entitled and register such Warrant Shares on the Company’s share register or, if the Transfer Agent is participating in FAST and such shares of Common Stock may not be issued without legends under the Securities Act, to credit the balance account of the Holder or the Holder’s designee with DTC for such number of Warrant Shares to which the Holder is entitled upon the Holder’s exercise of this Warrant (as the case may be) (a “</w:t>
      </w:r>
      <w:r>
        <w:rPr>
          <w:rFonts w:ascii="Arial" w:cs="Arial" w:eastAsia="Arial" w:hAnsi="Arial"/>
          <w:sz w:val="16"/>
          <w:szCs w:val="16"/>
          <w:b w:val="1"/>
          <w:bCs w:val="1"/>
          <w:color w:val="auto"/>
        </w:rPr>
        <w:t>Delivery Failure</w:t>
      </w:r>
      <w:r>
        <w:rPr>
          <w:rFonts w:ascii="Arial" w:cs="Arial" w:eastAsia="Arial" w:hAnsi="Arial"/>
          <w:sz w:val="16"/>
          <w:szCs w:val="16"/>
          <w:color w:val="auto"/>
        </w:rPr>
        <w:t xml:space="preserve">”), then, in addition to all other remedies available to the Holder, (X) the Company shall pay in cash to the Holder on each day after the Share Delivery Date and during such Delivery Failure an amount in cash, as liquidated damages and not as a penalty, equal to 2.0% of the product of (A) the sum of the number of shares of Common Stock not issued to the Holder on or prior to the Share Delivery Date and to which the Holder is entitled, and (B) any trading price of the Common Stock selected by the Holder in writing as in effect at any time during the period beginning on the applicable exercise date and ending on the applicable Share Delivery Date, and (Y) the Holder, upon written notice to the Company, may void its Exercise Notice with respect to, and retain or have returned, as the case may be, any portion of this Warrant that has not been exercised pursuant to such Exercise Notice; provided that the voiding of an Exercise Notice shall not affect the Company’s obligations to make any payments which have accrued prior to the date of such notice pursuant to this Section </w:t>
      </w:r>
      <w:r>
        <w:rPr>
          <w:rFonts w:ascii="Arial" w:cs="Arial" w:eastAsia="Arial" w:hAnsi="Arial"/>
          <w:sz w:val="19"/>
          <w:szCs w:val="19"/>
          <w:b w:val="1"/>
          <w:bCs w:val="1"/>
          <w:color w:val="auto"/>
        </w:rPr>
        <w:t>‎</w:t>
      </w:r>
      <w:r>
        <w:rPr>
          <w:rFonts w:ascii="Arial" w:cs="Arial" w:eastAsia="Arial" w:hAnsi="Arial"/>
          <w:sz w:val="16"/>
          <w:szCs w:val="16"/>
          <w:color w:val="auto"/>
        </w:rPr>
        <w:t>1(c) or otherwise. In addition to the foregoing, if on or after such Share Delivery Date the Holder purchases (in an open market transaction or otherwise) shares of Common Stock to deliver in satisfaction of a sale by the Holder of all or any portion of the number of shares of Common Stock issuable upon such exercise that the Holder is entitled to receive from the Company (a “</w:t>
      </w:r>
      <w:r>
        <w:rPr>
          <w:rFonts w:ascii="Arial" w:cs="Arial" w:eastAsia="Arial" w:hAnsi="Arial"/>
          <w:sz w:val="16"/>
          <w:szCs w:val="16"/>
          <w:b w:val="1"/>
          <w:bCs w:val="1"/>
          <w:color w:val="auto"/>
        </w:rPr>
        <w:t>Buy-In</w:t>
      </w:r>
      <w:r>
        <w:rPr>
          <w:rFonts w:ascii="Arial" w:cs="Arial" w:eastAsia="Arial" w:hAnsi="Arial"/>
          <w:sz w:val="16"/>
          <w:szCs w:val="16"/>
          <w:color w:val="auto"/>
        </w:rPr>
        <w:t>”), then, in addition to all other remedies available to the Holder, the Company shall, within three (3) Business Days after the Holder’s request and in the Holder’s discretion, either (i) pay cash to the Holder in an amount equal to the Holder’s total purchase price (including brokerage commissions and other out-of-pocket expenses, if any) for the shares of Common Stock so purchased (including, without limitation, by any other Person in respect, or on behalf, of the Holder) (the “</w:t>
      </w:r>
      <w:r>
        <w:rPr>
          <w:rFonts w:ascii="Arial" w:cs="Arial" w:eastAsia="Arial" w:hAnsi="Arial"/>
          <w:sz w:val="16"/>
          <w:szCs w:val="16"/>
          <w:b w:val="1"/>
          <w:bCs w:val="1"/>
          <w:color w:val="auto"/>
        </w:rPr>
        <w:t>Buy-In Price</w:t>
      </w:r>
      <w:r>
        <w:rPr>
          <w:rFonts w:ascii="Arial" w:cs="Arial" w:eastAsia="Arial" w:hAnsi="Arial"/>
          <w:sz w:val="16"/>
          <w:szCs w:val="16"/>
          <w:color w:val="auto"/>
        </w:rPr>
        <w:t>”), at which point the Company’s obligation to so issue and deliver such certificate (and to issue such shares of Common Stock) or credit the balance account of such Holder or such Holder’s designee, as applicable, with DTC for the number of Warrant Shares to which the Holder is entitled upon the Holder’s exercise hereunder (as the case may be) (and to issue such Warrant Shares) shall terminate, or (ii) promptly honor its obligation to so issue and deliver to the Holder a certificate or certificates representing such Warrant Shares or credit the balance account of such Holder or such Holder’s designee, as applicable, with DTC for the number of Warrant Shares to which the Holder is entitled upon the Holder’s exercise hereunder (as the case may be) and pay cash to the Holder in an amount equal to the excess (if any) of the Buy-In Price over the product of (A) such number of Warrant Shares multiplied by (B) the Closing Sale Price of the Common Stock on the Share Delivery Date with respect to the related Exercise Notice (the “</w:t>
      </w:r>
      <w:r>
        <w:rPr>
          <w:rFonts w:ascii="Arial" w:cs="Arial" w:eastAsia="Arial" w:hAnsi="Arial"/>
          <w:sz w:val="16"/>
          <w:szCs w:val="16"/>
          <w:b w:val="1"/>
          <w:bCs w:val="1"/>
          <w:color w:val="auto"/>
        </w:rPr>
        <w:t>Buy-In Payment Amount</w:t>
      </w:r>
      <w:r>
        <w:rPr>
          <w:rFonts w:ascii="Arial" w:cs="Arial" w:eastAsia="Arial" w:hAnsi="Arial"/>
          <w:sz w:val="16"/>
          <w:szCs w:val="16"/>
          <w:color w:val="auto"/>
        </w:rPr>
        <w:t>”). The Holder shall provide the Company written notice indicating the amounts payable to the Holder in respect of the Buy-In and, upon request of the Company, evidence of the amount of such loss. Nothing shall limit the Holder’s right to pursue any other remedies available to it hereunder, at law or in equity, including, without limitation, a decree of specific performance and/or injunctive relief with respect to the Company’s failure to timely deliver certificates representing shares of Common Stock (or to electronically deliver such shares of Common Stock) upon the exercise of this Warrant as required pursuant to the terms hereof.</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8" w:name="page269"/>
    <w:bookmarkEnd w:id="268"/>
    <w:p>
      <w:pPr>
        <w:jc w:val="both"/>
        <w:ind w:firstLine="1952"/>
        <w:spacing w:after="0" w:line="255" w:lineRule="auto"/>
        <w:tabs>
          <w:tab w:leader="none" w:pos="2212" w:val="left"/>
        </w:tabs>
        <w:numPr>
          <w:ilvl w:val="0"/>
          <w:numId w:val="267"/>
        </w:numPr>
        <w:rPr>
          <w:rFonts w:ascii="Arial" w:cs="Arial" w:eastAsia="Arial" w:hAnsi="Arial"/>
          <w:sz w:val="18"/>
          <w:szCs w:val="18"/>
          <w:color w:val="auto"/>
        </w:rPr>
      </w:pPr>
      <w:r>
        <w:rPr>
          <w:rFonts w:ascii="Arial" w:cs="Arial" w:eastAsia="Arial" w:hAnsi="Arial"/>
          <w:sz w:val="18"/>
          <w:szCs w:val="18"/>
          <w:u w:val="single" w:color="auto"/>
          <w:color w:val="auto"/>
        </w:rPr>
        <w:t>Cashless Exercise</w:t>
      </w:r>
      <w:r>
        <w:rPr>
          <w:rFonts w:ascii="Arial" w:cs="Arial" w:eastAsia="Arial" w:hAnsi="Arial"/>
          <w:sz w:val="18"/>
          <w:szCs w:val="18"/>
          <w:color w:val="auto"/>
        </w:rPr>
        <w:t xml:space="preserve">. Notwithstanding anything contained herein to the contrary (other than Section </w:t>
      </w:r>
      <w:r>
        <w:rPr>
          <w:rFonts w:ascii="Arial" w:cs="Arial" w:eastAsia="Arial" w:hAnsi="Arial"/>
          <w:sz w:val="21"/>
          <w:szCs w:val="21"/>
          <w:b w:val="1"/>
          <w:bCs w:val="1"/>
          <w:color w:val="auto"/>
        </w:rPr>
        <w:t>‎</w:t>
      </w:r>
      <w:r>
        <w:rPr>
          <w:rFonts w:ascii="Arial" w:cs="Arial" w:eastAsia="Arial" w:hAnsi="Arial"/>
          <w:sz w:val="18"/>
          <w:szCs w:val="18"/>
          <w:color w:val="auto"/>
        </w:rPr>
        <w:t xml:space="preserve">1(f) below), the Holder may, in its sole discretion (and without limiting the Holder’s rights and remedies contained herein), exercise this Warrant in whole or in part and, subject to the provisions of Section </w:t>
      </w:r>
      <w:r>
        <w:rPr>
          <w:rFonts w:ascii="Arial" w:cs="Arial" w:eastAsia="Arial" w:hAnsi="Arial"/>
          <w:sz w:val="21"/>
          <w:szCs w:val="21"/>
          <w:b w:val="1"/>
          <w:bCs w:val="1"/>
          <w:color w:val="auto"/>
        </w:rPr>
        <w:t>‎</w:t>
      </w:r>
      <w:r>
        <w:rPr>
          <w:rFonts w:ascii="Arial" w:cs="Arial" w:eastAsia="Arial" w:hAnsi="Arial"/>
          <w:sz w:val="18"/>
          <w:szCs w:val="18"/>
          <w:color w:val="auto"/>
        </w:rPr>
        <w:t>1(a), in lieu of making the cash payment otherwise contemplated to be made to the Company upon such exercise in payment of the Aggregate Exercise Price, elect instead to receive upon such exercise the “Net Number” of Warrant Shares determined according to the following formula:</w:t>
      </w:r>
    </w:p>
    <w:p>
      <w:pPr>
        <w:spacing w:after="0" w:line="19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Net Number = </w:t>
      </w:r>
      <w:r>
        <w:rPr>
          <w:rFonts w:ascii="Arial" w:cs="Arial" w:eastAsia="Arial" w:hAnsi="Arial"/>
          <w:sz w:val="18"/>
          <w:szCs w:val="18"/>
          <w:u w:val="single" w:color="auto"/>
          <w:color w:val="auto"/>
        </w:rPr>
        <w:t>(A x B) - (A x C)</w:t>
      </w:r>
    </w:p>
    <w:p>
      <w:pPr>
        <w:spacing w:after="0" w:line="23"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B</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For purposes of the foregoing formula: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 the total number of shares with respect to which this Warrant is then being exercised.</w:t>
      </w:r>
    </w:p>
    <w:p>
      <w:pPr>
        <w:spacing w:after="0" w:line="225" w:lineRule="exact"/>
        <w:rPr>
          <w:sz w:val="20"/>
          <w:szCs w:val="20"/>
          <w:color w:val="auto"/>
        </w:rPr>
      </w:pPr>
    </w:p>
    <w:p>
      <w:pPr>
        <w:ind w:left="1300" w:right="20"/>
        <w:spacing w:after="0" w:line="342" w:lineRule="auto"/>
        <w:rPr>
          <w:sz w:val="20"/>
          <w:szCs w:val="20"/>
          <w:color w:val="auto"/>
        </w:rPr>
      </w:pPr>
      <w:r>
        <w:rPr>
          <w:rFonts w:ascii="Arial" w:cs="Arial" w:eastAsia="Arial" w:hAnsi="Arial"/>
          <w:sz w:val="16"/>
          <w:szCs w:val="16"/>
          <w:color w:val="auto"/>
        </w:rPr>
        <w:t>B = the quotient of (x) the sum of the VWAP of the Common Stock of each of the five (5) Trading Days ending at the close of business on the Principal Market immediately prior to the time of exercise as set forth in the applicable Exercise Notice, divided by (y) five (5).</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 = the Exercise Price then in effect for the applicable Warrant Shares at the time of such exercise.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purposes of Rule 144(d) promulgated under the Securities Act, as in effect on the date hereof, it is intended that the Warrant Shares issued in a Cashless Exercise shall be deemed to have been acquired by the Holder, and the holding period for the Warrant Shares shall be deemed to have commenced, on the date this Warrant was originally issued pursuant to the Credit Agreement.</w:t>
      </w:r>
    </w:p>
    <w:p>
      <w:pPr>
        <w:spacing w:after="0" w:line="184" w:lineRule="exact"/>
        <w:rPr>
          <w:sz w:val="20"/>
          <w:szCs w:val="20"/>
          <w:color w:val="auto"/>
        </w:rPr>
      </w:pPr>
    </w:p>
    <w:p>
      <w:pPr>
        <w:jc w:val="both"/>
        <w:ind w:firstLine="1952"/>
        <w:spacing w:after="0" w:line="263" w:lineRule="auto"/>
        <w:tabs>
          <w:tab w:leader="none" w:pos="2188" w:val="left"/>
        </w:tabs>
        <w:numPr>
          <w:ilvl w:val="0"/>
          <w:numId w:val="268"/>
        </w:numPr>
        <w:rPr>
          <w:rFonts w:ascii="Arial" w:cs="Arial" w:eastAsia="Arial" w:hAnsi="Arial"/>
          <w:sz w:val="18"/>
          <w:szCs w:val="18"/>
          <w:color w:val="auto"/>
        </w:rPr>
      </w:pPr>
      <w:r>
        <w:rPr>
          <w:rFonts w:ascii="Arial" w:cs="Arial" w:eastAsia="Arial" w:hAnsi="Arial"/>
          <w:sz w:val="18"/>
          <w:szCs w:val="18"/>
          <w:u w:val="single" w:color="auto"/>
          <w:color w:val="auto"/>
        </w:rPr>
        <w:t>Disputes</w:t>
      </w:r>
      <w:r>
        <w:rPr>
          <w:rFonts w:ascii="Arial" w:cs="Arial" w:eastAsia="Arial" w:hAnsi="Arial"/>
          <w:sz w:val="18"/>
          <w:szCs w:val="18"/>
          <w:color w:val="auto"/>
        </w:rPr>
        <w:t xml:space="preserve">. In the case of a dispute as to the determination of the Exercise Price or the arithmetic calculation of the number of Warrant Shares to be issued pursuant to the terms hereof, the Company shall promptly issue to the Holder the number of Warrant Shares that are not disputed and resolve such dispute in accordance with Section </w:t>
      </w:r>
      <w:r>
        <w:rPr>
          <w:rFonts w:ascii="Arial" w:cs="Arial" w:eastAsia="Arial" w:hAnsi="Arial"/>
          <w:sz w:val="21"/>
          <w:szCs w:val="21"/>
          <w:b w:val="1"/>
          <w:bCs w:val="1"/>
          <w:color w:val="auto"/>
        </w:rPr>
        <w:t>‎</w:t>
      </w:r>
      <w:r>
        <w:rPr>
          <w:rFonts w:ascii="Arial" w:cs="Arial" w:eastAsia="Arial" w:hAnsi="Arial"/>
          <w:sz w:val="18"/>
          <w:szCs w:val="18"/>
          <w:color w:val="auto"/>
        </w:rPr>
        <w:t>12.</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69" w:name="page270"/>
    <w:bookmarkEnd w:id="269"/>
    <w:p>
      <w:pPr>
        <w:jc w:val="both"/>
        <w:ind w:firstLine="1952"/>
        <w:spacing w:after="0" w:line="281" w:lineRule="auto"/>
        <w:tabs>
          <w:tab w:leader="none" w:pos="2196" w:val="left"/>
        </w:tabs>
        <w:numPr>
          <w:ilvl w:val="1"/>
          <w:numId w:val="269"/>
        </w:numPr>
        <w:rPr>
          <w:rFonts w:ascii="Arial" w:cs="Arial" w:eastAsia="Arial" w:hAnsi="Arial"/>
          <w:sz w:val="16"/>
          <w:szCs w:val="16"/>
          <w:color w:val="auto"/>
        </w:rPr>
      </w:pPr>
      <w:r>
        <w:rPr>
          <w:rFonts w:ascii="Arial" w:cs="Arial" w:eastAsia="Arial" w:hAnsi="Arial"/>
          <w:sz w:val="16"/>
          <w:szCs w:val="16"/>
          <w:u w:val="single" w:color="auto"/>
          <w:color w:val="auto"/>
        </w:rPr>
        <w:t>Limitations on Exercises</w:t>
      </w:r>
      <w:r>
        <w:rPr>
          <w:rFonts w:ascii="Arial" w:cs="Arial" w:eastAsia="Arial" w:hAnsi="Arial"/>
          <w:sz w:val="16"/>
          <w:szCs w:val="16"/>
          <w:color w:val="auto"/>
        </w:rPr>
        <w:t>. Notwithstanding anything to the contrary contained herein, the Company shall not effect the exercise of any portion of this Warrant, and the Holder shall not have the right to exercise any portion of this Warrant, pursuant to the terms and conditions of this Warrant and any such exercise shall be null and void and treated as if never made, to the extent that after giving effect to such exercise, the Holder together with the other Attribution Parties collectively would beneficially own in excess of 4.99% (the “</w:t>
      </w:r>
      <w:r>
        <w:rPr>
          <w:rFonts w:ascii="Arial" w:cs="Arial" w:eastAsia="Arial" w:hAnsi="Arial"/>
          <w:sz w:val="16"/>
          <w:szCs w:val="16"/>
          <w:b w:val="1"/>
          <w:bCs w:val="1"/>
          <w:color w:val="auto"/>
        </w:rPr>
        <w:t>Maximum Percentage</w:t>
      </w:r>
      <w:r>
        <w:rPr>
          <w:rFonts w:ascii="Arial" w:cs="Arial" w:eastAsia="Arial" w:hAnsi="Arial"/>
          <w:sz w:val="16"/>
          <w:szCs w:val="16"/>
          <w:color w:val="auto"/>
        </w:rPr>
        <w:t xml:space="preserve">”) of the number of shares of Common Stock outstanding immediately after giving effect to such exercise. For purposes of the foregoing sentence, the aggregate number of shares of Common Stock beneficially owned by the Holder and the other Attribution Parties shall include the number of shares of Common Stock held by the Holder and all other Attribution Parties plus the number of shares of Common Stock issuable upon exercise of this Warrant with respect to which the determination of such sentence is being made, but shall exclude the number of shares of Common Stock which would be issuable upon (A) exercise of the remaining, unexercised portion of this Warrant beneficially owned by the Holder or any of the other Attribution Parties and (B) exercise or conversion of the unexercised or unconverted portion of any other securities of the Company (including, without limitation, any convertible notes or convertible preferred stock or warrants) beneficially owned by the Holder or any other Attribution Party subject to a limitation on conversion or exercise analogous to the limitation contained in this Section </w:t>
      </w:r>
      <w:r>
        <w:rPr>
          <w:rFonts w:ascii="Arial" w:cs="Arial" w:eastAsia="Arial" w:hAnsi="Arial"/>
          <w:sz w:val="19"/>
          <w:szCs w:val="19"/>
          <w:b w:val="1"/>
          <w:bCs w:val="1"/>
          <w:color w:val="auto"/>
        </w:rPr>
        <w:t>‎</w:t>
      </w:r>
      <w:r>
        <w:rPr>
          <w:rFonts w:ascii="Arial" w:cs="Arial" w:eastAsia="Arial" w:hAnsi="Arial"/>
          <w:sz w:val="16"/>
          <w:szCs w:val="16"/>
          <w:color w:val="auto"/>
        </w:rPr>
        <w:t xml:space="preserve">1(f). For purposes of this Section </w:t>
      </w:r>
      <w:r>
        <w:rPr>
          <w:rFonts w:ascii="Arial" w:cs="Arial" w:eastAsia="Arial" w:hAnsi="Arial"/>
          <w:sz w:val="19"/>
          <w:szCs w:val="19"/>
          <w:b w:val="1"/>
          <w:bCs w:val="1"/>
          <w:color w:val="auto"/>
        </w:rPr>
        <w:t>‎</w:t>
      </w:r>
      <w:r>
        <w:rPr>
          <w:rFonts w:ascii="Arial" w:cs="Arial" w:eastAsia="Arial" w:hAnsi="Arial"/>
          <w:sz w:val="16"/>
          <w:szCs w:val="16"/>
          <w:color w:val="auto"/>
        </w:rPr>
        <w:t>1(f), beneficial ownership shall be calculated in accordance with Section 13(d) of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For purposes of this Warrant, in determining the number of outstanding shares of Common Stock the Holder may acquire upon the exercise of this Warrant without exceeding the Maximum Percentage, the Holder may rely on the number of outstanding shares of Common Stock as reflected in (x) the Company’s most recent Annual Report on Form 10-K, Quarterly Report on Form 10-Q, Current Report on Form 8-K or other public filing with the Securities and Exchange Commission (the “</w:t>
      </w:r>
      <w:r>
        <w:rPr>
          <w:rFonts w:ascii="Arial" w:cs="Arial" w:eastAsia="Arial" w:hAnsi="Arial"/>
          <w:sz w:val="16"/>
          <w:szCs w:val="16"/>
          <w:b w:val="1"/>
          <w:bCs w:val="1"/>
          <w:color w:val="auto"/>
        </w:rPr>
        <w:t>SEC</w:t>
      </w:r>
      <w:r>
        <w:rPr>
          <w:rFonts w:ascii="Arial" w:cs="Arial" w:eastAsia="Arial" w:hAnsi="Arial"/>
          <w:sz w:val="16"/>
          <w:szCs w:val="16"/>
          <w:color w:val="auto"/>
        </w:rPr>
        <w:t>”), as the case may be, (y) a more recent public announcement by the Company or (z) any other written notice by the Company or the Transfer Agent, if any, setting forth the number of shares of Common Stock outstanding (the “</w:t>
      </w:r>
      <w:r>
        <w:rPr>
          <w:rFonts w:ascii="Arial" w:cs="Arial" w:eastAsia="Arial" w:hAnsi="Arial"/>
          <w:sz w:val="16"/>
          <w:szCs w:val="16"/>
          <w:b w:val="1"/>
          <w:bCs w:val="1"/>
          <w:color w:val="auto"/>
        </w:rPr>
        <w:t>Reported Outstanding Share Number</w:t>
      </w:r>
      <w:r>
        <w:rPr>
          <w:rFonts w:ascii="Arial" w:cs="Arial" w:eastAsia="Arial" w:hAnsi="Arial"/>
          <w:sz w:val="16"/>
          <w:szCs w:val="16"/>
          <w:color w:val="auto"/>
        </w:rPr>
        <w:t xml:space="preserve">”). If the Company receives an Exercise Notice from the Holder at a time when the actual number of outstanding shares of Common Stock is less than the Reported Outstanding Share Number, the Company shall (i) notify the Holder in writing of the number of shares of Common Stock then outstanding and, to the extent that such Exercise Notice would otherwise cause the Holder’s beneficial ownership, as determined pursuant to this Section </w:t>
      </w:r>
      <w:r>
        <w:rPr>
          <w:rFonts w:ascii="Arial" w:cs="Arial" w:eastAsia="Arial" w:hAnsi="Arial"/>
          <w:sz w:val="19"/>
          <w:szCs w:val="19"/>
          <w:b w:val="1"/>
          <w:bCs w:val="1"/>
          <w:color w:val="auto"/>
        </w:rPr>
        <w:t>‎</w:t>
      </w:r>
      <w:r>
        <w:rPr>
          <w:rFonts w:ascii="Arial" w:cs="Arial" w:eastAsia="Arial" w:hAnsi="Arial"/>
          <w:sz w:val="16"/>
          <w:szCs w:val="16"/>
          <w:color w:val="auto"/>
        </w:rPr>
        <w:t>1(f), to exceed the Maximum Percentage, the Holder must notify the Company of a reduced number of Warrant Shares to be purchased pursuant to such Exercise Notice (the number of shares by which such purchase is reduced, the “</w:t>
      </w:r>
      <w:r>
        <w:rPr>
          <w:rFonts w:ascii="Arial" w:cs="Arial" w:eastAsia="Arial" w:hAnsi="Arial"/>
          <w:sz w:val="16"/>
          <w:szCs w:val="16"/>
          <w:b w:val="1"/>
          <w:bCs w:val="1"/>
          <w:color w:val="auto"/>
        </w:rPr>
        <w:t>Reduction Shares</w:t>
      </w:r>
      <w:r>
        <w:rPr>
          <w:rFonts w:ascii="Arial" w:cs="Arial" w:eastAsia="Arial" w:hAnsi="Arial"/>
          <w:sz w:val="16"/>
          <w:szCs w:val="16"/>
          <w:color w:val="auto"/>
        </w:rPr>
        <w:t>”) and</w:t>
      </w:r>
    </w:p>
    <w:p>
      <w:pPr>
        <w:jc w:val="both"/>
        <w:ind w:firstLine="8"/>
        <w:spacing w:after="0" w:line="280" w:lineRule="auto"/>
        <w:tabs>
          <w:tab w:leader="none" w:pos="283" w:val="left"/>
        </w:tabs>
        <w:numPr>
          <w:ilvl w:val="0"/>
          <w:numId w:val="270"/>
        </w:numPr>
        <w:rPr>
          <w:rFonts w:ascii="Arial" w:cs="Arial" w:eastAsia="Arial" w:hAnsi="Arial"/>
          <w:sz w:val="16"/>
          <w:szCs w:val="16"/>
          <w:color w:val="auto"/>
        </w:rPr>
      </w:pPr>
      <w:r>
        <w:rPr>
          <w:rFonts w:ascii="Arial" w:cs="Arial" w:eastAsia="Arial" w:hAnsi="Arial"/>
          <w:sz w:val="16"/>
          <w:szCs w:val="16"/>
          <w:color w:val="auto"/>
        </w:rPr>
        <w:t>as soon as reasonably practicable, the Company shall return to the Holder any exercise price paid by the Holder for the Reduction Shares. For any reason at any time, upon the written or oral request of the Holder, the Company shall within one (1) Business Day confirm orally and in writing or by electronic mail to the Holder the number of shares of Common Stock then outstanding. In any case, the number of outstanding shares of Common Stock shall be determined after giving effect to the conversion or exercise of securities of the Company, including this Warrant, by the Holder and any other Attribution Party since the date as of which the Reported Outstanding Share Number was reported. In the event that the issuance of shares of Common Stock to the Holder upon exercise of this Warrant results in the Holder and the other Attribution Parties being deemed to beneficially own, in the aggregate, more than the Maximum Percentage of the number of outstanding shares of Common Stock (as determined under Section 13(d) of the Exchange Act), the number of shares so issued by which the Holder’s and the other Attribution Parties’ aggregate beneficial ownership exceeds the Maximum Percentage (the “</w:t>
      </w:r>
      <w:r>
        <w:rPr>
          <w:rFonts w:ascii="Arial" w:cs="Arial" w:eastAsia="Arial" w:hAnsi="Arial"/>
          <w:sz w:val="16"/>
          <w:szCs w:val="16"/>
          <w:b w:val="1"/>
          <w:bCs w:val="1"/>
          <w:color w:val="auto"/>
        </w:rPr>
        <w:t>Excess Shares</w:t>
      </w:r>
      <w:r>
        <w:rPr>
          <w:rFonts w:ascii="Arial" w:cs="Arial" w:eastAsia="Arial" w:hAnsi="Arial"/>
          <w:sz w:val="16"/>
          <w:szCs w:val="16"/>
          <w:color w:val="auto"/>
        </w:rPr>
        <w:t xml:space="preserve">”) shall be deemed null and void and shall be cancelled ab initio, and the Holder shall not have the power to vote or to transfer the Excess Shares. As soon as reasonably practicable after the issuance of the Excess Shares has been deemed null and void, the Company shall return to the Holder the exercise price paid by the Holder for the Excess Shares. Upon delivery of a written notice to the Company, the Holder may from time to time increase (with such increase not effective until the sixty-first (61st) day after delivery of such notice) or decrease the Maximum Percentage to any other percentage not in excess of 9.99% as specified in such notice; provided that (i) any such increase in the Maximum Percentage will not be effective until the sixty-first (61st) day after such notice is delivered to the Company and (ii) any such increase or decrease will apply only to the Holder and the other Attribution Parties and not to any other holder that is not an Attribution Party of the Holder. For purposes of clarity, the shares of Common Stock issuable pursuant to the terms of this Warrant in excess of the Maximum Percentage shall not be deemed to be beneficially owned by the Holder for any purpose including for purposes of Section 13(d) or Rule 16a-1(a)(1) of the Exchange Act. No prior inability to exercise this Warrant pursuant to this paragraph shall have any effect on the applicability of the provisions of this paragraph with respect to any subsequent determination of exercisability. The provisions of this paragraph shall be construed and implemented in a manner otherwise than in strict conformity with the terms of this Section </w:t>
      </w:r>
      <w:r>
        <w:rPr>
          <w:rFonts w:ascii="Arial" w:cs="Arial" w:eastAsia="Arial" w:hAnsi="Arial"/>
          <w:sz w:val="19"/>
          <w:szCs w:val="19"/>
          <w:b w:val="1"/>
          <w:bCs w:val="1"/>
          <w:color w:val="auto"/>
        </w:rPr>
        <w:t>‎</w:t>
      </w:r>
      <w:r>
        <w:rPr>
          <w:rFonts w:ascii="Arial" w:cs="Arial" w:eastAsia="Arial" w:hAnsi="Arial"/>
          <w:sz w:val="16"/>
          <w:szCs w:val="16"/>
          <w:color w:val="auto"/>
        </w:rPr>
        <w:t xml:space="preserve">1(f) to the extent necessary to correct this paragraph or any portion of this paragraph which may be defective or inconsistent with the intended beneficial ownership limitation contained in this Section </w:t>
      </w:r>
      <w:r>
        <w:rPr>
          <w:rFonts w:ascii="Arial" w:cs="Arial" w:eastAsia="Arial" w:hAnsi="Arial"/>
          <w:sz w:val="19"/>
          <w:szCs w:val="19"/>
          <w:b w:val="1"/>
          <w:bCs w:val="1"/>
          <w:color w:val="auto"/>
        </w:rPr>
        <w:t>‎</w:t>
      </w:r>
      <w:r>
        <w:rPr>
          <w:rFonts w:ascii="Arial" w:cs="Arial" w:eastAsia="Arial" w:hAnsi="Arial"/>
          <w:sz w:val="16"/>
          <w:szCs w:val="16"/>
          <w:color w:val="auto"/>
        </w:rPr>
        <w:t>1(f) or to make changes or supplements necessary or desirable to properly give effect to such limitation. The limitation contained in this paragraph may not be waived and shall apply to a successor holder of this Warrant. Notwithstanding anything to the contrary contained herein, the Holder and the Company agree that the total number of shares of Common Stock issuable pursuant to the terms of this Warrant and the other warrants issued in connection with the Third Amendment (together with this Warrant, the “</w:t>
      </w:r>
      <w:r>
        <w:rPr>
          <w:rFonts w:ascii="Arial" w:cs="Arial" w:eastAsia="Arial" w:hAnsi="Arial"/>
          <w:sz w:val="16"/>
          <w:szCs w:val="16"/>
          <w:b w:val="1"/>
          <w:bCs w:val="1"/>
          <w:color w:val="auto"/>
        </w:rPr>
        <w:t>Third Amendment Warrants</w:t>
      </w:r>
      <w:r>
        <w:rPr>
          <w:rFonts w:ascii="Arial" w:cs="Arial" w:eastAsia="Arial" w:hAnsi="Arial"/>
          <w:sz w:val="16"/>
          <w:szCs w:val="16"/>
          <w:color w:val="auto"/>
        </w:rPr>
        <w:t>”), together with the total number of shares of Common Stock issued pursuant to Section 4.11 of the stock purchase agreement, dated October 10, 2023 (the “</w:t>
      </w:r>
      <w:r>
        <w:rPr>
          <w:rFonts w:ascii="Arial" w:cs="Arial" w:eastAsia="Arial" w:hAnsi="Arial"/>
          <w:sz w:val="16"/>
          <w:szCs w:val="16"/>
          <w:b w:val="1"/>
          <w:bCs w:val="1"/>
          <w:color w:val="auto"/>
        </w:rPr>
        <w:t>Cleveland Avenue Purchase Agreement</w:t>
      </w:r>
      <w:r>
        <w:rPr>
          <w:rFonts w:ascii="Arial" w:cs="Arial" w:eastAsia="Arial" w:hAnsi="Arial"/>
          <w:sz w:val="16"/>
          <w:szCs w:val="16"/>
          <w:color w:val="auto"/>
        </w:rPr>
        <w:t>”), by and between the Company and Presto CA LLC (“</w:t>
      </w:r>
      <w:r>
        <w:rPr>
          <w:rFonts w:ascii="Arial" w:cs="Arial" w:eastAsia="Arial" w:hAnsi="Arial"/>
          <w:sz w:val="16"/>
          <w:szCs w:val="16"/>
          <w:b w:val="1"/>
          <w:bCs w:val="1"/>
          <w:color w:val="auto"/>
        </w:rPr>
        <w:t>Cleveland Avenue</w:t>
      </w:r>
      <w:r>
        <w:rPr>
          <w:rFonts w:ascii="Arial" w:cs="Arial" w:eastAsia="Arial" w:hAnsi="Arial"/>
          <w:sz w:val="16"/>
          <w:szCs w:val="16"/>
          <w:color w:val="auto"/>
        </w:rPr>
        <w:t>”), may not exceed the requirements of Nasdaq Listing Rule 5635(d) (“</w:t>
      </w:r>
      <w:r>
        <w:rPr>
          <w:rFonts w:ascii="Arial" w:cs="Arial" w:eastAsia="Arial" w:hAnsi="Arial"/>
          <w:sz w:val="16"/>
          <w:szCs w:val="16"/>
          <w:b w:val="1"/>
          <w:bCs w:val="1"/>
          <w:color w:val="auto"/>
        </w:rPr>
        <w:t>Nasdaq</w:t>
      </w:r>
      <w:r>
        <w:rPr>
          <w:rFonts w:ascii="Arial" w:cs="Arial" w:eastAsia="Arial" w:hAnsi="Arial"/>
          <w:sz w:val="16"/>
          <w:szCs w:val="16"/>
          <w:color w:val="auto"/>
        </w:rPr>
        <w:t xml:space="preserve"> </w:t>
      </w:r>
      <w:r>
        <w:rPr>
          <w:rFonts w:ascii="Arial" w:cs="Arial" w:eastAsia="Arial" w:hAnsi="Arial"/>
          <w:sz w:val="16"/>
          <w:szCs w:val="16"/>
          <w:b w:val="1"/>
          <w:bCs w:val="1"/>
          <w:color w:val="auto"/>
        </w:rPr>
        <w:t>19.99% Cap</w:t>
      </w:r>
      <w:r>
        <w:rPr>
          <w:rFonts w:ascii="Arial" w:cs="Arial" w:eastAsia="Arial" w:hAnsi="Arial"/>
          <w:sz w:val="16"/>
          <w:szCs w:val="16"/>
          <w:color w:val="auto"/>
        </w:rPr>
        <w:t>”), except that such limitation will not apply following Approval (defined below). If the aggregate number of shares of Common Stock issued</w:t>
      </w:r>
      <w:r>
        <w:rPr>
          <w:rFonts w:ascii="Arial" w:cs="Arial" w:eastAsia="Arial" w:hAnsi="Arial"/>
          <w:sz w:val="16"/>
          <w:szCs w:val="16"/>
          <w:b w:val="1"/>
          <w:bCs w:val="1"/>
          <w:color w:val="auto"/>
        </w:rPr>
        <w:t xml:space="preserve"> </w:t>
      </w:r>
      <w:r>
        <w:rPr>
          <w:rFonts w:ascii="Arial" w:cs="Arial" w:eastAsia="Arial" w:hAnsi="Arial"/>
          <w:sz w:val="16"/>
          <w:szCs w:val="16"/>
          <w:color w:val="auto"/>
        </w:rPr>
        <w:t>to the holders of the Third Amendment Warrants and Cleveland Avenue reaches the Nasdaq 19.99% Cap, so as not to violate the 20% limit established in Listing Rule 5635(d), the Company shall as soon as reasonably practicable take all action necessary to obtain stockholder approval of the issuance of additional shares of Common Stock issuable upon the exercise of the Third Amendment Warrants and pursuant to the terms of the Cleveland Avenue Purchase Agreement, if necessary, in accordance with the requirements of Nasdaq Listing Rule 5635(d) (the “</w:t>
      </w:r>
      <w:r>
        <w:rPr>
          <w:rFonts w:ascii="Arial" w:cs="Arial" w:eastAsia="Arial" w:hAnsi="Arial"/>
          <w:sz w:val="16"/>
          <w:szCs w:val="16"/>
          <w:b w:val="1"/>
          <w:bCs w:val="1"/>
          <w:color w:val="auto"/>
        </w:rPr>
        <w:t>Approval</w:t>
      </w:r>
      <w:r>
        <w:rPr>
          <w:rFonts w:ascii="Arial" w:cs="Arial" w:eastAsia="Arial" w:hAnsi="Arial"/>
          <w:sz w:val="16"/>
          <w:szCs w:val="16"/>
          <w:color w:val="auto"/>
        </w:rPr>
        <w:t>”). Without limiting the generality of the foregoing sentence, as soon as reasonably practicable after the date of the application of the Nasdaq 19.99% Cap, but in no event later than seventy-five (75) days after such occurrence, the Company shall hold a meeting of its stockholders to seek the Approval. In connection with such meeting, the Company shall provide each stockholder with a proxy statement and shall use its reasonable best efforts to solicit the Approval and to cause its board of directors to recommend to the stockholders that they provide the Approval. Until Approval is obtained, (i) increases to the Warrant Shares pursuant to Section 2(b) hereof and (ii) issuances of Common Stock pursuant to Section 4.11 of the Cleveland Avenue Purchase Agreement shall be made between</w:t>
      </w:r>
    </w:p>
    <w:p>
      <w:pPr>
        <w:spacing w:after="0" w:line="22" w:lineRule="exact"/>
        <w:rPr>
          <w:rFonts w:ascii="Arial" w:cs="Arial" w:eastAsia="Arial" w:hAnsi="Arial"/>
          <w:sz w:val="16"/>
          <w:szCs w:val="16"/>
          <w:color w:val="auto"/>
        </w:rPr>
      </w:pPr>
    </w:p>
    <w:p>
      <w:pPr>
        <w:jc w:val="both"/>
        <w:ind w:firstLine="8"/>
        <w:spacing w:after="0" w:line="295" w:lineRule="auto"/>
        <w:tabs>
          <w:tab w:leader="none" w:pos="256" w:val="left"/>
        </w:tabs>
        <w:numPr>
          <w:ilvl w:val="0"/>
          <w:numId w:val="271"/>
        </w:numPr>
        <w:rPr>
          <w:rFonts w:ascii="Arial" w:cs="Arial" w:eastAsia="Arial" w:hAnsi="Arial"/>
          <w:sz w:val="16"/>
          <w:szCs w:val="16"/>
          <w:color w:val="auto"/>
        </w:rPr>
      </w:pPr>
      <w:r>
        <w:rPr>
          <w:rFonts w:ascii="Arial" w:cs="Arial" w:eastAsia="Arial" w:hAnsi="Arial"/>
          <w:sz w:val="16"/>
          <w:szCs w:val="16"/>
          <w:color w:val="auto"/>
        </w:rPr>
        <w:t>the holders of the Third Amendment Warrants, and (y) Cleveland Avenue as nearly as possible on a pro rata basis based on the total amount of shares of Common Stock issued or issuable to such party (i.e. at any given time, the amount of Third Amendment Warrants (without regard to the Maximum Percentage limitation herein, but subject to the Nasdaq 19.99% Cap) which may be exercised is equal to two (2) times the sum of (i) the shares of Common Stock originally issued pursuant to the Cleveland Avenue Purchase Agreement and (ii) the shares issued pursuant to Section 4.11 thereof).</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0" w:name="page271"/>
    <w:bookmarkEnd w:id="270"/>
    <w:p>
      <w:pPr>
        <w:jc w:val="both"/>
        <w:ind w:firstLine="1952"/>
        <w:spacing w:after="0" w:line="285" w:lineRule="auto"/>
        <w:tabs>
          <w:tab w:leader="none" w:pos="2199" w:val="left"/>
        </w:tabs>
        <w:numPr>
          <w:ilvl w:val="1"/>
          <w:numId w:val="272"/>
        </w:numPr>
        <w:rPr>
          <w:rFonts w:ascii="Arial" w:cs="Arial" w:eastAsia="Arial" w:hAnsi="Arial"/>
          <w:sz w:val="16"/>
          <w:szCs w:val="16"/>
          <w:color w:val="auto"/>
        </w:rPr>
      </w:pPr>
      <w:r>
        <w:rPr>
          <w:rFonts w:ascii="Arial" w:cs="Arial" w:eastAsia="Arial" w:hAnsi="Arial"/>
          <w:sz w:val="16"/>
          <w:szCs w:val="16"/>
          <w:u w:val="single" w:color="auto"/>
          <w:color w:val="auto"/>
        </w:rPr>
        <w:t>Insufficient Authorized Shares</w:t>
      </w:r>
      <w:r>
        <w:rPr>
          <w:rFonts w:ascii="Arial" w:cs="Arial" w:eastAsia="Arial" w:hAnsi="Arial"/>
          <w:sz w:val="16"/>
          <w:szCs w:val="16"/>
          <w:color w:val="auto"/>
        </w:rPr>
        <w:t>. If at any time while this Warrant remains outstanding the Company does not have a sufficient number of authorized and unreserved shares of Common Stock to satisfy its obligation to reserve for issuance upon exercise of this Warrant at least a number of shares of Common Stock equal to the number of shares of Common Stock as shall from time to time be necessary to effect the exercise of all of this Warrant then outstanding (the “</w:t>
      </w:r>
      <w:r>
        <w:rPr>
          <w:rFonts w:ascii="Arial" w:cs="Arial" w:eastAsia="Arial" w:hAnsi="Arial"/>
          <w:sz w:val="16"/>
          <w:szCs w:val="16"/>
          <w:b w:val="1"/>
          <w:bCs w:val="1"/>
          <w:color w:val="auto"/>
        </w:rPr>
        <w:t>Required Reserve Amount</w:t>
      </w:r>
      <w:r>
        <w:rPr>
          <w:rFonts w:ascii="Arial" w:cs="Arial" w:eastAsia="Arial" w:hAnsi="Arial"/>
          <w:sz w:val="16"/>
          <w:szCs w:val="16"/>
          <w:color w:val="auto"/>
        </w:rPr>
        <w:t>” and the failure to have such sufficient number of authorized and unreserved shares of Common Stock, an “</w:t>
      </w:r>
      <w:r>
        <w:rPr>
          <w:rFonts w:ascii="Arial" w:cs="Arial" w:eastAsia="Arial" w:hAnsi="Arial"/>
          <w:sz w:val="16"/>
          <w:szCs w:val="16"/>
          <w:b w:val="1"/>
          <w:bCs w:val="1"/>
          <w:color w:val="auto"/>
        </w:rPr>
        <w:t>Authorized Share Failure</w:t>
      </w:r>
      <w:r>
        <w:rPr>
          <w:rFonts w:ascii="Arial" w:cs="Arial" w:eastAsia="Arial" w:hAnsi="Arial"/>
          <w:sz w:val="16"/>
          <w:szCs w:val="16"/>
          <w:color w:val="auto"/>
        </w:rPr>
        <w:t>”), then the Company shall as soon as reasonably practicable take all action necessary to increase the Company’s authorized shares of Common Stock to an amount sufficient to allow the Company to reserve the Required Reserve Amount for this Warrant then outstanding. Without limiting the generality of the foregoing sentence, as soon as reasonably practicable after the date of the occurrence of an Authorized Share Failure, but in no event later than seventy-five (75) days after the occurrence of such Authorized Share Failure, the Company shall hold a meeting of its stockholders for the approval of an increase in the number of authorized shares of Common Stock. In connection with such meeting, the Company shall provide each stockholder with a proxy statement and shall use its reasonable best efforts to solicit its stockholders’ approval of such increase in authorized shares of Common Stock and to cause its board of directors to recommend to the stockholders that they approve such proposal. In the event that the Company is prohibited from issuing shares of Common Stock upon an exercise of this Warrant due to the failure by the Company to have sufficient shares of Common Stock available out of the authorized but unissued shares of Common Stock (such unavailable number of shares of Common Stock, the “</w:t>
      </w:r>
      <w:r>
        <w:rPr>
          <w:rFonts w:ascii="Arial" w:cs="Arial" w:eastAsia="Arial" w:hAnsi="Arial"/>
          <w:sz w:val="16"/>
          <w:szCs w:val="16"/>
          <w:b w:val="1"/>
          <w:bCs w:val="1"/>
          <w:color w:val="auto"/>
        </w:rPr>
        <w:t>Authorization Failure Shares</w:t>
      </w:r>
      <w:r>
        <w:rPr>
          <w:rFonts w:ascii="Arial" w:cs="Arial" w:eastAsia="Arial" w:hAnsi="Arial"/>
          <w:sz w:val="16"/>
          <w:szCs w:val="16"/>
          <w:color w:val="auto"/>
        </w:rPr>
        <w:t xml:space="preserve">”), in lieu of delivering such Authorization Failure Shares to the Holder, the Company shall pay cash in exchange for the cancellation of such portion of this Warrant exercisable into such Authorization Failure Shares at a price equal to the sum of (i) the product of (x) such number of Authorization Failure Shares and (y) the Closing Sale Price of the Common Stock on the date the Holder delivers the applicable Exercise Notice with respect to such Authorization Failure Shares to the Company; and (ii) to the extent the Holder purchases (in an open market transaction or otherwise) shares of Common Stock to deliver in satisfaction of a sale by the Holder of Authorization Failure Shares, any Buy-In Payment Amount, brokerage commissions and other out-of-pocket expenses, if any, of the Holder incurred in connection therewith. Nothing contained in this Section </w:t>
      </w:r>
      <w:r>
        <w:rPr>
          <w:rFonts w:ascii="Arial" w:cs="Arial" w:eastAsia="Arial" w:hAnsi="Arial"/>
          <w:sz w:val="19"/>
          <w:szCs w:val="19"/>
          <w:b w:val="1"/>
          <w:bCs w:val="1"/>
          <w:color w:val="auto"/>
        </w:rPr>
        <w:t>‎</w:t>
      </w:r>
      <w:r>
        <w:rPr>
          <w:rFonts w:ascii="Arial" w:cs="Arial" w:eastAsia="Arial" w:hAnsi="Arial"/>
          <w:sz w:val="16"/>
          <w:szCs w:val="16"/>
          <w:color w:val="auto"/>
        </w:rPr>
        <w:t>1(g) shall limit any obligations of the Company under any provision of the Credit Agreement.</w:t>
      </w:r>
    </w:p>
    <w:p>
      <w:pPr>
        <w:spacing w:after="0" w:line="152" w:lineRule="exact"/>
        <w:rPr>
          <w:rFonts w:ascii="Arial" w:cs="Arial" w:eastAsia="Arial" w:hAnsi="Arial"/>
          <w:sz w:val="16"/>
          <w:szCs w:val="16"/>
          <w:color w:val="auto"/>
        </w:rPr>
      </w:pPr>
    </w:p>
    <w:p>
      <w:pPr>
        <w:ind w:firstLine="1304"/>
        <w:spacing w:after="0" w:line="277" w:lineRule="auto"/>
        <w:tabs>
          <w:tab w:leader="none" w:pos="1476" w:val="left"/>
        </w:tabs>
        <w:numPr>
          <w:ilvl w:val="0"/>
          <w:numId w:val="273"/>
        </w:numPr>
        <w:rPr>
          <w:rFonts w:ascii="Arial" w:cs="Arial" w:eastAsia="Arial" w:hAnsi="Arial"/>
          <w:sz w:val="18"/>
          <w:szCs w:val="18"/>
          <w:color w:val="auto"/>
        </w:rPr>
      </w:pPr>
      <w:r>
        <w:rPr>
          <w:rFonts w:ascii="Arial" w:cs="Arial" w:eastAsia="Arial" w:hAnsi="Arial"/>
          <w:sz w:val="18"/>
          <w:szCs w:val="18"/>
          <w:u w:val="single" w:color="auto"/>
          <w:color w:val="auto"/>
        </w:rPr>
        <w:t>ADJUSTMENT OF EXERCISE PRICE AND NUMBER OF WARRANT SHARES</w:t>
      </w:r>
      <w:r>
        <w:rPr>
          <w:rFonts w:ascii="Arial" w:cs="Arial" w:eastAsia="Arial" w:hAnsi="Arial"/>
          <w:sz w:val="18"/>
          <w:szCs w:val="18"/>
          <w:color w:val="auto"/>
        </w:rPr>
        <w:t>. The Exercise Price and the number of Warrant Shares issuable upon exercise of this Warrant are subject to adjustments from time to time as set forth in this Section 2.</w:t>
      </w:r>
    </w:p>
    <w:p>
      <w:pPr>
        <w:spacing w:after="0" w:line="170" w:lineRule="exact"/>
        <w:rPr>
          <w:rFonts w:ascii="Arial" w:cs="Arial" w:eastAsia="Arial" w:hAnsi="Arial"/>
          <w:sz w:val="18"/>
          <w:szCs w:val="18"/>
          <w:color w:val="auto"/>
        </w:rPr>
      </w:pPr>
    </w:p>
    <w:p>
      <w:pPr>
        <w:jc w:val="both"/>
        <w:ind w:firstLine="1952"/>
        <w:spacing w:after="0" w:line="269" w:lineRule="auto"/>
        <w:tabs>
          <w:tab w:leader="none" w:pos="2202" w:val="left"/>
        </w:tabs>
        <w:numPr>
          <w:ilvl w:val="1"/>
          <w:numId w:val="273"/>
        </w:numPr>
        <w:rPr>
          <w:rFonts w:ascii="Arial" w:cs="Arial" w:eastAsia="Arial" w:hAnsi="Arial"/>
          <w:sz w:val="17"/>
          <w:szCs w:val="17"/>
          <w:color w:val="auto"/>
        </w:rPr>
      </w:pPr>
      <w:r>
        <w:rPr>
          <w:rFonts w:ascii="Arial" w:cs="Arial" w:eastAsia="Arial" w:hAnsi="Arial"/>
          <w:sz w:val="17"/>
          <w:szCs w:val="17"/>
          <w:u w:val="single" w:color="auto"/>
          <w:color w:val="auto"/>
        </w:rPr>
        <w:t>Adjustment Upon Subdivision or Combination of Shares of Common Stock</w:t>
      </w:r>
      <w:r>
        <w:rPr>
          <w:rFonts w:ascii="Arial" w:cs="Arial" w:eastAsia="Arial" w:hAnsi="Arial"/>
          <w:sz w:val="17"/>
          <w:szCs w:val="17"/>
          <w:color w:val="auto"/>
        </w:rPr>
        <w:t>. If the Company at any time on or after the Issuance Date subdivides (by any stock split, stock dividend, recapitalization or otherwise) one or more classes of its outstanding shares of Common Stock into a greater number of shares, the Exercise Price in effect immediately prior to such subdivision will be proportionately reduced and the number of Warrant Shares will be proportionately increased, so that after such adjustment the aggregate Exercise Price payable hereunder for the adjusted number of Warrant Shares shall be the same as the aggregate Exercise Price in effect immediately prior to such adjustment (without regard to any limitations on exercise contained herein). If the Company at any time on or after the Issuance Date combines (by combination, reverse stock split or otherwise) one or more classes of its outstanding shares of Common Stock into a smaller number of shares, the Exercise Price in effect immediately prior to such combination will be proportionately increased and the number of Warrant Shares will be proportionately decreased, so that after such adjustment the aggregate Exercise Price payable hereunder for the adjusted number of Warrant Shares shall be the same as the aggregate Exercise Price in effect immediately prior to such adjustment (without regard to any limitations on exercise contained herein). Any adjustment under this Section 2(a) shall become effective at the close of business on the date the subdivision or combination becomes effective. Corresponding adjustments shall be made to the Applicable Price (as defined below).</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1" w:name="page272"/>
    <w:bookmarkEnd w:id="271"/>
    <w:p>
      <w:pPr>
        <w:jc w:val="both"/>
        <w:ind w:firstLine="1952"/>
        <w:spacing w:after="0" w:line="254" w:lineRule="auto"/>
        <w:tabs>
          <w:tab w:leader="none" w:pos="2199" w:val="left"/>
        </w:tabs>
        <w:numPr>
          <w:ilvl w:val="0"/>
          <w:numId w:val="274"/>
        </w:numPr>
        <w:rPr>
          <w:rFonts w:ascii="Arial" w:cs="Arial" w:eastAsia="Arial" w:hAnsi="Arial"/>
          <w:sz w:val="18"/>
          <w:szCs w:val="18"/>
          <w:color w:val="auto"/>
        </w:rPr>
      </w:pPr>
      <w:r>
        <w:rPr>
          <w:rFonts w:ascii="Arial" w:cs="Arial" w:eastAsia="Arial" w:hAnsi="Arial"/>
          <w:sz w:val="18"/>
          <w:szCs w:val="18"/>
          <w:u w:val="single" w:color="auto"/>
          <w:color w:val="auto"/>
        </w:rPr>
        <w:t>Adjustment Upon Issuance of Shares of Common Stock</w:t>
      </w:r>
      <w:r>
        <w:rPr>
          <w:rFonts w:ascii="Arial" w:cs="Arial" w:eastAsia="Arial" w:hAnsi="Arial"/>
          <w:sz w:val="18"/>
          <w:szCs w:val="18"/>
          <w:color w:val="auto"/>
        </w:rPr>
        <w:t>. If and whenever on or after the Issuance Date but prior to April 1, 2024 (the “</w:t>
      </w:r>
      <w:r>
        <w:rPr>
          <w:rFonts w:ascii="Arial" w:cs="Arial" w:eastAsia="Arial" w:hAnsi="Arial"/>
          <w:sz w:val="18"/>
          <w:szCs w:val="18"/>
          <w:b w:val="1"/>
          <w:bCs w:val="1"/>
          <w:color w:val="auto"/>
        </w:rPr>
        <w:t>Anti-Dilution Period</w:t>
      </w:r>
      <w:r>
        <w:rPr>
          <w:rFonts w:ascii="Arial" w:cs="Arial" w:eastAsia="Arial" w:hAnsi="Arial"/>
          <w:sz w:val="18"/>
          <w:szCs w:val="18"/>
          <w:color w:val="auto"/>
        </w:rPr>
        <w:t>”), the Company issues or sells, or in accordance with this Section 2 is deemed to have issued or sold, any shares of Common Stock (including the issuance or sale of shares of Common Stock owned or held by or for the account of the Company, but excluding Excluded Securities) for a consideration per share (the “</w:t>
      </w:r>
      <w:r>
        <w:rPr>
          <w:rFonts w:ascii="Arial" w:cs="Arial" w:eastAsia="Arial" w:hAnsi="Arial"/>
          <w:sz w:val="18"/>
          <w:szCs w:val="18"/>
          <w:b w:val="1"/>
          <w:bCs w:val="1"/>
          <w:color w:val="auto"/>
        </w:rPr>
        <w:t>New Issuance Price</w:t>
      </w:r>
      <w:r>
        <w:rPr>
          <w:rFonts w:ascii="Arial" w:cs="Arial" w:eastAsia="Arial" w:hAnsi="Arial"/>
          <w:sz w:val="18"/>
          <w:szCs w:val="18"/>
          <w:color w:val="auto"/>
        </w:rPr>
        <w:t>”) less than $2.00 per share (the “</w:t>
      </w:r>
      <w:r>
        <w:rPr>
          <w:rFonts w:ascii="Arial" w:cs="Arial" w:eastAsia="Arial" w:hAnsi="Arial"/>
          <w:sz w:val="18"/>
          <w:szCs w:val="18"/>
          <w:b w:val="1"/>
          <w:bCs w:val="1"/>
          <w:color w:val="auto"/>
        </w:rPr>
        <w:t>Applicable Price</w:t>
      </w:r>
      <w:r>
        <w:rPr>
          <w:rFonts w:ascii="Arial" w:cs="Arial" w:eastAsia="Arial" w:hAnsi="Arial"/>
          <w:sz w:val="18"/>
          <w:szCs w:val="18"/>
          <w:color w:val="auto"/>
        </w:rPr>
        <w:t>”, and the foregoing a “</w:t>
      </w:r>
      <w:r>
        <w:rPr>
          <w:rFonts w:ascii="Arial" w:cs="Arial" w:eastAsia="Arial" w:hAnsi="Arial"/>
          <w:sz w:val="18"/>
          <w:szCs w:val="18"/>
          <w:b w:val="1"/>
          <w:bCs w:val="1"/>
          <w:color w:val="auto"/>
        </w:rPr>
        <w:t>Dilutive</w:t>
      </w:r>
      <w:r>
        <w:rPr>
          <w:rFonts w:ascii="Arial" w:cs="Arial" w:eastAsia="Arial" w:hAnsi="Arial"/>
          <w:sz w:val="18"/>
          <w:szCs w:val="18"/>
          <w:color w:val="auto"/>
        </w:rPr>
        <w:t xml:space="preserve"> </w:t>
      </w:r>
      <w:r>
        <w:rPr>
          <w:rFonts w:ascii="Arial" w:cs="Arial" w:eastAsia="Arial" w:hAnsi="Arial"/>
          <w:sz w:val="18"/>
          <w:szCs w:val="18"/>
          <w:b w:val="1"/>
          <w:bCs w:val="1"/>
          <w:color w:val="auto"/>
        </w:rPr>
        <w:t>Issuance</w:t>
      </w:r>
      <w:r>
        <w:rPr>
          <w:rFonts w:ascii="Arial" w:cs="Arial" w:eastAsia="Arial" w:hAnsi="Arial"/>
          <w:sz w:val="18"/>
          <w:szCs w:val="18"/>
          <w:color w:val="auto"/>
        </w:rPr>
        <w:t>”), then immediately after such Dilutive Issuance, the number of Warrant Shares shall be increased to an amount equal to (x) the number of</w:t>
      </w:r>
      <w:r>
        <w:rPr>
          <w:rFonts w:ascii="Arial" w:cs="Arial" w:eastAsia="Arial" w:hAnsi="Arial"/>
          <w:sz w:val="18"/>
          <w:szCs w:val="18"/>
          <w:b w:val="1"/>
          <w:bCs w:val="1"/>
          <w:color w:val="auto"/>
        </w:rPr>
        <w:t xml:space="preserve"> </w:t>
      </w:r>
      <w:r>
        <w:rPr>
          <w:rFonts w:ascii="Arial" w:cs="Arial" w:eastAsia="Arial" w:hAnsi="Arial"/>
          <w:sz w:val="18"/>
          <w:szCs w:val="18"/>
          <w:color w:val="auto"/>
        </w:rPr>
        <w:t>Warrant Shares prior to such Dilutive Issuance, multiplied by (y) the quotient of the Applicable Price divided by the New Issuance Price. For all purposes of the foregoing (including, without limitation, determining the adjusted number of Warrant Shares and the New Issuance Price under this Section 2(b)), the following shall be applicable:</w:t>
      </w:r>
    </w:p>
    <w:p>
      <w:pPr>
        <w:spacing w:after="0" w:line="191" w:lineRule="exact"/>
        <w:rPr>
          <w:rFonts w:ascii="Arial" w:cs="Arial" w:eastAsia="Arial" w:hAnsi="Arial"/>
          <w:sz w:val="18"/>
          <w:szCs w:val="18"/>
          <w:color w:val="auto"/>
        </w:rPr>
      </w:pPr>
    </w:p>
    <w:p>
      <w:pPr>
        <w:jc w:val="both"/>
        <w:ind w:firstLine="2600"/>
        <w:spacing w:after="0" w:line="267" w:lineRule="auto"/>
        <w:tabs>
          <w:tab w:leader="none" w:pos="2807" w:val="left"/>
        </w:tabs>
        <w:numPr>
          <w:ilvl w:val="1"/>
          <w:numId w:val="274"/>
        </w:numPr>
        <w:rPr>
          <w:rFonts w:ascii="Arial" w:cs="Arial" w:eastAsia="Arial" w:hAnsi="Arial"/>
          <w:sz w:val="17"/>
          <w:szCs w:val="17"/>
          <w:color w:val="auto"/>
        </w:rPr>
      </w:pPr>
      <w:r>
        <w:rPr>
          <w:rFonts w:ascii="Arial" w:cs="Arial" w:eastAsia="Arial" w:hAnsi="Arial"/>
          <w:sz w:val="17"/>
          <w:szCs w:val="17"/>
          <w:u w:val="single" w:color="auto"/>
          <w:color w:val="auto"/>
        </w:rPr>
        <w:t>Issuance of Options</w:t>
      </w:r>
      <w:r>
        <w:rPr>
          <w:rFonts w:ascii="Arial" w:cs="Arial" w:eastAsia="Arial" w:hAnsi="Arial"/>
          <w:sz w:val="17"/>
          <w:szCs w:val="17"/>
          <w:color w:val="auto"/>
        </w:rPr>
        <w:t>. If, during the Anti-Dilution Period, the Company in any manner grants or sells any Options and the lowest price per share for which one share of Common Stock is at any time issuable upon the exercise of any such Option or upon conversion, exercise or exchange of any Convertible Securities issuable upon exercise of any such Option or otherwise pursuant to the terms thereof is less than the Applicable Price, then such share of Common Stock shall be deemed to be outstanding and to have been issued and sold by the Company at the time of the granting or sale of such Option for such price per share. For purposes of this Section 2(b)(i), the “lowest price per share for which one share of Common Stock is at any time issuable upon the exercise of any such Options or upon conversion, exercise or exchange of any Convertible Securities issuable upon exercise of any such Option or otherwise pursuant to the terms thereof” shall be equal to (1) the lower of (x) the sum of the lowest amounts of consideration (if any) received or receivable by the Company with respect to any one share of Common Stock upon the granting or sale of such Option, upon exercise of such Option and upon conversion, exercise or exchange of any Convertible Security issuable upon exercise of such Option or otherwise pursuant to the terms thereof and (y) the lowest exercise price set forth in such Option for which one share of Common Stock is issuable (or may become issuable assuming all possible market conditions) upon the exercise of any such Options or upon conversion, exercise or exchange of any Convertible Securities issuable upon exercise of any such Option or otherwise pursuant to the terms thereof minus (2) the sum of all amounts paid or payable to the holder of such Option (or any other Person) upon the granting or sale of such Option, upon exercise of such Option and upon conversion, exercise or exchange of any Convertible Security issuable upon exercise of such Option or otherwise pursuant to the terms thereof plus the value of any other consideration received or receivable by, or benefit conferred on, the holder of such Option (or any other Person). Except as contemplated below, no further increase in the Warrant Shares shall be made upon the actual issuance of such shares of Common Stock or of such Convertible Securities upon the exercise of such Options or otherwise pursuant to the terms of or upon the actual issuance of such shares of Common Stock upon conversion, exercise or exchange of such Convertible Securities.</w:t>
      </w:r>
    </w:p>
    <w:p>
      <w:pPr>
        <w:spacing w:after="0" w:line="189" w:lineRule="exact"/>
        <w:rPr>
          <w:rFonts w:ascii="Arial" w:cs="Arial" w:eastAsia="Arial" w:hAnsi="Arial"/>
          <w:sz w:val="17"/>
          <w:szCs w:val="17"/>
          <w:color w:val="auto"/>
        </w:rPr>
      </w:pPr>
    </w:p>
    <w:p>
      <w:pPr>
        <w:jc w:val="both"/>
        <w:ind w:firstLine="2600"/>
        <w:spacing w:after="0" w:line="285" w:lineRule="auto"/>
        <w:tabs>
          <w:tab w:leader="none" w:pos="2857" w:val="left"/>
        </w:tabs>
        <w:numPr>
          <w:ilvl w:val="1"/>
          <w:numId w:val="274"/>
        </w:numPr>
        <w:rPr>
          <w:rFonts w:ascii="Arial" w:cs="Arial" w:eastAsia="Arial" w:hAnsi="Arial"/>
          <w:sz w:val="16"/>
          <w:szCs w:val="16"/>
          <w:color w:val="auto"/>
        </w:rPr>
      </w:pPr>
      <w:r>
        <w:rPr>
          <w:rFonts w:ascii="Arial" w:cs="Arial" w:eastAsia="Arial" w:hAnsi="Arial"/>
          <w:sz w:val="16"/>
          <w:szCs w:val="16"/>
          <w:u w:val="single" w:color="auto"/>
          <w:color w:val="auto"/>
        </w:rPr>
        <w:t>Issuance of Convertible Securities</w:t>
      </w:r>
      <w:r>
        <w:rPr>
          <w:rFonts w:ascii="Arial" w:cs="Arial" w:eastAsia="Arial" w:hAnsi="Arial"/>
          <w:sz w:val="16"/>
          <w:szCs w:val="16"/>
          <w:color w:val="auto"/>
        </w:rPr>
        <w:t>. If, during the Anti-Dilution Period, the Company in any manner issues or sells any Convertible Securities and the lowest price per share for which one share of Common Stock is at any time issuable upon the conversion, exercise or exchange thereof or otherwise pursuant to the terms thereof is less than the Applicable Price, then such share of Common Stock shall be deemed to be outstanding and to have been issued and sold by the Company at the time of the issuance or sale of such Convertible Securities for such price per share. For the purposes of this Section 2(b)(ii), the “lowest price per share for which one share of Common Stock is at any time issuable upon the conversion, exercise or exchange thereof or otherwise pursuant to the terms thereof” shall be equal to (1) the lower of (x) the sum of the lowest amounts of consideration (if any) received or receivable by the Company with respect to one share of Common Stock upon the issuance or sale of the Convertible Security and upon conversion, exercise or exchange of such Convertible Security or otherwise pursuant to the terms thereof and (y) the lowest conversion price set forth in such Convertible Security for which one share of Common Stock is issuable (or may become issuable assuming all possible market conditions) upon conversion, exercise or exchange thereof or otherwise pursuant to the terms thereof minus (2) the sum of all amounts paid or payable to the holder of such Convertible Security (or any other Person) upon the issuance or sale of such Convertible Security plus the value of any other consideration received or receivable by, or benefit conferred on, the holder of such Convertible Security (or any other Person). Except as contemplated below, no further increase of the Warrant Shares shall be made upon the actual issuance of such shares of Common Stock upon conversion, exercise or exchange of such Convertible Securities or otherwise pursuant to the terms thereof, and if any such issuance or sale of such Convertible Securities is made upon exercise of any Options for which adjustment of this Warrant has been or is to be made pursuant to other provisions of this Section 2(b), except as contemplated below, no further increase of the Warrant Shares shall be made by reason of such issuance or sale.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2" w:name="page273"/>
    <w:bookmarkEnd w:id="272"/>
    <w:p>
      <w:pPr>
        <w:jc w:val="both"/>
        <w:ind w:firstLine="2600"/>
        <w:spacing w:after="0" w:line="269" w:lineRule="auto"/>
        <w:tabs>
          <w:tab w:leader="none" w:pos="2907" w:val="left"/>
        </w:tabs>
        <w:numPr>
          <w:ilvl w:val="1"/>
          <w:numId w:val="275"/>
        </w:numPr>
        <w:rPr>
          <w:rFonts w:ascii="Arial" w:cs="Arial" w:eastAsia="Arial" w:hAnsi="Arial"/>
          <w:sz w:val="17"/>
          <w:szCs w:val="17"/>
          <w:color w:val="auto"/>
        </w:rPr>
      </w:pPr>
      <w:r>
        <w:rPr>
          <w:rFonts w:ascii="Arial" w:cs="Arial" w:eastAsia="Arial" w:hAnsi="Arial"/>
          <w:sz w:val="17"/>
          <w:szCs w:val="17"/>
          <w:u w:val="single" w:color="auto"/>
          <w:color w:val="auto"/>
        </w:rPr>
        <w:t>Change in Option Price or Rate of Conversion</w:t>
      </w:r>
      <w:r>
        <w:rPr>
          <w:rFonts w:ascii="Arial" w:cs="Arial" w:eastAsia="Arial" w:hAnsi="Arial"/>
          <w:sz w:val="17"/>
          <w:szCs w:val="17"/>
          <w:color w:val="auto"/>
        </w:rPr>
        <w:t>. If the purchase or exercise price provided for in any Options, the additional consideration, if any, payable upon the issue, conversion, exercise or exchange of any Convertible Securities, or the rate at which any Convertible Securities are convertible into or exercisable or exchangeable for shares of Common Stock increases or decreases at any time (other than proportional changes in conversion or exercise prices, as applicable, in connection with an event referred to in Section 2(b)), the number of Warrant Shares in effect at the time of such increase or decrease shall be increased to the number of Warrant Shares which would have been in effect at such time had such Options or Convertible Securities provided for such increased or decreased purchase price, additional consideration or increased or decreased conversion rate, as the case may be, at the time initially granted, issued or sold. For purposes of this Section 2(b)(iii), if the terms of any Option or Convertible Security that was outstanding as of the Issuance Date are increased or decreased in the manner described in the immediately preceding sentence, then such Option or Convertible Security and the shares of Common Stock deemed issuable upon exercise, conversion or exchange thereof shall be deemed to have been issued as of the date of such increase or decrease. No adjustment pursuant to this Section 2(b) shall be made if such adjustment would result in a decrease of the number of Warrant Shares.</w:t>
      </w:r>
    </w:p>
    <w:p>
      <w:pPr>
        <w:spacing w:after="0" w:line="181" w:lineRule="exact"/>
        <w:rPr>
          <w:rFonts w:ascii="Arial" w:cs="Arial" w:eastAsia="Arial" w:hAnsi="Arial"/>
          <w:sz w:val="17"/>
          <w:szCs w:val="17"/>
          <w:color w:val="auto"/>
        </w:rPr>
      </w:pPr>
    </w:p>
    <w:p>
      <w:pPr>
        <w:jc w:val="both"/>
        <w:ind w:firstLine="2600"/>
        <w:spacing w:after="0" w:line="283" w:lineRule="auto"/>
        <w:tabs>
          <w:tab w:leader="none" w:pos="2924" w:val="left"/>
        </w:tabs>
        <w:numPr>
          <w:ilvl w:val="1"/>
          <w:numId w:val="275"/>
        </w:numPr>
        <w:rPr>
          <w:rFonts w:ascii="Arial" w:cs="Arial" w:eastAsia="Arial" w:hAnsi="Arial"/>
          <w:sz w:val="16"/>
          <w:szCs w:val="16"/>
          <w:color w:val="auto"/>
        </w:rPr>
      </w:pPr>
      <w:r>
        <w:rPr>
          <w:rFonts w:ascii="Arial" w:cs="Arial" w:eastAsia="Arial" w:hAnsi="Arial"/>
          <w:sz w:val="16"/>
          <w:szCs w:val="16"/>
          <w:u w:val="single" w:color="auto"/>
          <w:color w:val="auto"/>
        </w:rPr>
        <w:t>Calculation of Consideration Received</w:t>
      </w:r>
      <w:r>
        <w:rPr>
          <w:rFonts w:ascii="Arial" w:cs="Arial" w:eastAsia="Arial" w:hAnsi="Arial"/>
          <w:sz w:val="16"/>
          <w:szCs w:val="16"/>
          <w:color w:val="auto"/>
        </w:rPr>
        <w:t>. If any Option and/or Convertible Security and/or Adjustment Right is issued in connection with the issuance or sale or deemed issuance or sale of any other securities of the Company (as determined by the Holder, the “</w:t>
      </w:r>
      <w:r>
        <w:rPr>
          <w:rFonts w:ascii="Arial" w:cs="Arial" w:eastAsia="Arial" w:hAnsi="Arial"/>
          <w:sz w:val="16"/>
          <w:szCs w:val="16"/>
          <w:b w:val="1"/>
          <w:bCs w:val="1"/>
          <w:color w:val="auto"/>
        </w:rPr>
        <w:t>Primary Security</w:t>
      </w:r>
      <w:r>
        <w:rPr>
          <w:rFonts w:ascii="Arial" w:cs="Arial" w:eastAsia="Arial" w:hAnsi="Arial"/>
          <w:sz w:val="16"/>
          <w:szCs w:val="16"/>
          <w:color w:val="auto"/>
        </w:rPr>
        <w:t>”, and such Option and/or Convertible Security and/or Adjustment Right, the “</w:t>
      </w:r>
      <w:r>
        <w:rPr>
          <w:rFonts w:ascii="Arial" w:cs="Arial" w:eastAsia="Arial" w:hAnsi="Arial"/>
          <w:sz w:val="16"/>
          <w:szCs w:val="16"/>
          <w:b w:val="1"/>
          <w:bCs w:val="1"/>
          <w:color w:val="auto"/>
        </w:rPr>
        <w:t>Secondary Securities</w:t>
      </w:r>
      <w:r>
        <w:rPr>
          <w:rFonts w:ascii="Arial" w:cs="Arial" w:eastAsia="Arial" w:hAnsi="Arial"/>
          <w:sz w:val="16"/>
          <w:szCs w:val="16"/>
          <w:color w:val="auto"/>
        </w:rPr>
        <w:t>” and together with the Primary Security, each a “</w:t>
      </w:r>
      <w:r>
        <w:rPr>
          <w:rFonts w:ascii="Arial" w:cs="Arial" w:eastAsia="Arial" w:hAnsi="Arial"/>
          <w:sz w:val="16"/>
          <w:szCs w:val="16"/>
          <w:b w:val="1"/>
          <w:bCs w:val="1"/>
          <w:color w:val="auto"/>
        </w:rPr>
        <w:t>Unit</w:t>
      </w:r>
      <w:r>
        <w:rPr>
          <w:rFonts w:ascii="Arial" w:cs="Arial" w:eastAsia="Arial" w:hAnsi="Arial"/>
          <w:sz w:val="16"/>
          <w:szCs w:val="16"/>
          <w:color w:val="auto"/>
        </w:rPr>
        <w:t>”), together comprising one integrated transaction (or one or more transactions if such issuances or sales or deemed issuances or sales of securities of the Company either (A) have at least one investor or purchaser in common, (B) are consummated in reasonable proximity to each other and/or (C) are consummated under the same plan of financing), the aggregate consideration per share of Common Stock with respect to such Primary Security shall be deemed to be the lowest of (x) the purchase price of such Unit, (y) if such Primary Security is an Option and/or Convertible Security, the lowest price per share for which one share of Common Stock is at any time issuable upon the exercise or conversion of the Primary Security in accordance with Section 2(b)(i), 2(b)(ii) or 2(b)(iii) above and (z) the quotient of (I) the sum of the three (3) lowest VWAPs of the Common Stock during the five (5) Trading Day period immediately following the public announcement of such Dilutive Issuance, divided by (II) three (3) (for the avoidance of doubt, if such public announcement is released prior to the opening of the Principal Market on a Trading Day, such Trading Day shall be the first Trading Day in such five</w:t>
      </w:r>
    </w:p>
    <w:p>
      <w:pPr>
        <w:spacing w:after="0" w:line="3" w:lineRule="exact"/>
        <w:rPr>
          <w:rFonts w:ascii="Arial" w:cs="Arial" w:eastAsia="Arial" w:hAnsi="Arial"/>
          <w:sz w:val="16"/>
          <w:szCs w:val="16"/>
          <w:color w:val="auto"/>
        </w:rPr>
      </w:pPr>
    </w:p>
    <w:p>
      <w:pPr>
        <w:jc w:val="both"/>
        <w:ind w:firstLine="8"/>
        <w:spacing w:after="0" w:line="281" w:lineRule="auto"/>
        <w:tabs>
          <w:tab w:leader="none" w:pos="266" w:val="left"/>
        </w:tabs>
        <w:numPr>
          <w:ilvl w:val="0"/>
          <w:numId w:val="276"/>
        </w:numPr>
        <w:rPr>
          <w:rFonts w:ascii="Arial" w:cs="Arial" w:eastAsia="Arial" w:hAnsi="Arial"/>
          <w:sz w:val="16"/>
          <w:szCs w:val="16"/>
          <w:color w:val="auto"/>
        </w:rPr>
      </w:pPr>
      <w:r>
        <w:rPr>
          <w:rFonts w:ascii="Arial" w:cs="Arial" w:eastAsia="Arial" w:hAnsi="Arial"/>
          <w:sz w:val="16"/>
          <w:szCs w:val="16"/>
          <w:color w:val="auto"/>
        </w:rPr>
        <w:t>Trading Day period). If any shares of Common Stock, Options or Convertible Securities are issued or sold or deemed to have been issued or sold for cash, the consideration received therefor will be deemed to be the net amount of consideration received by the Company therefor. If any shares of Common Stock, Options or Convertible Securities are issued or sold for a consideration other than cash, the amount of such consideration received by the Company will be the fair value of such consideration, except where such consideration consists of publicly traded securities, in which case the amount of consideration received by the Company for such securities will be the arithmetic average of the VWAPs of such security for each of the five (5) Trading Days immediately preceding the date of receipt. If any shares of Common Stock, Options or Convertible Securities are issued to the owners of the non-surviving entity in connection with any merger in which the Company is the surviving entity, the amount of consideration therefor will be deemed to be the fair value of such portion of the net assets and business of the non-surviving entity as is attributable to such shares of Common Stock, Options or Convertible Securities (as the case may be). The fair value of any consideration other than cash or publicly traded securities will be determined jointly by the Company and the Holder. If such parties are unable to reach agreement within 10 days after the occurrence of an event requiring valuation (the</w:t>
      </w:r>
    </w:p>
    <w:p>
      <w:pPr>
        <w:spacing w:after="0" w:line="6"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“Valuation Event”), the fair value of such consideration will be determined within five Trading Days after the 10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following such Valuation Event by an independent, reputable appraiser jointly selected by the Company and the Holder. The determination of such appraiser shall be final and binding upon all parties absent manifest error and the fees and expenses of such appraiser shall be borne by the Company.</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3" w:name="page274"/>
    <w:bookmarkEnd w:id="273"/>
    <w:p>
      <w:pPr>
        <w:jc w:val="both"/>
        <w:ind w:firstLine="2600"/>
        <w:spacing w:after="0" w:line="257" w:lineRule="auto"/>
        <w:tabs>
          <w:tab w:leader="none" w:pos="2847" w:val="left"/>
        </w:tabs>
        <w:numPr>
          <w:ilvl w:val="2"/>
          <w:numId w:val="277"/>
        </w:numPr>
        <w:rPr>
          <w:rFonts w:ascii="Arial" w:cs="Arial" w:eastAsia="Arial" w:hAnsi="Arial"/>
          <w:sz w:val="18"/>
          <w:szCs w:val="18"/>
          <w:color w:val="auto"/>
        </w:rPr>
      </w:pPr>
      <w:r>
        <w:rPr>
          <w:rFonts w:ascii="Arial" w:cs="Arial" w:eastAsia="Arial" w:hAnsi="Arial"/>
          <w:sz w:val="18"/>
          <w:szCs w:val="18"/>
          <w:u w:val="single" w:color="auto"/>
          <w:color w:val="auto"/>
        </w:rPr>
        <w:t>Record Date</w:t>
      </w:r>
      <w:r>
        <w:rPr>
          <w:rFonts w:ascii="Arial" w:cs="Arial" w:eastAsia="Arial" w:hAnsi="Arial"/>
          <w:sz w:val="18"/>
          <w:szCs w:val="18"/>
          <w:color w:val="auto"/>
        </w:rPr>
        <w:t>. If the Company takes a record of the holders of shares of Common Stock for the purpose of entitling them (A) to receive a dividend or other distribution payable in shares of Common Stock, Options or in Convertible Securities or (B) to subscribe for or purchase shares of Common Stock, Options or Convertible Securities, then such record date will be deemed to be the date of the issuance or sale of the shares of Common Stock deemed to have been issued or sold upon the declaration of such dividend or the making of such other distribution or the date of the granting of such right of subscription or purchase (as the case may be).</w:t>
      </w:r>
    </w:p>
    <w:p>
      <w:pPr>
        <w:spacing w:after="0" w:line="187" w:lineRule="exact"/>
        <w:rPr>
          <w:rFonts w:ascii="Arial" w:cs="Arial" w:eastAsia="Arial" w:hAnsi="Arial"/>
          <w:sz w:val="18"/>
          <w:szCs w:val="18"/>
          <w:color w:val="auto"/>
        </w:rPr>
      </w:pPr>
    </w:p>
    <w:p>
      <w:pPr>
        <w:ind w:firstLine="1952"/>
        <w:spacing w:after="0" w:line="277" w:lineRule="auto"/>
        <w:tabs>
          <w:tab w:leader="none" w:pos="2188" w:val="left"/>
        </w:tabs>
        <w:numPr>
          <w:ilvl w:val="1"/>
          <w:numId w:val="278"/>
        </w:numPr>
        <w:rPr>
          <w:rFonts w:ascii="Arial" w:cs="Arial" w:eastAsia="Arial" w:hAnsi="Arial"/>
          <w:sz w:val="18"/>
          <w:szCs w:val="18"/>
          <w:color w:val="auto"/>
        </w:rPr>
      </w:pPr>
      <w:r>
        <w:rPr>
          <w:rFonts w:ascii="Arial" w:cs="Arial" w:eastAsia="Arial" w:hAnsi="Arial"/>
          <w:sz w:val="18"/>
          <w:szCs w:val="18"/>
          <w:u w:val="single" w:color="auto"/>
          <w:color w:val="auto"/>
        </w:rPr>
        <w:t>Par Value</w:t>
      </w:r>
      <w:r>
        <w:rPr>
          <w:rFonts w:ascii="Arial" w:cs="Arial" w:eastAsia="Arial" w:hAnsi="Arial"/>
          <w:sz w:val="18"/>
          <w:szCs w:val="18"/>
          <w:color w:val="auto"/>
        </w:rPr>
        <w:t>. Notwithstanding anything to the contrary in this Warrant, in no event shall the Exercise Price be reduced below the par value of the Company’s Common Stock.</w:t>
      </w:r>
    </w:p>
    <w:p>
      <w:pPr>
        <w:spacing w:after="0" w:line="170" w:lineRule="exact"/>
        <w:rPr>
          <w:rFonts w:ascii="Arial" w:cs="Arial" w:eastAsia="Arial" w:hAnsi="Arial"/>
          <w:sz w:val="18"/>
          <w:szCs w:val="18"/>
          <w:color w:val="auto"/>
        </w:rPr>
      </w:pPr>
    </w:p>
    <w:p>
      <w:pPr>
        <w:jc w:val="both"/>
        <w:ind w:firstLine="1952"/>
        <w:spacing w:after="0" w:line="263" w:lineRule="auto"/>
        <w:tabs>
          <w:tab w:leader="none" w:pos="2199" w:val="left"/>
        </w:tabs>
        <w:numPr>
          <w:ilvl w:val="1"/>
          <w:numId w:val="278"/>
        </w:numPr>
        <w:rPr>
          <w:rFonts w:ascii="Arial" w:cs="Arial" w:eastAsia="Arial" w:hAnsi="Arial"/>
          <w:sz w:val="18"/>
          <w:szCs w:val="18"/>
          <w:color w:val="auto"/>
        </w:rPr>
      </w:pPr>
      <w:r>
        <w:rPr>
          <w:rFonts w:ascii="Arial" w:cs="Arial" w:eastAsia="Arial" w:hAnsi="Arial"/>
          <w:sz w:val="18"/>
          <w:szCs w:val="18"/>
          <w:u w:val="single" w:color="auto"/>
          <w:color w:val="auto"/>
        </w:rPr>
        <w:t>Voluntary Adjustment by Company</w:t>
      </w:r>
      <w:r>
        <w:rPr>
          <w:rFonts w:ascii="Arial" w:cs="Arial" w:eastAsia="Arial" w:hAnsi="Arial"/>
          <w:sz w:val="18"/>
          <w:szCs w:val="18"/>
          <w:color w:val="auto"/>
        </w:rPr>
        <w:t>. Subject to Section 2(c), the Company may at any time during the term of this Warrant, with prior written notice to the Holder, reduce the then current Exercise Price to any amount and for any period of time deemed appropriate by the board of directors of the Company.</w:t>
      </w:r>
    </w:p>
    <w:p>
      <w:pPr>
        <w:spacing w:after="0" w:line="170" w:lineRule="exact"/>
        <w:rPr>
          <w:rFonts w:ascii="Arial" w:cs="Arial" w:eastAsia="Arial" w:hAnsi="Arial"/>
          <w:sz w:val="18"/>
          <w:szCs w:val="18"/>
          <w:color w:val="auto"/>
        </w:rPr>
      </w:pPr>
    </w:p>
    <w:p>
      <w:pPr>
        <w:jc w:val="both"/>
        <w:ind w:firstLine="1304"/>
        <w:spacing w:after="0" w:line="268" w:lineRule="auto"/>
        <w:tabs>
          <w:tab w:leader="none" w:pos="1489" w:val="left"/>
        </w:tabs>
        <w:numPr>
          <w:ilvl w:val="0"/>
          <w:numId w:val="279"/>
        </w:numPr>
        <w:rPr>
          <w:rFonts w:ascii="Arial" w:cs="Arial" w:eastAsia="Arial" w:hAnsi="Arial"/>
          <w:sz w:val="17"/>
          <w:szCs w:val="17"/>
          <w:color w:val="auto"/>
        </w:rPr>
      </w:pPr>
      <w:r>
        <w:rPr>
          <w:rFonts w:ascii="Arial" w:cs="Arial" w:eastAsia="Arial" w:hAnsi="Arial"/>
          <w:sz w:val="17"/>
          <w:szCs w:val="17"/>
          <w:u w:val="single" w:color="auto"/>
          <w:color w:val="auto"/>
        </w:rPr>
        <w:t>RIGHTS UPON DISTRIBUTION OF ASSETS</w:t>
      </w:r>
      <w:r>
        <w:rPr>
          <w:rFonts w:ascii="Arial" w:cs="Arial" w:eastAsia="Arial" w:hAnsi="Arial"/>
          <w:sz w:val="17"/>
          <w:szCs w:val="17"/>
          <w:color w:val="auto"/>
        </w:rPr>
        <w:t xml:space="preserve">. In addition to any adjustments pursuant to Section </w:t>
      </w:r>
      <w:r>
        <w:rPr>
          <w:rFonts w:ascii="Arial" w:cs="Arial" w:eastAsia="Arial" w:hAnsi="Arial"/>
          <w:sz w:val="20"/>
          <w:szCs w:val="20"/>
          <w:b w:val="1"/>
          <w:bCs w:val="1"/>
          <w:color w:val="auto"/>
        </w:rPr>
        <w:t>‎</w:t>
      </w:r>
      <w:r>
        <w:rPr>
          <w:rFonts w:ascii="Arial" w:cs="Arial" w:eastAsia="Arial" w:hAnsi="Arial"/>
          <w:sz w:val="17"/>
          <w:szCs w:val="17"/>
          <w:color w:val="auto"/>
        </w:rPr>
        <w:t>2 above,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(a “</w:t>
      </w:r>
      <w:r>
        <w:rPr>
          <w:rFonts w:ascii="Arial" w:cs="Arial" w:eastAsia="Arial" w:hAnsi="Arial"/>
          <w:sz w:val="17"/>
          <w:szCs w:val="17"/>
          <w:b w:val="1"/>
          <w:bCs w:val="1"/>
          <w:color w:val="auto"/>
        </w:rPr>
        <w:t>Distribution</w:t>
      </w:r>
      <w:r>
        <w:rPr>
          <w:rFonts w:ascii="Arial" w:cs="Arial" w:eastAsia="Arial" w:hAnsi="Arial"/>
          <w:sz w:val="17"/>
          <w:szCs w:val="17"/>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such Distribution, or, if no such record is taken, the date as of which the record holders of shares of Common Stock are to be determined for the participation in such Distribution (provided, however, that to the extent that the Holder’s right to participate in any such Distribution would result in the Holder and the other Attribution Parties exceeding the Maximum Percentage, then the Holder shall not be entitled to participate in such Distribution to the extent of the Maximum Percentage (and shall not be entitled to beneficial ownership of such shares of Common Stock as a result of such Distribution (and beneficial ownership) to the extent of any such excess) and the portion of such Distribution shall be held in abeyance for the benefit of the Holder until such time or times, if ever,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held similarly in abeyance) to the same extent as if there had been no such limitation).</w:t>
      </w:r>
    </w:p>
    <w:p>
      <w:pPr>
        <w:spacing w:after="0" w:line="181" w:lineRule="exact"/>
        <w:rPr>
          <w:rFonts w:ascii="Arial" w:cs="Arial" w:eastAsia="Arial" w:hAnsi="Arial"/>
          <w:sz w:val="17"/>
          <w:szCs w:val="17"/>
          <w:color w:val="auto"/>
        </w:rPr>
      </w:pPr>
    </w:p>
    <w:p>
      <w:pPr>
        <w:ind w:left="1480" w:hanging="176"/>
        <w:spacing w:after="0"/>
        <w:tabs>
          <w:tab w:leader="none" w:pos="1480" w:val="left"/>
        </w:tabs>
        <w:numPr>
          <w:ilvl w:val="0"/>
          <w:numId w:val="279"/>
        </w:numPr>
        <w:rPr>
          <w:rFonts w:ascii="Arial" w:cs="Arial" w:eastAsia="Arial" w:hAnsi="Arial"/>
          <w:sz w:val="18"/>
          <w:szCs w:val="18"/>
          <w:color w:val="auto"/>
        </w:rPr>
      </w:pPr>
      <w:r>
        <w:rPr>
          <w:rFonts w:ascii="Arial" w:cs="Arial" w:eastAsia="Arial" w:hAnsi="Arial"/>
          <w:sz w:val="18"/>
          <w:szCs w:val="18"/>
          <w:u w:val="single" w:color="auto"/>
          <w:color w:val="auto"/>
        </w:rPr>
        <w:t>PURCHASE RIGHTS; FUNDAMENTAL TRANSACTIONS</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jc w:val="both"/>
        <w:ind w:firstLine="1952"/>
        <w:spacing w:after="0" w:line="268" w:lineRule="auto"/>
        <w:tabs>
          <w:tab w:leader="none" w:pos="2202" w:val="left"/>
        </w:tabs>
        <w:numPr>
          <w:ilvl w:val="1"/>
          <w:numId w:val="279"/>
        </w:numPr>
        <w:rPr>
          <w:rFonts w:ascii="Arial" w:cs="Arial" w:eastAsia="Arial" w:hAnsi="Arial"/>
          <w:sz w:val="17"/>
          <w:szCs w:val="17"/>
          <w:color w:val="auto"/>
        </w:rPr>
      </w:pPr>
      <w:r>
        <w:rPr>
          <w:rFonts w:ascii="Arial" w:cs="Arial" w:eastAsia="Arial" w:hAnsi="Arial"/>
          <w:sz w:val="17"/>
          <w:szCs w:val="17"/>
          <w:u w:val="single" w:color="auto"/>
          <w:color w:val="auto"/>
        </w:rPr>
        <w:t>Purchase Rights</w:t>
      </w:r>
      <w:r>
        <w:rPr>
          <w:rFonts w:ascii="Arial" w:cs="Arial" w:eastAsia="Arial" w:hAnsi="Arial"/>
          <w:sz w:val="17"/>
          <w:szCs w:val="17"/>
          <w:color w:val="auto"/>
        </w:rPr>
        <w:t xml:space="preserve">. In addition to any adjustments pursuant to Section </w:t>
      </w:r>
      <w:r>
        <w:rPr>
          <w:rFonts w:ascii="Arial" w:cs="Arial" w:eastAsia="Arial" w:hAnsi="Arial"/>
          <w:sz w:val="20"/>
          <w:szCs w:val="20"/>
          <w:b w:val="1"/>
          <w:bCs w:val="1"/>
          <w:color w:val="auto"/>
        </w:rPr>
        <w:t>‎</w:t>
      </w:r>
      <w:r>
        <w:rPr>
          <w:rFonts w:ascii="Arial" w:cs="Arial" w:eastAsia="Arial" w:hAnsi="Arial"/>
          <w:sz w:val="17"/>
          <w:szCs w:val="17"/>
          <w:color w:val="auto"/>
        </w:rPr>
        <w:t>2 above, if at any time the Company grants, issues or sells any Options, Convertible Securities or rights to purchase stock, warrants, securities or other property pro rata to the record holders of any class of Common Stock (the “</w:t>
      </w:r>
      <w:r>
        <w:rPr>
          <w:rFonts w:ascii="Arial" w:cs="Arial" w:eastAsia="Arial" w:hAnsi="Arial"/>
          <w:sz w:val="17"/>
          <w:szCs w:val="17"/>
          <w:b w:val="1"/>
          <w:bCs w:val="1"/>
          <w:color w:val="auto"/>
        </w:rPr>
        <w:t>Purchase Rights</w:t>
      </w:r>
      <w:r>
        <w:rPr>
          <w:rFonts w:ascii="Arial" w:cs="Arial" w:eastAsia="Arial" w:hAnsi="Arial"/>
          <w:sz w:val="17"/>
          <w:szCs w:val="17"/>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the grant, issuance or sale of such Purchase Rights, or, if no such record is taken, the date as of which the record holders of shares of Common Stock are to be determined for the grant, issuance or sale of such Purchase Rights (provided, however, that to the extent that the Holder’s right to participate in any such Purchase Right would result in the Holder and the other Attribution Parties exceeding the Maximum Percentage, then the Holder shall not be entitled to participate in such Purchase Right to the extent of the Maximum Percentage (and shall not be entitled to beneficial ownership of such shares of Common Stock as a result of such Purchase Right (and beneficial ownership) to the extent of any such excess) and such Purchase Right to such extent shall be held in abeyance for the benefit of the Holder until such time or times, if ever,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held similarly in abeyance) to the same extent as if there had been no such limitation).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4" w:name="page275"/>
    <w:bookmarkEnd w:id="274"/>
    <w:p>
      <w:pPr>
        <w:ind w:left="2200" w:hanging="248"/>
        <w:spacing w:after="0"/>
        <w:tabs>
          <w:tab w:leader="none" w:pos="2200" w:val="left"/>
        </w:tabs>
        <w:numPr>
          <w:ilvl w:val="0"/>
          <w:numId w:val="280"/>
        </w:numPr>
        <w:rPr>
          <w:rFonts w:ascii="Arial" w:cs="Arial" w:eastAsia="Arial" w:hAnsi="Arial"/>
          <w:sz w:val="18"/>
          <w:szCs w:val="18"/>
          <w:color w:val="auto"/>
        </w:rPr>
      </w:pPr>
      <w:r>
        <w:rPr>
          <w:rFonts w:ascii="Arial" w:cs="Arial" w:eastAsia="Arial" w:hAnsi="Arial"/>
          <w:sz w:val="18"/>
          <w:szCs w:val="18"/>
          <w:u w:val="single" w:color="auto"/>
          <w:color w:val="auto"/>
        </w:rPr>
        <w:t>Fundamental Transactions</w:t>
      </w:r>
      <w:r>
        <w:rPr>
          <w:rFonts w:ascii="Arial" w:cs="Arial" w:eastAsia="Arial" w:hAnsi="Arial"/>
          <w:sz w:val="18"/>
          <w:szCs w:val="18"/>
          <w:color w:val="auto"/>
        </w:rPr>
        <w:t>. The Company shall not enter into or be party to a Fundamental Transaction unless:</w:t>
      </w:r>
    </w:p>
    <w:p>
      <w:pPr>
        <w:spacing w:after="0" w:line="225" w:lineRule="exact"/>
        <w:rPr>
          <w:rFonts w:ascii="Arial" w:cs="Arial" w:eastAsia="Arial" w:hAnsi="Arial"/>
          <w:sz w:val="18"/>
          <w:szCs w:val="18"/>
          <w:color w:val="auto"/>
        </w:rPr>
      </w:pPr>
    </w:p>
    <w:p>
      <w:pPr>
        <w:jc w:val="both"/>
        <w:ind w:firstLine="2600"/>
        <w:spacing w:after="0" w:line="273" w:lineRule="auto"/>
        <w:tabs>
          <w:tab w:leader="none" w:pos="2807" w:val="left"/>
        </w:tabs>
        <w:numPr>
          <w:ilvl w:val="1"/>
          <w:numId w:val="280"/>
        </w:numPr>
        <w:rPr>
          <w:rFonts w:ascii="Arial" w:cs="Arial" w:eastAsia="Arial" w:hAnsi="Arial"/>
          <w:sz w:val="17"/>
          <w:szCs w:val="17"/>
          <w:color w:val="auto"/>
        </w:rPr>
      </w:pPr>
      <w:r>
        <w:rPr>
          <w:rFonts w:ascii="Arial" w:cs="Arial" w:eastAsia="Arial" w:hAnsi="Arial"/>
          <w:sz w:val="17"/>
          <w:szCs w:val="17"/>
          <w:color w:val="auto"/>
        </w:rPr>
        <w:t>in the event that the Successor Entity (including its Parent Entity) is not a publicly traded entity with common equity quoted on or listed for trading on an Eligible Market and registered under the Exchange Act, the Company or the Successor Entity, as applicable, shall, on or prior to the date of consummation of such Fundamental Transaction, purchase this Warrant from the Holder by paying to the Holder cash in an amount equal to the Black Scholes Going Private Value (without regard to the limitation set forth in Section 1(f))</w:t>
      </w:r>
      <w:r>
        <w:rPr>
          <w:rFonts w:ascii="Arial" w:cs="Arial" w:eastAsia="Arial" w:hAnsi="Arial"/>
          <w:sz w:val="17"/>
          <w:szCs w:val="17"/>
          <w:b w:val="1"/>
          <w:bCs w:val="1"/>
          <w:color w:val="auto"/>
        </w:rPr>
        <w:t>‎</w:t>
      </w:r>
      <w:r>
        <w:rPr>
          <w:rFonts w:ascii="Arial" w:cs="Arial" w:eastAsia="Arial" w:hAnsi="Arial"/>
          <w:sz w:val="17"/>
          <w:szCs w:val="17"/>
          <w:color w:val="auto"/>
        </w:rPr>
        <w:t xml:space="preserve"> whereupon the Successor Entity shall have no obligation to assume the obligations of the Company under this Warrant and the other Loan Documents, including any obligation to deliver to the Holder in exchange for this Warrant any security of the Successor Entity, and</w:t>
      </w:r>
    </w:p>
    <w:p>
      <w:pPr>
        <w:spacing w:after="0" w:line="177" w:lineRule="exact"/>
        <w:rPr>
          <w:rFonts w:ascii="Arial" w:cs="Arial" w:eastAsia="Arial" w:hAnsi="Arial"/>
          <w:sz w:val="17"/>
          <w:szCs w:val="17"/>
          <w:color w:val="auto"/>
        </w:rPr>
      </w:pPr>
    </w:p>
    <w:p>
      <w:pPr>
        <w:jc w:val="both"/>
        <w:ind w:firstLine="2600"/>
        <w:spacing w:after="0" w:line="291" w:lineRule="auto"/>
        <w:tabs>
          <w:tab w:leader="none" w:pos="2857" w:val="left"/>
        </w:tabs>
        <w:numPr>
          <w:ilvl w:val="1"/>
          <w:numId w:val="280"/>
        </w:numPr>
        <w:rPr>
          <w:rFonts w:ascii="Arial" w:cs="Arial" w:eastAsia="Arial" w:hAnsi="Arial"/>
          <w:sz w:val="16"/>
          <w:szCs w:val="16"/>
          <w:color w:val="auto"/>
        </w:rPr>
      </w:pPr>
      <w:r>
        <w:rPr>
          <w:rFonts w:ascii="Arial" w:cs="Arial" w:eastAsia="Arial" w:hAnsi="Arial"/>
          <w:sz w:val="16"/>
          <w:szCs w:val="16"/>
          <w:color w:val="auto"/>
        </w:rPr>
        <w:t>in the event that the Successor Entity (including its Parent Entity) is a publicly traded entity with common equity quoted on or listed for trading on an Eligible Market and registered under the Exchange Act, the Successor Entity assumes in writing all of the obligations</w:t>
      </w:r>
    </w:p>
    <w:p>
      <w:pPr>
        <w:jc w:val="both"/>
        <w:spacing w:after="0" w:line="281" w:lineRule="auto"/>
        <w:rPr>
          <w:rFonts w:ascii="Arial" w:cs="Arial" w:eastAsia="Arial" w:hAnsi="Arial"/>
          <w:sz w:val="16"/>
          <w:szCs w:val="16"/>
          <w:color w:val="auto"/>
        </w:rPr>
      </w:pPr>
      <w:r>
        <w:rPr>
          <w:rFonts w:ascii="Arial" w:cs="Arial" w:eastAsia="Arial" w:hAnsi="Arial"/>
          <w:sz w:val="16"/>
          <w:szCs w:val="16"/>
          <w:color w:val="auto"/>
        </w:rPr>
        <w:t>of the Company under this Warrant and the other Loan Documents in accordance with the provisions of this Section 4(b)(ii)</w:t>
      </w:r>
      <w:r>
        <w:rPr>
          <w:rFonts w:ascii="Arial" w:cs="Arial" w:eastAsia="Arial" w:hAnsi="Arial"/>
          <w:sz w:val="16"/>
          <w:szCs w:val="16"/>
          <w:b w:val="1"/>
          <w:bCs w:val="1"/>
          <w:color w:val="auto"/>
        </w:rPr>
        <w:t>‎</w:t>
      </w:r>
      <w:r>
        <w:rPr>
          <w:rFonts w:ascii="Arial" w:cs="Arial" w:eastAsia="Arial" w:hAnsi="Arial"/>
          <w:sz w:val="16"/>
          <w:szCs w:val="16"/>
          <w:color w:val="auto"/>
        </w:rPr>
        <w:t xml:space="preserve"> pursuant to written agreements in form and substance satisfactory to the Holder and approved by the Holder prior to such Fundamental Transaction, including agreements to deliver to the Holder in exchange for this Warrant a security of the Successor Entity evidenced by a written instrument substantially similar in form and substance to this Warrant, including, without limitation, which is exercisable for a corresponding number of shares of capital stock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adjustments to the number of shares of capital stock and such exercise price being for the purpose of protecting the economic value of this Warrant immediately prior to the</w:t>
      </w:r>
    </w:p>
    <w:p>
      <w:pPr>
        <w:spacing w:after="0" w:line="4" w:lineRule="exact"/>
        <w:rPr>
          <w:rFonts w:ascii="Arial" w:cs="Arial" w:eastAsia="Arial" w:hAnsi="Arial"/>
          <w:sz w:val="16"/>
          <w:szCs w:val="16"/>
          <w:color w:val="auto"/>
        </w:rPr>
      </w:pPr>
    </w:p>
    <w:p>
      <w:pPr>
        <w:jc w:val="both"/>
        <w:spacing w:after="0" w:line="281" w:lineRule="auto"/>
        <w:rPr>
          <w:rFonts w:ascii="Arial" w:cs="Arial" w:eastAsia="Arial" w:hAnsi="Arial"/>
          <w:sz w:val="16"/>
          <w:szCs w:val="16"/>
          <w:color w:val="auto"/>
        </w:rPr>
      </w:pPr>
      <w:r>
        <w:rPr>
          <w:rFonts w:ascii="Arial" w:cs="Arial" w:eastAsia="Arial" w:hAnsi="Arial"/>
          <w:sz w:val="16"/>
          <w:szCs w:val="16"/>
          <w:color w:val="auto"/>
        </w:rPr>
        <w:t>consummation of such Fundamental Transaction). Upon the consummation of each Fundamental Transaction described in this Section 4(b)(ii)</w:t>
      </w:r>
      <w:r>
        <w:rPr>
          <w:rFonts w:ascii="Arial" w:cs="Arial" w:eastAsia="Arial" w:hAnsi="Arial"/>
          <w:sz w:val="16"/>
          <w:szCs w:val="16"/>
          <w:b w:val="1"/>
          <w:bCs w:val="1"/>
          <w:color w:val="auto"/>
        </w:rPr>
        <w:t>‎</w:t>
      </w:r>
      <w:r>
        <w:rPr>
          <w:rFonts w:ascii="Arial" w:cs="Arial" w:eastAsia="Arial" w:hAnsi="Arial"/>
          <w:sz w:val="16"/>
          <w:szCs w:val="16"/>
          <w:color w:val="auto"/>
        </w:rPr>
        <w:t xml:space="preserve"> (each such Fundamental Transaction, a “</w:t>
      </w:r>
      <w:r>
        <w:rPr>
          <w:rFonts w:ascii="Arial" w:cs="Arial" w:eastAsia="Arial" w:hAnsi="Arial"/>
          <w:sz w:val="16"/>
          <w:szCs w:val="16"/>
          <w:b w:val="1"/>
          <w:bCs w:val="1"/>
          <w:color w:val="auto"/>
        </w:rPr>
        <w:t>Public Fundamental Transaction</w:t>
      </w:r>
      <w:r>
        <w:rPr>
          <w:rFonts w:ascii="Arial" w:cs="Arial" w:eastAsia="Arial" w:hAnsi="Arial"/>
          <w:sz w:val="16"/>
          <w:szCs w:val="16"/>
          <w:color w:val="auto"/>
        </w:rPr>
        <w:t>”), the Successor Entity shall (x) succeed to, and be substituted for (so that from and after the date of the applicable Public Fundamental Transaction, the provisions of this Warrant and the other Loan Documents referring to the “Company” or the “Borrower” shall refer instead to the Successor Entity), and may exercise every right and power of the Company and shall assume all of the obligations of the Company under this Warrant and the other Loan Documents with the same effect as if such Successor Entity had been named as the Company herein or therein, and (y) deliver to the Holder confirmation that there shall be issued upon exercise of this Warrant at any time after the consummation of the applicable Public Fundamental Transaction, in lieu of the shares of Common Stock (or other securities, cash, assets or other property (except such items still issuable under Sections 3</w:t>
      </w:r>
      <w:r>
        <w:rPr>
          <w:rFonts w:ascii="Arial" w:cs="Arial" w:eastAsia="Arial" w:hAnsi="Arial"/>
          <w:sz w:val="16"/>
          <w:szCs w:val="16"/>
          <w:b w:val="1"/>
          <w:bCs w:val="1"/>
          <w:color w:val="auto"/>
        </w:rPr>
        <w:t>‎</w:t>
      </w:r>
      <w:r>
        <w:rPr>
          <w:rFonts w:ascii="Arial" w:cs="Arial" w:eastAsia="Arial" w:hAnsi="Arial"/>
          <w:sz w:val="16"/>
          <w:szCs w:val="16"/>
          <w:color w:val="auto"/>
        </w:rPr>
        <w:t xml:space="preserve"> and 4(a)</w:t>
      </w:r>
      <w:r>
        <w:rPr>
          <w:rFonts w:ascii="Arial" w:cs="Arial" w:eastAsia="Arial" w:hAnsi="Arial"/>
          <w:sz w:val="16"/>
          <w:szCs w:val="16"/>
          <w:b w:val="1"/>
          <w:bCs w:val="1"/>
          <w:color w:val="auto"/>
        </w:rPr>
        <w:t>‎</w:t>
      </w:r>
      <w:r>
        <w:rPr>
          <w:rFonts w:ascii="Arial" w:cs="Arial" w:eastAsia="Arial" w:hAnsi="Arial"/>
          <w:sz w:val="16"/>
          <w:szCs w:val="16"/>
          <w:color w:val="auto"/>
        </w:rPr>
        <w:t xml:space="preserve"> above, which shall continue to be receivable thereafter)) issuable upon the exercise of this Warrant prior to the applicable Public Fundamental Transaction, such shares of publicly traded common stock (or its equivalent) of the Successor Entity (including its Parent Entity) which the Holder would have been entitled to receive upon the happening of the applicable Public Fundamental Transaction had this Warrant been exercised immediately prior to the applicable Public Fundamental Transaction (without regard to any limitations on the exercise of this Warrant), as adjusted in accordance with the provisions of this Warrant. Notwithstanding the foregoing, and without limiting Section 1(f)</w:t>
      </w:r>
      <w:r>
        <w:rPr>
          <w:rFonts w:ascii="Arial" w:cs="Arial" w:eastAsia="Arial" w:hAnsi="Arial"/>
          <w:sz w:val="16"/>
          <w:szCs w:val="16"/>
          <w:b w:val="1"/>
          <w:bCs w:val="1"/>
          <w:color w:val="auto"/>
        </w:rPr>
        <w:t>‎</w:t>
      </w:r>
      <w:r>
        <w:rPr>
          <w:rFonts w:ascii="Arial" w:cs="Arial" w:eastAsia="Arial" w:hAnsi="Arial"/>
          <w:sz w:val="16"/>
          <w:szCs w:val="16"/>
          <w:color w:val="auto"/>
        </w:rPr>
        <w:t xml:space="preserve"> hereof, the Holder may elect,</w:t>
      </w:r>
    </w:p>
    <w:p>
      <w:pPr>
        <w:spacing w:after="0" w:line="7" w:lineRule="exact"/>
        <w:rPr>
          <w:rFonts w:ascii="Arial" w:cs="Arial" w:eastAsia="Arial" w:hAnsi="Arial"/>
          <w:sz w:val="16"/>
          <w:szCs w:val="16"/>
          <w:color w:val="auto"/>
        </w:rPr>
      </w:pPr>
    </w:p>
    <w:p>
      <w:pPr>
        <w:spacing w:after="0" w:line="260" w:lineRule="auto"/>
        <w:rPr>
          <w:rFonts w:ascii="Arial" w:cs="Arial" w:eastAsia="Arial" w:hAnsi="Arial"/>
          <w:sz w:val="16"/>
          <w:szCs w:val="16"/>
          <w:color w:val="auto"/>
        </w:rPr>
      </w:pPr>
      <w:r>
        <w:rPr>
          <w:rFonts w:ascii="Arial" w:cs="Arial" w:eastAsia="Arial" w:hAnsi="Arial"/>
          <w:sz w:val="18"/>
          <w:szCs w:val="18"/>
          <w:color w:val="auto"/>
        </w:rPr>
        <w:t>at its sole option, by delivery of written notice to the Company to waive this Section 4(b)(ii)</w:t>
      </w:r>
      <w:r>
        <w:rPr>
          <w:rFonts w:ascii="Arial" w:cs="Arial" w:eastAsia="Arial" w:hAnsi="Arial"/>
          <w:sz w:val="18"/>
          <w:szCs w:val="18"/>
          <w:b w:val="1"/>
          <w:bCs w:val="1"/>
          <w:color w:val="auto"/>
        </w:rPr>
        <w:t>‎</w:t>
      </w:r>
      <w:r>
        <w:rPr>
          <w:rFonts w:ascii="Arial" w:cs="Arial" w:eastAsia="Arial" w:hAnsi="Arial"/>
          <w:sz w:val="18"/>
          <w:szCs w:val="18"/>
          <w:color w:val="auto"/>
        </w:rPr>
        <w:t xml:space="preserve"> to permit the Public Fundamental Transaction without the assumption of this Warrant.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5" w:name="page276"/>
    <w:bookmarkEnd w:id="275"/>
    <w:p>
      <w:pPr>
        <w:jc w:val="both"/>
        <w:spacing w:after="0" w:line="269" w:lineRule="auto"/>
        <w:rPr>
          <w:sz w:val="20"/>
          <w:szCs w:val="20"/>
          <w:color w:val="auto"/>
        </w:rPr>
      </w:pPr>
      <w:r>
        <w:rPr>
          <w:rFonts w:ascii="Arial" w:cs="Arial" w:eastAsia="Arial" w:hAnsi="Arial"/>
          <w:sz w:val="17"/>
          <w:szCs w:val="17"/>
          <w:color w:val="auto"/>
        </w:rPr>
        <w:t>In addition to and not in substitution for any other rights hereunder, prior to the consummation of each Fundamental Transaction pursuant to which holders of shares of Common Stock are entitled to receive securities or other assets with respect to or in exchange for shares of Common Stock (a “</w:t>
      </w:r>
      <w:r>
        <w:rPr>
          <w:rFonts w:ascii="Arial" w:cs="Arial" w:eastAsia="Arial" w:hAnsi="Arial"/>
          <w:sz w:val="17"/>
          <w:szCs w:val="17"/>
          <w:b w:val="1"/>
          <w:bCs w:val="1"/>
          <w:color w:val="auto"/>
        </w:rPr>
        <w:t>Corporate</w:t>
      </w:r>
      <w:r>
        <w:rPr>
          <w:rFonts w:ascii="Arial" w:cs="Arial" w:eastAsia="Arial" w:hAnsi="Arial"/>
          <w:sz w:val="17"/>
          <w:szCs w:val="17"/>
          <w:color w:val="auto"/>
        </w:rPr>
        <w:t xml:space="preserve"> </w:t>
      </w:r>
      <w:r>
        <w:rPr>
          <w:rFonts w:ascii="Arial" w:cs="Arial" w:eastAsia="Arial" w:hAnsi="Arial"/>
          <w:sz w:val="17"/>
          <w:szCs w:val="17"/>
          <w:b w:val="1"/>
          <w:bCs w:val="1"/>
          <w:color w:val="auto"/>
        </w:rPr>
        <w:t>Event</w:t>
      </w:r>
      <w:r>
        <w:rPr>
          <w:rFonts w:ascii="Arial" w:cs="Arial" w:eastAsia="Arial" w:hAnsi="Arial"/>
          <w:sz w:val="17"/>
          <w:szCs w:val="17"/>
          <w:color w:val="auto"/>
        </w:rPr>
        <w:t>”), the Company shall make appropriate provision to insure that the Holder will thereafter have the right to receive upon an exercise of this Warrant</w:t>
      </w:r>
      <w:r>
        <w:rPr>
          <w:rFonts w:ascii="Arial" w:cs="Arial" w:eastAsia="Arial" w:hAnsi="Arial"/>
          <w:sz w:val="17"/>
          <w:szCs w:val="17"/>
          <w:b w:val="1"/>
          <w:bCs w:val="1"/>
          <w:color w:val="auto"/>
        </w:rPr>
        <w:t xml:space="preserve"> </w:t>
      </w:r>
      <w:r>
        <w:rPr>
          <w:rFonts w:ascii="Arial" w:cs="Arial" w:eastAsia="Arial" w:hAnsi="Arial"/>
          <w:sz w:val="17"/>
          <w:szCs w:val="17"/>
          <w:color w:val="auto"/>
        </w:rPr>
        <w:t>at any time after the consummation of the applicable Fundamental Transaction but prior to the Expiration Date, in lieu of the shares of the Common Stock (or other securities, cash, assets or other property (except such items still issuable under Sections 3‎ and 4(a)‎ above, which shall continue to be receivable thereafter)) issuable upon the exercise of the Warrant prior to such Fundamental Transaction, such shares of stock, securities, cash, assets or any other property whatsoever (including warrants or other purchase or subscription rights) which the Holder would have been entitled to receive upon the happening of the applicable Fundamental Transaction had this Warrant been exercised immediately prior to the applicable Fundamental Transaction (without regard to any limitations on the exercise of this Warrant). Provision made pursuant to the preceding sentence shall be in a form and substance reasonably satisfactory to the Holder.</w:t>
      </w:r>
    </w:p>
    <w:p>
      <w:pPr>
        <w:spacing w:after="0" w:line="172" w:lineRule="exact"/>
        <w:rPr>
          <w:sz w:val="20"/>
          <w:szCs w:val="20"/>
          <w:color w:val="auto"/>
        </w:rPr>
      </w:pPr>
    </w:p>
    <w:p>
      <w:pPr>
        <w:jc w:val="both"/>
        <w:ind w:firstLine="1952"/>
        <w:spacing w:after="0" w:line="271" w:lineRule="auto"/>
        <w:tabs>
          <w:tab w:leader="none" w:pos="2188" w:val="left"/>
        </w:tabs>
        <w:numPr>
          <w:ilvl w:val="1"/>
          <w:numId w:val="281"/>
        </w:numPr>
        <w:rPr>
          <w:rFonts w:ascii="Arial" w:cs="Arial" w:eastAsia="Arial" w:hAnsi="Arial"/>
          <w:sz w:val="17"/>
          <w:szCs w:val="17"/>
          <w:color w:val="auto"/>
        </w:rPr>
      </w:pPr>
      <w:r>
        <w:rPr>
          <w:rFonts w:ascii="Arial" w:cs="Arial" w:eastAsia="Arial" w:hAnsi="Arial"/>
          <w:sz w:val="17"/>
          <w:szCs w:val="17"/>
          <w:u w:val="single" w:color="auto"/>
          <w:color w:val="auto"/>
        </w:rPr>
        <w:t>Holder Optional Redemptions</w:t>
      </w:r>
      <w:r>
        <w:rPr>
          <w:rFonts w:ascii="Arial" w:cs="Arial" w:eastAsia="Arial" w:hAnsi="Arial"/>
          <w:sz w:val="17"/>
          <w:szCs w:val="17"/>
          <w:color w:val="auto"/>
        </w:rPr>
        <w:t xml:space="preserve">. Notwithstanding the foregoing and the provisions of Section </w:t>
      </w:r>
      <w:r>
        <w:rPr>
          <w:rFonts w:ascii="Arial" w:cs="Arial" w:eastAsia="Arial" w:hAnsi="Arial"/>
          <w:sz w:val="20"/>
          <w:szCs w:val="20"/>
          <w:b w:val="1"/>
          <w:bCs w:val="1"/>
          <w:color w:val="auto"/>
        </w:rPr>
        <w:t>‎</w:t>
      </w:r>
      <w:r>
        <w:rPr>
          <w:rFonts w:ascii="Arial" w:cs="Arial" w:eastAsia="Arial" w:hAnsi="Arial"/>
          <w:sz w:val="17"/>
          <w:szCs w:val="17"/>
          <w:color w:val="auto"/>
        </w:rPr>
        <w:t>4(b)(ii) above, at the request of the Holder delivered at any time commencing on the earliest to occur of (x) the public disclosure of any Public Fundamental Transaction, (y) the consummation of any Public Fundamental Transaction and (z) the Holder first becoming aware of any Public Fundamental Transaction through the date that is ninety (90) days after the public disclosure of the consummation of such Public Fundamental Transaction by the Company pursuant to a Current Report on Form 8-K filed with the SEC, the Company or the Successor Entity (as the case may be) shall purchase this Warrant from the Holder on the date of such request by paying to the Holder cash in an amount equal to the Black Scholes Value. Payment of such amounts shall be made by the Company (or at the Company’s direction) to the Holder on or prior to the later of (x) the second (2nd) Trading Day after the date of such request and (y) the date of consummation of such Public Fundamental Transaction.</w:t>
      </w:r>
    </w:p>
    <w:p>
      <w:pPr>
        <w:spacing w:after="0" w:line="166" w:lineRule="exact"/>
        <w:rPr>
          <w:rFonts w:ascii="Arial" w:cs="Arial" w:eastAsia="Arial" w:hAnsi="Arial"/>
          <w:sz w:val="17"/>
          <w:szCs w:val="17"/>
          <w:color w:val="auto"/>
        </w:rPr>
      </w:pPr>
    </w:p>
    <w:p>
      <w:pPr>
        <w:jc w:val="both"/>
        <w:ind w:firstLine="1952"/>
        <w:spacing w:after="0" w:line="300" w:lineRule="auto"/>
        <w:tabs>
          <w:tab w:leader="none" w:pos="2199" w:val="left"/>
        </w:tabs>
        <w:numPr>
          <w:ilvl w:val="1"/>
          <w:numId w:val="281"/>
        </w:numPr>
        <w:rPr>
          <w:rFonts w:ascii="Arial" w:cs="Arial" w:eastAsia="Arial" w:hAnsi="Arial"/>
          <w:sz w:val="16"/>
          <w:szCs w:val="16"/>
          <w:color w:val="auto"/>
        </w:rPr>
      </w:pPr>
      <w:r>
        <w:rPr>
          <w:rFonts w:ascii="Arial" w:cs="Arial" w:eastAsia="Arial" w:hAnsi="Arial"/>
          <w:sz w:val="16"/>
          <w:szCs w:val="16"/>
          <w:u w:val="single" w:color="auto"/>
          <w:color w:val="auto"/>
        </w:rPr>
        <w:t>Application</w:t>
      </w:r>
      <w:r>
        <w:rPr>
          <w:rFonts w:ascii="Arial" w:cs="Arial" w:eastAsia="Arial" w:hAnsi="Arial"/>
          <w:sz w:val="16"/>
          <w:szCs w:val="16"/>
          <w:color w:val="auto"/>
        </w:rPr>
        <w:t xml:space="preserve">. The provisions of this Section </w:t>
      </w:r>
      <w:r>
        <w:rPr>
          <w:rFonts w:ascii="Arial" w:cs="Arial" w:eastAsia="Arial" w:hAnsi="Arial"/>
          <w:sz w:val="19"/>
          <w:szCs w:val="19"/>
          <w:b w:val="1"/>
          <w:bCs w:val="1"/>
          <w:color w:val="auto"/>
        </w:rPr>
        <w:t>‎</w:t>
      </w:r>
      <w:r>
        <w:rPr>
          <w:rFonts w:ascii="Arial" w:cs="Arial" w:eastAsia="Arial" w:hAnsi="Arial"/>
          <w:sz w:val="16"/>
          <w:szCs w:val="16"/>
          <w:color w:val="auto"/>
        </w:rPr>
        <w:t>4 shall apply similarly and equally to successive Fundamental Transactions and Corporate Events and shall be applied as if this Warrant (and any such subsequent warrants) were fully exercisable and without regard to any limitations on the exercise of this Warrant (provided that the Holder shall continue to be entitled to the benefit of the Maximum Percentage, applied however with respect to shares of capital stock registered under the Exchange Act and thereafter receivable upon exercise of this Warrant (or any such other warrant)).</w:t>
      </w:r>
    </w:p>
    <w:p>
      <w:pPr>
        <w:spacing w:after="0" w:line="157" w:lineRule="exact"/>
        <w:rPr>
          <w:rFonts w:ascii="Arial" w:cs="Arial" w:eastAsia="Arial" w:hAnsi="Arial"/>
          <w:sz w:val="16"/>
          <w:szCs w:val="16"/>
          <w:color w:val="auto"/>
        </w:rPr>
      </w:pPr>
    </w:p>
    <w:p>
      <w:pPr>
        <w:jc w:val="both"/>
        <w:ind w:firstLine="1304"/>
        <w:spacing w:after="0" w:line="268" w:lineRule="auto"/>
        <w:tabs>
          <w:tab w:leader="none" w:pos="1476" w:val="left"/>
        </w:tabs>
        <w:numPr>
          <w:ilvl w:val="0"/>
          <w:numId w:val="282"/>
        </w:numPr>
        <w:rPr>
          <w:rFonts w:ascii="Arial" w:cs="Arial" w:eastAsia="Arial" w:hAnsi="Arial"/>
          <w:sz w:val="17"/>
          <w:szCs w:val="17"/>
          <w:color w:val="auto"/>
        </w:rPr>
      </w:pPr>
      <w:r>
        <w:rPr>
          <w:rFonts w:ascii="Arial" w:cs="Arial" w:eastAsia="Arial" w:hAnsi="Arial"/>
          <w:sz w:val="17"/>
          <w:szCs w:val="17"/>
          <w:u w:val="single" w:color="auto"/>
          <w:color w:val="auto"/>
        </w:rPr>
        <w:t>NONCIRCUMVENTION</w:t>
      </w:r>
      <w:r>
        <w:rPr>
          <w:rFonts w:ascii="Arial" w:cs="Arial" w:eastAsia="Arial" w:hAnsi="Arial"/>
          <w:sz w:val="17"/>
          <w:szCs w:val="17"/>
          <w:color w:val="auto"/>
        </w:rPr>
        <w:t>. The Company hereby covenants and agrees that the Company will not, by amendment of its Certificate of Incorporation or Bylaws, or through any reorganization, transfer of assets, consolidation, merger, scheme of arrangement, dissolution, issuance or sale of securities, or any other voluntary action, avoid or seek to avoid the observance or performance of any of the terms of this Warrant, and will at all times in good faith carry out all of the provisions of this Warrant and take all action as may be required to protect the rights of the Holder. Without limiting the generality of the foregoing, the Company (i) shall not increase the par value of any shares of Common Stock receivable upon the exercise of this Warrant above the Exercise Price then in effect, (ii) shall take all such actions as may be necessary or appropriate in order that the Company may validly and legally issue fully paid and nonassessable shares of Common Stock upon the proper exercise of this Warrant by the Holder, and (iii) shall, so long as this Warrant is outstanding, take all action necessary to reserve and keep available out of its authorized and unissued shares of Common Stock, solely for the purpose of effecting the exercise of this Warrant, the number of shares of Common Stock as shall from time to time be necessary to effect the exercise of this Warrant (without regard to any limitations on exercise). Notwithstanding anything herein to the contrary, if after the sixty (60) calendar day anniversary of the Issuance Date, the Holder is not permitted to exercise this Warrant in full for any reason (other than pursuant to restrictions set forth in Section 1(f) hereof), the Company shall use its reasonable best efforts to promptly remedy such failure, including, without limitation, obtaining such consents or approvals as necessary to permit such exercise into shares of Common Stock.</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6" w:name="page277"/>
    <w:bookmarkEnd w:id="276"/>
    <w:p>
      <w:pPr>
        <w:jc w:val="both"/>
        <w:ind w:firstLine="1304"/>
        <w:spacing w:after="0" w:line="287" w:lineRule="auto"/>
        <w:tabs>
          <w:tab w:leader="none" w:pos="1476" w:val="left"/>
        </w:tabs>
        <w:numPr>
          <w:ilvl w:val="0"/>
          <w:numId w:val="283"/>
        </w:numPr>
        <w:rPr>
          <w:rFonts w:ascii="Arial" w:cs="Arial" w:eastAsia="Arial" w:hAnsi="Arial"/>
          <w:sz w:val="16"/>
          <w:szCs w:val="16"/>
          <w:color w:val="auto"/>
        </w:rPr>
      </w:pPr>
      <w:r>
        <w:rPr>
          <w:rFonts w:ascii="Arial" w:cs="Arial" w:eastAsia="Arial" w:hAnsi="Arial"/>
          <w:sz w:val="16"/>
          <w:szCs w:val="16"/>
          <w:u w:val="single" w:color="auto"/>
          <w:color w:val="auto"/>
        </w:rPr>
        <w:t>WARRANT HOLDER NOT DEEMED A STOCKHOLDER</w:t>
      </w:r>
      <w:r>
        <w:rPr>
          <w:rFonts w:ascii="Arial" w:cs="Arial" w:eastAsia="Arial" w:hAnsi="Arial"/>
          <w:sz w:val="16"/>
          <w:szCs w:val="16"/>
          <w:color w:val="auto"/>
        </w:rPr>
        <w:t xml:space="preserve">. Except as otherwise specifically provided herein, the Holder, solely in such Person’s capacity as a holder of this Warrant, shall not be entitled to vote or receive dividends or be deemed the holder of share capital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 Notwithstanding this Section </w:t>
      </w:r>
      <w:r>
        <w:rPr>
          <w:rFonts w:ascii="Arial" w:cs="Arial" w:eastAsia="Arial" w:hAnsi="Arial"/>
          <w:sz w:val="19"/>
          <w:szCs w:val="19"/>
          <w:b w:val="1"/>
          <w:bCs w:val="1"/>
          <w:color w:val="auto"/>
        </w:rPr>
        <w:t>‎</w:t>
      </w:r>
      <w:r>
        <w:rPr>
          <w:rFonts w:ascii="Arial" w:cs="Arial" w:eastAsia="Arial" w:hAnsi="Arial"/>
          <w:sz w:val="16"/>
          <w:szCs w:val="16"/>
          <w:color w:val="auto"/>
        </w:rPr>
        <w:t>6, the Company shall provide the Holder with copies of the same notices and other information given to the stockholders of the Company generally, contemporaneously with the giving thereof to the stockholders.</w:t>
      </w:r>
    </w:p>
    <w:p>
      <w:pPr>
        <w:spacing w:after="0" w:line="161" w:lineRule="exact"/>
        <w:rPr>
          <w:rFonts w:ascii="Arial" w:cs="Arial" w:eastAsia="Arial" w:hAnsi="Arial"/>
          <w:sz w:val="16"/>
          <w:szCs w:val="16"/>
          <w:color w:val="auto"/>
        </w:rPr>
      </w:pPr>
    </w:p>
    <w:p>
      <w:pPr>
        <w:ind w:left="1480" w:hanging="176"/>
        <w:spacing w:after="0"/>
        <w:tabs>
          <w:tab w:leader="none" w:pos="1480" w:val="left"/>
        </w:tabs>
        <w:numPr>
          <w:ilvl w:val="0"/>
          <w:numId w:val="283"/>
        </w:numPr>
        <w:rPr>
          <w:rFonts w:ascii="Arial" w:cs="Arial" w:eastAsia="Arial" w:hAnsi="Arial"/>
          <w:sz w:val="18"/>
          <w:szCs w:val="18"/>
          <w:color w:val="auto"/>
        </w:rPr>
      </w:pPr>
      <w:r>
        <w:rPr>
          <w:rFonts w:ascii="Arial" w:cs="Arial" w:eastAsia="Arial" w:hAnsi="Arial"/>
          <w:sz w:val="18"/>
          <w:szCs w:val="18"/>
          <w:u w:val="single" w:color="auto"/>
          <w:color w:val="auto"/>
        </w:rPr>
        <w:t>REISSUANCE OF WARRANTS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952"/>
        <w:spacing w:after="0" w:line="250" w:lineRule="auto"/>
        <w:tabs>
          <w:tab w:leader="none" w:pos="2188" w:val="left"/>
        </w:tabs>
        <w:numPr>
          <w:ilvl w:val="1"/>
          <w:numId w:val="283"/>
        </w:numPr>
        <w:rPr>
          <w:rFonts w:ascii="Arial" w:cs="Arial" w:eastAsia="Arial" w:hAnsi="Arial"/>
          <w:sz w:val="18"/>
          <w:szCs w:val="18"/>
          <w:color w:val="auto"/>
        </w:rPr>
      </w:pPr>
      <w:r>
        <w:rPr>
          <w:rFonts w:ascii="Arial" w:cs="Arial" w:eastAsia="Arial" w:hAnsi="Arial"/>
          <w:sz w:val="18"/>
          <w:szCs w:val="18"/>
          <w:u w:val="single" w:color="auto"/>
          <w:color w:val="auto"/>
        </w:rPr>
        <w:t>Transfer of Warrant</w:t>
      </w:r>
      <w:r>
        <w:rPr>
          <w:rFonts w:ascii="Arial" w:cs="Arial" w:eastAsia="Arial" w:hAnsi="Arial"/>
          <w:sz w:val="18"/>
          <w:szCs w:val="18"/>
          <w:color w:val="auto"/>
        </w:rPr>
        <w:t xml:space="preserve">. If this Warrant is to be transferred and reissued to the transferee, the Holder shall surrender this Warrant to the Company together with a written assignment of this Warrant substantially in the form attached hereto duly executed by the Holder or its agent or attorney and funds sufficient to pay any transfer taxes payable upon the making of such transfer, whereupon the Company will forthwith issue and deliver upon the order of the Holder a new Warrant (in accordance with Section </w:t>
      </w:r>
      <w:r>
        <w:rPr>
          <w:rFonts w:ascii="Arial" w:cs="Arial" w:eastAsia="Arial" w:hAnsi="Arial"/>
          <w:sz w:val="21"/>
          <w:szCs w:val="21"/>
          <w:b w:val="1"/>
          <w:bCs w:val="1"/>
          <w:color w:val="auto"/>
        </w:rPr>
        <w:t>‎</w:t>
      </w:r>
      <w:r>
        <w:rPr>
          <w:rFonts w:ascii="Arial" w:cs="Arial" w:eastAsia="Arial" w:hAnsi="Arial"/>
          <w:sz w:val="18"/>
          <w:szCs w:val="18"/>
          <w:color w:val="auto"/>
        </w:rPr>
        <w:t xml:space="preserve">7(d)), registered as the Holder may request, representing the right to purchase the number of Warrant Shares being transferred by the Holder and, if less than the total number of Warrant Shares then underlying this Warrant is being transferred, a new Warrant (in accordance with Section </w:t>
      </w:r>
      <w:r>
        <w:rPr>
          <w:rFonts w:ascii="Arial" w:cs="Arial" w:eastAsia="Arial" w:hAnsi="Arial"/>
          <w:sz w:val="21"/>
          <w:szCs w:val="21"/>
          <w:b w:val="1"/>
          <w:bCs w:val="1"/>
          <w:color w:val="auto"/>
        </w:rPr>
        <w:t>‎</w:t>
      </w:r>
      <w:r>
        <w:rPr>
          <w:rFonts w:ascii="Arial" w:cs="Arial" w:eastAsia="Arial" w:hAnsi="Arial"/>
          <w:sz w:val="18"/>
          <w:szCs w:val="18"/>
          <w:color w:val="auto"/>
        </w:rPr>
        <w:t xml:space="preserve">7(d)) to the Holder representing the right to purchase the number of Warrant Shares not being transferred. For the avoidance of doubt, this Section </w:t>
      </w:r>
      <w:r>
        <w:rPr>
          <w:rFonts w:ascii="Arial" w:cs="Arial" w:eastAsia="Arial" w:hAnsi="Arial"/>
          <w:sz w:val="21"/>
          <w:szCs w:val="21"/>
          <w:b w:val="1"/>
          <w:bCs w:val="1"/>
          <w:color w:val="auto"/>
        </w:rPr>
        <w:t>‎</w:t>
      </w:r>
      <w:r>
        <w:rPr>
          <w:rFonts w:ascii="Arial" w:cs="Arial" w:eastAsia="Arial" w:hAnsi="Arial"/>
          <w:sz w:val="18"/>
          <w:szCs w:val="18"/>
          <w:color w:val="auto"/>
        </w:rPr>
        <w:t>7(a) will not apply to a sale, transfer, pledge or assignment of this Warrant that does not involve a reissuance of this Warrant.</w:t>
      </w:r>
    </w:p>
    <w:p>
      <w:pPr>
        <w:spacing w:after="0" w:line="192" w:lineRule="exact"/>
        <w:rPr>
          <w:rFonts w:ascii="Arial" w:cs="Arial" w:eastAsia="Arial" w:hAnsi="Arial"/>
          <w:sz w:val="18"/>
          <w:szCs w:val="18"/>
          <w:color w:val="auto"/>
        </w:rPr>
      </w:pPr>
    </w:p>
    <w:p>
      <w:pPr>
        <w:jc w:val="both"/>
        <w:ind w:firstLine="1952"/>
        <w:spacing w:after="0" w:line="275" w:lineRule="auto"/>
        <w:tabs>
          <w:tab w:leader="none" w:pos="2199" w:val="left"/>
        </w:tabs>
        <w:numPr>
          <w:ilvl w:val="1"/>
          <w:numId w:val="283"/>
        </w:numPr>
        <w:rPr>
          <w:rFonts w:ascii="Arial" w:cs="Arial" w:eastAsia="Arial" w:hAnsi="Arial"/>
          <w:sz w:val="17"/>
          <w:szCs w:val="17"/>
          <w:color w:val="auto"/>
        </w:rPr>
      </w:pPr>
      <w:r>
        <w:rPr>
          <w:rFonts w:ascii="Arial" w:cs="Arial" w:eastAsia="Arial" w:hAnsi="Arial"/>
          <w:sz w:val="17"/>
          <w:szCs w:val="17"/>
          <w:u w:val="single" w:color="auto"/>
          <w:color w:val="auto"/>
        </w:rPr>
        <w:t>Lost, Stolen or Mutilated Warrant</w:t>
      </w:r>
      <w:r>
        <w:rPr>
          <w:rFonts w:ascii="Arial" w:cs="Arial" w:eastAsia="Arial" w:hAnsi="Arial"/>
          <w:sz w:val="17"/>
          <w:szCs w:val="17"/>
          <w:color w:val="auto"/>
        </w:rPr>
        <w:t xml:space="preserve">. Upon receipt by the Company of evidence reasonably satisfactory to the Company of the loss, theft, destruction or mutilation of this Warrant (as to which a written certification and the indemnification contemplated below shall suffice as such evidence), and, in the case of loss, theft or destruction, of any indemnification undertaking by the Holder to the Company in customary and reasonable form and, in the case of mutilation, upon surrender and cancellation of this Warrant, the Company shall execute and deliver to the Holder a new Warrant (in accordance with Section </w:t>
      </w:r>
      <w:r>
        <w:rPr>
          <w:rFonts w:ascii="Arial" w:cs="Arial" w:eastAsia="Arial" w:hAnsi="Arial"/>
          <w:sz w:val="20"/>
          <w:szCs w:val="20"/>
          <w:b w:val="1"/>
          <w:bCs w:val="1"/>
          <w:color w:val="auto"/>
        </w:rPr>
        <w:t>‎</w:t>
      </w:r>
      <w:r>
        <w:rPr>
          <w:rFonts w:ascii="Arial" w:cs="Arial" w:eastAsia="Arial" w:hAnsi="Arial"/>
          <w:sz w:val="17"/>
          <w:szCs w:val="17"/>
          <w:color w:val="auto"/>
        </w:rPr>
        <w:t>7(d)) representing the right to purchase the Warrant Shares then underlying this Warrant.</w:t>
      </w:r>
    </w:p>
    <w:p>
      <w:pPr>
        <w:spacing w:after="0" w:line="163" w:lineRule="exact"/>
        <w:rPr>
          <w:rFonts w:ascii="Arial" w:cs="Arial" w:eastAsia="Arial" w:hAnsi="Arial"/>
          <w:sz w:val="17"/>
          <w:szCs w:val="17"/>
          <w:color w:val="auto"/>
        </w:rPr>
      </w:pPr>
    </w:p>
    <w:p>
      <w:pPr>
        <w:jc w:val="both"/>
        <w:ind w:firstLine="1952"/>
        <w:spacing w:after="0" w:line="295" w:lineRule="auto"/>
        <w:tabs>
          <w:tab w:leader="none" w:pos="2188" w:val="left"/>
        </w:tabs>
        <w:numPr>
          <w:ilvl w:val="1"/>
          <w:numId w:val="283"/>
        </w:numPr>
        <w:rPr>
          <w:rFonts w:ascii="Arial" w:cs="Arial" w:eastAsia="Arial" w:hAnsi="Arial"/>
          <w:sz w:val="16"/>
          <w:szCs w:val="16"/>
          <w:color w:val="auto"/>
        </w:rPr>
      </w:pPr>
      <w:r>
        <w:rPr>
          <w:rFonts w:ascii="Arial" w:cs="Arial" w:eastAsia="Arial" w:hAnsi="Arial"/>
          <w:sz w:val="16"/>
          <w:szCs w:val="16"/>
          <w:u w:val="single" w:color="auto"/>
          <w:color w:val="auto"/>
        </w:rPr>
        <w:t>Exchangeable for Multiple Warrants</w:t>
      </w:r>
      <w:r>
        <w:rPr>
          <w:rFonts w:ascii="Arial" w:cs="Arial" w:eastAsia="Arial" w:hAnsi="Arial"/>
          <w:sz w:val="16"/>
          <w:szCs w:val="16"/>
          <w:color w:val="auto"/>
        </w:rPr>
        <w:t xml:space="preserve">. This Warrant is exchangeable, upon the surrender hereof by the Holder at the principal office of the Company, for a new Warrant or Warrants (in accordance with Section </w:t>
      </w:r>
      <w:r>
        <w:rPr>
          <w:rFonts w:ascii="Arial" w:cs="Arial" w:eastAsia="Arial" w:hAnsi="Arial"/>
          <w:sz w:val="19"/>
          <w:szCs w:val="19"/>
          <w:b w:val="1"/>
          <w:bCs w:val="1"/>
          <w:color w:val="auto"/>
        </w:rPr>
        <w:t>‎</w:t>
      </w:r>
      <w:r>
        <w:rPr>
          <w:rFonts w:ascii="Arial" w:cs="Arial" w:eastAsia="Arial" w:hAnsi="Arial"/>
          <w:sz w:val="16"/>
          <w:szCs w:val="16"/>
          <w:color w:val="auto"/>
        </w:rPr>
        <w:t xml:space="preserve">7(d)) representing in the aggregate the right to purchase the number of Warrant Shares then underlying this Warrant, and each such new Warrant will represent the right to purchase such portion of such Warrant Shares as is designated by the Holder at the time of such surrender;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warrants for fractional shares of Common Stock shall be given.</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7" w:name="page278"/>
    <w:bookmarkEnd w:id="277"/>
    <w:p>
      <w:pPr>
        <w:jc w:val="both"/>
        <w:ind w:firstLine="1952"/>
        <w:spacing w:after="0" w:line="290" w:lineRule="auto"/>
        <w:tabs>
          <w:tab w:leader="none" w:pos="2199" w:val="left"/>
        </w:tabs>
        <w:numPr>
          <w:ilvl w:val="1"/>
          <w:numId w:val="284"/>
        </w:numPr>
        <w:rPr>
          <w:rFonts w:ascii="Arial" w:cs="Arial" w:eastAsia="Arial" w:hAnsi="Arial"/>
          <w:sz w:val="16"/>
          <w:szCs w:val="16"/>
          <w:color w:val="auto"/>
        </w:rPr>
      </w:pPr>
      <w:r>
        <w:rPr>
          <w:rFonts w:ascii="Arial" w:cs="Arial" w:eastAsia="Arial" w:hAnsi="Arial"/>
          <w:sz w:val="16"/>
          <w:szCs w:val="16"/>
          <w:u w:val="single" w:color="auto"/>
          <w:color w:val="auto"/>
        </w:rPr>
        <w:t>Issuance of New Warrants</w:t>
      </w:r>
      <w:r>
        <w:rPr>
          <w:rFonts w:ascii="Arial" w:cs="Arial" w:eastAsia="Arial" w:hAnsi="Arial"/>
          <w:sz w:val="16"/>
          <w:szCs w:val="16"/>
          <w:color w:val="auto"/>
        </w:rPr>
        <w:t xml:space="preserve">. Whenever the Company is required to issue a new Warrant pursuant to the terms of this Warrant, such new Warrant (i) shall be of like tenor with this Warrant, (ii) shall represent, as indicated on the face of such new Warrant, the right to purchase the Warrant Shares then underlying this Warrant (or in the case of a new Warrant being issued pursuant to Section </w:t>
      </w:r>
      <w:r>
        <w:rPr>
          <w:rFonts w:ascii="Arial" w:cs="Arial" w:eastAsia="Arial" w:hAnsi="Arial"/>
          <w:sz w:val="19"/>
          <w:szCs w:val="19"/>
          <w:b w:val="1"/>
          <w:bCs w:val="1"/>
          <w:color w:val="auto"/>
        </w:rPr>
        <w:t>‎</w:t>
      </w:r>
      <w:r>
        <w:rPr>
          <w:rFonts w:ascii="Arial" w:cs="Arial" w:eastAsia="Arial" w:hAnsi="Arial"/>
          <w:sz w:val="16"/>
          <w:szCs w:val="16"/>
          <w:color w:val="auto"/>
        </w:rPr>
        <w:t xml:space="preserve">7(a) or Section </w:t>
      </w:r>
      <w:r>
        <w:rPr>
          <w:rFonts w:ascii="Arial" w:cs="Arial" w:eastAsia="Arial" w:hAnsi="Arial"/>
          <w:sz w:val="19"/>
          <w:szCs w:val="19"/>
          <w:b w:val="1"/>
          <w:bCs w:val="1"/>
          <w:color w:val="auto"/>
        </w:rPr>
        <w:t>‎</w:t>
      </w:r>
      <w:r>
        <w:rPr>
          <w:rFonts w:ascii="Arial" w:cs="Arial" w:eastAsia="Arial" w:hAnsi="Arial"/>
          <w:sz w:val="16"/>
          <w:szCs w:val="16"/>
          <w:color w:val="auto"/>
        </w:rPr>
        <w:t>7(c), the Warrant Shares designated by the Holder which, when added to the number of shares of Common Stock underlying the other new Warrants issued in connection with such issuance, does not exceed the number of Warrant Shares then underlying this Warrant), (iii) shall have an issuance date, as indicated on the face of such new Warrant which is the same as the Issuance Date, and (iv) shall have the same rights and conditions as this Warrant.</w:t>
      </w:r>
    </w:p>
    <w:p>
      <w:pPr>
        <w:spacing w:after="0" w:line="163" w:lineRule="exact"/>
        <w:rPr>
          <w:rFonts w:ascii="Arial" w:cs="Arial" w:eastAsia="Arial" w:hAnsi="Arial"/>
          <w:sz w:val="16"/>
          <w:szCs w:val="16"/>
          <w:color w:val="auto"/>
        </w:rPr>
      </w:pPr>
    </w:p>
    <w:p>
      <w:pPr>
        <w:jc w:val="both"/>
        <w:ind w:firstLine="1304"/>
        <w:spacing w:after="0" w:line="296" w:lineRule="auto"/>
        <w:tabs>
          <w:tab w:leader="none" w:pos="1489" w:val="left"/>
        </w:tabs>
        <w:numPr>
          <w:ilvl w:val="0"/>
          <w:numId w:val="285"/>
        </w:numPr>
        <w:rPr>
          <w:rFonts w:ascii="Arial" w:cs="Arial" w:eastAsia="Arial" w:hAnsi="Arial"/>
          <w:sz w:val="16"/>
          <w:szCs w:val="16"/>
          <w:color w:val="auto"/>
        </w:rPr>
      </w:pPr>
      <w:r>
        <w:rPr>
          <w:rFonts w:ascii="Arial" w:cs="Arial" w:eastAsia="Arial" w:hAnsi="Arial"/>
          <w:sz w:val="16"/>
          <w:szCs w:val="16"/>
          <w:u w:val="single" w:color="auto"/>
          <w:color w:val="auto"/>
        </w:rPr>
        <w:t>NOTICES OF CHANGES IN WARRANT</w:t>
      </w:r>
      <w:r>
        <w:rPr>
          <w:rFonts w:ascii="Arial" w:cs="Arial" w:eastAsia="Arial" w:hAnsi="Arial"/>
          <w:sz w:val="16"/>
          <w:szCs w:val="16"/>
          <w:color w:val="auto"/>
        </w:rPr>
        <w:t>. Whenever notice is required to be given under this Warrant, unless otherwise provided herein, such notice shall be given in accordance with Section 8.2 of the Credit Agreement. Upon every adjustment of the Exercise Price or the number of shares of Common Stock issuable upon exercise of a Warrant, the Company shall give written notice thereof to the Holders, which notice shall state the Exercise Price resulting from such adjustment and the increase or decrease, if any, in the number of Warrant Shares purchasable at such price upon the exercise of a Warrant, setting forth in reasonable detail the method of calculation and the facts upon which such calculation is based.</w:t>
      </w:r>
    </w:p>
    <w:p>
      <w:pPr>
        <w:spacing w:after="0" w:line="161" w:lineRule="exact"/>
        <w:rPr>
          <w:rFonts w:ascii="Arial" w:cs="Arial" w:eastAsia="Arial" w:hAnsi="Arial"/>
          <w:sz w:val="16"/>
          <w:szCs w:val="16"/>
          <w:color w:val="auto"/>
        </w:rPr>
      </w:pPr>
    </w:p>
    <w:p>
      <w:pPr>
        <w:jc w:val="both"/>
        <w:ind w:firstLine="1304"/>
        <w:spacing w:after="0" w:line="301" w:lineRule="auto"/>
        <w:tabs>
          <w:tab w:leader="none" w:pos="1476" w:val="left"/>
        </w:tabs>
        <w:numPr>
          <w:ilvl w:val="0"/>
          <w:numId w:val="285"/>
        </w:numPr>
        <w:rPr>
          <w:rFonts w:ascii="Arial" w:cs="Arial" w:eastAsia="Arial" w:hAnsi="Arial"/>
          <w:sz w:val="16"/>
          <w:szCs w:val="16"/>
          <w:color w:val="auto"/>
        </w:rPr>
      </w:pPr>
      <w:r>
        <w:rPr>
          <w:rFonts w:ascii="Arial" w:cs="Arial" w:eastAsia="Arial" w:hAnsi="Arial"/>
          <w:sz w:val="16"/>
          <w:szCs w:val="16"/>
          <w:u w:val="single" w:color="auto"/>
          <w:color w:val="auto"/>
        </w:rPr>
        <w:t>AMENDMENT AND WAIVER</w:t>
      </w:r>
      <w:r>
        <w:rPr>
          <w:rFonts w:ascii="Arial" w:cs="Arial" w:eastAsia="Arial" w:hAnsi="Arial"/>
          <w:sz w:val="16"/>
          <w:szCs w:val="16"/>
          <w:color w:val="auto"/>
        </w:rPr>
        <w:t>. Except as otherwise provided herein, the provisions of this Warrant may be amended or waived and the Company may take any action herein prohibited, or omit to perform any act herein required to be performed by it, only if the Company has obtained the written consent of (i) the Holder, if there is one Holder, or (ii) the Holder or Holders of the Warrant or Warrants representing the majority of Warrant Shares if there is more than one Holder, and with respect to any amendment, the amendment is in writing and signed by the Company and the Holder.</w:t>
      </w:r>
    </w:p>
    <w:p>
      <w:pPr>
        <w:spacing w:after="0" w:line="157" w:lineRule="exact"/>
        <w:rPr>
          <w:rFonts w:ascii="Arial" w:cs="Arial" w:eastAsia="Arial" w:hAnsi="Arial"/>
          <w:sz w:val="16"/>
          <w:szCs w:val="16"/>
          <w:color w:val="auto"/>
        </w:rPr>
      </w:pPr>
    </w:p>
    <w:p>
      <w:pPr>
        <w:jc w:val="both"/>
        <w:ind w:firstLine="1304"/>
        <w:spacing w:after="0" w:line="283" w:lineRule="auto"/>
        <w:tabs>
          <w:tab w:leader="none" w:pos="1566" w:val="left"/>
        </w:tabs>
        <w:numPr>
          <w:ilvl w:val="0"/>
          <w:numId w:val="285"/>
        </w:numPr>
        <w:rPr>
          <w:rFonts w:ascii="Arial" w:cs="Arial" w:eastAsia="Arial" w:hAnsi="Arial"/>
          <w:sz w:val="16"/>
          <w:szCs w:val="16"/>
          <w:color w:val="auto"/>
        </w:rPr>
      </w:pPr>
      <w:r>
        <w:rPr>
          <w:rFonts w:ascii="Arial" w:cs="Arial" w:eastAsia="Arial" w:hAnsi="Arial"/>
          <w:sz w:val="16"/>
          <w:szCs w:val="16"/>
          <w:u w:val="single" w:color="auto"/>
          <w:color w:val="auto"/>
        </w:rPr>
        <w:t>GOVERNING LAW; JURISDICTION; JURY TRIAL</w:t>
      </w:r>
      <w:r>
        <w:rPr>
          <w:rFonts w:ascii="Arial" w:cs="Arial" w:eastAsia="Arial" w:hAnsi="Arial"/>
          <w:sz w:val="16"/>
          <w:szCs w:val="16"/>
          <w:color w:val="auto"/>
        </w:rPr>
        <w:t xml:space="preserve">. This Warrant shall be governed by and construed and enforced in accordance with, and all questions concerning the construction, validity, interpretation and performance of this Warrant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The Company and the Holder each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The Company and the Holder each hereby irrevocably waives personal service of process and consents to process being served in any such suit, action or proceeding by mailing a copy thereof to the Company or such Holder, as applicable at the address set forth in Section 8.2 of the Credit Agreement and agrees that such service shall constitute good and sufficient service of process and notice thereof. Nothing contained herein shall be deemed to limit in any way any right to serve process in any manner permitted by law. Nothing contained herein shall be deemed or operate to preclude the Holder from bringing suit or taking other legal action against the Company in any other jurisdiction to collect on the Company’s obligations to the Holder, to realize on any collateral or any other security for such obligations, or to enforce a judgment or other court ruling in favor of the Holder. </w:t>
      </w:r>
      <w:r>
        <w:rPr>
          <w:rFonts w:ascii="Arial" w:cs="Arial" w:eastAsia="Arial" w:hAnsi="Arial"/>
          <w:sz w:val="16"/>
          <w:szCs w:val="16"/>
          <w:b w:val="1"/>
          <w:bCs w:val="1"/>
          <w:color w:val="auto"/>
        </w:rPr>
        <w:t>THE COMPANY HEREBY AND THE HOLDER EACH</w:t>
      </w:r>
    </w:p>
    <w:p>
      <w:pPr>
        <w:spacing w:after="0" w:line="1" w:lineRule="exact"/>
        <w:rPr>
          <w:rFonts w:ascii="Arial" w:cs="Arial" w:eastAsia="Arial" w:hAnsi="Arial"/>
          <w:sz w:val="16"/>
          <w:szCs w:val="16"/>
          <w:color w:val="auto"/>
        </w:rPr>
      </w:pPr>
    </w:p>
    <w:p>
      <w:pPr>
        <w:jc w:val="both"/>
        <w:spacing w:after="0" w:line="255" w:lineRule="auto"/>
        <w:rPr>
          <w:rFonts w:ascii="Arial" w:cs="Arial" w:eastAsia="Arial" w:hAnsi="Arial"/>
          <w:sz w:val="16"/>
          <w:szCs w:val="16"/>
          <w:color w:val="auto"/>
        </w:rPr>
      </w:pPr>
      <w:r>
        <w:rPr>
          <w:rFonts w:ascii="Arial" w:cs="Arial" w:eastAsia="Arial" w:hAnsi="Arial"/>
          <w:sz w:val="18"/>
          <w:szCs w:val="18"/>
          <w:b w:val="1"/>
          <w:bCs w:val="1"/>
          <w:color w:val="auto"/>
        </w:rPr>
        <w:t>IRREVOCABLY WAIVES ANY RIGHT IT MAY HAVE, AND AGREES NOT TO REQUEST, A JURY TRIAL FOR THE ADJUDICATION OF ANY DISPUTE HEREUNDER OR IN CONNECTION WITH OR ARISING OUT OF THIS WARRANT OR ANY TRANSACTION CONTEMPLATED HEREBY.</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8" w:name="page279"/>
    <w:bookmarkEnd w:id="278"/>
    <w:p>
      <w:pPr>
        <w:jc w:val="both"/>
        <w:ind w:firstLine="1304"/>
        <w:spacing w:after="0" w:line="301" w:lineRule="auto"/>
        <w:tabs>
          <w:tab w:leader="none" w:pos="1573" w:val="left"/>
        </w:tabs>
        <w:numPr>
          <w:ilvl w:val="0"/>
          <w:numId w:val="286"/>
        </w:numPr>
        <w:rPr>
          <w:rFonts w:ascii="Arial" w:cs="Arial" w:eastAsia="Arial" w:hAnsi="Arial"/>
          <w:sz w:val="16"/>
          <w:szCs w:val="16"/>
          <w:color w:val="auto"/>
        </w:rPr>
      </w:pPr>
      <w:r>
        <w:rPr>
          <w:rFonts w:ascii="Arial" w:cs="Arial" w:eastAsia="Arial" w:hAnsi="Arial"/>
          <w:sz w:val="16"/>
          <w:szCs w:val="16"/>
          <w:u w:val="single" w:color="auto"/>
          <w:color w:val="auto"/>
        </w:rPr>
        <w:t>CONSTRUCTION; HEADINGS; BUSINESS DAYS</w:t>
      </w:r>
      <w:r>
        <w:rPr>
          <w:rFonts w:ascii="Arial" w:cs="Arial" w:eastAsia="Arial" w:hAnsi="Arial"/>
          <w:sz w:val="16"/>
          <w:szCs w:val="16"/>
          <w:color w:val="auto"/>
        </w:rPr>
        <w:t>. This Warrant shall be deemed to be jointly drafted by the Company and the Holder and shall not be construed against any Person as the drafter hereof. The headings of this Warrant are for convenience of reference and shall not form part of, or affect the interpretation of, this Warrant.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57" w:lineRule="exact"/>
        <w:rPr>
          <w:rFonts w:ascii="Arial" w:cs="Arial" w:eastAsia="Arial" w:hAnsi="Arial"/>
          <w:sz w:val="16"/>
          <w:szCs w:val="16"/>
          <w:color w:val="auto"/>
        </w:rPr>
      </w:pPr>
    </w:p>
    <w:p>
      <w:pPr>
        <w:jc w:val="both"/>
        <w:ind w:firstLine="1304"/>
        <w:spacing w:after="0" w:line="268" w:lineRule="auto"/>
        <w:tabs>
          <w:tab w:leader="none" w:pos="1566" w:val="left"/>
        </w:tabs>
        <w:numPr>
          <w:ilvl w:val="0"/>
          <w:numId w:val="286"/>
        </w:numPr>
        <w:rPr>
          <w:rFonts w:ascii="Arial" w:cs="Arial" w:eastAsia="Arial" w:hAnsi="Arial"/>
          <w:sz w:val="17"/>
          <w:szCs w:val="17"/>
          <w:color w:val="auto"/>
        </w:rPr>
      </w:pPr>
      <w:r>
        <w:rPr>
          <w:rFonts w:ascii="Arial" w:cs="Arial" w:eastAsia="Arial" w:hAnsi="Arial"/>
          <w:sz w:val="17"/>
          <w:szCs w:val="17"/>
          <w:u w:val="single" w:color="auto"/>
          <w:color w:val="auto"/>
        </w:rPr>
        <w:t>DISPUTE RESOLUTION</w:t>
      </w:r>
      <w:r>
        <w:rPr>
          <w:rFonts w:ascii="Arial" w:cs="Arial" w:eastAsia="Arial" w:hAnsi="Arial"/>
          <w:sz w:val="17"/>
          <w:szCs w:val="17"/>
          <w:color w:val="auto"/>
        </w:rPr>
        <w:t xml:space="preserve">. In the case of a dispute as to the determination of the Exercise Price or the arithmetic calculation of the Warrant Shares, the Company shall submit the disputed determinations or arithmetic calculations via facsimile or electronic mail within two (2) Business Days of receipt of the Exercise Notice giving rise to such dispute, as the case may be, to the Holder. If the Holder and the Company are unable to agree upon such determination or calculation of the Exercise Price or the Warrant Shares within three (3) Business Days of such disputed determination or arithmetic calculation being submitted to the Holder, then the Company shall, within two (2) Business Days submit via facsimile or electronic mail the dispute to a nationally recognized accounting firm selected by the Holder and reasonably satisfactory to the Company. If the Company does not object in writing to the selection of the accounting firm within two (2) Business Days of notice of the Holder’s selection, the Company will have deemed to have consented to such selection. If the Company does object, the Company shall provide the Holder its rationale for such rejection and five (5) acceptable alternative firms. The Company shall cause at its expense the accepted accounting firm to perform the determinations or calculations and notify the Company and the Holder of the results no later than three (3) Business Days from the time it receives the disputed determinations or calculations. Such accounting firm’s determination or calculation, as the case may be, shall be binding upon all parties absent demonstrable error. In the event that the accounting firm resolves the dispute in the Holder’s favor, a Delivery Failure will be deemed to have occurred and the Buy-In and other remedies available to the Holder under Section </w:t>
      </w:r>
      <w:r>
        <w:rPr>
          <w:rFonts w:ascii="Arial" w:cs="Arial" w:eastAsia="Arial" w:hAnsi="Arial"/>
          <w:sz w:val="20"/>
          <w:szCs w:val="20"/>
          <w:b w:val="1"/>
          <w:bCs w:val="1"/>
          <w:color w:val="auto"/>
        </w:rPr>
        <w:t>‎</w:t>
      </w:r>
      <w:r>
        <w:rPr>
          <w:rFonts w:ascii="Arial" w:cs="Arial" w:eastAsia="Arial" w:hAnsi="Arial"/>
          <w:sz w:val="17"/>
          <w:szCs w:val="17"/>
          <w:color w:val="auto"/>
        </w:rPr>
        <w:t>1(c) will apply.</w:t>
      </w:r>
    </w:p>
    <w:p>
      <w:pPr>
        <w:spacing w:after="0" w:line="174" w:lineRule="exact"/>
        <w:rPr>
          <w:rFonts w:ascii="Arial" w:cs="Arial" w:eastAsia="Arial" w:hAnsi="Arial"/>
          <w:sz w:val="17"/>
          <w:szCs w:val="17"/>
          <w:color w:val="auto"/>
        </w:rPr>
      </w:pPr>
    </w:p>
    <w:p>
      <w:pPr>
        <w:jc w:val="both"/>
        <w:ind w:firstLine="1304"/>
        <w:spacing w:after="0" w:line="272" w:lineRule="auto"/>
        <w:tabs>
          <w:tab w:leader="none" w:pos="1566" w:val="left"/>
        </w:tabs>
        <w:numPr>
          <w:ilvl w:val="0"/>
          <w:numId w:val="286"/>
        </w:numPr>
        <w:rPr>
          <w:rFonts w:ascii="Arial" w:cs="Arial" w:eastAsia="Arial" w:hAnsi="Arial"/>
          <w:sz w:val="17"/>
          <w:szCs w:val="17"/>
          <w:color w:val="auto"/>
        </w:rPr>
      </w:pPr>
      <w:r>
        <w:rPr>
          <w:rFonts w:ascii="Arial" w:cs="Arial" w:eastAsia="Arial" w:hAnsi="Arial"/>
          <w:sz w:val="17"/>
          <w:szCs w:val="17"/>
          <w:u w:val="single" w:color="auto"/>
          <w:color w:val="auto"/>
        </w:rPr>
        <w:t>REMEDIES, OTHER OBLIGATIONS, BREACHES AND INJUNCTIVE RELIEF</w:t>
      </w:r>
      <w:r>
        <w:rPr>
          <w:rFonts w:ascii="Arial" w:cs="Arial" w:eastAsia="Arial" w:hAnsi="Arial"/>
          <w:sz w:val="17"/>
          <w:szCs w:val="17"/>
          <w:color w:val="auto"/>
        </w:rPr>
        <w:t>. The remedies provided in this Warrant shall be cumulative and in addition to all other remedies available under this Warrant and the other Loan Documents, at law or in equity (including a decree of specific performance and/or other injunctive relief), and nothing herein shall limit the right of the Holder to pursue actual damages for any failure by the Company to comply with the terms of this Warrant.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shall be entitled, in addition to all other available remedies, to an injunction restraining any breach, without the necessity of showing economic loss and without any bond or other security being required.</w:t>
      </w:r>
    </w:p>
    <w:p>
      <w:pPr>
        <w:spacing w:after="0" w:line="177" w:lineRule="exact"/>
        <w:rPr>
          <w:rFonts w:ascii="Arial" w:cs="Arial" w:eastAsia="Arial" w:hAnsi="Arial"/>
          <w:sz w:val="17"/>
          <w:szCs w:val="17"/>
          <w:color w:val="auto"/>
        </w:rPr>
      </w:pPr>
    </w:p>
    <w:p>
      <w:pPr>
        <w:jc w:val="both"/>
        <w:ind w:firstLine="1304"/>
        <w:spacing w:after="0" w:line="259" w:lineRule="auto"/>
        <w:tabs>
          <w:tab w:leader="none" w:pos="1566" w:val="left"/>
        </w:tabs>
        <w:numPr>
          <w:ilvl w:val="0"/>
          <w:numId w:val="286"/>
        </w:numPr>
        <w:rPr>
          <w:rFonts w:ascii="Arial" w:cs="Arial" w:eastAsia="Arial" w:hAnsi="Arial"/>
          <w:sz w:val="18"/>
          <w:szCs w:val="18"/>
          <w:color w:val="auto"/>
        </w:rPr>
      </w:pPr>
      <w:r>
        <w:rPr>
          <w:rFonts w:ascii="Arial" w:cs="Arial" w:eastAsia="Arial" w:hAnsi="Arial"/>
          <w:sz w:val="18"/>
          <w:szCs w:val="18"/>
          <w:u w:val="single" w:color="auto"/>
          <w:color w:val="auto"/>
        </w:rPr>
        <w:t>TRANSFER</w:t>
      </w:r>
      <w:r>
        <w:rPr>
          <w:rFonts w:ascii="Arial" w:cs="Arial" w:eastAsia="Arial" w:hAnsi="Arial"/>
          <w:sz w:val="18"/>
          <w:szCs w:val="18"/>
          <w:color w:val="auto"/>
        </w:rPr>
        <w:t>. This Warrant and the Warrant Shares may be offered for sale, sold, transferred, pledged or assigned without the consent of the Company, subject to compliance with applicable state and federal securities laws. The Holder acknowledges that the Warrant Shares acquired upon the exercise of this Warrant, if not registered, and the Holder does not utilize cashless exercise, will have restrictions upon resale imposed by state and federal securities laws.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9" w:name="page280"/>
    <w:bookmarkEnd w:id="279"/>
    <w:p>
      <w:pPr>
        <w:jc w:val="both"/>
        <w:ind w:firstLine="1304"/>
        <w:spacing w:after="0" w:line="271" w:lineRule="auto"/>
        <w:tabs>
          <w:tab w:leader="none" w:pos="1566" w:val="left"/>
        </w:tabs>
        <w:numPr>
          <w:ilvl w:val="0"/>
          <w:numId w:val="287"/>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of this Warrant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Warrant so long as this Warrant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178" w:lineRule="exact"/>
        <w:rPr>
          <w:rFonts w:ascii="Arial" w:cs="Arial" w:eastAsia="Arial" w:hAnsi="Arial"/>
          <w:sz w:val="17"/>
          <w:szCs w:val="17"/>
          <w:color w:val="auto"/>
        </w:rPr>
      </w:pPr>
    </w:p>
    <w:p>
      <w:pPr>
        <w:ind w:firstLine="1304"/>
        <w:spacing w:after="0" w:line="277" w:lineRule="auto"/>
        <w:tabs>
          <w:tab w:leader="none" w:pos="1566" w:val="left"/>
        </w:tabs>
        <w:numPr>
          <w:ilvl w:val="0"/>
          <w:numId w:val="287"/>
        </w:numPr>
        <w:rPr>
          <w:rFonts w:ascii="Arial" w:cs="Arial" w:eastAsia="Arial" w:hAnsi="Arial"/>
          <w:sz w:val="18"/>
          <w:szCs w:val="18"/>
          <w:color w:val="auto"/>
        </w:rPr>
      </w:pPr>
      <w:r>
        <w:rPr>
          <w:rFonts w:ascii="Arial" w:cs="Arial" w:eastAsia="Arial" w:hAnsi="Arial"/>
          <w:sz w:val="18"/>
          <w:szCs w:val="18"/>
          <w:u w:val="single" w:color="auto"/>
          <w:color w:val="auto"/>
        </w:rPr>
        <w:t>NO DISCLOSURE</w:t>
      </w:r>
      <w:r>
        <w:rPr>
          <w:rFonts w:ascii="Arial" w:cs="Arial" w:eastAsia="Arial" w:hAnsi="Arial"/>
          <w:sz w:val="18"/>
          <w:szCs w:val="18"/>
          <w:color w:val="auto"/>
        </w:rPr>
        <w:t>. The Company shall not provide material, non-public information or confidential or proprietary information to the Holder without such Holder’s written consent.</w:t>
      </w:r>
    </w:p>
    <w:p>
      <w:pPr>
        <w:spacing w:after="0" w:line="170" w:lineRule="exact"/>
        <w:rPr>
          <w:rFonts w:ascii="Arial" w:cs="Arial" w:eastAsia="Arial" w:hAnsi="Arial"/>
          <w:sz w:val="18"/>
          <w:szCs w:val="18"/>
          <w:color w:val="auto"/>
        </w:rPr>
      </w:pPr>
    </w:p>
    <w:p>
      <w:pPr>
        <w:ind w:left="1580" w:hanging="276"/>
        <w:spacing w:after="0"/>
        <w:tabs>
          <w:tab w:leader="none" w:pos="1580" w:val="left"/>
        </w:tabs>
        <w:numPr>
          <w:ilvl w:val="0"/>
          <w:numId w:val="287"/>
        </w:numPr>
        <w:rPr>
          <w:rFonts w:ascii="Arial" w:cs="Arial" w:eastAsia="Arial" w:hAnsi="Arial"/>
          <w:sz w:val="18"/>
          <w:szCs w:val="18"/>
          <w:color w:val="auto"/>
        </w:rPr>
      </w:pPr>
      <w:r>
        <w:rPr>
          <w:rFonts w:ascii="Arial" w:cs="Arial" w:eastAsia="Arial" w:hAnsi="Arial"/>
          <w:sz w:val="18"/>
          <w:szCs w:val="18"/>
          <w:u w:val="single" w:color="auto"/>
          <w:color w:val="auto"/>
        </w:rPr>
        <w:t>REPRESENTATIONS OF HOLDERS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952"/>
        <w:spacing w:after="0" w:line="263" w:lineRule="auto"/>
        <w:tabs>
          <w:tab w:leader="none" w:pos="2188" w:val="left"/>
        </w:tabs>
        <w:numPr>
          <w:ilvl w:val="1"/>
          <w:numId w:val="287"/>
        </w:numPr>
        <w:rPr>
          <w:rFonts w:ascii="Arial" w:cs="Arial" w:eastAsia="Arial" w:hAnsi="Arial"/>
          <w:sz w:val="18"/>
          <w:szCs w:val="18"/>
          <w:color w:val="auto"/>
        </w:rPr>
      </w:pPr>
      <w:r>
        <w:rPr>
          <w:rFonts w:ascii="Arial" w:cs="Arial" w:eastAsia="Arial" w:hAnsi="Arial"/>
          <w:sz w:val="18"/>
          <w:szCs w:val="18"/>
          <w:u w:val="single" w:color="auto"/>
          <w:color w:val="auto"/>
        </w:rPr>
        <w:t>Investment Intent</w:t>
      </w:r>
      <w:r>
        <w:rPr>
          <w:rFonts w:ascii="Arial" w:cs="Arial" w:eastAsia="Arial" w:hAnsi="Arial"/>
          <w:sz w:val="18"/>
          <w:szCs w:val="18"/>
          <w:color w:val="auto"/>
        </w:rPr>
        <w:t>. Each Holder represents and warrants that it is acquiring this Warrant and the Warrant Shares (collectively, the “</w:t>
      </w:r>
      <w:r>
        <w:rPr>
          <w:rFonts w:ascii="Arial" w:cs="Arial" w:eastAsia="Arial" w:hAnsi="Arial"/>
          <w:sz w:val="18"/>
          <w:szCs w:val="18"/>
          <w:b w:val="1"/>
          <w:bCs w:val="1"/>
          <w:color w:val="auto"/>
        </w:rPr>
        <w:t>Securities</w:t>
      </w:r>
      <w:r>
        <w:rPr>
          <w:rFonts w:ascii="Arial" w:cs="Arial" w:eastAsia="Arial" w:hAnsi="Arial"/>
          <w:sz w:val="18"/>
          <w:szCs w:val="18"/>
          <w:color w:val="auto"/>
        </w:rPr>
        <w:t>”), solely for its beneficial account, for investment purposes, and not with a view to, or for resale in connection with, any distribution of the Securities in violation of applicable securities laws.</w:t>
      </w:r>
    </w:p>
    <w:p>
      <w:pPr>
        <w:spacing w:after="0" w:line="183" w:lineRule="exact"/>
        <w:rPr>
          <w:rFonts w:ascii="Arial" w:cs="Arial" w:eastAsia="Arial" w:hAnsi="Arial"/>
          <w:sz w:val="18"/>
          <w:szCs w:val="18"/>
          <w:color w:val="auto"/>
        </w:rPr>
      </w:pPr>
    </w:p>
    <w:p>
      <w:pPr>
        <w:jc w:val="both"/>
        <w:ind w:firstLine="1952"/>
        <w:spacing w:after="0" w:line="286" w:lineRule="auto"/>
        <w:tabs>
          <w:tab w:leader="none" w:pos="2199" w:val="left"/>
        </w:tabs>
        <w:numPr>
          <w:ilvl w:val="1"/>
          <w:numId w:val="287"/>
        </w:numPr>
        <w:rPr>
          <w:rFonts w:ascii="Arial" w:cs="Arial" w:eastAsia="Arial" w:hAnsi="Arial"/>
          <w:sz w:val="17"/>
          <w:szCs w:val="17"/>
          <w:color w:val="auto"/>
        </w:rPr>
      </w:pPr>
      <w:r>
        <w:rPr>
          <w:rFonts w:ascii="Arial" w:cs="Arial" w:eastAsia="Arial" w:hAnsi="Arial"/>
          <w:sz w:val="17"/>
          <w:szCs w:val="17"/>
          <w:u w:val="single" w:color="auto"/>
          <w:color w:val="auto"/>
        </w:rPr>
        <w:t>Unregistered Securities</w:t>
      </w:r>
      <w:r>
        <w:rPr>
          <w:rFonts w:ascii="Arial" w:cs="Arial" w:eastAsia="Arial" w:hAnsi="Arial"/>
          <w:sz w:val="17"/>
          <w:szCs w:val="17"/>
          <w:color w:val="auto"/>
        </w:rPr>
        <w:t>. Each Holder represents and warrants that it understands that the Securities have not been registered under the Securities Act or any state securities laws by reason of specific exemptions under the provisions thereof, the availability of which depend in part upon the bona fide nature of its investment intent and upon the accuracy of its representations made herein.</w:t>
      </w:r>
    </w:p>
    <w:p>
      <w:pPr>
        <w:spacing w:after="0" w:line="165" w:lineRule="exact"/>
        <w:rPr>
          <w:rFonts w:ascii="Arial" w:cs="Arial" w:eastAsia="Arial" w:hAnsi="Arial"/>
          <w:sz w:val="17"/>
          <w:szCs w:val="17"/>
          <w:color w:val="auto"/>
        </w:rPr>
      </w:pPr>
    </w:p>
    <w:p>
      <w:pPr>
        <w:jc w:val="both"/>
        <w:ind w:firstLine="1952"/>
        <w:spacing w:after="0" w:line="263" w:lineRule="auto"/>
        <w:tabs>
          <w:tab w:leader="none" w:pos="2242" w:val="left"/>
        </w:tabs>
        <w:numPr>
          <w:ilvl w:val="1"/>
          <w:numId w:val="287"/>
        </w:numPr>
        <w:rPr>
          <w:rFonts w:ascii="Arial" w:cs="Arial" w:eastAsia="Arial" w:hAnsi="Arial"/>
          <w:sz w:val="18"/>
          <w:szCs w:val="18"/>
          <w:color w:val="auto"/>
        </w:rPr>
      </w:pPr>
      <w:r>
        <w:rPr>
          <w:rFonts w:ascii="Arial" w:cs="Arial" w:eastAsia="Arial" w:hAnsi="Arial"/>
          <w:sz w:val="18"/>
          <w:szCs w:val="18"/>
          <w:u w:val="single" w:color="auto"/>
          <w:color w:val="auto"/>
        </w:rPr>
        <w:t>Reliance</w:t>
      </w:r>
      <w:r>
        <w:rPr>
          <w:rFonts w:ascii="Arial" w:cs="Arial" w:eastAsia="Arial" w:hAnsi="Arial"/>
          <w:sz w:val="18"/>
          <w:szCs w:val="18"/>
          <w:color w:val="auto"/>
        </w:rPr>
        <w:t>. Each Holder represents and warrants that it understands that the Company is relying in part upon the representations and agreements of the Holders contained herein for the purpose of determining whether the offer, sale and issuance of the Securities meet the requirements for such exemptions described in Section 17(b).</w:t>
      </w:r>
    </w:p>
    <w:p>
      <w:pPr>
        <w:spacing w:after="0" w:line="183" w:lineRule="exact"/>
        <w:rPr>
          <w:rFonts w:ascii="Arial" w:cs="Arial" w:eastAsia="Arial" w:hAnsi="Arial"/>
          <w:sz w:val="18"/>
          <w:szCs w:val="18"/>
          <w:color w:val="auto"/>
        </w:rPr>
      </w:pPr>
    </w:p>
    <w:p>
      <w:pPr>
        <w:ind w:left="2200" w:hanging="248"/>
        <w:spacing w:after="0"/>
        <w:tabs>
          <w:tab w:leader="none" w:pos="2200" w:val="left"/>
        </w:tabs>
        <w:numPr>
          <w:ilvl w:val="1"/>
          <w:numId w:val="287"/>
        </w:numPr>
        <w:rPr>
          <w:rFonts w:ascii="Arial" w:cs="Arial" w:eastAsia="Arial" w:hAnsi="Arial"/>
          <w:sz w:val="16"/>
          <w:szCs w:val="16"/>
          <w:color w:val="auto"/>
        </w:rPr>
      </w:pPr>
      <w:r>
        <w:rPr>
          <w:rFonts w:ascii="Arial" w:cs="Arial" w:eastAsia="Arial" w:hAnsi="Arial"/>
          <w:sz w:val="16"/>
          <w:szCs w:val="16"/>
          <w:u w:val="single" w:color="auto"/>
          <w:color w:val="auto"/>
        </w:rPr>
        <w:t>Accredited Investor</w:t>
      </w:r>
      <w:r>
        <w:rPr>
          <w:rFonts w:ascii="Arial" w:cs="Arial" w:eastAsia="Arial" w:hAnsi="Arial"/>
          <w:sz w:val="16"/>
          <w:szCs w:val="16"/>
          <w:color w:val="auto"/>
        </w:rPr>
        <w:t>. Each Holder represents and warrants that it is an “accredited investor” as defined in Rule 501(a) under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Securities Act.</w:t>
      </w:r>
    </w:p>
    <w:p>
      <w:pPr>
        <w:spacing w:after="0" w:line="210" w:lineRule="exact"/>
        <w:rPr>
          <w:rFonts w:ascii="Arial" w:cs="Arial" w:eastAsia="Arial" w:hAnsi="Arial"/>
          <w:sz w:val="16"/>
          <w:szCs w:val="16"/>
          <w:color w:val="auto"/>
        </w:rPr>
      </w:pPr>
    </w:p>
    <w:p>
      <w:pPr>
        <w:jc w:val="both"/>
        <w:ind w:right="20" w:firstLine="1952"/>
        <w:spacing w:after="0" w:line="263" w:lineRule="auto"/>
        <w:tabs>
          <w:tab w:leader="none" w:pos="2202" w:val="left"/>
        </w:tabs>
        <w:numPr>
          <w:ilvl w:val="1"/>
          <w:numId w:val="287"/>
        </w:numPr>
        <w:rPr>
          <w:rFonts w:ascii="Arial" w:cs="Arial" w:eastAsia="Arial" w:hAnsi="Arial"/>
          <w:sz w:val="18"/>
          <w:szCs w:val="18"/>
          <w:color w:val="auto"/>
        </w:rPr>
      </w:pPr>
      <w:r>
        <w:rPr>
          <w:rFonts w:ascii="Arial" w:cs="Arial" w:eastAsia="Arial" w:hAnsi="Arial"/>
          <w:sz w:val="18"/>
          <w:szCs w:val="18"/>
          <w:u w:val="single" w:color="auto"/>
          <w:color w:val="auto"/>
        </w:rPr>
        <w:t>Sophisticated Investor</w:t>
      </w:r>
      <w:r>
        <w:rPr>
          <w:rFonts w:ascii="Arial" w:cs="Arial" w:eastAsia="Arial" w:hAnsi="Arial"/>
          <w:sz w:val="18"/>
          <w:szCs w:val="18"/>
          <w:color w:val="auto"/>
        </w:rPr>
        <w:t>. Each Holder represents and warrants that it has such knowledge, skill and experience in business, financial and investment matters that it is capable of evaluating the merits and risks of an investment in the Securities, including experience in and knowledge of the industry in which the Company operates.</w:t>
      </w:r>
    </w:p>
    <w:p>
      <w:pPr>
        <w:spacing w:after="0" w:line="183" w:lineRule="exact"/>
        <w:rPr>
          <w:rFonts w:ascii="Arial" w:cs="Arial" w:eastAsia="Arial" w:hAnsi="Arial"/>
          <w:sz w:val="18"/>
          <w:szCs w:val="18"/>
          <w:color w:val="auto"/>
        </w:rPr>
      </w:pPr>
    </w:p>
    <w:p>
      <w:pPr>
        <w:jc w:val="both"/>
        <w:ind w:firstLine="1952"/>
        <w:spacing w:after="0" w:line="263" w:lineRule="auto"/>
        <w:tabs>
          <w:tab w:leader="none" w:pos="2169" w:val="left"/>
        </w:tabs>
        <w:numPr>
          <w:ilvl w:val="1"/>
          <w:numId w:val="287"/>
        </w:numPr>
        <w:rPr>
          <w:rFonts w:ascii="Arial" w:cs="Arial" w:eastAsia="Arial" w:hAnsi="Arial"/>
          <w:sz w:val="18"/>
          <w:szCs w:val="18"/>
          <w:color w:val="auto"/>
        </w:rPr>
      </w:pPr>
      <w:r>
        <w:rPr>
          <w:rFonts w:ascii="Arial" w:cs="Arial" w:eastAsia="Arial" w:hAnsi="Arial"/>
          <w:sz w:val="18"/>
          <w:szCs w:val="18"/>
          <w:u w:val="single" w:color="auto"/>
          <w:color w:val="auto"/>
        </w:rPr>
        <w:t>Restricted Securities</w:t>
      </w:r>
      <w:r>
        <w:rPr>
          <w:rFonts w:ascii="Arial" w:cs="Arial" w:eastAsia="Arial" w:hAnsi="Arial"/>
          <w:sz w:val="18"/>
          <w:szCs w:val="18"/>
          <w:color w:val="auto"/>
        </w:rPr>
        <w:t>. Each Holder represents and warrants that it understand that the Securities will be “restricted securities” under applicable federal securities laws and that the Securities Act and the rules of the SEC provide in substance that it may dispose of the Securities only pursuant to an effective registration statement under the Securities Act or an exemption therefrom.</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0" w:name="page281"/>
    <w:bookmarkEnd w:id="280"/>
    <w:p>
      <w:pPr>
        <w:jc w:val="both"/>
        <w:ind w:firstLine="1952"/>
        <w:spacing w:after="0" w:line="270" w:lineRule="auto"/>
        <w:tabs>
          <w:tab w:leader="none" w:pos="2212" w:val="left"/>
        </w:tabs>
        <w:numPr>
          <w:ilvl w:val="2"/>
          <w:numId w:val="288"/>
        </w:numPr>
        <w:rPr>
          <w:rFonts w:ascii="Arial" w:cs="Arial" w:eastAsia="Arial" w:hAnsi="Arial"/>
          <w:sz w:val="17"/>
          <w:szCs w:val="17"/>
          <w:color w:val="auto"/>
        </w:rPr>
      </w:pPr>
      <w:r>
        <w:rPr>
          <w:rFonts w:ascii="Arial" w:cs="Arial" w:eastAsia="Arial" w:hAnsi="Arial"/>
          <w:sz w:val="17"/>
          <w:szCs w:val="17"/>
          <w:u w:val="single" w:color="auto"/>
          <w:color w:val="auto"/>
        </w:rPr>
        <w:t>Information</w:t>
      </w:r>
      <w:r>
        <w:rPr>
          <w:rFonts w:ascii="Arial" w:cs="Arial" w:eastAsia="Arial" w:hAnsi="Arial"/>
          <w:sz w:val="17"/>
          <w:szCs w:val="17"/>
          <w:color w:val="auto"/>
        </w:rPr>
        <w:t>. Each Holder represents and warrants that it has been furnished by the Company all information (or provided access to all information) regarding the business and financial condition of the Company, the attributes of the Securities, and the merits and risks of an investment in such Securities which it has requested or otherwise needs to evaluate the investment in such Securities; that in making the proposed investment decision, such Holder is relying solely on such information, the representations, warranties and agreements of the Company and the other Loan Parties contained herein and in the other Loan Documents and on investigations made by it and its representatives; that the offer to sell the Securities hereunder was communicated to such Holder in such a manner that it was able to ask questions of and receive answers from the management of the Company concerning the terms and conditions of the proposed transaction and that at no time was it presented with or solicited by or through any leaflet, public promotional meeting, television advertisement or any other form of general or public advertising or solicitation; and such Holder recognizes that an investment in the Securities involves risks and can result in a total loss of all funds invested.</w:t>
      </w:r>
    </w:p>
    <w:p>
      <w:pPr>
        <w:spacing w:after="0" w:line="180" w:lineRule="exact"/>
        <w:rPr>
          <w:rFonts w:ascii="Arial" w:cs="Arial" w:eastAsia="Arial" w:hAnsi="Arial"/>
          <w:sz w:val="17"/>
          <w:szCs w:val="17"/>
          <w:color w:val="auto"/>
        </w:rPr>
      </w:pPr>
    </w:p>
    <w:p>
      <w:pPr>
        <w:jc w:val="both"/>
        <w:ind w:firstLine="1952"/>
        <w:spacing w:after="0" w:line="287" w:lineRule="auto"/>
        <w:tabs>
          <w:tab w:leader="none" w:pos="2199" w:val="left"/>
        </w:tabs>
        <w:numPr>
          <w:ilvl w:val="2"/>
          <w:numId w:val="288"/>
        </w:numPr>
        <w:rPr>
          <w:rFonts w:ascii="Arial" w:cs="Arial" w:eastAsia="Arial" w:hAnsi="Arial"/>
          <w:sz w:val="16"/>
          <w:szCs w:val="16"/>
          <w:color w:val="auto"/>
        </w:rPr>
      </w:pPr>
      <w:r>
        <w:rPr>
          <w:rFonts w:ascii="Arial" w:cs="Arial" w:eastAsia="Arial" w:hAnsi="Arial"/>
          <w:sz w:val="16"/>
          <w:szCs w:val="16"/>
          <w:u w:val="single" w:color="auto"/>
          <w:color w:val="auto"/>
        </w:rPr>
        <w:t>Non-Reliance</w:t>
      </w:r>
      <w:r>
        <w:rPr>
          <w:rFonts w:ascii="Arial" w:cs="Arial" w:eastAsia="Arial" w:hAnsi="Arial"/>
          <w:sz w:val="16"/>
          <w:szCs w:val="16"/>
          <w:color w:val="auto"/>
        </w:rPr>
        <w:t xml:space="preserve">. Notwithstanding anything in this Warrant to the contrary, each Holder hereby acknowledges, with respect to itself, that the Company may possess material non-public information with respect to the Company and/or its securities not known to each Holder as of the date hereof or at a time when each Holder exercises its right to purchase Warrant Shares pursuant to this Warrant and that any such information may impact the value of the Warrant and the Warrant Shares. Each Holder with respect to itself irrevocably waives any claim, or potential claim, that it may have based on the failure of the Company or its Affiliates, officers, directors, employees, agents or other representatives to disclose such information in connection with the execution and delivery of this Warrant or the purchase of Warrant Shares hereunder;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notwithstanding anything in this Section 17(h) or otherwise to the contrary, each Holder does not and shall not be deemed to have waived or otherwise compromised any rights or claims based upon or arising out of (i) the Company’s disclosure obligations under the federal securities laws with respect to any untrue statement of a material fact or omission to state a material fact necessary in order to make the statements made, in the light of the circumstances under which they were made, not misleading in any public statement or filing made by the Company pursuant to the Exchange Act, or (ii) any breach or inaccuracy of any representation or warranty of the Company or any other Loan Party in the Credit Agreement or any other Loan Document. Each Holder with respect to itself acknowledges that the Company would not enter into this Warrant in the absence of the agreements set forth in this Section 17.</w:t>
      </w:r>
    </w:p>
    <w:p>
      <w:pPr>
        <w:spacing w:after="0" w:line="167" w:lineRule="exact"/>
        <w:rPr>
          <w:rFonts w:ascii="Arial" w:cs="Arial" w:eastAsia="Arial" w:hAnsi="Arial"/>
          <w:sz w:val="16"/>
          <w:szCs w:val="16"/>
          <w:color w:val="auto"/>
        </w:rPr>
      </w:pPr>
    </w:p>
    <w:p>
      <w:pPr>
        <w:jc w:val="both"/>
        <w:ind w:firstLine="1304"/>
        <w:spacing w:after="0" w:line="263" w:lineRule="auto"/>
        <w:tabs>
          <w:tab w:leader="none" w:pos="1566" w:val="left"/>
        </w:tabs>
        <w:numPr>
          <w:ilvl w:val="1"/>
          <w:numId w:val="289"/>
        </w:numPr>
        <w:rPr>
          <w:rFonts w:ascii="Arial" w:cs="Arial" w:eastAsia="Arial" w:hAnsi="Arial"/>
          <w:sz w:val="18"/>
          <w:szCs w:val="18"/>
          <w:color w:val="auto"/>
        </w:rPr>
      </w:pPr>
      <w:r>
        <w:rPr>
          <w:rFonts w:ascii="Arial" w:cs="Arial" w:eastAsia="Arial" w:hAnsi="Arial"/>
          <w:sz w:val="18"/>
          <w:szCs w:val="18"/>
          <w:u w:val="single" w:color="auto"/>
          <w:color w:val="auto"/>
        </w:rPr>
        <w:t>REPRESENTATIONS OF THE COMPANY</w:t>
      </w:r>
      <w:r>
        <w:rPr>
          <w:rFonts w:ascii="Arial" w:cs="Arial" w:eastAsia="Arial" w:hAnsi="Arial"/>
          <w:sz w:val="18"/>
          <w:szCs w:val="18"/>
          <w:color w:val="auto"/>
        </w:rPr>
        <w:t>. The Company represents and warrants to the Holder that, except as set forth in (i) the SEC Reports or (ii) the draft Annual Report on Form 10-K for the fiscal year ended June 30, 2023 in the form provided to the Holder (the “</w:t>
      </w:r>
      <w:r>
        <w:rPr>
          <w:rFonts w:ascii="Arial" w:cs="Arial" w:eastAsia="Arial" w:hAnsi="Arial"/>
          <w:sz w:val="18"/>
          <w:szCs w:val="18"/>
          <w:b w:val="1"/>
          <w:bCs w:val="1"/>
          <w:i w:val="1"/>
          <w:iCs w:val="1"/>
          <w:color w:val="auto"/>
        </w:rPr>
        <w:t>2023 Form 10-K</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2200" w:hanging="248"/>
        <w:spacing w:after="0"/>
        <w:tabs>
          <w:tab w:leader="none" w:pos="2200" w:val="left"/>
        </w:tabs>
        <w:numPr>
          <w:ilvl w:val="2"/>
          <w:numId w:val="289"/>
        </w:numPr>
        <w:rPr>
          <w:rFonts w:ascii="Arial" w:cs="Arial" w:eastAsia="Arial" w:hAnsi="Arial"/>
          <w:sz w:val="16"/>
          <w:szCs w:val="16"/>
          <w:color w:val="auto"/>
        </w:rPr>
      </w:pPr>
      <w:r>
        <w:rPr>
          <w:rFonts w:ascii="Arial" w:cs="Arial" w:eastAsia="Arial" w:hAnsi="Arial"/>
          <w:sz w:val="16"/>
          <w:szCs w:val="16"/>
          <w:color w:val="auto"/>
        </w:rPr>
        <w:t>The Company (i) is duly organized, validly existing and in good standing under the laws of its jurisdiction of incorporation;</w:t>
      </w:r>
    </w:p>
    <w:p>
      <w:pPr>
        <w:spacing w:after="0" w:line="46" w:lineRule="exact"/>
        <w:rPr>
          <w:rFonts w:ascii="Arial" w:cs="Arial" w:eastAsia="Arial" w:hAnsi="Arial"/>
          <w:sz w:val="16"/>
          <w:szCs w:val="16"/>
          <w:color w:val="auto"/>
        </w:rPr>
      </w:pPr>
    </w:p>
    <w:p>
      <w:pPr>
        <w:jc w:val="both"/>
        <w:ind w:firstLine="8"/>
        <w:spacing w:after="0" w:line="286" w:lineRule="auto"/>
        <w:tabs>
          <w:tab w:leader="none" w:pos="277" w:val="left"/>
        </w:tabs>
        <w:numPr>
          <w:ilvl w:val="0"/>
          <w:numId w:val="290"/>
        </w:numPr>
        <w:rPr>
          <w:rFonts w:ascii="Arial" w:cs="Arial" w:eastAsia="Arial" w:hAnsi="Arial"/>
          <w:sz w:val="16"/>
          <w:szCs w:val="16"/>
          <w:color w:val="auto"/>
        </w:rPr>
      </w:pPr>
      <w:r>
        <w:rPr>
          <w:rFonts w:ascii="Arial" w:cs="Arial" w:eastAsia="Arial" w:hAnsi="Arial"/>
          <w:sz w:val="16"/>
          <w:szCs w:val="16"/>
          <w:color w:val="auto"/>
        </w:rPr>
        <w:t>has the requisite power and authority to own, lease and operate its properties, to carry on its business as it is now being conducted and to enter into, deliver and perform its obligations under this Warrant; and (iii) is duly licensed or qualified to conduct its business and, if applicable, is in good standing under the laws of each jurisdiction (other than its jurisdiction of incorporation) in which the conduct of its business or the ownership of its properties or assets requires such license or qualification, except, with respect to the foregoing clause (iii), where the failure to be in good standing would not reasonably be expected to have a Company Material Adverse Effect. For purposes of this Warrant, a “</w:t>
      </w:r>
      <w:r>
        <w:rPr>
          <w:rFonts w:ascii="Arial" w:cs="Arial" w:eastAsia="Arial" w:hAnsi="Arial"/>
          <w:sz w:val="16"/>
          <w:szCs w:val="16"/>
          <w:b w:val="1"/>
          <w:bCs w:val="1"/>
          <w:color w:val="auto"/>
        </w:rPr>
        <w:t>Company Material Adverse Effect</w:t>
      </w:r>
      <w:r>
        <w:rPr>
          <w:rFonts w:ascii="Arial" w:cs="Arial" w:eastAsia="Arial" w:hAnsi="Arial"/>
          <w:sz w:val="16"/>
          <w:szCs w:val="16"/>
          <w:color w:val="auto"/>
        </w:rPr>
        <w:t>” means an event, change, development, occurrence, condition or effect with respect to the Company and its subsidiaries, taken together as a whole (on a consolidated basis), that, individually or in the aggregate, (A) would reasonably be expected to have a material adverse effect on the business, financial condition or results of operations of the Company and its subsidiaries, taken together as a whole (on a consolidated basis) or (B) would prevent, materially delay or materially impede the performance by the Company or its subsidiaries of their respective obligations under this Warrant or the other Loan Documents.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1" w:name="page282"/>
    <w:bookmarkEnd w:id="281"/>
    <w:p>
      <w:pPr>
        <w:jc w:val="both"/>
        <w:ind w:firstLine="1952"/>
        <w:spacing w:after="0" w:line="301" w:lineRule="auto"/>
        <w:tabs>
          <w:tab w:leader="none" w:pos="2239" w:val="left"/>
        </w:tabs>
        <w:numPr>
          <w:ilvl w:val="1"/>
          <w:numId w:val="291"/>
        </w:numPr>
        <w:rPr>
          <w:rFonts w:ascii="Arial" w:cs="Arial" w:eastAsia="Arial" w:hAnsi="Arial"/>
          <w:sz w:val="16"/>
          <w:szCs w:val="16"/>
          <w:color w:val="auto"/>
        </w:rPr>
      </w:pPr>
      <w:r>
        <w:rPr>
          <w:rFonts w:ascii="Arial" w:cs="Arial" w:eastAsia="Arial" w:hAnsi="Arial"/>
          <w:sz w:val="16"/>
          <w:szCs w:val="16"/>
          <w:color w:val="auto"/>
        </w:rPr>
        <w:t>This Warrant is duly authorized, validly issued and constitutes legal, valid and binding obligations of the Company, enforceable against the Company in accordance with its terms, except that the enforcement thereof may be subject to applicable bankruptcy, insolvency or similar laws affecting creditors’ rights generally or by equitable principles relating to enforceability (collectively, the “</w:t>
      </w:r>
      <w:r>
        <w:rPr>
          <w:rFonts w:ascii="Arial" w:cs="Arial" w:eastAsia="Arial" w:hAnsi="Arial"/>
          <w:sz w:val="16"/>
          <w:szCs w:val="16"/>
          <w:b w:val="1"/>
          <w:bCs w:val="1"/>
          <w:color w:val="auto"/>
        </w:rPr>
        <w:t>Enforceability Exceptions</w:t>
      </w:r>
      <w:r>
        <w:rPr>
          <w:rFonts w:ascii="Arial" w:cs="Arial" w:eastAsia="Arial" w:hAnsi="Arial"/>
          <w:sz w:val="16"/>
          <w:szCs w:val="16"/>
          <w:color w:val="auto"/>
        </w:rPr>
        <w:t>”), and has not been issued in violation of any preemptive rights created under the Company’s organizational documents or the laws of the State of Delaware.</w:t>
      </w:r>
    </w:p>
    <w:p>
      <w:pPr>
        <w:spacing w:after="0" w:line="157" w:lineRule="exact"/>
        <w:rPr>
          <w:rFonts w:ascii="Arial" w:cs="Arial" w:eastAsia="Arial" w:hAnsi="Arial"/>
          <w:sz w:val="16"/>
          <w:szCs w:val="16"/>
          <w:color w:val="auto"/>
        </w:rPr>
      </w:pPr>
    </w:p>
    <w:p>
      <w:pPr>
        <w:jc w:val="both"/>
        <w:ind w:firstLine="1952"/>
        <w:spacing w:after="0" w:line="263" w:lineRule="auto"/>
        <w:tabs>
          <w:tab w:leader="none" w:pos="2215" w:val="left"/>
        </w:tabs>
        <w:numPr>
          <w:ilvl w:val="1"/>
          <w:numId w:val="291"/>
        </w:numPr>
        <w:rPr>
          <w:rFonts w:ascii="Arial" w:cs="Arial" w:eastAsia="Arial" w:hAnsi="Arial"/>
          <w:sz w:val="18"/>
          <w:szCs w:val="18"/>
          <w:color w:val="auto"/>
        </w:rPr>
      </w:pPr>
      <w:r>
        <w:rPr>
          <w:rFonts w:ascii="Arial" w:cs="Arial" w:eastAsia="Arial" w:hAnsi="Arial"/>
          <w:sz w:val="18"/>
          <w:szCs w:val="18"/>
          <w:color w:val="auto"/>
        </w:rPr>
        <w:t>The Warrant Shares have been duly authorized and, when issued and delivered to the Holder upon conversion of this Warrant, will be validly issued, fully paid and nonassessable and will not have been issued in violation of any preemptive rights created under the Company’s organizational documents or the laws of the State of Delaware.</w:t>
      </w:r>
    </w:p>
    <w:p>
      <w:pPr>
        <w:spacing w:after="0" w:line="183" w:lineRule="exact"/>
        <w:rPr>
          <w:rFonts w:ascii="Arial" w:cs="Arial" w:eastAsia="Arial" w:hAnsi="Arial"/>
          <w:sz w:val="18"/>
          <w:szCs w:val="18"/>
          <w:color w:val="auto"/>
        </w:rPr>
      </w:pPr>
    </w:p>
    <w:p>
      <w:pPr>
        <w:jc w:val="both"/>
        <w:ind w:firstLine="1952"/>
        <w:spacing w:after="0" w:line="270" w:lineRule="auto"/>
        <w:tabs>
          <w:tab w:leader="none" w:pos="2212" w:val="left"/>
        </w:tabs>
        <w:numPr>
          <w:ilvl w:val="1"/>
          <w:numId w:val="291"/>
        </w:numPr>
        <w:rPr>
          <w:rFonts w:ascii="Arial" w:cs="Arial" w:eastAsia="Arial" w:hAnsi="Arial"/>
          <w:sz w:val="17"/>
          <w:szCs w:val="17"/>
          <w:color w:val="auto"/>
        </w:rPr>
      </w:pPr>
      <w:r>
        <w:rPr>
          <w:rFonts w:ascii="Arial" w:cs="Arial" w:eastAsia="Arial" w:hAnsi="Arial"/>
          <w:sz w:val="17"/>
          <w:szCs w:val="17"/>
          <w:color w:val="auto"/>
        </w:rPr>
        <w:t>The execution and delivery of this Warrant, the issuance and delivery of the Warrant Shares in accordance with the terms hereof and the compliance by the Company with all of the provisions of this Warrant and the consummation of the transactions contemplated herein will not conflict with or result in a breach or violation of any of the terms or provisions of, or constitute a default under, or result in the creation or imposition of any lien, charge or encumbrance upon any of the property or assets of the Company pursuant to the terms of (i) any indenture, mortgage, deed of trust, loan agreement, lease, license or other agreement or instrument to which the Company is a party or by which the Company is bound or to which any of the property or assets of the Company is subject; (ii) the organizational documents of the Company; or (iii) any statute or any judgment, order, rule or regulation of any court or governmental agency or body, domestic or foreign, having jurisdiction over the Company or any of its properties that, in the case of clauses (i) and (iii), would reasonably be expected to have a Company Material Adverse Effect or have a material adverse effect on the Company’s ability to consummate the transactions contemplated hereby.</w:t>
      </w:r>
    </w:p>
    <w:p>
      <w:pPr>
        <w:spacing w:after="0" w:line="180" w:lineRule="exact"/>
        <w:rPr>
          <w:rFonts w:ascii="Arial" w:cs="Arial" w:eastAsia="Arial" w:hAnsi="Arial"/>
          <w:sz w:val="17"/>
          <w:szCs w:val="17"/>
          <w:color w:val="auto"/>
        </w:rPr>
      </w:pPr>
    </w:p>
    <w:p>
      <w:pPr>
        <w:jc w:val="both"/>
        <w:ind w:firstLine="1952"/>
        <w:spacing w:after="0" w:line="285" w:lineRule="auto"/>
        <w:tabs>
          <w:tab w:leader="none" w:pos="2215" w:val="left"/>
        </w:tabs>
        <w:numPr>
          <w:ilvl w:val="1"/>
          <w:numId w:val="291"/>
        </w:numPr>
        <w:rPr>
          <w:rFonts w:ascii="Arial" w:cs="Arial" w:eastAsia="Arial" w:hAnsi="Arial"/>
          <w:sz w:val="16"/>
          <w:szCs w:val="16"/>
          <w:color w:val="auto"/>
        </w:rPr>
      </w:pPr>
      <w:r>
        <w:rPr>
          <w:rFonts w:ascii="Arial" w:cs="Arial" w:eastAsia="Arial" w:hAnsi="Arial"/>
          <w:sz w:val="16"/>
          <w:szCs w:val="16"/>
          <w:color w:val="auto"/>
        </w:rPr>
        <w:t>Assuming the accuracy of the representations and warranties of the Holder, the Company is not required to obtain any consent, waiver, authorization or order of, give any notice to, or make any filing or registration with, any court or other federal, state, local or other governmental authority, self-regulatory organization (including the Nasdaq Stock Market) or other person in connection with the execution, delivery and performance of this Warrant, other than (i) filings required by applicable state securities laws, (ii) the filing of the registration statement pursuant to the First Amendment Registration Rights Agreement, (iii) the filing of a Notice of Exempt Offering of Securities on Form D with the SEC, if applicable and</w:t>
      </w:r>
    </w:p>
    <w:p>
      <w:pPr>
        <w:spacing w:after="0" w:line="1" w:lineRule="exact"/>
        <w:rPr>
          <w:rFonts w:ascii="Arial" w:cs="Arial" w:eastAsia="Arial" w:hAnsi="Arial"/>
          <w:sz w:val="16"/>
          <w:szCs w:val="16"/>
          <w:color w:val="auto"/>
        </w:rPr>
      </w:pPr>
    </w:p>
    <w:p>
      <w:pPr>
        <w:ind w:firstLine="8"/>
        <w:spacing w:after="0" w:line="260" w:lineRule="auto"/>
        <w:tabs>
          <w:tab w:leader="none" w:pos="307" w:val="left"/>
        </w:tabs>
        <w:numPr>
          <w:ilvl w:val="0"/>
          <w:numId w:val="292"/>
        </w:numPr>
        <w:rPr>
          <w:rFonts w:ascii="Arial" w:cs="Arial" w:eastAsia="Arial" w:hAnsi="Arial"/>
          <w:sz w:val="18"/>
          <w:szCs w:val="18"/>
          <w:color w:val="auto"/>
        </w:rPr>
      </w:pPr>
      <w:r>
        <w:rPr>
          <w:rFonts w:ascii="Arial" w:cs="Arial" w:eastAsia="Arial" w:hAnsi="Arial"/>
          <w:sz w:val="18"/>
          <w:szCs w:val="18"/>
          <w:color w:val="auto"/>
        </w:rPr>
        <w:t>those the failure of which to obtain would not be reasonably likely to have a Company Material Adverse Effect or have a material adverse effect on the Company’s ability to consummate the transactions contemplated hereby.</w:t>
      </w:r>
    </w:p>
    <w:p>
      <w:pPr>
        <w:spacing w:after="0" w:line="185" w:lineRule="exact"/>
        <w:rPr>
          <w:rFonts w:ascii="Arial" w:cs="Arial" w:eastAsia="Arial" w:hAnsi="Arial"/>
          <w:sz w:val="18"/>
          <w:szCs w:val="18"/>
          <w:color w:val="auto"/>
        </w:rPr>
      </w:pPr>
    </w:p>
    <w:p>
      <w:pPr>
        <w:jc w:val="both"/>
        <w:ind w:firstLine="1952"/>
        <w:spacing w:after="0" w:line="286" w:lineRule="auto"/>
        <w:tabs>
          <w:tab w:leader="none" w:pos="2182" w:val="left"/>
        </w:tabs>
        <w:numPr>
          <w:ilvl w:val="1"/>
          <w:numId w:val="292"/>
        </w:numPr>
        <w:rPr>
          <w:rFonts w:ascii="Arial" w:cs="Arial" w:eastAsia="Arial" w:hAnsi="Arial"/>
          <w:sz w:val="16"/>
          <w:szCs w:val="16"/>
          <w:color w:val="auto"/>
        </w:rPr>
      </w:pPr>
      <w:r>
        <w:rPr>
          <w:rFonts w:ascii="Arial" w:cs="Arial" w:eastAsia="Arial" w:hAnsi="Arial"/>
          <w:sz w:val="16"/>
          <w:szCs w:val="16"/>
          <w:color w:val="auto"/>
        </w:rPr>
        <w:t>The Company has filed all reports, schedules, forms, statements and other documents required to be filed by the Company under the Securities Act and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being collectively referred to herein as the “</w:t>
      </w:r>
      <w:r>
        <w:rPr>
          <w:rFonts w:ascii="Arial" w:cs="Arial" w:eastAsia="Arial" w:hAnsi="Arial"/>
          <w:sz w:val="16"/>
          <w:szCs w:val="16"/>
          <w:b w:val="1"/>
          <w:bCs w:val="1"/>
          <w:i w:val="1"/>
          <w:iCs w:val="1"/>
          <w:u w:val="single" w:color="auto"/>
          <w:color w:val="auto"/>
        </w:rPr>
        <w:t>SEC Reports</w:t>
      </w:r>
      <w:r>
        <w:rPr>
          <w:rFonts w:ascii="Arial" w:cs="Arial" w:eastAsia="Arial" w:hAnsi="Arial"/>
          <w:sz w:val="16"/>
          <w:szCs w:val="16"/>
          <w:color w:val="auto"/>
        </w:rPr>
        <w:t>”) on a timely basis or has received a valid extension of such time of filing and has filed any such SEC Reports prior to the expiration of any such extension. As of its date, the 2023 Form 10-K will comply in all material respects with the requirements of the Securities Act and the Exchange Act, as applicable, and the 2023 Form 10-K, when filed, will not contain any untrue statement of a material fact or omit to state a material fact required to be stated therein or necessary in order to make the statements therein, in the light of the circumstances under which they were made, not misleading. The financial statements of the Company included in the SEC Reports comply, and the financial statements of the Company to be included in the 2023 Form 10-K will comply, in all material respects with applicable accounting requirements and the rules and regulations of the Commission with respect thereto as in effect at the time of filing. Such financial statements have been, or will be, as applicable, prepared in all material respects in accordance with United States generally accepted accounting principles applied on a consistent basis during the periods involved (“</w:t>
      </w:r>
      <w:r>
        <w:rPr>
          <w:rFonts w:ascii="Arial" w:cs="Arial" w:eastAsia="Arial" w:hAnsi="Arial"/>
          <w:sz w:val="16"/>
          <w:szCs w:val="16"/>
          <w:b w:val="1"/>
          <w:bCs w:val="1"/>
          <w:i w:val="1"/>
          <w:iCs w:val="1"/>
          <w:u w:val="single" w:color="auto"/>
          <w:color w:val="auto"/>
        </w:rPr>
        <w:t>GAAP</w:t>
      </w:r>
      <w:r>
        <w:rPr>
          <w:rFonts w:ascii="Arial" w:cs="Arial" w:eastAsia="Arial" w:hAnsi="Arial"/>
          <w:sz w:val="16"/>
          <w:szCs w:val="16"/>
          <w:color w:val="auto"/>
        </w:rPr>
        <w:t>”), except as may be otherwise specified in such financial statements or the notes thereto and except that unaudited financial statements may not contain all footnotes required by GAAP, and fairly present, or will fairly present, as applicable,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2" w:name="page283"/>
    <w:bookmarkEnd w:id="282"/>
    <w:p>
      <w:pPr>
        <w:jc w:val="both"/>
        <w:ind w:firstLine="1952"/>
        <w:spacing w:after="0" w:line="275" w:lineRule="auto"/>
        <w:tabs>
          <w:tab w:leader="none" w:pos="2199" w:val="left"/>
        </w:tabs>
        <w:numPr>
          <w:ilvl w:val="0"/>
          <w:numId w:val="293"/>
        </w:numPr>
        <w:rPr>
          <w:rFonts w:ascii="Arial" w:cs="Arial" w:eastAsia="Arial" w:hAnsi="Arial"/>
          <w:sz w:val="17"/>
          <w:szCs w:val="17"/>
          <w:color w:val="auto"/>
        </w:rPr>
      </w:pPr>
      <w:r>
        <w:rPr>
          <w:rFonts w:ascii="Arial" w:cs="Arial" w:eastAsia="Arial" w:hAnsi="Arial"/>
          <w:sz w:val="17"/>
          <w:szCs w:val="17"/>
          <w:color w:val="auto"/>
        </w:rPr>
        <w:t>Except for such matters as have not had and would not be reasonably likely to have a Company Material Adverse Effect or have a material adverse effect on the Company’s ability to consummate the transactions contemplated hereby, there is no (i) suit, action, investigation, proceeding or arbitration before a governmental authority or arbitrator pending, or, to the knowledge of the Company, threatened in writing against the Company or any of its directors or officers in their capacities as such or (ii) judgment, decree, injunction, ruling or order of any governmental authority or arbitrator outstanding against the Company or any of its directors or officers in their capacities as such.</w:t>
      </w:r>
    </w:p>
    <w:p>
      <w:pPr>
        <w:spacing w:after="0" w:line="176" w:lineRule="exact"/>
        <w:rPr>
          <w:rFonts w:ascii="Arial" w:cs="Arial" w:eastAsia="Arial" w:hAnsi="Arial"/>
          <w:sz w:val="17"/>
          <w:szCs w:val="17"/>
          <w:color w:val="auto"/>
        </w:rPr>
      </w:pPr>
    </w:p>
    <w:p>
      <w:pPr>
        <w:jc w:val="both"/>
        <w:ind w:firstLine="1952"/>
        <w:spacing w:after="0" w:line="255" w:lineRule="auto"/>
        <w:tabs>
          <w:tab w:leader="none" w:pos="2199" w:val="left"/>
        </w:tabs>
        <w:numPr>
          <w:ilvl w:val="0"/>
          <w:numId w:val="293"/>
        </w:numPr>
        <w:rPr>
          <w:rFonts w:ascii="Arial" w:cs="Arial" w:eastAsia="Arial" w:hAnsi="Arial"/>
          <w:sz w:val="18"/>
          <w:szCs w:val="18"/>
          <w:color w:val="auto"/>
        </w:rPr>
      </w:pPr>
      <w:r>
        <w:rPr>
          <w:rFonts w:ascii="Arial" w:cs="Arial" w:eastAsia="Arial" w:hAnsi="Arial"/>
          <w:sz w:val="18"/>
          <w:szCs w:val="18"/>
          <w:color w:val="auto"/>
        </w:rPr>
        <w:t>Except for such matters as have not had and would not be reasonably likely to have a Company Material Adverse Effect or have a material adverse effect on the Company’s ability to consummate the transactions contemplated hereby, the Company is, and has been since its inception, in compliance with all laws applicable to the conduct of the business of the Company. The Company has not received any written, or to its knowledge, other communication from a governmental entity that alleges that the Company is not in compliance with or is in default or violation of any applicable law, except where such noncompliance, default or violation would not be reasonably expected to have, individually or in the aggregate, a Company Material Adverse Effect.</w:t>
      </w:r>
    </w:p>
    <w:p>
      <w:pPr>
        <w:spacing w:after="0" w:line="192" w:lineRule="exact"/>
        <w:rPr>
          <w:rFonts w:ascii="Arial" w:cs="Arial" w:eastAsia="Arial" w:hAnsi="Arial"/>
          <w:sz w:val="18"/>
          <w:szCs w:val="18"/>
          <w:color w:val="auto"/>
        </w:rPr>
      </w:pPr>
    </w:p>
    <w:p>
      <w:pPr>
        <w:jc w:val="both"/>
        <w:ind w:firstLine="1952"/>
        <w:spacing w:after="0" w:line="263" w:lineRule="auto"/>
        <w:tabs>
          <w:tab w:leader="none" w:pos="2159" w:val="left"/>
        </w:tabs>
        <w:numPr>
          <w:ilvl w:val="0"/>
          <w:numId w:val="293"/>
        </w:numPr>
        <w:rPr>
          <w:rFonts w:ascii="Arial" w:cs="Arial" w:eastAsia="Arial" w:hAnsi="Arial"/>
          <w:sz w:val="18"/>
          <w:szCs w:val="18"/>
          <w:color w:val="auto"/>
        </w:rPr>
      </w:pPr>
      <w:r>
        <w:rPr>
          <w:rFonts w:ascii="Arial" w:cs="Arial" w:eastAsia="Arial" w:hAnsi="Arial"/>
          <w:sz w:val="18"/>
          <w:szCs w:val="18"/>
          <w:color w:val="auto"/>
        </w:rPr>
        <w:t>The Company has all franchises, permits, licenses and any similar authority necessary for the conduct of its business as now being conducted by it, the lack of which would have a material adverse effect, and to the Company’s knowledge, the Company is not in default in any material respect under any of such franchises, permits, licenses or other authority.</w:t>
      </w:r>
    </w:p>
    <w:p>
      <w:pPr>
        <w:spacing w:after="0" w:line="183" w:lineRule="exact"/>
        <w:rPr>
          <w:rFonts w:ascii="Arial" w:cs="Arial" w:eastAsia="Arial" w:hAnsi="Arial"/>
          <w:sz w:val="18"/>
          <w:szCs w:val="18"/>
          <w:color w:val="auto"/>
        </w:rPr>
      </w:pPr>
    </w:p>
    <w:p>
      <w:pPr>
        <w:jc w:val="both"/>
        <w:ind w:firstLine="1952"/>
        <w:spacing w:after="0" w:line="259" w:lineRule="auto"/>
        <w:tabs>
          <w:tab w:leader="none" w:pos="2159" w:val="left"/>
        </w:tabs>
        <w:numPr>
          <w:ilvl w:val="0"/>
          <w:numId w:val="293"/>
        </w:numPr>
        <w:rPr>
          <w:rFonts w:ascii="Arial" w:cs="Arial" w:eastAsia="Arial" w:hAnsi="Arial"/>
          <w:sz w:val="18"/>
          <w:szCs w:val="18"/>
          <w:color w:val="auto"/>
        </w:rPr>
      </w:pPr>
      <w:r>
        <w:rPr>
          <w:rFonts w:ascii="Arial" w:cs="Arial" w:eastAsia="Arial" w:hAnsi="Arial"/>
          <w:sz w:val="18"/>
          <w:szCs w:val="18"/>
          <w:color w:val="auto"/>
        </w:rPr>
        <w:t>There is no action, suit, proceeding or investigation pending or, to the Company’s knowledge, currently threatened in writing against the Company that questions the validity of this Warrant or the right of the Company to enter into this Warrant, or to consummate the transactions contemplated hereby, or that might result, if determined adversely to the Company, in a material adverse effect, or in any material change in the current equity ownership of the Company.</w:t>
      </w:r>
    </w:p>
    <w:p>
      <w:pPr>
        <w:spacing w:after="0" w:line="186" w:lineRule="exact"/>
        <w:rPr>
          <w:rFonts w:ascii="Arial" w:cs="Arial" w:eastAsia="Arial" w:hAnsi="Arial"/>
          <w:sz w:val="18"/>
          <w:szCs w:val="18"/>
          <w:color w:val="auto"/>
        </w:rPr>
      </w:pPr>
    </w:p>
    <w:p>
      <w:pPr>
        <w:jc w:val="both"/>
        <w:ind w:firstLine="1952"/>
        <w:spacing w:after="0" w:line="291" w:lineRule="auto"/>
        <w:tabs>
          <w:tab w:leader="none" w:pos="2212" w:val="left"/>
        </w:tabs>
        <w:numPr>
          <w:ilvl w:val="0"/>
          <w:numId w:val="293"/>
        </w:numPr>
        <w:rPr>
          <w:rFonts w:ascii="Arial" w:cs="Arial" w:eastAsia="Arial" w:hAnsi="Arial"/>
          <w:sz w:val="16"/>
          <w:szCs w:val="16"/>
          <w:color w:val="auto"/>
        </w:rPr>
      </w:pPr>
      <w:r>
        <w:rPr>
          <w:rFonts w:ascii="Arial" w:cs="Arial" w:eastAsia="Arial" w:hAnsi="Arial"/>
          <w:sz w:val="16"/>
          <w:szCs w:val="16"/>
          <w:color w:val="auto"/>
        </w:rPr>
        <w:t>To the Company’s knowledge, the Company owns or possesses sufficient legal rights to all (a) patents, patent applications and inventions; (b) trademarks, service marks, trade names, trade dress, logos, domain names or corporate names and registrations and applications for registration thereof, together with all of the goodwill associated therewith; (c) copyrights (registered or unregistered) and copyrightable works and registrations and applications for registrations thereof; (d) computer software, data, and databases and documentation thereof; (e) trade secrets and other confidential information; and (f) licenses, information and proprietary rights and processes necessary for its business as now conducted. The Company has not received any written communications alleging that the Company has violated or, by conducting its business as proposed, would violate any of the patents, trademarks, service marks, trade names, copyrights or trade secrets or other proprietary rights of any other person or entity.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3" w:name="page284"/>
    <w:bookmarkEnd w:id="283"/>
    <w:p>
      <w:pPr>
        <w:ind w:left="1580" w:hanging="276"/>
        <w:spacing w:after="0"/>
        <w:tabs>
          <w:tab w:leader="none" w:pos="1580" w:val="left"/>
        </w:tabs>
        <w:numPr>
          <w:ilvl w:val="0"/>
          <w:numId w:val="294"/>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Warrant, the following terms shall have the following meanings:</w:t>
      </w:r>
    </w:p>
    <w:p>
      <w:pPr>
        <w:spacing w:after="0" w:line="221" w:lineRule="exact"/>
        <w:rPr>
          <w:rFonts w:ascii="Arial" w:cs="Arial" w:eastAsia="Arial" w:hAnsi="Arial"/>
          <w:sz w:val="18"/>
          <w:szCs w:val="18"/>
          <w:color w:val="auto"/>
        </w:rPr>
      </w:pPr>
    </w:p>
    <w:p>
      <w:pPr>
        <w:jc w:val="both"/>
        <w:ind w:firstLine="1952"/>
        <w:spacing w:after="0" w:line="261" w:lineRule="auto"/>
        <w:tabs>
          <w:tab w:leader="none" w:pos="2188" w:val="left"/>
        </w:tabs>
        <w:numPr>
          <w:ilvl w:val="1"/>
          <w:numId w:val="29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Adjustment Right</w:t>
      </w:r>
      <w:r>
        <w:rPr>
          <w:rFonts w:ascii="Arial" w:cs="Arial" w:eastAsia="Arial" w:hAnsi="Arial"/>
          <w:sz w:val="18"/>
          <w:szCs w:val="18"/>
          <w:color w:val="auto"/>
        </w:rPr>
        <w:t>” means any right granted with respect to any securities issued in connection with, or with respect to, any issuance or sale (or deemed issuance or sale in accordance with Section 2) of shares of Common Stock (other than rights of the type described in Section 3 and 4 hereof) that could result in a decrease in the net consideration received by the Company in connection with, or with respect to, such securities (including, without limitation, any cash settlement rights, cash adjustment or other similar rights).</w:t>
      </w:r>
    </w:p>
    <w:p>
      <w:pPr>
        <w:spacing w:after="0" w:line="179" w:lineRule="exact"/>
        <w:rPr>
          <w:rFonts w:ascii="Arial" w:cs="Arial" w:eastAsia="Arial" w:hAnsi="Arial"/>
          <w:sz w:val="18"/>
          <w:szCs w:val="18"/>
          <w:color w:val="auto"/>
        </w:rPr>
      </w:pPr>
    </w:p>
    <w:p>
      <w:pPr>
        <w:ind w:firstLine="1952"/>
        <w:spacing w:after="0" w:line="282" w:lineRule="auto"/>
        <w:tabs>
          <w:tab w:leader="none" w:pos="2199" w:val="left"/>
        </w:tabs>
        <w:numPr>
          <w:ilvl w:val="1"/>
          <w:numId w:val="29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61" w:lineRule="exact"/>
        <w:rPr>
          <w:rFonts w:ascii="Arial" w:cs="Arial" w:eastAsia="Arial" w:hAnsi="Arial"/>
          <w:sz w:val="18"/>
          <w:szCs w:val="18"/>
          <w:color w:val="auto"/>
        </w:rPr>
      </w:pPr>
    </w:p>
    <w:p>
      <w:pPr>
        <w:jc w:val="both"/>
        <w:ind w:firstLine="1952"/>
        <w:spacing w:after="0" w:line="266" w:lineRule="auto"/>
        <w:tabs>
          <w:tab w:leader="none" w:pos="2215" w:val="left"/>
        </w:tabs>
        <w:numPr>
          <w:ilvl w:val="1"/>
          <w:numId w:val="29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Approved Stock Plan</w:t>
      </w:r>
      <w:r>
        <w:rPr>
          <w:rFonts w:ascii="Arial" w:cs="Arial" w:eastAsia="Arial" w:hAnsi="Arial"/>
          <w:sz w:val="18"/>
          <w:szCs w:val="18"/>
          <w:color w:val="auto"/>
        </w:rPr>
        <w:t>” means any employee benefit plan which has been approved by the board of directors of the Company prior to or subsequent to the date hereof pursuant to which shares of Common Stock and standard options to purchase Common Stock may be issued to any employee, officer or director for services provided to the Company in their capacity as such.</w:t>
      </w:r>
    </w:p>
    <w:p>
      <w:pPr>
        <w:spacing w:after="0" w:line="175" w:lineRule="exact"/>
        <w:rPr>
          <w:rFonts w:ascii="Arial" w:cs="Arial" w:eastAsia="Arial" w:hAnsi="Arial"/>
          <w:sz w:val="18"/>
          <w:szCs w:val="18"/>
          <w:color w:val="auto"/>
        </w:rPr>
      </w:pPr>
    </w:p>
    <w:p>
      <w:pPr>
        <w:jc w:val="both"/>
        <w:ind w:firstLine="1952"/>
        <w:spacing w:after="0" w:line="294" w:lineRule="auto"/>
        <w:tabs>
          <w:tab w:leader="none" w:pos="2212" w:val="left"/>
        </w:tabs>
        <w:numPr>
          <w:ilvl w:val="1"/>
          <w:numId w:val="29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Attribution Parties</w:t>
      </w:r>
      <w:r>
        <w:rPr>
          <w:rFonts w:ascii="Arial" w:cs="Arial" w:eastAsia="Arial" w:hAnsi="Arial"/>
          <w:sz w:val="16"/>
          <w:szCs w:val="16"/>
          <w:color w:val="auto"/>
        </w:rPr>
        <w:t>” means, collectively, the following Persons and entities: (i) any investment vehicle, including, any funds, feeder funds or managed accounts, currently, or from time to time after the Issuance Date, directly or indirectly managed or advised by the Holder’s investment manager or any of its Affiliates or principals, (ii) any direct or indirect Affiliates of the Holder or any of the foregoing, (iii) any Person acting or who could be deemed to be acting as a Group together with the Holder or any of the foregoing and (iv) any other Persons whose beneficial ownership of the Company’s Common Stock would or could be aggregated with the Holder’s and the other Attribution Parties for purposes of Section 13(d) of the Exchange Act. For clarity, the purpose of the foregoing is to subject collectively the Holder and all other Attribution Parties to the Maximum Percentage.</w:t>
      </w:r>
    </w:p>
    <w:p>
      <w:pPr>
        <w:spacing w:after="0" w:line="159" w:lineRule="exact"/>
        <w:rPr>
          <w:rFonts w:ascii="Arial" w:cs="Arial" w:eastAsia="Arial" w:hAnsi="Arial"/>
          <w:sz w:val="16"/>
          <w:szCs w:val="16"/>
          <w:color w:val="auto"/>
        </w:rPr>
      </w:pPr>
    </w:p>
    <w:p>
      <w:pPr>
        <w:jc w:val="both"/>
        <w:ind w:firstLine="1952"/>
        <w:spacing w:after="0" w:line="267" w:lineRule="auto"/>
        <w:tabs>
          <w:tab w:leader="none" w:pos="2188" w:val="left"/>
        </w:tabs>
        <w:numPr>
          <w:ilvl w:val="1"/>
          <w:numId w:val="29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Black Scholes Going Private Value</w:t>
      </w:r>
      <w:r>
        <w:rPr>
          <w:rFonts w:ascii="Arial" w:cs="Arial" w:eastAsia="Arial" w:hAnsi="Arial"/>
          <w:sz w:val="17"/>
          <w:szCs w:val="17"/>
          <w:color w:val="auto"/>
        </w:rPr>
        <w:t xml:space="preserve">” means the value of the unexercised portion of this Warrant remaining on the date of the consummation of the Fundamental Transaction referred to in Section </w:t>
      </w:r>
      <w:r>
        <w:rPr>
          <w:rFonts w:ascii="Arial" w:cs="Arial" w:eastAsia="Arial" w:hAnsi="Arial"/>
          <w:sz w:val="20"/>
          <w:szCs w:val="20"/>
          <w:b w:val="1"/>
          <w:bCs w:val="1"/>
          <w:color w:val="auto"/>
        </w:rPr>
        <w:t>‎</w:t>
      </w:r>
      <w:r>
        <w:rPr>
          <w:rFonts w:ascii="Arial" w:cs="Arial" w:eastAsia="Arial" w:hAnsi="Arial"/>
          <w:sz w:val="17"/>
          <w:szCs w:val="17"/>
          <w:color w:val="auto"/>
        </w:rPr>
        <w:t>4(b)(i), which value is calculated using the Black Scholes Option Pricing Model obtained from the “OV” function on Bloomberg utilizing (i) an underlying price per share equal to the greater of (1) the highest Closing Sale Price of the Common Stock during the period beginning on the Trading Day immediately preceding the announcement of the applicable Fundamental Transaction (or the consummation of the applicable Fundamental Transaction, if earlier) and ending on the date of consummation of the applicable Fundamental Transaction and (2) the sum of the price per share being offered in cash in the applicable Fundamental Transaction (if any) plus the value of the non-cash consideration being offered in the applicable Fundamental Transaction (if any), (ii) a strike price equal to the Exercise Price in effect on the date of consummation of the applicable Fundamental Transaction, (iii) a risk-free interest rate corresponding to the U.S. Treasury rate for a period equal to the greater of (1) the remaining term of this Warrant as of the date of consummation of the applicable Fundamental Transaction and (2) the remaining term of this Warrant as of the date of consummation of the applicable Fundamental Transaction, (iv) a zero cost of borrow and (v) an expected volatility equal to the greater of 100% and the 60 day volatility obtained from the “HVT” function on Bloomberg (determined utilizing a 365 day annualization factor) as of the Trading Day immediately following the earliest to occur of (A) the public disclosure of the applicable Fundamental Transaction, and (B) the consummation of the applicable Fundamental Transaction.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4" w:name="page285"/>
    <w:bookmarkEnd w:id="284"/>
    <w:p>
      <w:pPr>
        <w:jc w:val="both"/>
        <w:ind w:firstLine="1952"/>
        <w:spacing w:after="0" w:line="267" w:lineRule="auto"/>
        <w:tabs>
          <w:tab w:leader="none" w:pos="2182" w:val="left"/>
        </w:tabs>
        <w:numPr>
          <w:ilvl w:val="0"/>
          <w:numId w:val="29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Black Scholes Value</w:t>
      </w:r>
      <w:r>
        <w:rPr>
          <w:rFonts w:ascii="Arial" w:cs="Arial" w:eastAsia="Arial" w:hAnsi="Arial"/>
          <w:sz w:val="17"/>
          <w:szCs w:val="17"/>
          <w:color w:val="auto"/>
        </w:rPr>
        <w:t xml:space="preserve">” means the value of the unexercised portion of this Warrant remaining on the date of the Holder’s request pursuant to Section </w:t>
      </w:r>
      <w:r>
        <w:rPr>
          <w:rFonts w:ascii="Arial" w:cs="Arial" w:eastAsia="Arial" w:hAnsi="Arial"/>
          <w:sz w:val="20"/>
          <w:szCs w:val="20"/>
          <w:b w:val="1"/>
          <w:bCs w:val="1"/>
          <w:color w:val="auto"/>
        </w:rPr>
        <w:t>‎</w:t>
      </w:r>
      <w:r>
        <w:rPr>
          <w:rFonts w:ascii="Arial" w:cs="Arial" w:eastAsia="Arial" w:hAnsi="Arial"/>
          <w:sz w:val="17"/>
          <w:szCs w:val="17"/>
          <w:color w:val="auto"/>
        </w:rPr>
        <w:t xml:space="preserve">4(c), which value is calculated using the Black Scholes Option Pricing Model obtained from the “OV” function on Bloomberg utilizing (i) an underlying price per share equal to the greater of (1) the highest Closing Sale Price of the Common Stock during the period beginning on the Trading Day immediately preceding the announcement of the applicable Fundamental Transaction (or the consummation of the applicable Fundamental Transaction, if earlier) and ending on the Trading Day of the Holder’s request pursuant to Section </w:t>
      </w:r>
      <w:r>
        <w:rPr>
          <w:rFonts w:ascii="Arial" w:cs="Arial" w:eastAsia="Arial" w:hAnsi="Arial"/>
          <w:sz w:val="20"/>
          <w:szCs w:val="20"/>
          <w:b w:val="1"/>
          <w:bCs w:val="1"/>
          <w:color w:val="auto"/>
        </w:rPr>
        <w:t>‎</w:t>
      </w:r>
      <w:r>
        <w:rPr>
          <w:rFonts w:ascii="Arial" w:cs="Arial" w:eastAsia="Arial" w:hAnsi="Arial"/>
          <w:sz w:val="17"/>
          <w:szCs w:val="17"/>
          <w:color w:val="auto"/>
        </w:rPr>
        <w:t xml:space="preserve">4(c) and (2) the sum of the price per share being offered in cash in the applicable Fundamental Transaction (if any) plus the value of the non-cash consideration being offered in the applicable Fundamental Transaction (if any), (ii) a strike price equal to the Exercise Price in effect on the date of the Holder’s request pursuant to Section 4(c), (iii) a risk-free interest rate corresponding to the U.S. Treasury rate for a period equal to the greater of (1) the remaining term of this Warrant as of the date of the Holder’s request pursuant to Section </w:t>
      </w:r>
      <w:r>
        <w:rPr>
          <w:rFonts w:ascii="Arial" w:cs="Arial" w:eastAsia="Arial" w:hAnsi="Arial"/>
          <w:sz w:val="20"/>
          <w:szCs w:val="20"/>
          <w:b w:val="1"/>
          <w:bCs w:val="1"/>
          <w:color w:val="auto"/>
        </w:rPr>
        <w:t>‎</w:t>
      </w:r>
      <w:r>
        <w:rPr>
          <w:rFonts w:ascii="Arial" w:cs="Arial" w:eastAsia="Arial" w:hAnsi="Arial"/>
          <w:sz w:val="17"/>
          <w:szCs w:val="17"/>
          <w:color w:val="auto"/>
        </w:rPr>
        <w:t xml:space="preserve">4(c) and (2) the remaining term of this Warrant as of the date of consummation of the applicable Fundamental Transaction or as of the date of the Holder’s request pursuant to Section </w:t>
      </w:r>
      <w:r>
        <w:rPr>
          <w:rFonts w:ascii="Arial" w:cs="Arial" w:eastAsia="Arial" w:hAnsi="Arial"/>
          <w:sz w:val="20"/>
          <w:szCs w:val="20"/>
          <w:b w:val="1"/>
          <w:bCs w:val="1"/>
          <w:color w:val="auto"/>
        </w:rPr>
        <w:t>‎</w:t>
      </w:r>
      <w:r>
        <w:rPr>
          <w:rFonts w:ascii="Arial" w:cs="Arial" w:eastAsia="Arial" w:hAnsi="Arial"/>
          <w:sz w:val="17"/>
          <w:szCs w:val="17"/>
          <w:color w:val="auto"/>
        </w:rPr>
        <w:t>4(c) if such request is prior to the date of the consummation of the applicable Fundamental Transaction, (iv) a zero cost of borrow and (v) an expected volatility equal to the greater of 100% and the 60 day volatility obtained from the “HVT” function on Bloomberg (determined utilizing a 365 day annualization factor) as of the Trading Day immediately following the earliest to occur of (A) the public disclosure of the applicable Fundamental Transaction, (B) the consummation of the applicable Fundamental Transaction and (C) the date on which the Holder first became aware of the applicable Fundamental Transaction.</w:t>
      </w:r>
    </w:p>
    <w:p>
      <w:pPr>
        <w:spacing w:after="0" w:line="176" w:lineRule="exact"/>
        <w:rPr>
          <w:rFonts w:ascii="Arial" w:cs="Arial" w:eastAsia="Arial" w:hAnsi="Arial"/>
          <w:sz w:val="17"/>
          <w:szCs w:val="17"/>
          <w:color w:val="auto"/>
        </w:rPr>
      </w:pPr>
    </w:p>
    <w:p>
      <w:pPr>
        <w:ind w:left="2200" w:hanging="248"/>
        <w:spacing w:after="0"/>
        <w:tabs>
          <w:tab w:leader="none" w:pos="220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Bloomberg</w:t>
      </w:r>
      <w:r>
        <w:rPr>
          <w:rFonts w:ascii="Arial" w:cs="Arial" w:eastAsia="Arial" w:hAnsi="Arial"/>
          <w:sz w:val="18"/>
          <w:szCs w:val="18"/>
          <w:color w:val="auto"/>
        </w:rPr>
        <w:t>” means Bloomberg, L.P.</w:t>
      </w:r>
    </w:p>
    <w:p>
      <w:pPr>
        <w:spacing w:after="0" w:line="225" w:lineRule="exact"/>
        <w:rPr>
          <w:rFonts w:ascii="Arial" w:cs="Arial" w:eastAsia="Arial" w:hAnsi="Arial"/>
          <w:sz w:val="18"/>
          <w:szCs w:val="18"/>
          <w:color w:val="auto"/>
        </w:rPr>
      </w:pPr>
    </w:p>
    <w:p>
      <w:pPr>
        <w:ind w:firstLine="1952"/>
        <w:spacing w:after="0" w:line="347" w:lineRule="auto"/>
        <w:tabs>
          <w:tab w:leader="none" w:pos="2212" w:val="left"/>
        </w:tabs>
        <w:numPr>
          <w:ilvl w:val="0"/>
          <w:numId w:val="29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Business Day</w:t>
      </w:r>
      <w:r>
        <w:rPr>
          <w:rFonts w:ascii="Arial" w:cs="Arial" w:eastAsia="Arial" w:hAnsi="Arial"/>
          <w:sz w:val="16"/>
          <w:szCs w:val="16"/>
          <w:color w:val="auto"/>
        </w:rPr>
        <w:t>” means any day except any Saturday, any Sunday, any day which is a federal legal holiday in the United States or any day on which banking institutions in the State of New York are authorized or required by law or other governmental action to close.</w:t>
      </w:r>
    </w:p>
    <w:p>
      <w:pPr>
        <w:spacing w:after="0" w:line="115" w:lineRule="exact"/>
        <w:rPr>
          <w:rFonts w:ascii="Arial" w:cs="Arial" w:eastAsia="Arial" w:hAnsi="Arial"/>
          <w:sz w:val="16"/>
          <w:szCs w:val="16"/>
          <w:color w:val="auto"/>
        </w:rPr>
      </w:pPr>
    </w:p>
    <w:p>
      <w:pPr>
        <w:jc w:val="both"/>
        <w:ind w:firstLine="1952"/>
        <w:spacing w:after="0" w:line="268" w:lineRule="auto"/>
        <w:tabs>
          <w:tab w:leader="none" w:pos="2172" w:val="left"/>
        </w:tabs>
        <w:numPr>
          <w:ilvl w:val="0"/>
          <w:numId w:val="29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Closing Bid Price</w:t>
      </w:r>
      <w:r>
        <w:rPr>
          <w:rFonts w:ascii="Arial" w:cs="Arial" w:eastAsia="Arial" w:hAnsi="Arial"/>
          <w:sz w:val="17"/>
          <w:szCs w:val="17"/>
          <w:color w:val="auto"/>
        </w:rPr>
        <w:t>” and “</w:t>
      </w:r>
      <w:r>
        <w:rPr>
          <w:rFonts w:ascii="Arial" w:cs="Arial" w:eastAsia="Arial" w:hAnsi="Arial"/>
          <w:sz w:val="17"/>
          <w:szCs w:val="17"/>
          <w:b w:val="1"/>
          <w:bCs w:val="1"/>
          <w:color w:val="auto"/>
        </w:rPr>
        <w:t>Closing Sale Price</w:t>
      </w:r>
      <w:r>
        <w:rPr>
          <w:rFonts w:ascii="Arial" w:cs="Arial" w:eastAsia="Arial" w:hAnsi="Arial"/>
          <w:sz w:val="17"/>
          <w:szCs w:val="17"/>
          <w:color w:val="auto"/>
        </w:rPr>
        <w:t xml:space="preserve">” means, for any security as of any date, the last closing bid price and last closing trade price, respectively, for such security on the Principal Market, as reported by Bloomberg, or, if the Principal Market begins to operate on an extended hours basis and does not designate the closing bid price or the closing trade price, as the case may be, then the last bid price or the last trade price, respectively, of such security prior to 4:00:00 p.m., New York time, as reported by Bloomberg, or, if the Principal Market is not the principal securities exchange or trading market for such security, the last closing bid price or last trade price, respectively, of such security on the principal securities exchange or trading market where such security is listed or traded as reported by Bloomberg, or if the foregoing do not apply, the last closing bid price or last trade price, respectively, of such security in the over-the-counter market on the electronic bulletin board for such security as reported by Bloomberg, or, if no closing bid price or last trade price, respectively, is reported for such security by Bloomberg, the average of the bid prices, or the ask prices, respectively, of any market makers for such security as reported in the OTC Link or “pink sheets” by OTC Markets Group Inc. (formerly Pink OTC Markets Inc.). If the Closing Bid Price or the Closing Sale Price cannot be calculated for a security on a particular date on any of the foregoing bases, the Closing Bid Price or the Closing Sale Price, as the case may be, of such security on such date shall be the fair market value as mutually determined by the Company and the Holder. If the Company and the Holder are unable to agree upon the fair market value of such security, then such dispute shall be resolved pursuant to Section </w:t>
      </w:r>
      <w:r>
        <w:rPr>
          <w:rFonts w:ascii="Arial" w:cs="Arial" w:eastAsia="Arial" w:hAnsi="Arial"/>
          <w:sz w:val="20"/>
          <w:szCs w:val="20"/>
          <w:b w:val="1"/>
          <w:bCs w:val="1"/>
          <w:color w:val="auto"/>
        </w:rPr>
        <w:t>‎</w:t>
      </w:r>
      <w:r>
        <w:rPr>
          <w:rFonts w:ascii="Arial" w:cs="Arial" w:eastAsia="Arial" w:hAnsi="Arial"/>
          <w:sz w:val="17"/>
          <w:szCs w:val="17"/>
          <w:color w:val="auto"/>
        </w:rPr>
        <w:t>12. All such determinations to be appropriately adjusted for any stock dividend, stock split, stock combination, reclassification or other similar transaction during the applicable calculation period.</w:t>
      </w:r>
    </w:p>
    <w:p>
      <w:pPr>
        <w:spacing w:after="0" w:line="172" w:lineRule="exact"/>
        <w:rPr>
          <w:rFonts w:ascii="Arial" w:cs="Arial" w:eastAsia="Arial" w:hAnsi="Arial"/>
          <w:sz w:val="17"/>
          <w:szCs w:val="17"/>
          <w:color w:val="auto"/>
        </w:rPr>
      </w:pPr>
    </w:p>
    <w:p>
      <w:pPr>
        <w:ind w:firstLine="1952"/>
        <w:spacing w:after="0" w:line="312" w:lineRule="auto"/>
        <w:tabs>
          <w:tab w:leader="none" w:pos="2159" w:val="left"/>
        </w:tabs>
        <w:numPr>
          <w:ilvl w:val="0"/>
          <w:numId w:val="29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Common Stock</w:t>
      </w:r>
      <w:r>
        <w:rPr>
          <w:rFonts w:ascii="Arial" w:cs="Arial" w:eastAsia="Arial" w:hAnsi="Arial"/>
          <w:sz w:val="17"/>
          <w:szCs w:val="17"/>
          <w:color w:val="auto"/>
        </w:rPr>
        <w:t>” means (i) the Company’s shares of common stock, par value $0.0001 per share, and (ii) any share capital into which such common stock shall have been changed or any share capital resulting from a reclassification of such common stock.</w:t>
      </w:r>
    </w:p>
    <w:p>
      <w:pPr>
        <w:spacing w:after="0" w:line="139" w:lineRule="exact"/>
        <w:rPr>
          <w:rFonts w:ascii="Arial" w:cs="Arial" w:eastAsia="Arial" w:hAnsi="Arial"/>
          <w:sz w:val="17"/>
          <w:szCs w:val="17"/>
          <w:color w:val="auto"/>
        </w:rPr>
      </w:pPr>
    </w:p>
    <w:p>
      <w:pPr>
        <w:ind w:firstLine="1952"/>
        <w:spacing w:after="0" w:line="282" w:lineRule="auto"/>
        <w:tabs>
          <w:tab w:leader="none" w:pos="2226" w:val="left"/>
        </w:tabs>
        <w:numPr>
          <w:ilvl w:val="0"/>
          <w:numId w:val="2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Convertible Securities</w:t>
      </w:r>
      <w:r>
        <w:rPr>
          <w:rFonts w:ascii="Arial" w:cs="Arial" w:eastAsia="Arial" w:hAnsi="Arial"/>
          <w:sz w:val="18"/>
          <w:szCs w:val="18"/>
          <w:color w:val="auto"/>
        </w:rPr>
        <w:t>” means any stock or securities (other than Options) directly or indirectly convertible into or exercisable or exchangeable for shares of Common Stock.</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5" w:name="page286"/>
    <w:bookmarkEnd w:id="285"/>
    <w:p>
      <w:pPr>
        <w:ind w:right="20" w:firstLine="1952"/>
        <w:spacing w:after="0" w:line="282" w:lineRule="auto"/>
        <w:tabs>
          <w:tab w:leader="none" w:pos="2172" w:val="left"/>
        </w:tabs>
        <w:numPr>
          <w:ilvl w:val="0"/>
          <w:numId w:val="2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Market</w:t>
      </w:r>
      <w:r>
        <w:rPr>
          <w:rFonts w:ascii="Arial" w:cs="Arial" w:eastAsia="Arial" w:hAnsi="Arial"/>
          <w:sz w:val="18"/>
          <w:szCs w:val="18"/>
          <w:color w:val="auto"/>
        </w:rPr>
        <w:t>” means The Nasdaq Capital Market, The Nasdaq Global Select Market, The Nasdaq Global Market, the NYSE American, or The New York Stock Exchange.</w:t>
      </w:r>
    </w:p>
    <w:p>
      <w:pPr>
        <w:spacing w:after="0" w:line="161" w:lineRule="exact"/>
        <w:rPr>
          <w:rFonts w:ascii="Arial" w:cs="Arial" w:eastAsia="Arial" w:hAnsi="Arial"/>
          <w:sz w:val="18"/>
          <w:szCs w:val="18"/>
          <w:color w:val="auto"/>
        </w:rPr>
      </w:pPr>
    </w:p>
    <w:p>
      <w:pPr>
        <w:jc w:val="both"/>
        <w:ind w:firstLine="1952"/>
        <w:spacing w:after="0" w:line="285" w:lineRule="auto"/>
        <w:tabs>
          <w:tab w:leader="none" w:pos="2249" w:val="left"/>
        </w:tabs>
        <w:numPr>
          <w:ilvl w:val="0"/>
          <w:numId w:val="29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Excluded Securities</w:t>
      </w:r>
      <w:r>
        <w:rPr>
          <w:rFonts w:ascii="Arial" w:cs="Arial" w:eastAsia="Arial" w:hAnsi="Arial"/>
          <w:sz w:val="16"/>
          <w:szCs w:val="16"/>
          <w:color w:val="auto"/>
        </w:rPr>
        <w:t>” means, without duplication, (i) shares of Common Stock or standard options to purchase Common Stock issued to directors, officers or employees of the Company for services rendered to the Company in their capacity as such pursuant to an Approved Stock Plan, provided that the exercise price of any such options is not lowered, none of such options are amended to increase the number of shares issuable thereunder and none of the terms or conditions of any such options are otherwise materially changed in any manner that adversely affects any of the holders of this Warrant; (ii) shares of Common Stock issued upon the conversion or exercise of Convertible Securities (other than standard options to purchase Common Stock issued pursuant to an Approved Stock Plan that are covered by clause (i) above) outstanding prior to the Issuance Date, provided that the conversion price of any such Convertible Securities (other than standard options to purchase Common Stock issued pursuant to an Approved Stock Plan that are covered by clause (i) above) is not lowered, none of such Convertible Securities (other than standard options to purchase Common Stock issued pursuant to an Approved Stock Plan that are covered by clause (i) above) are amended to increase the number of shares issuable thereunder and none of the terms or conditions of any such Convertible Securities (other than standard options to purchase Common Stock issued pursuant to an Approved Stock Plan that are covered by clause (i) above) are otherwise materially changed in any manner that adversely affects any of the Holders; and (iii) the shares of Common Stock issuable upon exercise of (A) warrants to purchase 400,000 shares of Common Stock, with an exercise price of $0.01 per share, issued to Metropolitan Levered Partners Fund VII, LP, Metropolitan Partners Fund VII, LP, Metropolitan Offshore Partners Fund VII, LP and CEOF Holdings LP (the “</w:t>
      </w:r>
      <w:r>
        <w:rPr>
          <w:rFonts w:ascii="Arial" w:cs="Arial" w:eastAsia="Arial" w:hAnsi="Arial"/>
          <w:sz w:val="16"/>
          <w:szCs w:val="16"/>
          <w:b w:val="1"/>
          <w:bCs w:val="1"/>
          <w:color w:val="auto"/>
        </w:rPr>
        <w:t>Metropolitan Entities</w:t>
      </w:r>
      <w:r>
        <w:rPr>
          <w:rFonts w:ascii="Arial" w:cs="Arial" w:eastAsia="Arial" w:hAnsi="Arial"/>
          <w:sz w:val="16"/>
          <w:szCs w:val="16"/>
          <w:color w:val="auto"/>
        </w:rPr>
        <w:t>”), (B) warrants to purchase 500,000 shares of Common Stock, with an exercise price of $0.01 per share, issued to the Metropolitan Entities, (C) warrants to purchase 2,000,000 shares of Common Stock, with an exercise price of $0.01 per share, issued to the Metropolitan Entities, (D) warrants to purchase 25,000 shares of Common Stock, with an exercise price of $0.01 per share, issued to Metropolitan Levered Partners Fund VII, LP, Metropolitan Partners Fund VII, LP, Metropolitan Offshore Partners Fund VII, LP and CEOF Holdings LP and (E) this Warrant and any other warrant issued to the Metropolitan Entities in connection with the Third Amendment.</w:t>
      </w:r>
    </w:p>
    <w:p>
      <w:pPr>
        <w:spacing w:after="0" w:line="171" w:lineRule="exact"/>
        <w:rPr>
          <w:rFonts w:ascii="Arial" w:cs="Arial" w:eastAsia="Arial" w:hAnsi="Arial"/>
          <w:sz w:val="16"/>
          <w:szCs w:val="16"/>
          <w:color w:val="auto"/>
        </w:rPr>
      </w:pPr>
    </w:p>
    <w:p>
      <w:pPr>
        <w:ind w:firstLine="1952"/>
        <w:spacing w:after="0" w:line="312" w:lineRule="auto"/>
        <w:tabs>
          <w:tab w:leader="none" w:pos="2212" w:val="left"/>
        </w:tabs>
        <w:numPr>
          <w:ilvl w:val="0"/>
          <w:numId w:val="29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Expiration Date</w:t>
      </w:r>
      <w:r>
        <w:rPr>
          <w:rFonts w:ascii="Arial" w:cs="Arial" w:eastAsia="Arial" w:hAnsi="Arial"/>
          <w:sz w:val="17"/>
          <w:szCs w:val="17"/>
          <w:color w:val="auto"/>
        </w:rPr>
        <w:t>” means the date that is the five (5) year anniversary of the Issuance Date or, if such date falls on a day other than a Trading Day or on which trading does not take place on the Principal Market (a “</w:t>
      </w:r>
      <w:r>
        <w:rPr>
          <w:rFonts w:ascii="Arial" w:cs="Arial" w:eastAsia="Arial" w:hAnsi="Arial"/>
          <w:sz w:val="17"/>
          <w:szCs w:val="17"/>
          <w:b w:val="1"/>
          <w:bCs w:val="1"/>
          <w:color w:val="auto"/>
        </w:rPr>
        <w:t>Holiday</w:t>
      </w:r>
      <w:r>
        <w:rPr>
          <w:rFonts w:ascii="Arial" w:cs="Arial" w:eastAsia="Arial" w:hAnsi="Arial"/>
          <w:sz w:val="17"/>
          <w:szCs w:val="17"/>
          <w:color w:val="auto"/>
        </w:rPr>
        <w:t>”), the next date that is not a Holiday.</w:t>
      </w:r>
    </w:p>
    <w:p>
      <w:pPr>
        <w:spacing w:after="0" w:line="139" w:lineRule="exact"/>
        <w:rPr>
          <w:rFonts w:ascii="Arial" w:cs="Arial" w:eastAsia="Arial" w:hAnsi="Arial"/>
          <w:sz w:val="17"/>
          <w:szCs w:val="17"/>
          <w:color w:val="auto"/>
        </w:rPr>
      </w:pPr>
    </w:p>
    <w:p>
      <w:pPr>
        <w:jc w:val="both"/>
        <w:ind w:firstLine="1952"/>
        <w:spacing w:after="0" w:line="284" w:lineRule="auto"/>
        <w:tabs>
          <w:tab w:leader="none" w:pos="2226" w:val="left"/>
        </w:tabs>
        <w:numPr>
          <w:ilvl w:val="0"/>
          <w:numId w:val="29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Fundamental Transaction</w:t>
      </w:r>
      <w:r>
        <w:rPr>
          <w:rFonts w:ascii="Arial" w:cs="Arial" w:eastAsia="Arial" w:hAnsi="Arial"/>
          <w:sz w:val="16"/>
          <w:szCs w:val="16"/>
          <w:color w:val="auto"/>
        </w:rPr>
        <w:t>” means (A) that the Company shall, directly or indirectly, including through subsidiaries, Affiliates or otherwise, in one or more related transactions, (i) consolidate or merge with or into (whether or not the Company is the surviving corporation) another Subject Entity, or (ii) sell, assign, transfer, convey or otherwise dispose of all or substantially all of the properties or assets of the Company or any of its “significant subsidiaries” (as defined in Rule 1-02 of Regulation S-X) to one or more Subject Entities, or (iii) make, or allow one or more Subject Entities to make, or allow the Company to be subject to or have its Common Stock be subject to or party to one or more Subject Entities making, a purchase, tender or exchange offer that is accepted by the holders of at least either (x) 50% of the outstanding shares of Common Stock, (y) 50% of the outstanding shares of Common Stock calculated as if any shares of Common Stock held by all Subject Entities making or party to, or Affiliated with any Subject Entities making or party to, such purchase, tender or exchange offer were not outstanding; or (z) such number of shares of Common Stock such that all Subject Entities making or party to, or Affiliated with any Subject Entity making or party to, such purchase, tender or exchange offer, become collectively the beneficial owners (as defined in Rule 13d-3 under the Exchange Act) of at least 50% of the outstanding shares of Common Stock, or (iv) consummate a stock purchase agreement or other business combination (including, without limitation, a reorganization, recapitalization, spin-off or scheme of arrangement) with one or more Subject Entities whereby all such Subject Entities, individually or in the aggregate, acquire, either (x) at least 50% of the outstanding shares of Common Stock, (y) at least 50% of the outstanding shares of Common Stock calculated as if any shares of Common Stock held by all the Subject Entities making or party to, or Affiliated with any Subject Entity making or party to, such stock purchase agreement or other business combination were not outstanding; or (z) such number of shares of Common Stock such that the Subject Entities become collectively the beneficial owners (as defined in Rule 13d-3 under the Exchange Act) of at least 50% of the outstanding shares of Common Stock, or (v) reorganize, recapitalize or reclassify its Common Stock, (B) that the Company shall, directly or indirectly, including through subsidiaries, Affiliates or otherwise, in one or more related transactions, allow any Subject Entity individually or the Subject Entities in the aggregate to be or become the “beneficial owner” (as defined in Rule 13d-3 under the Exchange Act), directly or indirectly, whether through acquisition, purchase, assignment, conveyance, tender, tender offer, exchange, reduction in outstanding shares of Common Stock, merger, consolidation, business combination, reorganization, recapitalization, spin-off, scheme of arrangement, reorganization, recapitalization or reclassification or otherwise in any manner whatsoever, of either (x) at least 50% of the aggregate ordinary voting power represented by issued and outstanding Common Stock, (y) at least 50% of the aggregate ordinary voting power represented by issued and outstanding Common Stock not held by all such Subject Entities as of the date of this Warrant calculated as if any shares of Common Stock held by all such Subject Entities were not outstanding, or (z) a percentage of the aggregate ordinary voting power represented by issued and outstanding shares of Common Stock or other equity securities of the Company sufficient to allow such Subject Entities to effect a statutory short form merger or other transaction requiring other stockholders of the Company to surrender their shares of Common Stock without approval of the stockholders of the Company or (C) directly or indirectly, including through subsidiaries, Affiliates or otherwise, in one or more related transactions, the issuance of or the entering into any other instrument or transaction structured in a manner to circumvent, or that circumvents, the intent of this definition in which case this definition shall be construed and implemented in a manner otherwise than in strict conformity with the terms of this definition to the extent necessary to correct this definition or any portion of this definition which may be defective or inconsistent with the intended treatment of such instrument or transaction.</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6" w:name="page287"/>
    <w:bookmarkEnd w:id="286"/>
    <w:p>
      <w:pPr>
        <w:ind w:left="1960"/>
        <w:spacing w:after="0"/>
        <w:rPr>
          <w:sz w:val="20"/>
          <w:szCs w:val="20"/>
          <w:color w:val="auto"/>
        </w:rPr>
      </w:pPr>
      <w:r>
        <w:rPr>
          <w:rFonts w:ascii="Arial" w:cs="Arial" w:eastAsia="Arial" w:hAnsi="Arial"/>
          <w:sz w:val="18"/>
          <w:szCs w:val="18"/>
          <w:color w:val="auto"/>
        </w:rPr>
        <w:t>(p) “</w:t>
      </w:r>
      <w:r>
        <w:rPr>
          <w:rFonts w:ascii="Arial" w:cs="Arial" w:eastAsia="Arial" w:hAnsi="Arial"/>
          <w:sz w:val="18"/>
          <w:szCs w:val="18"/>
          <w:b w:val="1"/>
          <w:bCs w:val="1"/>
          <w:color w:val="auto"/>
        </w:rPr>
        <w:t>Group</w:t>
      </w:r>
      <w:r>
        <w:rPr>
          <w:rFonts w:ascii="Arial" w:cs="Arial" w:eastAsia="Arial" w:hAnsi="Arial"/>
          <w:sz w:val="18"/>
          <w:szCs w:val="18"/>
          <w:color w:val="auto"/>
        </w:rPr>
        <w:t>” means a “group” as that term is used in Section 13(d) of the Exchange Act and as defined in Rule 13d-5</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thereunder.</w:t>
      </w:r>
    </w:p>
    <w:p>
      <w:pPr>
        <w:spacing w:after="0" w:line="207"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(q) “</w:t>
      </w:r>
      <w:r>
        <w:rPr>
          <w:rFonts w:ascii="Arial" w:cs="Arial" w:eastAsia="Arial" w:hAnsi="Arial"/>
          <w:sz w:val="17"/>
          <w:szCs w:val="17"/>
          <w:b w:val="1"/>
          <w:bCs w:val="1"/>
          <w:color w:val="auto"/>
        </w:rPr>
        <w:t>Options</w:t>
      </w:r>
      <w:r>
        <w:rPr>
          <w:rFonts w:ascii="Arial" w:cs="Arial" w:eastAsia="Arial" w:hAnsi="Arial"/>
          <w:sz w:val="17"/>
          <w:szCs w:val="17"/>
          <w:color w:val="auto"/>
        </w:rPr>
        <w:t>” means any rights, warrants or options to subscribe for or purchase shares of Common Stock or Convertible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Securities.</w:t>
      </w:r>
    </w:p>
    <w:p>
      <w:pPr>
        <w:spacing w:after="0" w:line="207" w:lineRule="exact"/>
        <w:rPr>
          <w:sz w:val="20"/>
          <w:szCs w:val="20"/>
          <w:color w:val="auto"/>
        </w:rPr>
      </w:pPr>
    </w:p>
    <w:p>
      <w:pPr>
        <w:jc w:val="both"/>
        <w:ind w:firstLine="1952"/>
        <w:spacing w:after="0" w:line="258" w:lineRule="auto"/>
        <w:tabs>
          <w:tab w:leader="none" w:pos="2169" w:val="left"/>
        </w:tabs>
        <w:numPr>
          <w:ilvl w:val="0"/>
          <w:numId w:val="29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Entity</w:t>
      </w:r>
      <w:r>
        <w:rPr>
          <w:rFonts w:ascii="Arial" w:cs="Arial" w:eastAsia="Arial" w:hAnsi="Arial"/>
          <w:sz w:val="18"/>
          <w:szCs w:val="18"/>
          <w:color w:val="auto"/>
        </w:rPr>
        <w:t>” of a Person means an entity that, directly or indirectly, controls the applicable Person, including such entity whose common shares or common stock or equivalent equity security is quoted or listed on an Eligible Market (or, if so elected by the Holder, any other market, exchange or quotation system), or, if there is more than one such Person or such entity, the Person or such entity designated by the Holder or in the absence of such designation, such Person or entity with the largest public market capitalization as of the date of consummation of the Fundamental Transaction.</w:t>
      </w:r>
    </w:p>
    <w:p>
      <w:pPr>
        <w:spacing w:after="0" w:line="183" w:lineRule="exact"/>
        <w:rPr>
          <w:rFonts w:ascii="Arial" w:cs="Arial" w:eastAsia="Arial" w:hAnsi="Arial"/>
          <w:sz w:val="18"/>
          <w:szCs w:val="18"/>
          <w:color w:val="auto"/>
        </w:rPr>
      </w:pPr>
    </w:p>
    <w:p>
      <w:pPr>
        <w:ind w:right="20" w:firstLine="1952"/>
        <w:spacing w:after="0" w:line="282" w:lineRule="auto"/>
        <w:tabs>
          <w:tab w:leader="none" w:pos="2192" w:val="left"/>
        </w:tabs>
        <w:numPr>
          <w:ilvl w:val="0"/>
          <w:numId w:val="29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61" w:lineRule="exact"/>
        <w:rPr>
          <w:rFonts w:ascii="Arial" w:cs="Arial" w:eastAsia="Arial" w:hAnsi="Arial"/>
          <w:sz w:val="18"/>
          <w:szCs w:val="18"/>
          <w:color w:val="auto"/>
        </w:rPr>
      </w:pPr>
    </w:p>
    <w:p>
      <w:pPr>
        <w:ind w:right="20" w:firstLine="1952"/>
        <w:spacing w:after="0" w:line="282" w:lineRule="auto"/>
        <w:tabs>
          <w:tab w:leader="none" w:pos="2186" w:val="left"/>
        </w:tabs>
        <w:numPr>
          <w:ilvl w:val="0"/>
          <w:numId w:val="29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Principal Market</w:t>
      </w:r>
      <w:r>
        <w:rPr>
          <w:rFonts w:ascii="Arial" w:cs="Arial" w:eastAsia="Arial" w:hAnsi="Arial"/>
          <w:sz w:val="18"/>
          <w:szCs w:val="18"/>
          <w:color w:val="auto"/>
        </w:rPr>
        <w:t>” means the OTC Bulletin Board or any other Eligible Market, or any national securities exchange, market or trading or quotation facility on which the Common Stock is then listed or quoted.</w:t>
      </w:r>
    </w:p>
    <w:p>
      <w:pPr>
        <w:spacing w:after="0" w:line="161" w:lineRule="exact"/>
        <w:rPr>
          <w:rFonts w:ascii="Arial" w:cs="Arial" w:eastAsia="Arial" w:hAnsi="Arial"/>
          <w:sz w:val="18"/>
          <w:szCs w:val="18"/>
          <w:color w:val="auto"/>
        </w:rPr>
      </w:pPr>
    </w:p>
    <w:p>
      <w:pPr>
        <w:ind w:left="2200" w:hanging="248"/>
        <w:spacing w:after="0"/>
        <w:tabs>
          <w:tab w:leader="none" w:pos="220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w:t>
      </w:r>
    </w:p>
    <w:p>
      <w:pPr>
        <w:spacing w:after="0" w:line="225" w:lineRule="exact"/>
        <w:rPr>
          <w:rFonts w:ascii="Arial" w:cs="Arial" w:eastAsia="Arial" w:hAnsi="Arial"/>
          <w:sz w:val="18"/>
          <w:szCs w:val="18"/>
          <w:color w:val="auto"/>
        </w:rPr>
      </w:pPr>
    </w:p>
    <w:p>
      <w:pPr>
        <w:ind w:left="2200" w:hanging="248"/>
        <w:spacing w:after="0"/>
        <w:tabs>
          <w:tab w:leader="none" w:pos="2200" w:val="left"/>
        </w:tabs>
        <w:numPr>
          <w:ilvl w:val="0"/>
          <w:numId w:val="29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Subject Entity</w:t>
      </w:r>
      <w:r>
        <w:rPr>
          <w:rFonts w:ascii="Arial" w:cs="Arial" w:eastAsia="Arial" w:hAnsi="Arial"/>
          <w:sz w:val="16"/>
          <w:szCs w:val="16"/>
          <w:color w:val="auto"/>
        </w:rPr>
        <w:t>” means any Person, Persons or Group or any Affiliate or associate of any such Person, Persons or Group.</w:t>
      </w:r>
    </w:p>
    <w:p>
      <w:pPr>
        <w:spacing w:after="0" w:line="248" w:lineRule="exact"/>
        <w:rPr>
          <w:rFonts w:ascii="Arial" w:cs="Arial" w:eastAsia="Arial" w:hAnsi="Arial"/>
          <w:sz w:val="16"/>
          <w:szCs w:val="16"/>
          <w:color w:val="auto"/>
        </w:rPr>
      </w:pPr>
    </w:p>
    <w:p>
      <w:pPr>
        <w:jc w:val="both"/>
        <w:ind w:firstLine="1952"/>
        <w:spacing w:after="0" w:line="266" w:lineRule="auto"/>
        <w:tabs>
          <w:tab w:leader="none" w:pos="2239" w:val="left"/>
        </w:tabs>
        <w:numPr>
          <w:ilvl w:val="0"/>
          <w:numId w:val="29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Successor Entity</w:t>
      </w:r>
      <w:r>
        <w:rPr>
          <w:rFonts w:ascii="Arial" w:cs="Arial" w:eastAsia="Arial" w:hAnsi="Arial"/>
          <w:sz w:val="18"/>
          <w:szCs w:val="18"/>
          <w:color w:val="auto"/>
        </w:rPr>
        <w:t>” means one or more Person or Persons (or, if so elected by the Holder, the Company or Parent Entity) formed by, resulting from or surviving any Fundamental Transaction or one or more Person or Persons (or, if so elected by the Holder, the Company or the Parent Entity) with which such Fundamental Transaction shall have been entered into.</w:t>
      </w:r>
    </w:p>
    <w:p>
      <w:pPr>
        <w:spacing w:after="0" w:line="175" w:lineRule="exact"/>
        <w:rPr>
          <w:rFonts w:ascii="Arial" w:cs="Arial" w:eastAsia="Arial" w:hAnsi="Arial"/>
          <w:sz w:val="18"/>
          <w:szCs w:val="18"/>
          <w:color w:val="auto"/>
        </w:rPr>
      </w:pPr>
    </w:p>
    <w:p>
      <w:pPr>
        <w:jc w:val="both"/>
        <w:ind w:firstLine="1952"/>
        <w:spacing w:after="0" w:line="298" w:lineRule="auto"/>
        <w:tabs>
          <w:tab w:leader="none" w:pos="2199" w:val="left"/>
        </w:tabs>
        <w:numPr>
          <w:ilvl w:val="0"/>
          <w:numId w:val="29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Trading Day</w:t>
      </w:r>
      <w:r>
        <w:rPr>
          <w:rFonts w:ascii="Arial" w:cs="Arial" w:eastAsia="Arial" w:hAnsi="Arial"/>
          <w:sz w:val="16"/>
          <w:szCs w:val="16"/>
          <w:color w:val="auto"/>
        </w:rPr>
        <w:t xml:space="preserve">” means any day on which the Common Stock is traded on the Principal Market, or, if the Principal Market is not the principal trading market for the Common Stock, then on the principal securities exchange or securities market on which the Common Stock is then traded;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time).</w:t>
      </w:r>
    </w:p>
    <w:p>
      <w:pPr>
        <w:spacing w:after="0" w:line="153" w:lineRule="exact"/>
        <w:rPr>
          <w:rFonts w:ascii="Arial" w:cs="Arial" w:eastAsia="Arial" w:hAnsi="Arial"/>
          <w:sz w:val="16"/>
          <w:szCs w:val="16"/>
          <w:color w:val="auto"/>
        </w:rPr>
      </w:pPr>
    </w:p>
    <w:p>
      <w:pPr>
        <w:jc w:val="both"/>
        <w:ind w:firstLine="1952"/>
        <w:spacing w:after="0" w:line="267" w:lineRule="auto"/>
        <w:tabs>
          <w:tab w:leader="none" w:pos="2199" w:val="left"/>
        </w:tabs>
        <w:numPr>
          <w:ilvl w:val="0"/>
          <w:numId w:val="29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VWAP</w:t>
      </w:r>
      <w:r>
        <w:rPr>
          <w:rFonts w:ascii="Arial" w:cs="Arial" w:eastAsia="Arial" w:hAnsi="Arial"/>
          <w:sz w:val="17"/>
          <w:szCs w:val="17"/>
          <w:color w:val="auto"/>
        </w:rPr>
        <w:t xml:space="preserve">” means, for any security as of any date, the dollar volume-weighted average price for such security on the Principal Market during the period beginning at 9:30:01 a.m., New York time (or such other time as the Principal Market publicly announces is the official open of trading), and ending at 4:00:00 p.m., New York time (or such other time as the Principal Market publicly announces is the official close of trading), as reported by Bloomberg through its “Volume at Price” function or, if the foregoing does not apply, the dollar volume-weighted average price of such security in the over-the-counter market on the electronic bulletin board for such security during the period beginning at 9:30:01 a.m., New York time (or such other time as such market publicly announces is the official open of trading), and ending at 4:00:00 p.m., New York time (or such other time as such market publicly announces is the official close of trading), as reported by Bloomberg, or, if no dollar volume-weighted average price is reported for such security by Bloomberg for such hours, the average of the highest Closing Bid Price and the lowest closing ask price of any of the market makers for such security as reported in the OTC Link or “pink sheets” by OTC Markets Group Inc. (formerly Pink OTC Markets Inc.). If the VWAP cannot be calculated for a security on a particular date on any of the foregoing bases, the VWAP of such security on such date shall be the fair market value as mutually determined by the Company and the Holder. If the Company and the Holder are unable to agree upon the fair market value of such security, then such dispute shall be resolved pursuant to Section </w:t>
      </w:r>
      <w:r>
        <w:rPr>
          <w:rFonts w:ascii="Arial" w:cs="Arial" w:eastAsia="Arial" w:hAnsi="Arial"/>
          <w:sz w:val="20"/>
          <w:szCs w:val="20"/>
          <w:b w:val="1"/>
          <w:bCs w:val="1"/>
          <w:color w:val="auto"/>
        </w:rPr>
        <w:t>‎</w:t>
      </w:r>
      <w:r>
        <w:rPr>
          <w:rFonts w:ascii="Arial" w:cs="Arial" w:eastAsia="Arial" w:hAnsi="Arial"/>
          <w:sz w:val="17"/>
          <w:szCs w:val="17"/>
          <w:color w:val="auto"/>
        </w:rPr>
        <w:t>12 with the term “VWAP” being substituted for the term “Exercise Price.” All such determinations shall be appropriately adjusted for any stock dividend, stock split, stock combination, reclassification or other similar transaction during the applicable calculation period.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 Follows]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7" w:name="page288"/>
    <w:bookmarkEnd w:id="287"/>
    <w:p>
      <w:pPr>
        <w:ind w:left="660"/>
        <w:spacing w:after="0"/>
        <w:rPr>
          <w:sz w:val="20"/>
          <w:szCs w:val="20"/>
          <w:color w:val="auto"/>
        </w:rPr>
      </w:pPr>
      <w:r>
        <w:rPr>
          <w:rFonts w:ascii="Arial" w:cs="Arial" w:eastAsia="Arial" w:hAnsi="Arial"/>
          <w:sz w:val="16"/>
          <w:szCs w:val="16"/>
          <w:b w:val="1"/>
          <w:bCs w:val="1"/>
          <w:color w:val="auto"/>
        </w:rPr>
        <w:t xml:space="preserve">IN WITNESS WHEREOF, </w:t>
      </w:r>
      <w:r>
        <w:rPr>
          <w:rFonts w:ascii="Arial" w:cs="Arial" w:eastAsia="Arial" w:hAnsi="Arial"/>
          <w:sz w:val="16"/>
          <w:szCs w:val="16"/>
          <w:color w:val="auto"/>
        </w:rPr>
        <w:t>the Company has caused this Warrant to Purchase Common Stock to be duly executed as of the Issuance Date set out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07"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PRESTO AUTOMATION INC.</w:t>
      </w:r>
    </w:p>
    <w:p>
      <w:pPr>
        <w:spacing w:after="0" w:line="2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6350</wp:posOffset>
            </wp:positionV>
            <wp:extent cx="2417445"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2">
                      <a:extLst>
                        <a:ext uri="{28A0092B-C50C-407E-A947-70E740481C1C}"/>
                      </a:extLst>
                    </a:blip>
                    <a:srcRect/>
                    <a:stretch>
                      <a:fillRect/>
                    </a:stretch>
                  </pic:blipFill>
                  <pic:spPr bwMode="auto">
                    <a:xfrm>
                      <a:off x="0" y="0"/>
                      <a:ext cx="2417445" cy="17145"/>
                    </a:xfrm>
                    <a:prstGeom prst="rect">
                      <a:avLst/>
                    </a:prstGeom>
                    <a:noFill/>
                  </pic:spPr>
                </pic:pic>
              </a:graphicData>
            </a:graphic>
          </wp:anchor>
        </w:drawing>
      </w:r>
    </w:p>
    <w:p>
      <w:pPr>
        <w:spacing w:after="0" w:line="3" w:lineRule="exact"/>
        <w:rPr>
          <w:sz w:val="20"/>
          <w:szCs w:val="20"/>
          <w:color w:val="auto"/>
        </w:rPr>
      </w:pPr>
    </w:p>
    <w:p>
      <w:pPr>
        <w:ind w:left="6760"/>
        <w:spacing w:after="0"/>
        <w:tabs>
          <w:tab w:leader="none" w:pos="7420" w:val="left"/>
        </w:tabs>
        <w:rPr>
          <w:sz w:val="20"/>
          <w:szCs w:val="20"/>
          <w:color w:val="auto"/>
        </w:rPr>
      </w:pPr>
      <w:r>
        <w:rPr>
          <w:rFonts w:ascii="Arial" w:cs="Arial" w:eastAsia="Arial" w:hAnsi="Arial"/>
          <w:sz w:val="18"/>
          <w:szCs w:val="18"/>
          <w:color w:val="auto"/>
        </w:rPr>
        <w:t>Name:</w:t>
        <w:tab/>
        <w:t>Xavier Casanova</w:t>
      </w:r>
    </w:p>
    <w:p>
      <w:pPr>
        <w:spacing w:after="0" w:line="23" w:lineRule="exact"/>
        <w:rPr>
          <w:sz w:val="20"/>
          <w:szCs w:val="20"/>
          <w:color w:val="auto"/>
        </w:rPr>
      </w:pPr>
    </w:p>
    <w:p>
      <w:pPr>
        <w:ind w:left="6760"/>
        <w:spacing w:after="0"/>
        <w:tabs>
          <w:tab w:leader="none" w:pos="7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88" w:name="page289"/>
    <w:bookmarkEnd w:id="288"/>
    <w:p>
      <w:pPr>
        <w:jc w:val="right"/>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EXERCISE NOTICE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EXECUTED BY THE REGISTERED HOLDER TO EXERCISE THIS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TO PURCHASE COMMON STOCK</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PRESTO AUTOMATION INC.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undersigned holder hereby exercises the right to purchase _________________ of the shares of Common Stock (“</w:t>
      </w:r>
      <w:r>
        <w:rPr>
          <w:rFonts w:ascii="Arial" w:cs="Arial" w:eastAsia="Arial" w:hAnsi="Arial"/>
          <w:sz w:val="17"/>
          <w:szCs w:val="17"/>
          <w:b w:val="1"/>
          <w:bCs w:val="1"/>
          <w:color w:val="auto"/>
        </w:rPr>
        <w:t>Warrant Shares</w:t>
      </w:r>
      <w:r>
        <w:rPr>
          <w:rFonts w:ascii="Arial" w:cs="Arial" w:eastAsia="Arial" w:hAnsi="Arial"/>
          <w:sz w:val="17"/>
          <w:szCs w:val="17"/>
          <w:color w:val="auto"/>
        </w:rPr>
        <w:t>”) of</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Presto Automation Inc.,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evidenced by the attached Warrant to Purchase Common Stock (the “</w:t>
      </w:r>
      <w:r>
        <w:rPr>
          <w:rFonts w:ascii="Arial" w:cs="Arial" w:eastAsia="Arial" w:hAnsi="Arial"/>
          <w:sz w:val="17"/>
          <w:szCs w:val="17"/>
          <w:b w:val="1"/>
          <w:bCs w:val="1"/>
          <w:color w:val="auto"/>
        </w:rPr>
        <w:t>Warrant</w:t>
      </w:r>
      <w:r>
        <w:rPr>
          <w:rFonts w:ascii="Arial" w:cs="Arial" w:eastAsia="Arial" w:hAnsi="Arial"/>
          <w:sz w:val="17"/>
          <w:szCs w:val="17"/>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used herein and not otherwise defined shall have the respective meanings set forth in the Warrant.</w:t>
      </w:r>
    </w:p>
    <w:p>
      <w:pPr>
        <w:spacing w:after="0" w:line="211" w:lineRule="exact"/>
        <w:rPr>
          <w:sz w:val="20"/>
          <w:szCs w:val="20"/>
          <w:color w:val="auto"/>
        </w:rPr>
      </w:pPr>
    </w:p>
    <w:p>
      <w:pPr>
        <w:ind w:left="840" w:hanging="184"/>
        <w:spacing w:after="0"/>
        <w:tabs>
          <w:tab w:leader="none" w:pos="84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Form of Exercise Price. The Holder intends that payment of the Exercise Price shall be made as:</w:t>
      </w:r>
    </w:p>
    <w:p>
      <w:pPr>
        <w:spacing w:after="0" w:line="225"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____________ a “</w:t>
      </w:r>
      <w:r>
        <w:rPr>
          <w:rFonts w:ascii="Arial" w:cs="Arial" w:eastAsia="Arial" w:hAnsi="Arial"/>
          <w:sz w:val="18"/>
          <w:szCs w:val="18"/>
          <w:u w:val="single" w:color="auto"/>
          <w:color w:val="auto"/>
        </w:rPr>
        <w:t>Cash Exercise</w:t>
      </w:r>
      <w:r>
        <w:rPr>
          <w:rFonts w:ascii="Arial" w:cs="Arial" w:eastAsia="Arial" w:hAnsi="Arial"/>
          <w:sz w:val="18"/>
          <w:szCs w:val="18"/>
          <w:color w:val="auto"/>
        </w:rPr>
        <w:t>” with respect to _________________ Warrant Shares; and/or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____________ a “</w:t>
      </w:r>
      <w:r>
        <w:rPr>
          <w:rFonts w:ascii="Arial" w:cs="Arial" w:eastAsia="Arial" w:hAnsi="Arial"/>
          <w:sz w:val="18"/>
          <w:szCs w:val="18"/>
          <w:u w:val="single" w:color="auto"/>
          <w:color w:val="auto"/>
        </w:rPr>
        <w:t>Cashless Exercise</w:t>
      </w:r>
      <w:r>
        <w:rPr>
          <w:rFonts w:ascii="Arial" w:cs="Arial" w:eastAsia="Arial" w:hAnsi="Arial"/>
          <w:sz w:val="18"/>
          <w:szCs w:val="18"/>
          <w:color w:val="auto"/>
        </w:rPr>
        <w:t>” with respect to _______________ Warrant Shares.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the event that the Holder has elected a Cashless Exercise with respect to some or all of the Warrant Shares to be issued pursuant hereto, the Holder hereby represents and warrants that this Exercise Notice was executed by the Holder at [a.m.][p.m.] on the date set forth below.</w:t>
      </w:r>
    </w:p>
    <w:p>
      <w:pPr>
        <w:spacing w:after="0" w:line="170" w:lineRule="exact"/>
        <w:rPr>
          <w:sz w:val="20"/>
          <w:szCs w:val="20"/>
          <w:color w:val="auto"/>
        </w:rPr>
      </w:pPr>
    </w:p>
    <w:p>
      <w:pPr>
        <w:jc w:val="both"/>
        <w:ind w:firstLine="656"/>
        <w:spacing w:after="0" w:line="263" w:lineRule="auto"/>
        <w:tabs>
          <w:tab w:leader="none" w:pos="846" w:val="left"/>
        </w:tabs>
        <w:numPr>
          <w:ilvl w:val="0"/>
          <w:numId w:val="299"/>
        </w:numPr>
        <w:rPr>
          <w:rFonts w:ascii="Arial" w:cs="Arial" w:eastAsia="Arial" w:hAnsi="Arial"/>
          <w:sz w:val="18"/>
          <w:szCs w:val="18"/>
          <w:color w:val="auto"/>
        </w:rPr>
      </w:pPr>
      <w:r>
        <w:rPr>
          <w:rFonts w:ascii="Arial" w:cs="Arial" w:eastAsia="Arial" w:hAnsi="Arial"/>
          <w:sz w:val="18"/>
          <w:szCs w:val="18"/>
          <w:color w:val="auto"/>
        </w:rPr>
        <w:t>Payment of Exercise Price. In the event that the holder has elected a Cash Exercise with respect to some or all of the Warrant Shares to be issued pursuant hereto, the holder shall pay the Aggregate Exercise Price in the sum of $___________________ to the Company in accordance with the terms of the Warrant.</w:t>
      </w:r>
    </w:p>
    <w:p>
      <w:pPr>
        <w:spacing w:after="0" w:line="183" w:lineRule="exact"/>
        <w:rPr>
          <w:rFonts w:ascii="Arial" w:cs="Arial" w:eastAsia="Arial" w:hAnsi="Arial"/>
          <w:sz w:val="18"/>
          <w:szCs w:val="18"/>
          <w:color w:val="auto"/>
        </w:rPr>
      </w:pPr>
    </w:p>
    <w:p>
      <w:pPr>
        <w:ind w:left="840" w:hanging="184"/>
        <w:spacing w:after="0"/>
        <w:tabs>
          <w:tab w:leader="none" w:pos="840" w:val="left"/>
        </w:tabs>
        <w:numPr>
          <w:ilvl w:val="0"/>
          <w:numId w:val="299"/>
        </w:numPr>
        <w:rPr>
          <w:rFonts w:ascii="Arial" w:cs="Arial" w:eastAsia="Arial" w:hAnsi="Arial"/>
          <w:sz w:val="16"/>
          <w:szCs w:val="16"/>
          <w:color w:val="auto"/>
        </w:rPr>
      </w:pPr>
      <w:r>
        <w:rPr>
          <w:rFonts w:ascii="Arial" w:cs="Arial" w:eastAsia="Arial" w:hAnsi="Arial"/>
          <w:sz w:val="16"/>
          <w:szCs w:val="16"/>
          <w:color w:val="auto"/>
        </w:rPr>
        <w:t>Delivery of Warrant Shares. The Company shall deliver to the holder __________ Warrant Shares in accordance with the terms of the Warrant.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520" w:type="dxa"/>
            <w:vAlign w:val="bottom"/>
            <w:gridSpan w:val="2"/>
          </w:tcPr>
          <w:p>
            <w:pPr>
              <w:spacing w:after="0"/>
              <w:rPr>
                <w:sz w:val="20"/>
                <w:szCs w:val="20"/>
                <w:color w:val="auto"/>
              </w:rPr>
            </w:pPr>
            <w:r>
              <w:rPr>
                <w:rFonts w:ascii="Arial" w:cs="Arial" w:eastAsia="Arial" w:hAnsi="Arial"/>
                <w:sz w:val="18"/>
                <w:szCs w:val="18"/>
                <w:color w:val="auto"/>
              </w:rPr>
              <w:t>_______ Electronic Delivery</w:t>
            </w:r>
          </w:p>
        </w:tc>
        <w:tc>
          <w:tcPr>
            <w:tcW w:w="6720" w:type="dxa"/>
            <w:vAlign w:val="bottom"/>
            <w:gridSpan w:val="2"/>
          </w:tcPr>
          <w:p>
            <w:pPr>
              <w:ind w:left="1680"/>
              <w:spacing w:after="0"/>
              <w:rPr>
                <w:sz w:val="20"/>
                <w:szCs w:val="20"/>
                <w:color w:val="auto"/>
              </w:rPr>
            </w:pPr>
            <w:r>
              <w:rPr>
                <w:rFonts w:ascii="Arial" w:cs="Arial" w:eastAsia="Arial" w:hAnsi="Arial"/>
                <w:sz w:val="18"/>
                <w:szCs w:val="18"/>
                <w:color w:val="auto"/>
              </w:rPr>
              <w:t>DTC Participant:</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3360" w:type="dxa"/>
            <w:vAlign w:val="bottom"/>
          </w:tcPr>
          <w:p>
            <w:pPr>
              <w:ind w:left="1680"/>
              <w:spacing w:after="0" w:line="203" w:lineRule="exact"/>
              <w:rPr>
                <w:sz w:val="20"/>
                <w:szCs w:val="20"/>
                <w:color w:val="auto"/>
              </w:rPr>
            </w:pPr>
            <w:r>
              <w:rPr>
                <w:rFonts w:ascii="Arial" w:cs="Arial" w:eastAsia="Arial" w:hAnsi="Arial"/>
                <w:sz w:val="18"/>
                <w:szCs w:val="18"/>
                <w:color w:val="auto"/>
              </w:rPr>
              <w:t>DTC Number:</w:t>
            </w:r>
          </w:p>
        </w:tc>
        <w:tc>
          <w:tcPr>
            <w:tcW w:w="336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3360" w:type="dxa"/>
            <w:vAlign w:val="bottom"/>
          </w:tcPr>
          <w:p>
            <w:pPr>
              <w:ind w:left="1680"/>
              <w:spacing w:after="0" w:line="202" w:lineRule="exact"/>
              <w:rPr>
                <w:sz w:val="20"/>
                <w:szCs w:val="20"/>
                <w:color w:val="auto"/>
              </w:rPr>
            </w:pPr>
            <w:r>
              <w:rPr>
                <w:rFonts w:ascii="Arial" w:cs="Arial" w:eastAsia="Arial" w:hAnsi="Arial"/>
                <w:sz w:val="18"/>
                <w:szCs w:val="18"/>
                <w:color w:val="auto"/>
              </w:rPr>
              <w:t>Account Name:</w:t>
            </w:r>
          </w:p>
        </w:tc>
        <w:tc>
          <w:tcPr>
            <w:tcW w:w="33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3360" w:type="dxa"/>
            <w:vAlign w:val="bottom"/>
          </w:tcPr>
          <w:p>
            <w:pPr>
              <w:ind w:left="1680"/>
              <w:spacing w:after="0" w:line="202" w:lineRule="exact"/>
              <w:rPr>
                <w:sz w:val="20"/>
                <w:szCs w:val="20"/>
                <w:color w:val="auto"/>
              </w:rPr>
            </w:pPr>
            <w:r>
              <w:rPr>
                <w:rFonts w:ascii="Arial" w:cs="Arial" w:eastAsia="Arial" w:hAnsi="Arial"/>
                <w:sz w:val="18"/>
                <w:szCs w:val="18"/>
                <w:color w:val="auto"/>
              </w:rPr>
              <w:t>Account Number:</w:t>
            </w:r>
          </w:p>
        </w:tc>
        <w:tc>
          <w:tcPr>
            <w:tcW w:w="33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4520" w:type="dxa"/>
            <w:vAlign w:val="bottom"/>
            <w:gridSpan w:val="2"/>
          </w:tcPr>
          <w:p>
            <w:pPr>
              <w:spacing w:after="0"/>
              <w:rPr>
                <w:sz w:val="20"/>
                <w:szCs w:val="20"/>
                <w:color w:val="auto"/>
              </w:rPr>
            </w:pPr>
            <w:r>
              <w:rPr>
                <w:rFonts w:ascii="Arial" w:cs="Arial" w:eastAsia="Arial" w:hAnsi="Arial"/>
                <w:sz w:val="18"/>
                <w:szCs w:val="18"/>
                <w:color w:val="auto"/>
              </w:rPr>
              <w:t>_______ Physical Delivery</w:t>
            </w:r>
          </w:p>
        </w:tc>
        <w:tc>
          <w:tcPr>
            <w:tcW w:w="6720" w:type="dxa"/>
            <w:vAlign w:val="bottom"/>
            <w:gridSpan w:val="2"/>
          </w:tcPr>
          <w:p>
            <w:pPr>
              <w:ind w:left="1680"/>
              <w:spacing w:after="0"/>
              <w:rPr>
                <w:sz w:val="20"/>
                <w:szCs w:val="20"/>
                <w:color w:val="auto"/>
              </w:rPr>
            </w:pPr>
            <w:r>
              <w:rPr>
                <w:rFonts w:ascii="Arial" w:cs="Arial" w:eastAsia="Arial" w:hAnsi="Arial"/>
                <w:sz w:val="18"/>
                <w:szCs w:val="18"/>
                <w:color w:val="auto"/>
              </w:rPr>
              <w:t>Address:</w:t>
            </w:r>
          </w:p>
        </w:tc>
        <w:tc>
          <w:tcPr>
            <w:tcW w:w="0" w:type="dxa"/>
            <w:vAlign w:val="bottom"/>
          </w:tcPr>
          <w:p>
            <w:pPr>
              <w:spacing w:after="0"/>
              <w:rPr>
                <w:sz w:val="1"/>
                <w:szCs w:val="1"/>
                <w:color w:val="auto"/>
              </w:rPr>
            </w:pPr>
          </w:p>
        </w:tc>
      </w:tr>
      <w:tr>
        <w:trPr>
          <w:trHeight w:val="223"/>
        </w:trPr>
        <w:tc>
          <w:tcPr>
            <w:tcW w:w="4520" w:type="dxa"/>
            <w:vAlign w:val="bottom"/>
            <w:gridSpan w:val="2"/>
            <w:vMerge w:val="restart"/>
          </w:tcPr>
          <w:p>
            <w:pPr>
              <w:spacing w:after="0"/>
              <w:rPr>
                <w:sz w:val="20"/>
                <w:szCs w:val="20"/>
                <w:color w:val="auto"/>
              </w:rPr>
            </w:pPr>
            <w:r>
              <w:rPr>
                <w:rFonts w:ascii="Arial" w:cs="Arial" w:eastAsia="Arial" w:hAnsi="Arial"/>
                <w:sz w:val="18"/>
                <w:szCs w:val="18"/>
                <w:color w:val="auto"/>
              </w:rPr>
              <w:t>Date: _______________ __, ______</w:t>
            </w:r>
          </w:p>
        </w:tc>
        <w:tc>
          <w:tcPr>
            <w:tcW w:w="3360" w:type="dxa"/>
            <w:vAlign w:val="bottom"/>
          </w:tcPr>
          <w:p>
            <w:pPr>
              <w:spacing w:after="0"/>
              <w:rPr>
                <w:sz w:val="19"/>
                <w:szCs w:val="19"/>
                <w:color w:val="auto"/>
              </w:rPr>
            </w:pPr>
          </w:p>
        </w:tc>
        <w:tc>
          <w:tcPr>
            <w:tcW w:w="336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20" w:type="dxa"/>
            <w:vAlign w:val="bottom"/>
            <w:gridSpan w:val="2"/>
            <w:vMerge w:val="continue"/>
          </w:tcPr>
          <w:p>
            <w:pPr>
              <w:spacing w:after="0"/>
              <w:rPr>
                <w:sz w:val="19"/>
                <w:szCs w:val="19"/>
                <w:color w:val="auto"/>
              </w:rPr>
            </w:pPr>
          </w:p>
        </w:tc>
        <w:tc>
          <w:tcPr>
            <w:tcW w:w="3360" w:type="dxa"/>
            <w:vAlign w:val="bottom"/>
          </w:tcPr>
          <w:p>
            <w:pPr>
              <w:spacing w:after="0"/>
              <w:rPr>
                <w:sz w:val="19"/>
                <w:szCs w:val="19"/>
                <w:color w:val="auto"/>
              </w:rPr>
            </w:pPr>
          </w:p>
        </w:tc>
        <w:tc>
          <w:tcPr>
            <w:tcW w:w="33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4520" w:type="dxa"/>
            <w:vAlign w:val="bottom"/>
            <w:gridSpan w:val="2"/>
            <w:vMerge w:val="continue"/>
          </w:tcPr>
          <w:p>
            <w:pPr>
              <w:spacing w:after="0"/>
              <w:rPr>
                <w:sz w:val="24"/>
                <w:szCs w:val="24"/>
                <w:color w:val="auto"/>
              </w:rPr>
            </w:pPr>
          </w:p>
        </w:tc>
        <w:tc>
          <w:tcPr>
            <w:tcW w:w="33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520" w:type="dxa"/>
            <w:vAlign w:val="bottom"/>
            <w:tcBorders>
              <w:bottom w:val="single" w:sz="8" w:color="auto"/>
            </w:tcBorders>
            <w:gridSpan w:val="2"/>
          </w:tcPr>
          <w:p>
            <w:pPr>
              <w:spacing w:after="0"/>
              <w:rPr>
                <w:sz w:val="24"/>
                <w:szCs w:val="24"/>
                <w:color w:val="auto"/>
              </w:rPr>
            </w:pPr>
          </w:p>
        </w:tc>
        <w:tc>
          <w:tcPr>
            <w:tcW w:w="33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rPr>
              <w:t>Name of Registered Holder</w:t>
            </w:r>
          </w:p>
        </w:tc>
        <w:tc>
          <w:tcPr>
            <w:tcW w:w="336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520" w:type="dxa"/>
            <w:vAlign w:val="bottom"/>
            <w:gridSpan w:val="2"/>
          </w:tcPr>
          <w:p>
            <w:pPr>
              <w:spacing w:after="0"/>
              <w:rPr>
                <w:sz w:val="20"/>
                <w:szCs w:val="20"/>
                <w:color w:val="auto"/>
              </w:rPr>
            </w:pPr>
            <w:r>
              <w:rPr>
                <w:rFonts w:ascii="Arial" w:cs="Arial" w:eastAsia="Arial" w:hAnsi="Arial"/>
                <w:sz w:val="18"/>
                <w:szCs w:val="18"/>
                <w:color w:val="auto"/>
              </w:rPr>
              <w:t>By:</w:t>
            </w:r>
          </w:p>
        </w:tc>
        <w:tc>
          <w:tcPr>
            <w:tcW w:w="33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60" w:type="dxa"/>
            <w:vAlign w:val="bottom"/>
          </w:tcPr>
          <w:p>
            <w:pPr>
              <w:spacing w:after="0"/>
              <w:rPr>
                <w:sz w:val="17"/>
                <w:szCs w:val="17"/>
                <w:color w:val="auto"/>
              </w:rPr>
            </w:pPr>
          </w:p>
        </w:tc>
        <w:tc>
          <w:tcPr>
            <w:tcW w:w="40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Name:</w:t>
            </w:r>
          </w:p>
        </w:tc>
        <w:tc>
          <w:tcPr>
            <w:tcW w:w="336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Title:</w:t>
            </w:r>
          </w:p>
        </w:tc>
        <w:tc>
          <w:tcPr>
            <w:tcW w:w="336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2"/>
        </w:trPr>
        <w:tc>
          <w:tcPr>
            <w:tcW w:w="46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289" w:name="page290"/>
    <w:bookmarkEnd w:id="289"/>
    <w:p>
      <w:pPr>
        <w:jc w:val="center"/>
        <w:spacing w:after="0"/>
        <w:rPr>
          <w:sz w:val="20"/>
          <w:szCs w:val="20"/>
          <w:color w:val="auto"/>
        </w:rPr>
      </w:pPr>
      <w:r>
        <w:rPr>
          <w:rFonts w:ascii="Arial" w:cs="Arial" w:eastAsia="Arial" w:hAnsi="Arial"/>
          <w:sz w:val="18"/>
          <w:szCs w:val="18"/>
          <w:b w:val="1"/>
          <w:bCs w:val="1"/>
          <w:color w:val="auto"/>
        </w:rPr>
        <w:t>ACKNOWLEDGMENT</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hereby acknowledges this Exercise Notice and hereby directs [TRANSFER AGENT] to issue the above indicated number of shares of Common Stock in accordance with the Transfer Agent Instructions dated _________________ from the Company and acknowledged and agreed to by [TRANSFER AGENT].</w:t>
      </w:r>
    </w:p>
    <w:p>
      <w:pPr>
        <w:spacing w:after="0" w:line="180"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PRESTO AUTOMATION INC.</w:t>
      </w:r>
    </w:p>
    <w:p>
      <w:pPr>
        <w:spacing w:after="0" w:line="2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0" w:name="page291"/>
    <w:bookmarkEnd w:id="290"/>
    <w:p>
      <w:pPr>
        <w:jc w:val="center"/>
        <w:ind w:right="-19"/>
        <w:spacing w:after="0"/>
        <w:rPr>
          <w:sz w:val="20"/>
          <w:szCs w:val="20"/>
          <w:color w:val="auto"/>
        </w:rPr>
      </w:pPr>
      <w:r>
        <w:rPr>
          <w:rFonts w:ascii="Arial" w:cs="Arial" w:eastAsia="Arial" w:hAnsi="Arial"/>
          <w:sz w:val="18"/>
          <w:szCs w:val="18"/>
          <w:b w:val="1"/>
          <w:bCs w:val="1"/>
          <w:color w:val="auto"/>
        </w:rPr>
        <w:t>ASSIGNMENT FORM</w:t>
      </w:r>
    </w:p>
    <w:p>
      <w:pPr>
        <w:spacing w:after="0" w:line="229"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(To assign the foregoing warrant, execute</w:t>
      </w:r>
    </w:p>
    <w:p>
      <w:pPr>
        <w:spacing w:after="0" w:line="23"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this form and supply required information.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 not use this form to exercise the warrant.)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VALUE RECEIVED, all of or shares of the foregoing Warrant and all rights evidenced thereby are hereby assigned to</w:t>
      </w:r>
    </w:p>
    <w:p>
      <w:pPr>
        <w:spacing w:after="0" w:line="225" w:lineRule="exact"/>
        <w:rPr>
          <w:sz w:val="20"/>
          <w:szCs w:val="20"/>
          <w:color w:val="auto"/>
        </w:rPr>
      </w:pPr>
    </w:p>
    <w:p>
      <w:pPr>
        <w:ind w:left="9340"/>
        <w:spacing w:after="0"/>
        <w:rPr>
          <w:sz w:val="20"/>
          <w:szCs w:val="20"/>
          <w:color w:val="auto"/>
        </w:rPr>
      </w:pPr>
      <w:r>
        <w:rPr>
          <w:rFonts w:ascii="Arial" w:cs="Arial" w:eastAsia="Arial" w:hAnsi="Arial"/>
          <w:sz w:val="18"/>
          <w:szCs w:val="18"/>
          <w:color w:val="auto"/>
        </w:rPr>
        <w:t>whose address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5709285"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6">
                      <a:extLst>
                        <a:ext uri="{28A0092B-C50C-407E-A947-70E740481C1C}"/>
                      </a:extLst>
                    </a:blip>
                    <a:srcRect/>
                    <a:stretch>
                      <a:fillRect/>
                    </a:stretch>
                  </pic:blipFill>
                  <pic:spPr bwMode="auto">
                    <a:xfrm>
                      <a:off x="0" y="0"/>
                      <a:ext cx="570928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5709285"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7">
                      <a:extLst>
                        <a:ext uri="{28A0092B-C50C-407E-A947-70E740481C1C}"/>
                      </a:extLst>
                    </a:blip>
                    <a:srcRect/>
                    <a:stretch>
                      <a:fillRect/>
                    </a:stretch>
                  </pic:blipFill>
                  <pic:spPr bwMode="auto">
                    <a:xfrm>
                      <a:off x="0" y="0"/>
                      <a:ext cx="570928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5709285"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8">
                      <a:extLst>
                        <a:ext uri="{28A0092B-C50C-407E-A947-70E740481C1C}"/>
                      </a:extLst>
                    </a:blip>
                    <a:srcRect/>
                    <a:stretch>
                      <a:fillRect/>
                    </a:stretch>
                  </pic:blipFill>
                  <pic:spPr bwMode="auto">
                    <a:xfrm>
                      <a:off x="0" y="0"/>
                      <a:ext cx="570928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Dated: __________________, ____</w:t>
      </w:r>
    </w:p>
    <w:p>
      <w:pPr>
        <w:spacing w:after="0" w:line="225"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Holder’s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14605</wp:posOffset>
            </wp:positionV>
            <wp:extent cx="2134235"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9">
                      <a:extLst>
                        <a:ext uri="{28A0092B-C50C-407E-A947-70E740481C1C}"/>
                      </a:extLst>
                    </a:blip>
                    <a:srcRect/>
                    <a:stretch>
                      <a:fillRect/>
                    </a:stretch>
                  </pic:blipFill>
                  <pic:spPr bwMode="auto">
                    <a:xfrm>
                      <a:off x="0" y="0"/>
                      <a:ext cx="2134235" cy="17145"/>
                    </a:xfrm>
                    <a:prstGeom prst="rect">
                      <a:avLst/>
                    </a:prstGeom>
                    <a:noFill/>
                  </pic:spPr>
                </pic:pic>
              </a:graphicData>
            </a:graphic>
          </wp:anchor>
        </w:drawing>
      </w:r>
    </w:p>
    <w:p>
      <w:pPr>
        <w:spacing w:after="0" w:line="3"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Holder’s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177165</wp:posOffset>
            </wp:positionV>
            <wp:extent cx="2134235"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0">
                      <a:extLst>
                        <a:ext uri="{28A0092B-C50C-407E-A947-70E740481C1C}"/>
                      </a:extLst>
                    </a:blip>
                    <a:srcRect/>
                    <a:stretch>
                      <a:fillRect/>
                    </a:stretch>
                  </pic:blipFill>
                  <pic:spPr bwMode="auto">
                    <a:xfrm>
                      <a:off x="0" y="0"/>
                      <a:ext cx="2134235" cy="1714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22860</wp:posOffset>
            </wp:positionV>
            <wp:extent cx="2134235"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1">
                      <a:extLst>
                        <a:ext uri="{28A0092B-C50C-407E-A947-70E740481C1C}"/>
                      </a:extLst>
                    </a:blip>
                    <a:srcRect/>
                    <a:stretch>
                      <a:fillRect/>
                    </a:stretch>
                  </pic:blipFill>
                  <pic:spPr bwMode="auto">
                    <a:xfrm>
                      <a:off x="0" y="0"/>
                      <a:ext cx="2134235" cy="171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NOTE: The signature to this Assignment Form must correspond with the name as it appears on the face of the Warrant, without alteration or enlargement or any change whatsoever.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1" w:name="page292"/>
    <w:bookmarkEnd w:id="291"/>
    <w:p>
      <w:pPr>
        <w:jc w:val="right"/>
        <w:spacing w:after="0"/>
        <w:rPr>
          <w:sz w:val="20"/>
          <w:szCs w:val="20"/>
          <w:color w:val="auto"/>
        </w:rPr>
      </w:pPr>
      <w:r>
        <w:rPr>
          <w:rFonts w:ascii="Arial" w:cs="Arial" w:eastAsia="Arial" w:hAnsi="Arial"/>
          <w:sz w:val="22"/>
          <w:szCs w:val="22"/>
          <w:b w:val="1"/>
          <w:bCs w:val="1"/>
          <w:color w:val="auto"/>
        </w:rPr>
        <w:t>Exhibit 10.8</w:t>
      </w:r>
    </w:p>
    <w:p>
      <w:pPr>
        <w:spacing w:after="0" w:line="247" w:lineRule="exact"/>
        <w:rPr>
          <w:sz w:val="20"/>
          <w:szCs w:val="20"/>
          <w:color w:val="auto"/>
        </w:rPr>
      </w:pPr>
    </w:p>
    <w:p>
      <w:pPr>
        <w:ind w:left="9880"/>
        <w:spacing w:after="0"/>
        <w:rPr>
          <w:sz w:val="20"/>
          <w:szCs w:val="20"/>
          <w:color w:val="auto"/>
        </w:rPr>
      </w:pPr>
      <w:r>
        <w:rPr>
          <w:rFonts w:ascii="Arial" w:cs="Arial" w:eastAsia="Arial" w:hAnsi="Arial"/>
          <w:sz w:val="15"/>
          <w:szCs w:val="15"/>
          <w:b w:val="1"/>
          <w:bCs w:val="1"/>
          <w:i w:val="1"/>
          <w:iCs w:val="1"/>
          <w:color w:val="auto"/>
        </w:rPr>
        <w:t>Execution Version</w:t>
      </w:r>
    </w:p>
    <w:p>
      <w:pPr>
        <w:spacing w:after="0" w:line="2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NEITHER THIS WARRANT, NOR THE SECURITIES ISSUABLE UPON EXERCISE OF THIS WARRANT (COLLECTIVELY, THE “SECURITIES”), HAVE BEEN REGISTERED UNDER THE SECURITIES ACT OF 1933, AS AMENDED (THE “SECURITIES ACT”), OR UNDER ANY STATE SECURITIES OR BLUE SKY LAWS. THE SECURITIES ARE SUBJECT TO RESTRICTIONS ON TRANSFERABILITY AND RESALE AND MAY NOT BE OFFERED, FOR SALE, SOLD, PLEDGED, HYPOTHECATED OR OTHERWISE TRANSFERRED OR ASSIGNED EXCEPT AS PERMITTED UNDER THE SECURITIES ACT AND APPLICABLE STATE SECURITIES OR BLUE SKY LAWS, PURSUANT TO REGISTRATION OR QUALIFICATION OR EXEMPTION THEREFROM. INVESTORS SHOULD BE AWARE THAT THEY MAY BE REQUIRED TO BEAR THE FINANCIAL RISKS OF THIS INVESTMENT FOR AN INDEFINITE PERIOD OF TIME. THE COMPANY MAY REQUIRE AN OPINION OF COUNSEL IN FORM AND SUBSTANCE REASONABLY SATISFACTORY TO THE COMPANY TO THE EFFECT THAT ANY PROPOSED TRANSFER IS IN COMPLIANCE WITH THE SECURITIES ACT AND ANY APPLICABLE STATE SECURITIES OR BLUE SKY LAWS.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PRESTO AUTOMATION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2"/>
          <w:szCs w:val="12"/>
          <w:b w:val="1"/>
          <w:bCs w:val="1"/>
          <w:color w:val="auto"/>
        </w:rPr>
        <w:t>arrant</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o</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urchase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ommon</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Warrant No.: 2023-15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of Common Stock: 8,018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of Issuance: October 10, 2023 (“</w:t>
      </w:r>
      <w:r>
        <w:rPr>
          <w:rFonts w:ascii="Arial" w:cs="Arial" w:eastAsia="Arial" w:hAnsi="Arial"/>
          <w:sz w:val="18"/>
          <w:szCs w:val="18"/>
          <w:b w:val="1"/>
          <w:bCs w:val="1"/>
          <w:color w:val="auto"/>
        </w:rPr>
        <w:t>Issuance Date</w:t>
      </w:r>
      <w:r>
        <w:rPr>
          <w:rFonts w:ascii="Arial" w:cs="Arial" w:eastAsia="Arial" w:hAnsi="Arial"/>
          <w:sz w:val="18"/>
          <w:szCs w:val="18"/>
          <w:color w:val="auto"/>
        </w:rPr>
        <w:t>”)</w:t>
      </w:r>
    </w:p>
    <w:p>
      <w:pPr>
        <w:spacing w:after="0" w:line="207" w:lineRule="exact"/>
        <w:rPr>
          <w:sz w:val="20"/>
          <w:szCs w:val="20"/>
          <w:color w:val="auto"/>
        </w:rPr>
      </w:pPr>
    </w:p>
    <w:p>
      <w:pPr>
        <w:jc w:val="both"/>
        <w:ind w:firstLine="1296"/>
        <w:spacing w:after="0" w:line="288" w:lineRule="auto"/>
        <w:rPr>
          <w:sz w:val="20"/>
          <w:szCs w:val="20"/>
          <w:color w:val="auto"/>
        </w:rPr>
      </w:pPr>
      <w:r>
        <w:rPr>
          <w:rFonts w:ascii="Arial" w:cs="Arial" w:eastAsia="Arial" w:hAnsi="Arial"/>
          <w:sz w:val="16"/>
          <w:szCs w:val="16"/>
          <w:color w:val="auto"/>
        </w:rPr>
        <w:t>Presto Automation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hereby certifies that, for good and valuable consideration, the receipt and sufficiency of which are hereby acknowledged, Metropolitan Levered Partners Fund VII, LP, the registered holder hereof or its permitted assigns (the “</w:t>
      </w:r>
      <w:r>
        <w:rPr>
          <w:rFonts w:ascii="Arial" w:cs="Arial" w:eastAsia="Arial" w:hAnsi="Arial"/>
          <w:sz w:val="16"/>
          <w:szCs w:val="16"/>
          <w:b w:val="1"/>
          <w:bCs w:val="1"/>
          <w:color w:val="auto"/>
        </w:rPr>
        <w:t>Holder</w:t>
      </w:r>
      <w:r>
        <w:rPr>
          <w:rFonts w:ascii="Arial" w:cs="Arial" w:eastAsia="Arial" w:hAnsi="Arial"/>
          <w:sz w:val="16"/>
          <w:szCs w:val="16"/>
          <w:color w:val="auto"/>
        </w:rPr>
        <w:t>”), is entitled, subject to the terms set forth below, to purchase from the Company, at the Exercise Price (as defined below) then in effect, at any time or times on or after the Issuance Date, but not after 11:59 p.m., New York time, on the Expiration Date, (as defined below), 8,018 duly authorized, validly issued, fully paid, nonassessable shares of Common Stock, subject to adjustment as provided herein (the “</w:t>
      </w:r>
      <w:r>
        <w:rPr>
          <w:rFonts w:ascii="Arial" w:cs="Arial" w:eastAsia="Arial" w:hAnsi="Arial"/>
          <w:sz w:val="16"/>
          <w:szCs w:val="16"/>
          <w:b w:val="1"/>
          <w:bCs w:val="1"/>
          <w:color w:val="auto"/>
        </w:rPr>
        <w:t>Warrant Shares</w:t>
      </w:r>
      <w:r>
        <w:rPr>
          <w:rFonts w:ascii="Arial" w:cs="Arial" w:eastAsia="Arial" w:hAnsi="Arial"/>
          <w:sz w:val="16"/>
          <w:szCs w:val="16"/>
          <w:color w:val="auto"/>
        </w:rPr>
        <w:t>”). Except as otherwise defined herein, capitalized terms in this Warrant to Purchase Common Stock (including any Warrants to Purchase Common Stock issued in exchange, transfer or replacement hereof, this “</w:t>
      </w:r>
      <w:r>
        <w:rPr>
          <w:rFonts w:ascii="Arial" w:cs="Arial" w:eastAsia="Arial" w:hAnsi="Arial"/>
          <w:sz w:val="16"/>
          <w:szCs w:val="16"/>
          <w:b w:val="1"/>
          <w:bCs w:val="1"/>
          <w:color w:val="auto"/>
        </w:rPr>
        <w:t>Warrant</w:t>
      </w:r>
      <w:r>
        <w:rPr>
          <w:rFonts w:ascii="Arial" w:cs="Arial" w:eastAsia="Arial" w:hAnsi="Arial"/>
          <w:sz w:val="16"/>
          <w:szCs w:val="16"/>
          <w:color w:val="auto"/>
        </w:rPr>
        <w:t>”) shall have the meanings set forth in Section 17‎. This Warrant is being issued pursuant to Section 4 of that certain Third Amendment to Credit Agreement, dated October 10, 2023, among E La Carte, LLC, the Company and Metropolitan Partners Group Administration, LLC, as agent (the “</w:t>
      </w:r>
      <w:r>
        <w:rPr>
          <w:rFonts w:ascii="Arial" w:cs="Arial" w:eastAsia="Arial" w:hAnsi="Arial"/>
          <w:sz w:val="16"/>
          <w:szCs w:val="16"/>
          <w:b w:val="1"/>
          <w:bCs w:val="1"/>
          <w:color w:val="auto"/>
        </w:rPr>
        <w:t>Third Amendment</w:t>
      </w:r>
      <w:r>
        <w:rPr>
          <w:rFonts w:ascii="Arial" w:cs="Arial" w:eastAsia="Arial" w:hAnsi="Arial"/>
          <w:sz w:val="16"/>
          <w:szCs w:val="16"/>
          <w:color w:val="auto"/>
        </w:rPr>
        <w:t>”), and to Section 7 of that certain Third Amended and Restated Fee Letter, dated October 10, 2023, among E La Carte, LLC, the Company and Metropolitan Partners Group Administration (the “</w:t>
      </w:r>
      <w:r>
        <w:rPr>
          <w:rFonts w:ascii="Arial" w:cs="Arial" w:eastAsia="Arial" w:hAnsi="Arial"/>
          <w:sz w:val="16"/>
          <w:szCs w:val="16"/>
          <w:b w:val="1"/>
          <w:bCs w:val="1"/>
          <w:color w:val="auto"/>
        </w:rPr>
        <w:t>Fee Letter</w:t>
      </w:r>
      <w:r>
        <w:rPr>
          <w:rFonts w:ascii="Arial" w:cs="Arial" w:eastAsia="Arial" w:hAnsi="Arial"/>
          <w:sz w:val="16"/>
          <w:szCs w:val="16"/>
          <w:color w:val="auto"/>
        </w:rPr>
        <w:t>”). Capitalized terms used herein and not otherwise defined shall have the definitions ascribed to such terms in the Credit Agreement (as defined in the Fee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407035</wp:posOffset>
            </wp:positionV>
            <wp:extent cx="713232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92" w:name="page293"/>
    <w:bookmarkEnd w:id="292"/>
    <w:p>
      <w:pPr>
        <w:ind w:left="1480" w:hanging="176"/>
        <w:spacing w:after="0"/>
        <w:tabs>
          <w:tab w:leader="none" w:pos="148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EXERCISE OF WARRANT.</w:t>
      </w:r>
    </w:p>
    <w:p>
      <w:pPr>
        <w:spacing w:after="0" w:line="225" w:lineRule="exact"/>
        <w:rPr>
          <w:rFonts w:ascii="Arial" w:cs="Arial" w:eastAsia="Arial" w:hAnsi="Arial"/>
          <w:sz w:val="18"/>
          <w:szCs w:val="18"/>
          <w:color w:val="auto"/>
        </w:rPr>
      </w:pPr>
    </w:p>
    <w:p>
      <w:pPr>
        <w:jc w:val="both"/>
        <w:ind w:firstLine="1952"/>
        <w:spacing w:after="0" w:line="282" w:lineRule="auto"/>
        <w:tabs>
          <w:tab w:leader="none" w:pos="2188" w:val="left"/>
        </w:tabs>
        <w:numPr>
          <w:ilvl w:val="1"/>
          <w:numId w:val="300"/>
        </w:numPr>
        <w:rPr>
          <w:rFonts w:ascii="Arial" w:cs="Arial" w:eastAsia="Arial" w:hAnsi="Arial"/>
          <w:sz w:val="16"/>
          <w:szCs w:val="16"/>
          <w:color w:val="auto"/>
        </w:rPr>
      </w:pPr>
      <w:r>
        <w:rPr>
          <w:rFonts w:ascii="Arial" w:cs="Arial" w:eastAsia="Arial" w:hAnsi="Arial"/>
          <w:sz w:val="16"/>
          <w:szCs w:val="16"/>
          <w:u w:val="single" w:color="auto"/>
          <w:color w:val="auto"/>
        </w:rPr>
        <w:t>Mechanics of Exercise</w:t>
      </w:r>
      <w:r>
        <w:rPr>
          <w:rFonts w:ascii="Arial" w:cs="Arial" w:eastAsia="Arial" w:hAnsi="Arial"/>
          <w:sz w:val="16"/>
          <w:szCs w:val="16"/>
          <w:color w:val="auto"/>
        </w:rPr>
        <w:t xml:space="preserve">. Subject to the terms and conditions hereof (including, without limitation, the limitations set forth in Section </w:t>
      </w:r>
      <w:r>
        <w:rPr>
          <w:rFonts w:ascii="Arial" w:cs="Arial" w:eastAsia="Arial" w:hAnsi="Arial"/>
          <w:sz w:val="19"/>
          <w:szCs w:val="19"/>
          <w:b w:val="1"/>
          <w:bCs w:val="1"/>
          <w:color w:val="auto"/>
        </w:rPr>
        <w:t>‎</w:t>
      </w:r>
      <w:r>
        <w:rPr>
          <w:rFonts w:ascii="Arial" w:cs="Arial" w:eastAsia="Arial" w:hAnsi="Arial"/>
          <w:sz w:val="16"/>
          <w:szCs w:val="16"/>
          <w:color w:val="auto"/>
        </w:rPr>
        <w:t xml:space="preserve">1(f)), this Warrant may be exercised by the Holder at any time or times on or after the Issuance Date, in whole or in part, by (i) delivery (whether via facsimile or otherwise) of a written notice, in the form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(the “</w:t>
      </w:r>
      <w:r>
        <w:rPr>
          <w:rFonts w:ascii="Arial" w:cs="Arial" w:eastAsia="Arial" w:hAnsi="Arial"/>
          <w:sz w:val="16"/>
          <w:szCs w:val="16"/>
          <w:b w:val="1"/>
          <w:bCs w:val="1"/>
          <w:color w:val="auto"/>
        </w:rPr>
        <w:t>Exercise Notice</w:t>
      </w:r>
      <w:r>
        <w:rPr>
          <w:rFonts w:ascii="Arial" w:cs="Arial" w:eastAsia="Arial" w:hAnsi="Arial"/>
          <w:sz w:val="16"/>
          <w:szCs w:val="16"/>
          <w:color w:val="auto"/>
        </w:rPr>
        <w:t>”), of the Holder’s election to exercise this Warrant and (ii) (A) payment to the Company of an amount equal to the applicable Exercise Price multiplied by the number of Warrant Shares as to which this Warrant is being exercised (the “</w:t>
      </w:r>
      <w:r>
        <w:rPr>
          <w:rFonts w:ascii="Arial" w:cs="Arial" w:eastAsia="Arial" w:hAnsi="Arial"/>
          <w:sz w:val="16"/>
          <w:szCs w:val="16"/>
          <w:b w:val="1"/>
          <w:bCs w:val="1"/>
          <w:color w:val="auto"/>
        </w:rPr>
        <w:t>Aggregate Exercise Price</w:t>
      </w:r>
      <w:r>
        <w:rPr>
          <w:rFonts w:ascii="Arial" w:cs="Arial" w:eastAsia="Arial" w:hAnsi="Arial"/>
          <w:sz w:val="16"/>
          <w:szCs w:val="16"/>
          <w:color w:val="auto"/>
        </w:rPr>
        <w:t xml:space="preserve">”) in cash by wire transfer of immediately available funds or (B) if the provisions of Section 1(d) are applicable, by notifying the Company that this Warrant is being exercised pursuant to a Cashless Exercise.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after the date the Warrant Shares which are the subject of the Exercise Notice being delivered to the Holder.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w:t>
      </w:r>
      <w:r>
        <w:rPr>
          <w:rFonts w:ascii="Arial" w:cs="Arial" w:eastAsia="Arial" w:hAnsi="Arial"/>
          <w:sz w:val="16"/>
          <w:szCs w:val="16"/>
          <w:b w:val="1"/>
          <w:bCs w:val="1"/>
          <w:color w:val="auto"/>
        </w:rPr>
        <w:t>The Holder and any assignee, by acceptance of this Warrant, acknowledge and</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agree that, by reason of the provisions of this paragraph, following the purchase of a portion of the Warrant Shares hereunder, the number of Warrant Shares available for purchase hereunder at any given time may be less than the amount stated on the face hereof. </w:t>
      </w:r>
      <w:r>
        <w:rPr>
          <w:rFonts w:ascii="Arial" w:cs="Arial" w:eastAsia="Arial" w:hAnsi="Arial"/>
          <w:sz w:val="16"/>
          <w:szCs w:val="16"/>
          <w:color w:val="auto"/>
        </w:rPr>
        <w:t>On or before the third</w:t>
      </w:r>
      <w:r>
        <w:rPr>
          <w:rFonts w:ascii="Arial" w:cs="Arial" w:eastAsia="Arial" w:hAnsi="Arial"/>
          <w:sz w:val="16"/>
          <w:szCs w:val="16"/>
          <w:b w:val="1"/>
          <w:bCs w:val="1"/>
          <w:color w:val="auto"/>
        </w:rPr>
        <w:t xml:space="preserve"> </w:t>
      </w:r>
      <w:r>
        <w:rPr>
          <w:rFonts w:ascii="Arial" w:cs="Arial" w:eastAsia="Arial" w:hAnsi="Arial"/>
          <w:sz w:val="16"/>
          <w:szCs w:val="16"/>
          <w:color w:val="auto"/>
        </w:rPr>
        <w:t>(3rd) Trading Day following the date on which the Company has received the Exercise Notice (the “</w:t>
      </w:r>
      <w:r>
        <w:rPr>
          <w:rFonts w:ascii="Arial" w:cs="Arial" w:eastAsia="Arial" w:hAnsi="Arial"/>
          <w:sz w:val="16"/>
          <w:szCs w:val="16"/>
          <w:b w:val="1"/>
          <w:bCs w:val="1"/>
          <w:color w:val="auto"/>
        </w:rPr>
        <w:t>Share Delivery Date</w:t>
      </w:r>
      <w:r>
        <w:rPr>
          <w:rFonts w:ascii="Arial" w:cs="Arial" w:eastAsia="Arial" w:hAnsi="Arial"/>
          <w:sz w:val="16"/>
          <w:szCs w:val="16"/>
          <w:color w:val="auto"/>
        </w:rPr>
        <w:t>”), so long as the Holder delivers the Aggregate Exercise Price (or notice of a Cashless Exercise) on or prior to the second (2nd) Trading Day following the date on which the Company has received the Exercise Notice (provided that if the Aggregate Exercise Price (or notice of a Cashless Exercise) has not been delivered by such date, the Share Delivery Date shall be extended one (1) Trading Day after the Aggregate Exercise Price (or notice of a Cashless Exercise) is delivered), the Company shall (X) provided that the Company’s transfer agent (“</w:t>
      </w:r>
      <w:r>
        <w:rPr>
          <w:rFonts w:ascii="Arial" w:cs="Arial" w:eastAsia="Arial" w:hAnsi="Arial"/>
          <w:sz w:val="16"/>
          <w:szCs w:val="16"/>
          <w:b w:val="1"/>
          <w:bCs w:val="1"/>
          <w:color w:val="auto"/>
        </w:rPr>
        <w:t>Transfer Agent</w:t>
      </w:r>
      <w:r>
        <w:rPr>
          <w:rFonts w:ascii="Arial" w:cs="Arial" w:eastAsia="Arial" w:hAnsi="Arial"/>
          <w:sz w:val="16"/>
          <w:szCs w:val="16"/>
          <w:color w:val="auto"/>
        </w:rPr>
        <w:t>”) is participating in The Depository Trust Company (“</w:t>
      </w:r>
      <w:r>
        <w:rPr>
          <w:rFonts w:ascii="Arial" w:cs="Arial" w:eastAsia="Arial" w:hAnsi="Arial"/>
          <w:sz w:val="16"/>
          <w:szCs w:val="16"/>
          <w:b w:val="1"/>
          <w:bCs w:val="1"/>
          <w:color w:val="auto"/>
        </w:rPr>
        <w:t>DTC</w:t>
      </w:r>
      <w:r>
        <w:rPr>
          <w:rFonts w:ascii="Arial" w:cs="Arial" w:eastAsia="Arial" w:hAnsi="Arial"/>
          <w:sz w:val="16"/>
          <w:szCs w:val="16"/>
          <w:color w:val="auto"/>
        </w:rPr>
        <w:t>”) Fast Automated Securities Transfer Program (“</w:t>
      </w:r>
      <w:r>
        <w:rPr>
          <w:rFonts w:ascii="Arial" w:cs="Arial" w:eastAsia="Arial" w:hAnsi="Arial"/>
          <w:sz w:val="16"/>
          <w:szCs w:val="16"/>
          <w:b w:val="1"/>
          <w:bCs w:val="1"/>
          <w:color w:val="auto"/>
        </w:rPr>
        <w:t>FAST</w:t>
      </w:r>
      <w:r>
        <w:rPr>
          <w:rFonts w:ascii="Arial" w:cs="Arial" w:eastAsia="Arial" w:hAnsi="Arial"/>
          <w:sz w:val="16"/>
          <w:szCs w:val="16"/>
          <w:color w:val="auto"/>
        </w:rPr>
        <w:t xml:space="preserve">”) and the Warrant Shares are eligible to be issued without a restrictive legend, credit such aggregate number of Warrant Shares to which the Holder is entitled pursuant to such exercise to the Holder’s or its designee’s balance account with DTC through its Deposit/Withdrawal At Custodian system, or (Y) if the Transfer Agent is not participating in FAST or the Warrant Shares are not eligible to be issued without a restrictive legend, issue and dispatch by overnight courier to the address as specified in the Exercise Notice, a certificate, registered in the Company’s share register in the name of the Holder or its designee, for the number of Warrant Shares to which the Holder is entitled pursuant to such exercise. The Company shall be responsible for all fees and expenses of the Transfer Agent and all fees and expenses with respect to the issuance of Warrant Shares via DTC, if any. Upon delivery of the Exercise Notice and the Aggregate Exercise Price (or notice of a Cashless Exercise), the Holder shall be deemed for all corporate purposes to have become the holder of record of the Warrant Shares with respect to which this Warrant has been exercised, irrespective of the date such Warrant Shares are credited to the Holder’s DTC account or the date of delivery of the certificates evidencing such Warrant Shares, as the case may be. If this Warrant is submitted in connection with any exercise pursuant to this Section </w:t>
      </w:r>
      <w:r>
        <w:rPr>
          <w:rFonts w:ascii="Arial" w:cs="Arial" w:eastAsia="Arial" w:hAnsi="Arial"/>
          <w:sz w:val="19"/>
          <w:szCs w:val="19"/>
          <w:b w:val="1"/>
          <w:bCs w:val="1"/>
          <w:color w:val="auto"/>
        </w:rPr>
        <w:t>‎</w:t>
      </w:r>
      <w:r>
        <w:rPr>
          <w:rFonts w:ascii="Arial" w:cs="Arial" w:eastAsia="Arial" w:hAnsi="Arial"/>
          <w:sz w:val="16"/>
          <w:szCs w:val="16"/>
          <w:color w:val="auto"/>
        </w:rPr>
        <w:t xml:space="preserve">1(a) and the number of Warrant Shares represented by this Warrant submitted for exercise is greater than the number of Warrant Shares being acquired upon an exercise, then the Company shall as soon as reasonably practicable and in no event later than three (3) Trading Days after any exercise and at its own expense, issue a new Warrant (in accordance with Section </w:t>
      </w:r>
      <w:r>
        <w:rPr>
          <w:rFonts w:ascii="Arial" w:cs="Arial" w:eastAsia="Arial" w:hAnsi="Arial"/>
          <w:sz w:val="19"/>
          <w:szCs w:val="19"/>
          <w:b w:val="1"/>
          <w:bCs w:val="1"/>
          <w:color w:val="auto"/>
        </w:rPr>
        <w:t>‎</w:t>
      </w:r>
      <w:r>
        <w:rPr>
          <w:rFonts w:ascii="Arial" w:cs="Arial" w:eastAsia="Arial" w:hAnsi="Arial"/>
          <w:sz w:val="16"/>
          <w:szCs w:val="16"/>
          <w:color w:val="auto"/>
        </w:rPr>
        <w:t>1(d)) representing the right to purchase the number of Warrant Shares issuable immediately prior to such exercise under this Warrant, less the number of Warrant Shares with respect to which this Warrant is exercised upon surrender of the Warrant so exercised. No fractional Warrant Shares are to be issued upon the exercise of this Warrant, but rather the number of Warrant Shares to be issued shall be rounded down to the nearest whole number. The Company shall pay any and all transfer, stamp, issuance and similar taxes (but not any United States federal, state or local income taxes) that may be payable with respect to the issuance and delivery of Warrant Shares upon exercise of this Warrant. The Company’s obligations to issue and deliver Warrant Shares in accordance with the terms and subject to the conditions hereof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3" w:name="page294"/>
    <w:bookmarkEnd w:id="293"/>
    <w:p>
      <w:pPr>
        <w:ind w:left="2200" w:hanging="248"/>
        <w:spacing w:after="0"/>
        <w:tabs>
          <w:tab w:leader="none" w:pos="2200" w:val="left"/>
        </w:tabs>
        <w:numPr>
          <w:ilvl w:val="0"/>
          <w:numId w:val="301"/>
        </w:numPr>
        <w:rPr>
          <w:rFonts w:ascii="Arial" w:cs="Arial" w:eastAsia="Arial" w:hAnsi="Arial"/>
          <w:sz w:val="17"/>
          <w:szCs w:val="17"/>
          <w:color w:val="auto"/>
        </w:rPr>
      </w:pPr>
      <w:r>
        <w:rPr>
          <w:rFonts w:ascii="Arial" w:cs="Arial" w:eastAsia="Arial" w:hAnsi="Arial"/>
          <w:sz w:val="17"/>
          <w:szCs w:val="17"/>
          <w:u w:val="single" w:color="auto"/>
          <w:color w:val="auto"/>
        </w:rPr>
        <w:t>Exercise Price</w:t>
      </w:r>
      <w:r>
        <w:rPr>
          <w:rFonts w:ascii="Arial" w:cs="Arial" w:eastAsia="Arial" w:hAnsi="Arial"/>
          <w:sz w:val="17"/>
          <w:szCs w:val="17"/>
          <w:color w:val="auto"/>
        </w:rPr>
        <w:t>. For purposes of this Warrant, “</w:t>
      </w:r>
      <w:r>
        <w:rPr>
          <w:rFonts w:ascii="Arial" w:cs="Arial" w:eastAsia="Arial" w:hAnsi="Arial"/>
          <w:sz w:val="17"/>
          <w:szCs w:val="17"/>
          <w:b w:val="1"/>
          <w:bCs w:val="1"/>
          <w:color w:val="auto"/>
        </w:rPr>
        <w:t>Exercise Price</w:t>
      </w:r>
      <w:r>
        <w:rPr>
          <w:rFonts w:ascii="Arial" w:cs="Arial" w:eastAsia="Arial" w:hAnsi="Arial"/>
          <w:sz w:val="17"/>
          <w:szCs w:val="17"/>
          <w:color w:val="auto"/>
        </w:rPr>
        <w:t>” means $0.01, subject to adjustment as provided herein.</w:t>
      </w:r>
    </w:p>
    <w:p>
      <w:pPr>
        <w:spacing w:after="0" w:line="240" w:lineRule="exact"/>
        <w:rPr>
          <w:rFonts w:ascii="Arial" w:cs="Arial" w:eastAsia="Arial" w:hAnsi="Arial"/>
          <w:sz w:val="17"/>
          <w:szCs w:val="17"/>
          <w:color w:val="auto"/>
        </w:rPr>
      </w:pPr>
    </w:p>
    <w:p>
      <w:pPr>
        <w:jc w:val="both"/>
        <w:ind w:firstLine="1952"/>
        <w:spacing w:after="0" w:line="283" w:lineRule="auto"/>
        <w:tabs>
          <w:tab w:leader="none" w:pos="2188" w:val="left"/>
        </w:tabs>
        <w:numPr>
          <w:ilvl w:val="0"/>
          <w:numId w:val="301"/>
        </w:numPr>
        <w:rPr>
          <w:rFonts w:ascii="Arial" w:cs="Arial" w:eastAsia="Arial" w:hAnsi="Arial"/>
          <w:sz w:val="16"/>
          <w:szCs w:val="16"/>
          <w:color w:val="auto"/>
        </w:rPr>
      </w:pPr>
      <w:r>
        <w:rPr>
          <w:rFonts w:ascii="Arial" w:cs="Arial" w:eastAsia="Arial" w:hAnsi="Arial"/>
          <w:sz w:val="16"/>
          <w:szCs w:val="16"/>
          <w:u w:val="single" w:color="auto"/>
          <w:color w:val="auto"/>
        </w:rPr>
        <w:t>Company’s Failure to Timely Deliver Securities</w:t>
      </w:r>
      <w:r>
        <w:rPr>
          <w:rFonts w:ascii="Arial" w:cs="Arial" w:eastAsia="Arial" w:hAnsi="Arial"/>
          <w:sz w:val="16"/>
          <w:szCs w:val="16"/>
          <w:color w:val="auto"/>
        </w:rPr>
        <w:t>. If the Company shall fail, for any reason or for no reason, on or prior to the Share Delivery Date, if the Transfer Agent is not participating in FAST or such shares of Common Stock may not be issued without legends under the Securities Act, to issue and deliver to the Holder (or its designee) a certificate for the number of Warrant Shares to which the Holder is entitled and register such Warrant Shares on the Company’s share register or, if the Transfer Agent is participating in FAST and such shares of Common Stock may not be issued without legends under the Securities Act, to credit the balance account of the Holder or the Holder’s designee with DTC for such number of Warrant Shares to which the Holder is entitled upon the Holder’s exercise of this Warrant (as the case may be) (a “</w:t>
      </w:r>
      <w:r>
        <w:rPr>
          <w:rFonts w:ascii="Arial" w:cs="Arial" w:eastAsia="Arial" w:hAnsi="Arial"/>
          <w:sz w:val="16"/>
          <w:szCs w:val="16"/>
          <w:b w:val="1"/>
          <w:bCs w:val="1"/>
          <w:color w:val="auto"/>
        </w:rPr>
        <w:t>Delivery Failure</w:t>
      </w:r>
      <w:r>
        <w:rPr>
          <w:rFonts w:ascii="Arial" w:cs="Arial" w:eastAsia="Arial" w:hAnsi="Arial"/>
          <w:sz w:val="16"/>
          <w:szCs w:val="16"/>
          <w:color w:val="auto"/>
        </w:rPr>
        <w:t xml:space="preserve">”), then, in addition to all other remedies available to the Holder, (X) the Company shall pay in cash to the Holder on each day after the Share Delivery Date and during such Delivery Failure an amount in cash, as liquidated damages and not as a penalty, equal to 2.0% of the product of (A) the sum of the number of shares of Common Stock not issued to the Holder on or prior to the Share Delivery Date and to which the Holder is entitled, and (B) any trading price of the Common Stock selected by the Holder in writing as in effect at any time during the period beginning on the applicable exercise date and ending on the applicable Share Delivery Date, and (Y) the Holder, upon written notice to the Company, may void its Exercise Notice with respect to, and retain or have returned, as the case may be, any portion of this Warrant that has not been exercised pursuant to such Exercise Notice; provided that the voiding of an Exercise Notice shall not affect the Company’s obligations to make any payments which have accrued prior to the date of such notice pursuant to this Section </w:t>
      </w:r>
      <w:r>
        <w:rPr>
          <w:rFonts w:ascii="Arial" w:cs="Arial" w:eastAsia="Arial" w:hAnsi="Arial"/>
          <w:sz w:val="19"/>
          <w:szCs w:val="19"/>
          <w:b w:val="1"/>
          <w:bCs w:val="1"/>
          <w:color w:val="auto"/>
        </w:rPr>
        <w:t>‎</w:t>
      </w:r>
      <w:r>
        <w:rPr>
          <w:rFonts w:ascii="Arial" w:cs="Arial" w:eastAsia="Arial" w:hAnsi="Arial"/>
          <w:sz w:val="16"/>
          <w:szCs w:val="16"/>
          <w:color w:val="auto"/>
        </w:rPr>
        <w:t>1(c) or otherwise. In addition to the foregoing, if on or after such Share Delivery Date the Holder purchases (in an open market transaction or otherwise) shares of Common Stock to deliver in satisfaction of a sale by the Holder of all or any portion of the number of shares of Common Stock issuable upon such exercise that the Holder is entitled to receive from the Company (a “</w:t>
      </w:r>
      <w:r>
        <w:rPr>
          <w:rFonts w:ascii="Arial" w:cs="Arial" w:eastAsia="Arial" w:hAnsi="Arial"/>
          <w:sz w:val="16"/>
          <w:szCs w:val="16"/>
          <w:b w:val="1"/>
          <w:bCs w:val="1"/>
          <w:color w:val="auto"/>
        </w:rPr>
        <w:t>Buy-In</w:t>
      </w:r>
      <w:r>
        <w:rPr>
          <w:rFonts w:ascii="Arial" w:cs="Arial" w:eastAsia="Arial" w:hAnsi="Arial"/>
          <w:sz w:val="16"/>
          <w:szCs w:val="16"/>
          <w:color w:val="auto"/>
        </w:rPr>
        <w:t>”), then, in addition to all other remedies available to the Holder, the Company shall, within three (3) Business Days after the Holder’s request and in the Holder’s discretion, either (i) pay cash to the Holder in an amount equal to the Holder’s total purchase price (including brokerage commissions and other out-of-pocket expenses, if any) for the shares of Common Stock so purchased (including, without limitation, by any other Person in respect, or on behalf, of the Holder) (the “</w:t>
      </w:r>
      <w:r>
        <w:rPr>
          <w:rFonts w:ascii="Arial" w:cs="Arial" w:eastAsia="Arial" w:hAnsi="Arial"/>
          <w:sz w:val="16"/>
          <w:szCs w:val="16"/>
          <w:b w:val="1"/>
          <w:bCs w:val="1"/>
          <w:color w:val="auto"/>
        </w:rPr>
        <w:t>Buy-In Price</w:t>
      </w:r>
      <w:r>
        <w:rPr>
          <w:rFonts w:ascii="Arial" w:cs="Arial" w:eastAsia="Arial" w:hAnsi="Arial"/>
          <w:sz w:val="16"/>
          <w:szCs w:val="16"/>
          <w:color w:val="auto"/>
        </w:rPr>
        <w:t>”), at which point the Company’s obligation to so issue and deliver such certificate (and to issue such shares of Common Stock) or credit the balance account of such Holder or such Holder’s designee, as applicable, with DTC for the number of Warrant Shares to which the Holder is entitled upon the Holder’s exercise hereunder (as the case may be) (and to issue such Warrant Shares) shall terminate, or (ii) promptly honor its obligation to so issue and deliver to the Holder a certificate or certificates representing such Warrant Shares or credit the balance account of such Holder or such Holder’s designee, as applicable, with DTC for the number of Warrant Shares to which the Holder is entitled upon the Holder’s exercise hereunder (as the case may be) and pay cash to the Holder in an amount equal to the excess (if any) of the Buy-In Price over the product of (A) such number of Warrant Shares multiplied by (B) the Closing Sale Price of the Common Stock on the Share Delivery Date with respect to the related Exercise Notice (the “</w:t>
      </w:r>
      <w:r>
        <w:rPr>
          <w:rFonts w:ascii="Arial" w:cs="Arial" w:eastAsia="Arial" w:hAnsi="Arial"/>
          <w:sz w:val="16"/>
          <w:szCs w:val="16"/>
          <w:b w:val="1"/>
          <w:bCs w:val="1"/>
          <w:color w:val="auto"/>
        </w:rPr>
        <w:t>Buy-In Payment Amount</w:t>
      </w:r>
      <w:r>
        <w:rPr>
          <w:rFonts w:ascii="Arial" w:cs="Arial" w:eastAsia="Arial" w:hAnsi="Arial"/>
          <w:sz w:val="16"/>
          <w:szCs w:val="16"/>
          <w:color w:val="auto"/>
        </w:rPr>
        <w:t>”). The Holder shall provide the Company written notice indicating the amounts payable to the Holder in respect of the Buy-In and, upon request of the Company, evidence of the amount of such loss. Nothing shall limit the Holder’s right to pursue any other remedies available to it hereunder, at law or in equity, including, without limitation, a decree of specific performance and/or injunctive relief with respect to the Company’s failure to timely deliver certificates representing shares of Common Stock (or to electronically deliver such shares of Common Stock) upon the exercise of this Warrant as required pursuant to the terms hereof.</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4" w:name="page295"/>
    <w:bookmarkEnd w:id="294"/>
    <w:p>
      <w:pPr>
        <w:jc w:val="both"/>
        <w:ind w:firstLine="1952"/>
        <w:spacing w:after="0" w:line="255" w:lineRule="auto"/>
        <w:tabs>
          <w:tab w:leader="none" w:pos="2212" w:val="left"/>
        </w:tabs>
        <w:numPr>
          <w:ilvl w:val="0"/>
          <w:numId w:val="302"/>
        </w:numPr>
        <w:rPr>
          <w:rFonts w:ascii="Arial" w:cs="Arial" w:eastAsia="Arial" w:hAnsi="Arial"/>
          <w:sz w:val="18"/>
          <w:szCs w:val="18"/>
          <w:color w:val="auto"/>
        </w:rPr>
      </w:pPr>
      <w:r>
        <w:rPr>
          <w:rFonts w:ascii="Arial" w:cs="Arial" w:eastAsia="Arial" w:hAnsi="Arial"/>
          <w:sz w:val="18"/>
          <w:szCs w:val="18"/>
          <w:u w:val="single" w:color="auto"/>
          <w:color w:val="auto"/>
        </w:rPr>
        <w:t>Cashless Exercise</w:t>
      </w:r>
      <w:r>
        <w:rPr>
          <w:rFonts w:ascii="Arial" w:cs="Arial" w:eastAsia="Arial" w:hAnsi="Arial"/>
          <w:sz w:val="18"/>
          <w:szCs w:val="18"/>
          <w:color w:val="auto"/>
        </w:rPr>
        <w:t xml:space="preserve">. Notwithstanding anything contained herein to the contrary (other than Section </w:t>
      </w:r>
      <w:r>
        <w:rPr>
          <w:rFonts w:ascii="Arial" w:cs="Arial" w:eastAsia="Arial" w:hAnsi="Arial"/>
          <w:sz w:val="21"/>
          <w:szCs w:val="21"/>
          <w:b w:val="1"/>
          <w:bCs w:val="1"/>
          <w:color w:val="auto"/>
        </w:rPr>
        <w:t>‎</w:t>
      </w:r>
      <w:r>
        <w:rPr>
          <w:rFonts w:ascii="Arial" w:cs="Arial" w:eastAsia="Arial" w:hAnsi="Arial"/>
          <w:sz w:val="18"/>
          <w:szCs w:val="18"/>
          <w:color w:val="auto"/>
        </w:rPr>
        <w:t xml:space="preserve">1(f) below), the Holder may, in its sole discretion (and without limiting the Holder’s rights and remedies contained herein), exercise this Warrant in whole or in part and, subject to the provisions of Section </w:t>
      </w:r>
      <w:r>
        <w:rPr>
          <w:rFonts w:ascii="Arial" w:cs="Arial" w:eastAsia="Arial" w:hAnsi="Arial"/>
          <w:sz w:val="21"/>
          <w:szCs w:val="21"/>
          <w:b w:val="1"/>
          <w:bCs w:val="1"/>
          <w:color w:val="auto"/>
        </w:rPr>
        <w:t>‎</w:t>
      </w:r>
      <w:r>
        <w:rPr>
          <w:rFonts w:ascii="Arial" w:cs="Arial" w:eastAsia="Arial" w:hAnsi="Arial"/>
          <w:sz w:val="18"/>
          <w:szCs w:val="18"/>
          <w:color w:val="auto"/>
        </w:rPr>
        <w:t>1(a), in lieu of making the cash payment otherwise contemplated to be made to the Company upon such exercise in payment of the Aggregate Exercise Price, elect instead to receive upon such exercise the “Net Number” of Warrant Shares determined according to the following formula:</w:t>
      </w:r>
    </w:p>
    <w:p>
      <w:pPr>
        <w:spacing w:after="0" w:line="19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Net Number = </w:t>
      </w:r>
      <w:r>
        <w:rPr>
          <w:rFonts w:ascii="Arial" w:cs="Arial" w:eastAsia="Arial" w:hAnsi="Arial"/>
          <w:sz w:val="18"/>
          <w:szCs w:val="18"/>
          <w:u w:val="single" w:color="auto"/>
          <w:color w:val="auto"/>
        </w:rPr>
        <w:t>(A x B) - (A x C)</w:t>
      </w:r>
    </w:p>
    <w:p>
      <w:pPr>
        <w:spacing w:after="0" w:line="23"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B</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For purposes of the foregoing formula: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 the total number of shares with respect to which this Warrant is then being exercised.</w:t>
      </w:r>
    </w:p>
    <w:p>
      <w:pPr>
        <w:spacing w:after="0" w:line="225" w:lineRule="exact"/>
        <w:rPr>
          <w:sz w:val="20"/>
          <w:szCs w:val="20"/>
          <w:color w:val="auto"/>
        </w:rPr>
      </w:pPr>
    </w:p>
    <w:p>
      <w:pPr>
        <w:ind w:left="1300" w:right="20"/>
        <w:spacing w:after="0" w:line="342" w:lineRule="auto"/>
        <w:rPr>
          <w:sz w:val="20"/>
          <w:szCs w:val="20"/>
          <w:color w:val="auto"/>
        </w:rPr>
      </w:pPr>
      <w:r>
        <w:rPr>
          <w:rFonts w:ascii="Arial" w:cs="Arial" w:eastAsia="Arial" w:hAnsi="Arial"/>
          <w:sz w:val="16"/>
          <w:szCs w:val="16"/>
          <w:color w:val="auto"/>
        </w:rPr>
        <w:t>B = the quotient of (x) the sum of the VWAP of the Common Stock of each of the five (5) Trading Days ending at the close of business on the Principal Market immediately prior to the time of exercise as set forth in the applicable Exercise Notice, divided by (y) five (5).</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 = the Exercise Price then in effect for the applicable Warrant Shares at the time of such exercise.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purposes of Rule 144(d) promulgated under the Securities Act, as in effect on the date hereof, it is intended that the Warrant Shares issued in a Cashless Exercise shall be deemed to have been acquired by the Holder, and the holding period for the Warrant Shares shall be deemed to have commenced, on the date this Warrant was originally issued pursuant to the Credit Agreement.</w:t>
      </w:r>
    </w:p>
    <w:p>
      <w:pPr>
        <w:spacing w:after="0" w:line="184" w:lineRule="exact"/>
        <w:rPr>
          <w:sz w:val="20"/>
          <w:szCs w:val="20"/>
          <w:color w:val="auto"/>
        </w:rPr>
      </w:pPr>
    </w:p>
    <w:p>
      <w:pPr>
        <w:jc w:val="both"/>
        <w:ind w:firstLine="1952"/>
        <w:spacing w:after="0" w:line="263" w:lineRule="auto"/>
        <w:tabs>
          <w:tab w:leader="none" w:pos="2188" w:val="left"/>
        </w:tabs>
        <w:numPr>
          <w:ilvl w:val="0"/>
          <w:numId w:val="303"/>
        </w:numPr>
        <w:rPr>
          <w:rFonts w:ascii="Arial" w:cs="Arial" w:eastAsia="Arial" w:hAnsi="Arial"/>
          <w:sz w:val="18"/>
          <w:szCs w:val="18"/>
          <w:color w:val="auto"/>
        </w:rPr>
      </w:pPr>
      <w:r>
        <w:rPr>
          <w:rFonts w:ascii="Arial" w:cs="Arial" w:eastAsia="Arial" w:hAnsi="Arial"/>
          <w:sz w:val="18"/>
          <w:szCs w:val="18"/>
          <w:u w:val="single" w:color="auto"/>
          <w:color w:val="auto"/>
        </w:rPr>
        <w:t>Disputes</w:t>
      </w:r>
      <w:r>
        <w:rPr>
          <w:rFonts w:ascii="Arial" w:cs="Arial" w:eastAsia="Arial" w:hAnsi="Arial"/>
          <w:sz w:val="18"/>
          <w:szCs w:val="18"/>
          <w:color w:val="auto"/>
        </w:rPr>
        <w:t xml:space="preserve">. In the case of a dispute as to the determination of the Exercise Price or the arithmetic calculation of the number of Warrant Shares to be issued pursuant to the terms hereof, the Company shall promptly issue to the Holder the number of Warrant Shares that are not disputed and resolve such dispute in accordance with Section </w:t>
      </w:r>
      <w:r>
        <w:rPr>
          <w:rFonts w:ascii="Arial" w:cs="Arial" w:eastAsia="Arial" w:hAnsi="Arial"/>
          <w:sz w:val="21"/>
          <w:szCs w:val="21"/>
          <w:b w:val="1"/>
          <w:bCs w:val="1"/>
          <w:color w:val="auto"/>
        </w:rPr>
        <w:t>‎</w:t>
      </w:r>
      <w:r>
        <w:rPr>
          <w:rFonts w:ascii="Arial" w:cs="Arial" w:eastAsia="Arial" w:hAnsi="Arial"/>
          <w:sz w:val="18"/>
          <w:szCs w:val="18"/>
          <w:color w:val="auto"/>
        </w:rPr>
        <w:t>12.</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95" w:name="page296"/>
    <w:bookmarkEnd w:id="295"/>
    <w:p>
      <w:pPr>
        <w:jc w:val="both"/>
        <w:ind w:firstLine="1952"/>
        <w:spacing w:after="0" w:line="281" w:lineRule="auto"/>
        <w:tabs>
          <w:tab w:leader="none" w:pos="2196" w:val="left"/>
        </w:tabs>
        <w:numPr>
          <w:ilvl w:val="1"/>
          <w:numId w:val="304"/>
        </w:numPr>
        <w:rPr>
          <w:rFonts w:ascii="Arial" w:cs="Arial" w:eastAsia="Arial" w:hAnsi="Arial"/>
          <w:sz w:val="16"/>
          <w:szCs w:val="16"/>
          <w:color w:val="auto"/>
        </w:rPr>
      </w:pPr>
      <w:r>
        <w:rPr>
          <w:rFonts w:ascii="Arial" w:cs="Arial" w:eastAsia="Arial" w:hAnsi="Arial"/>
          <w:sz w:val="16"/>
          <w:szCs w:val="16"/>
          <w:u w:val="single" w:color="auto"/>
          <w:color w:val="auto"/>
        </w:rPr>
        <w:t>Limitations on Exercises</w:t>
      </w:r>
      <w:r>
        <w:rPr>
          <w:rFonts w:ascii="Arial" w:cs="Arial" w:eastAsia="Arial" w:hAnsi="Arial"/>
          <w:sz w:val="16"/>
          <w:szCs w:val="16"/>
          <w:color w:val="auto"/>
        </w:rPr>
        <w:t>. Notwithstanding anything to the contrary contained herein, the Company shall not effect the exercise of any portion of this Warrant, and the Holder shall not have the right to exercise any portion of this Warrant, pursuant to the terms and conditions of this Warrant and any such exercise shall be null and void and treated as if never made, to the extent that after giving effect to such exercise, the Holder together with the other Attribution Parties collectively would beneficially own in excess of 4.99% (the “</w:t>
      </w:r>
      <w:r>
        <w:rPr>
          <w:rFonts w:ascii="Arial" w:cs="Arial" w:eastAsia="Arial" w:hAnsi="Arial"/>
          <w:sz w:val="16"/>
          <w:szCs w:val="16"/>
          <w:b w:val="1"/>
          <w:bCs w:val="1"/>
          <w:color w:val="auto"/>
        </w:rPr>
        <w:t>Maximum Percentage</w:t>
      </w:r>
      <w:r>
        <w:rPr>
          <w:rFonts w:ascii="Arial" w:cs="Arial" w:eastAsia="Arial" w:hAnsi="Arial"/>
          <w:sz w:val="16"/>
          <w:szCs w:val="16"/>
          <w:color w:val="auto"/>
        </w:rPr>
        <w:t xml:space="preserve">”) of the number of shares of Common Stock outstanding immediately after giving effect to such exercise. For purposes of the foregoing sentence, the aggregate number of shares of Common Stock beneficially owned by the Holder and the other Attribution Parties shall include the number of shares of Common Stock held by the Holder and all other Attribution Parties plus the number of shares of Common Stock issuable upon exercise of this Warrant with respect to which the determination of such sentence is being made, but shall exclude the number of shares of Common Stock which would be issuable upon (A) exercise of the remaining, unexercised portion of this Warrant beneficially owned by the Holder or any of the other Attribution Parties and (B) exercise or conversion of the unexercised or unconverted portion of any other securities of the Company (including, without limitation, any convertible notes or convertible preferred stock or warrants) beneficially owned by the Holder or any other Attribution Party subject to a limitation on conversion or exercise analogous to the limitation contained in this Section </w:t>
      </w:r>
      <w:r>
        <w:rPr>
          <w:rFonts w:ascii="Arial" w:cs="Arial" w:eastAsia="Arial" w:hAnsi="Arial"/>
          <w:sz w:val="19"/>
          <w:szCs w:val="19"/>
          <w:b w:val="1"/>
          <w:bCs w:val="1"/>
          <w:color w:val="auto"/>
        </w:rPr>
        <w:t>‎</w:t>
      </w:r>
      <w:r>
        <w:rPr>
          <w:rFonts w:ascii="Arial" w:cs="Arial" w:eastAsia="Arial" w:hAnsi="Arial"/>
          <w:sz w:val="16"/>
          <w:szCs w:val="16"/>
          <w:color w:val="auto"/>
        </w:rPr>
        <w:t xml:space="preserve">1(f). For purposes of this Section </w:t>
      </w:r>
      <w:r>
        <w:rPr>
          <w:rFonts w:ascii="Arial" w:cs="Arial" w:eastAsia="Arial" w:hAnsi="Arial"/>
          <w:sz w:val="19"/>
          <w:szCs w:val="19"/>
          <w:b w:val="1"/>
          <w:bCs w:val="1"/>
          <w:color w:val="auto"/>
        </w:rPr>
        <w:t>‎</w:t>
      </w:r>
      <w:r>
        <w:rPr>
          <w:rFonts w:ascii="Arial" w:cs="Arial" w:eastAsia="Arial" w:hAnsi="Arial"/>
          <w:sz w:val="16"/>
          <w:szCs w:val="16"/>
          <w:color w:val="auto"/>
        </w:rPr>
        <w:t>1(f), beneficial ownership shall be calculated in accordance with Section 13(d) of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For purposes of this Warrant, in determining the number of outstanding shares of Common Stock the Holder may acquire upon the exercise of this Warrant without exceeding the Maximum Percentage, the Holder may rely on the number of outstanding shares of Common Stock as reflected in (x) the Company’s most recent Annual Report on Form 10-K, Quarterly Report on Form 10-Q, Current Report on Form 8-K or other public filing with the Securities and Exchange Commission (the “</w:t>
      </w:r>
      <w:r>
        <w:rPr>
          <w:rFonts w:ascii="Arial" w:cs="Arial" w:eastAsia="Arial" w:hAnsi="Arial"/>
          <w:sz w:val="16"/>
          <w:szCs w:val="16"/>
          <w:b w:val="1"/>
          <w:bCs w:val="1"/>
          <w:color w:val="auto"/>
        </w:rPr>
        <w:t>SEC</w:t>
      </w:r>
      <w:r>
        <w:rPr>
          <w:rFonts w:ascii="Arial" w:cs="Arial" w:eastAsia="Arial" w:hAnsi="Arial"/>
          <w:sz w:val="16"/>
          <w:szCs w:val="16"/>
          <w:color w:val="auto"/>
        </w:rPr>
        <w:t>”), as the case may be, (y) a more recent public announcement by the Company or (z) any other written notice by the Company or the Transfer Agent, if any, setting forth the number of shares of Common Stock outstanding (the “</w:t>
      </w:r>
      <w:r>
        <w:rPr>
          <w:rFonts w:ascii="Arial" w:cs="Arial" w:eastAsia="Arial" w:hAnsi="Arial"/>
          <w:sz w:val="16"/>
          <w:szCs w:val="16"/>
          <w:b w:val="1"/>
          <w:bCs w:val="1"/>
          <w:color w:val="auto"/>
        </w:rPr>
        <w:t>Reported Outstanding Share Number</w:t>
      </w:r>
      <w:r>
        <w:rPr>
          <w:rFonts w:ascii="Arial" w:cs="Arial" w:eastAsia="Arial" w:hAnsi="Arial"/>
          <w:sz w:val="16"/>
          <w:szCs w:val="16"/>
          <w:color w:val="auto"/>
        </w:rPr>
        <w:t xml:space="preserve">”). If the Company receives an Exercise Notice from the Holder at a time when the actual number of outstanding shares of Common Stock is less than the Reported Outstanding Share Number, the Company shall (i) notify the Holder in writing of the number of shares of Common Stock then outstanding and, to the extent that such Exercise Notice would otherwise cause the Holder’s beneficial ownership, as determined pursuant to this Section </w:t>
      </w:r>
      <w:r>
        <w:rPr>
          <w:rFonts w:ascii="Arial" w:cs="Arial" w:eastAsia="Arial" w:hAnsi="Arial"/>
          <w:sz w:val="19"/>
          <w:szCs w:val="19"/>
          <w:b w:val="1"/>
          <w:bCs w:val="1"/>
          <w:color w:val="auto"/>
        </w:rPr>
        <w:t>‎</w:t>
      </w:r>
      <w:r>
        <w:rPr>
          <w:rFonts w:ascii="Arial" w:cs="Arial" w:eastAsia="Arial" w:hAnsi="Arial"/>
          <w:sz w:val="16"/>
          <w:szCs w:val="16"/>
          <w:color w:val="auto"/>
        </w:rPr>
        <w:t>1(f), to exceed the Maximum Percentage, the Holder must notify the Company of a reduced number of Warrant Shares to be purchased pursuant to such Exercise Notice (the number of shares by which such purchase is reduced, the “</w:t>
      </w:r>
      <w:r>
        <w:rPr>
          <w:rFonts w:ascii="Arial" w:cs="Arial" w:eastAsia="Arial" w:hAnsi="Arial"/>
          <w:sz w:val="16"/>
          <w:szCs w:val="16"/>
          <w:b w:val="1"/>
          <w:bCs w:val="1"/>
          <w:color w:val="auto"/>
        </w:rPr>
        <w:t>Reduction Shares</w:t>
      </w:r>
      <w:r>
        <w:rPr>
          <w:rFonts w:ascii="Arial" w:cs="Arial" w:eastAsia="Arial" w:hAnsi="Arial"/>
          <w:sz w:val="16"/>
          <w:szCs w:val="16"/>
          <w:color w:val="auto"/>
        </w:rPr>
        <w:t>”) and</w:t>
      </w:r>
    </w:p>
    <w:p>
      <w:pPr>
        <w:jc w:val="both"/>
        <w:ind w:firstLine="8"/>
        <w:spacing w:after="0" w:line="282" w:lineRule="auto"/>
        <w:tabs>
          <w:tab w:leader="none" w:pos="283" w:val="left"/>
        </w:tabs>
        <w:numPr>
          <w:ilvl w:val="0"/>
          <w:numId w:val="305"/>
        </w:numPr>
        <w:rPr>
          <w:rFonts w:ascii="Arial" w:cs="Arial" w:eastAsia="Arial" w:hAnsi="Arial"/>
          <w:sz w:val="16"/>
          <w:szCs w:val="16"/>
          <w:color w:val="auto"/>
        </w:rPr>
      </w:pPr>
      <w:r>
        <w:rPr>
          <w:rFonts w:ascii="Arial" w:cs="Arial" w:eastAsia="Arial" w:hAnsi="Arial"/>
          <w:sz w:val="16"/>
          <w:szCs w:val="16"/>
          <w:color w:val="auto"/>
        </w:rPr>
        <w:t>as soon as reasonably practicable, the Company shall return to the Holder any exercise price paid by the Holder for the Reduction Shares. For any reason at any time, upon the written or oral request of the Holder, the Company shall within one (1) Business Day confirm orally and in writing or by electronic mail to the Holder the number of shares of Common Stock then outstanding. In any case, the number of outstanding shares of Common Stock shall be determined after giving effect to the conversion or exercise of securities of the Company, including this Warrant, by the Holder and any other Attribution Party since the date as of which the Reported Outstanding Share Number was reported. In the event that the issuance of shares of Common Stock to the Holder upon exercise of this Warrant results in the Holder and the other Attribution Parties being deemed to beneficially own, in the aggregate, more than the Maximum Percentage of the number of outstanding shares of Common Stock (as determined under Section 13(d) of the Exchange Act), the number of shares so issued by which the Holder’s and the other Attribution Parties’ aggregate beneficial ownership exceeds the Maximum Percentage (the “</w:t>
      </w:r>
      <w:r>
        <w:rPr>
          <w:rFonts w:ascii="Arial" w:cs="Arial" w:eastAsia="Arial" w:hAnsi="Arial"/>
          <w:sz w:val="16"/>
          <w:szCs w:val="16"/>
          <w:b w:val="1"/>
          <w:bCs w:val="1"/>
          <w:color w:val="auto"/>
        </w:rPr>
        <w:t>Excess Shares</w:t>
      </w:r>
      <w:r>
        <w:rPr>
          <w:rFonts w:ascii="Arial" w:cs="Arial" w:eastAsia="Arial" w:hAnsi="Arial"/>
          <w:sz w:val="16"/>
          <w:szCs w:val="16"/>
          <w:color w:val="auto"/>
        </w:rPr>
        <w:t xml:space="preserve">”) shall be deemed null and void and shall be cancelled ab initio, and the Holder shall not have the power to vote or to transfer the Excess Shares. As soon as reasonably practicable after the issuance of the Excess Shares has been deemed null and void, the Company shall return to the Holder the exercise price paid by the Holder for the Excess Shares. Upon delivery of a written notice to the Company, the Holder may from time to time increase (with such increase not effective until the sixty-first (61st) day after delivery of such notice) or decrease the Maximum Percentage to any other percentage not in excess of 9.99% as specified in such notice; provided that (i) any such increase in the Maximum Percentage will not be effective until the sixty-first (61st) day after such notice is delivered to the Company and (ii) any such increase or decrease will apply only to the Holder and the other Attribution Parties and not to any other holder that is not an Attribution Party of the Holder. For purposes of clarity, the shares of Common Stock issuable pursuant to the terms of this Warrant in excess of the Maximum Percentage shall not be deemed to be beneficially owned by the Holder for any purpose including for purposes of Section 13(d) or Rule 16a-1(a)(1) of the Exchange Act. No prior inability to exercise this Warrant pursuant to this paragraph shall have any effect on the applicability of the provisions of this paragraph with respect to any subsequent determination of exercisability. The provisions of this paragraph shall be construed and implemented in a manner otherwise than in strict conformity with the terms of this Section </w:t>
      </w:r>
      <w:r>
        <w:rPr>
          <w:rFonts w:ascii="Arial" w:cs="Arial" w:eastAsia="Arial" w:hAnsi="Arial"/>
          <w:sz w:val="19"/>
          <w:szCs w:val="19"/>
          <w:b w:val="1"/>
          <w:bCs w:val="1"/>
          <w:color w:val="auto"/>
        </w:rPr>
        <w:t>‎</w:t>
      </w:r>
      <w:r>
        <w:rPr>
          <w:rFonts w:ascii="Arial" w:cs="Arial" w:eastAsia="Arial" w:hAnsi="Arial"/>
          <w:sz w:val="16"/>
          <w:szCs w:val="16"/>
          <w:color w:val="auto"/>
        </w:rPr>
        <w:t xml:space="preserve">1(f) to the extent necessary to correct this paragraph or any portion of this paragraph which may be defective or inconsistent with the intended beneficial ownership limitation contained in this Section </w:t>
      </w:r>
      <w:r>
        <w:rPr>
          <w:rFonts w:ascii="Arial" w:cs="Arial" w:eastAsia="Arial" w:hAnsi="Arial"/>
          <w:sz w:val="19"/>
          <w:szCs w:val="19"/>
          <w:b w:val="1"/>
          <w:bCs w:val="1"/>
          <w:color w:val="auto"/>
        </w:rPr>
        <w:t>‎</w:t>
      </w:r>
      <w:r>
        <w:rPr>
          <w:rFonts w:ascii="Arial" w:cs="Arial" w:eastAsia="Arial" w:hAnsi="Arial"/>
          <w:sz w:val="16"/>
          <w:szCs w:val="16"/>
          <w:color w:val="auto"/>
        </w:rPr>
        <w:t>1(f) or to make changes or supplements necessary or desirable to properly give effect to such limitation. The limitation contained in this paragraph may not be waived and shall apply to a successor holder of this Warrant.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6" w:name="page297"/>
    <w:bookmarkEnd w:id="296"/>
    <w:p>
      <w:pPr>
        <w:jc w:val="both"/>
        <w:ind w:firstLine="1952"/>
        <w:spacing w:after="0" w:line="285" w:lineRule="auto"/>
        <w:tabs>
          <w:tab w:leader="none" w:pos="2199" w:val="left"/>
        </w:tabs>
        <w:numPr>
          <w:ilvl w:val="1"/>
          <w:numId w:val="306"/>
        </w:numPr>
        <w:rPr>
          <w:rFonts w:ascii="Arial" w:cs="Arial" w:eastAsia="Arial" w:hAnsi="Arial"/>
          <w:sz w:val="16"/>
          <w:szCs w:val="16"/>
          <w:color w:val="auto"/>
        </w:rPr>
      </w:pPr>
      <w:r>
        <w:rPr>
          <w:rFonts w:ascii="Arial" w:cs="Arial" w:eastAsia="Arial" w:hAnsi="Arial"/>
          <w:sz w:val="16"/>
          <w:szCs w:val="16"/>
          <w:u w:val="single" w:color="auto"/>
          <w:color w:val="auto"/>
        </w:rPr>
        <w:t>Insufficient Authorized Shares</w:t>
      </w:r>
      <w:r>
        <w:rPr>
          <w:rFonts w:ascii="Arial" w:cs="Arial" w:eastAsia="Arial" w:hAnsi="Arial"/>
          <w:sz w:val="16"/>
          <w:szCs w:val="16"/>
          <w:color w:val="auto"/>
        </w:rPr>
        <w:t>. If at any time while this Warrant remains outstanding the Company does not have a sufficient number of authorized and unreserved shares of Common Stock to satisfy its obligation to reserve for issuance upon exercise of this Warrant at least a number of shares of Common Stock equal to the number of shares of Common Stock as shall from time to time be necessary to effect the exercise of all of this Warrant then outstanding (the “</w:t>
      </w:r>
      <w:r>
        <w:rPr>
          <w:rFonts w:ascii="Arial" w:cs="Arial" w:eastAsia="Arial" w:hAnsi="Arial"/>
          <w:sz w:val="16"/>
          <w:szCs w:val="16"/>
          <w:b w:val="1"/>
          <w:bCs w:val="1"/>
          <w:color w:val="auto"/>
        </w:rPr>
        <w:t>Required Reserve Amount</w:t>
      </w:r>
      <w:r>
        <w:rPr>
          <w:rFonts w:ascii="Arial" w:cs="Arial" w:eastAsia="Arial" w:hAnsi="Arial"/>
          <w:sz w:val="16"/>
          <w:szCs w:val="16"/>
          <w:color w:val="auto"/>
        </w:rPr>
        <w:t>” and the failure to have such sufficient number of authorized and unreserved shares of Common Stock, an “</w:t>
      </w:r>
      <w:r>
        <w:rPr>
          <w:rFonts w:ascii="Arial" w:cs="Arial" w:eastAsia="Arial" w:hAnsi="Arial"/>
          <w:sz w:val="16"/>
          <w:szCs w:val="16"/>
          <w:b w:val="1"/>
          <w:bCs w:val="1"/>
          <w:color w:val="auto"/>
        </w:rPr>
        <w:t>Authorized Share Failure</w:t>
      </w:r>
      <w:r>
        <w:rPr>
          <w:rFonts w:ascii="Arial" w:cs="Arial" w:eastAsia="Arial" w:hAnsi="Arial"/>
          <w:sz w:val="16"/>
          <w:szCs w:val="16"/>
          <w:color w:val="auto"/>
        </w:rPr>
        <w:t>”), then the Company shall as soon as reasonably practicable take all action necessary to increase the Company’s authorized shares of Common Stock to an amount sufficient to allow the Company to reserve the Required Reserve Amount for this Warrant then outstanding. Without limiting the generality of the foregoing sentence, as soon as reasonably practicable after the date of the occurrence of an Authorized Share Failure, but in no event later than seventy-five (75) days after the occurrence of such Authorized Share Failure, the Company shall hold a meeting of its stockholders for the approval of an increase in the number of authorized shares of Common Stock. In connection with such meeting, the Company shall provide each stockholder with a proxy statement and shall use its reasonable best efforts to solicit its stockholders’ approval of such increase in authorized shares of Common Stock and to cause its board of directors to recommend to the stockholders that they approve such proposal. In the event that the Company is prohibited from issuing shares of Common Stock upon an exercise of this Warrant due to the failure by the Company to have sufficient shares of Common Stock available out of the authorized but unissued shares of Common Stock (such unavailable number of shares of Common Stock, the “</w:t>
      </w:r>
      <w:r>
        <w:rPr>
          <w:rFonts w:ascii="Arial" w:cs="Arial" w:eastAsia="Arial" w:hAnsi="Arial"/>
          <w:sz w:val="16"/>
          <w:szCs w:val="16"/>
          <w:b w:val="1"/>
          <w:bCs w:val="1"/>
          <w:color w:val="auto"/>
        </w:rPr>
        <w:t>Authorization Failure Shares</w:t>
      </w:r>
      <w:r>
        <w:rPr>
          <w:rFonts w:ascii="Arial" w:cs="Arial" w:eastAsia="Arial" w:hAnsi="Arial"/>
          <w:sz w:val="16"/>
          <w:szCs w:val="16"/>
          <w:color w:val="auto"/>
        </w:rPr>
        <w:t xml:space="preserve">”), in lieu of delivering such Authorization Failure Shares to the Holder, the Company shall pay cash in exchange for the cancellation of such portion of this Warrant exercisable into such Authorization Failure Shares at a price equal to the sum of (i) the product of (x) such number of Authorization Failure Shares and (y) the Closing Sale Price of the Common Stock on the date the Holder delivers the applicable Exercise Notice with respect to such Authorization Failure Shares to the Company; and (ii) to the extent the Holder purchases (in an open market transaction or otherwise) shares of Common Stock to deliver in satisfaction of a sale by the Holder of Authorization Failure Shares, any Buy-In Payment Amount, brokerage commissions and other out-of-pocket expenses, if any, of the Holder incurred in connection therewith. Nothing contained in this Section </w:t>
      </w:r>
      <w:r>
        <w:rPr>
          <w:rFonts w:ascii="Arial" w:cs="Arial" w:eastAsia="Arial" w:hAnsi="Arial"/>
          <w:sz w:val="19"/>
          <w:szCs w:val="19"/>
          <w:b w:val="1"/>
          <w:bCs w:val="1"/>
          <w:color w:val="auto"/>
        </w:rPr>
        <w:t>‎</w:t>
      </w:r>
      <w:r>
        <w:rPr>
          <w:rFonts w:ascii="Arial" w:cs="Arial" w:eastAsia="Arial" w:hAnsi="Arial"/>
          <w:sz w:val="16"/>
          <w:szCs w:val="16"/>
          <w:color w:val="auto"/>
        </w:rPr>
        <w:t>1(g) shall limit any obligations of the Company under any provision of the Credit Agreement.</w:t>
      </w:r>
    </w:p>
    <w:p>
      <w:pPr>
        <w:spacing w:after="0" w:line="152" w:lineRule="exact"/>
        <w:rPr>
          <w:rFonts w:ascii="Arial" w:cs="Arial" w:eastAsia="Arial" w:hAnsi="Arial"/>
          <w:sz w:val="16"/>
          <w:szCs w:val="16"/>
          <w:color w:val="auto"/>
        </w:rPr>
      </w:pPr>
    </w:p>
    <w:p>
      <w:pPr>
        <w:ind w:firstLine="1304"/>
        <w:spacing w:after="0" w:line="277" w:lineRule="auto"/>
        <w:tabs>
          <w:tab w:leader="none" w:pos="1476" w:val="left"/>
        </w:tabs>
        <w:numPr>
          <w:ilvl w:val="0"/>
          <w:numId w:val="307"/>
        </w:numPr>
        <w:rPr>
          <w:rFonts w:ascii="Arial" w:cs="Arial" w:eastAsia="Arial" w:hAnsi="Arial"/>
          <w:sz w:val="18"/>
          <w:szCs w:val="18"/>
          <w:color w:val="auto"/>
        </w:rPr>
      </w:pPr>
      <w:r>
        <w:rPr>
          <w:rFonts w:ascii="Arial" w:cs="Arial" w:eastAsia="Arial" w:hAnsi="Arial"/>
          <w:sz w:val="18"/>
          <w:szCs w:val="18"/>
          <w:u w:val="single" w:color="auto"/>
          <w:color w:val="auto"/>
        </w:rPr>
        <w:t>ADJUSTMENT OF EXERCISE PRICE AND NUMBER OF WARRANT SHARES</w:t>
      </w:r>
      <w:r>
        <w:rPr>
          <w:rFonts w:ascii="Arial" w:cs="Arial" w:eastAsia="Arial" w:hAnsi="Arial"/>
          <w:sz w:val="18"/>
          <w:szCs w:val="18"/>
          <w:color w:val="auto"/>
        </w:rPr>
        <w:t>. The Exercise Price and the number of Warrant Shares issuable upon exercise of this Warrant are subject to adjustments from time to time as set forth in this Section 2.</w:t>
      </w:r>
    </w:p>
    <w:p>
      <w:pPr>
        <w:spacing w:after="0" w:line="170" w:lineRule="exact"/>
        <w:rPr>
          <w:rFonts w:ascii="Arial" w:cs="Arial" w:eastAsia="Arial" w:hAnsi="Arial"/>
          <w:sz w:val="18"/>
          <w:szCs w:val="18"/>
          <w:color w:val="auto"/>
        </w:rPr>
      </w:pPr>
    </w:p>
    <w:p>
      <w:pPr>
        <w:jc w:val="both"/>
        <w:ind w:firstLine="1952"/>
        <w:spacing w:after="0" w:line="272" w:lineRule="auto"/>
        <w:tabs>
          <w:tab w:leader="none" w:pos="2202" w:val="left"/>
        </w:tabs>
        <w:numPr>
          <w:ilvl w:val="1"/>
          <w:numId w:val="307"/>
        </w:numPr>
        <w:rPr>
          <w:rFonts w:ascii="Arial" w:cs="Arial" w:eastAsia="Arial" w:hAnsi="Arial"/>
          <w:sz w:val="17"/>
          <w:szCs w:val="17"/>
          <w:color w:val="auto"/>
        </w:rPr>
      </w:pPr>
      <w:r>
        <w:rPr>
          <w:rFonts w:ascii="Arial" w:cs="Arial" w:eastAsia="Arial" w:hAnsi="Arial"/>
          <w:sz w:val="17"/>
          <w:szCs w:val="17"/>
          <w:u w:val="single" w:color="auto"/>
          <w:color w:val="auto"/>
        </w:rPr>
        <w:t>Adjustment Upon Subdivision or Combination of Shares of Common Stock</w:t>
      </w:r>
      <w:r>
        <w:rPr>
          <w:rFonts w:ascii="Arial" w:cs="Arial" w:eastAsia="Arial" w:hAnsi="Arial"/>
          <w:sz w:val="17"/>
          <w:szCs w:val="17"/>
          <w:color w:val="auto"/>
        </w:rPr>
        <w:t>. If the Company at any time on or after the Issuance Date subdivides (by any stock split, stock dividend, recapitalization or otherwise) one or more classes of its outstanding shares of Common Stock into a greater number of shares, the Exercise Price in effect immediately prior to such subdivision will be proportionately reduced and the number of Warrant Shares will be proportionately increased. If the Company at any time on or after the Issuance Date combines (by combination, reverse stock split or otherwise) one or more classes of its outstanding shares of Common Stock into a smaller number of shares, the Exercise Price in effect immediately prior to such combination will be proportionately increased and the number of Warrant Shares will be proportionately decreased. Any adjustment under this Section 2(a) shall become effective at the close of business on the date the subdivision or combination becomes effective.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7" w:name="page298"/>
    <w:bookmarkEnd w:id="297"/>
    <w:p>
      <w:pPr>
        <w:jc w:val="both"/>
        <w:ind w:firstLine="1952"/>
        <w:spacing w:after="0" w:line="279" w:lineRule="auto"/>
        <w:tabs>
          <w:tab w:leader="none" w:pos="2199" w:val="left"/>
        </w:tabs>
        <w:numPr>
          <w:ilvl w:val="1"/>
          <w:numId w:val="308"/>
        </w:numPr>
        <w:rPr>
          <w:rFonts w:ascii="Arial" w:cs="Arial" w:eastAsia="Arial" w:hAnsi="Arial"/>
          <w:sz w:val="17"/>
          <w:szCs w:val="17"/>
          <w:color w:val="auto"/>
        </w:rPr>
      </w:pPr>
      <w:r>
        <w:rPr>
          <w:rFonts w:ascii="Arial" w:cs="Arial" w:eastAsia="Arial" w:hAnsi="Arial"/>
          <w:sz w:val="17"/>
          <w:szCs w:val="17"/>
          <w:u w:val="single" w:color="auto"/>
          <w:color w:val="auto"/>
        </w:rPr>
        <w:t>Adjustment to Number of Warrant Shares.</w:t>
      </w:r>
      <w:r>
        <w:rPr>
          <w:rFonts w:ascii="Arial" w:cs="Arial" w:eastAsia="Arial" w:hAnsi="Arial"/>
          <w:sz w:val="17"/>
          <w:szCs w:val="17"/>
          <w:color w:val="auto"/>
        </w:rPr>
        <w:t xml:space="preserve"> Simultaneously with any adjustment to the Exercise Price pursuant to Section </w:t>
      </w:r>
      <w:r>
        <w:rPr>
          <w:rFonts w:ascii="Arial" w:cs="Arial" w:eastAsia="Arial" w:hAnsi="Arial"/>
          <w:sz w:val="20"/>
          <w:szCs w:val="20"/>
          <w:b w:val="1"/>
          <w:bCs w:val="1"/>
          <w:color w:val="auto"/>
        </w:rPr>
        <w:t>‎</w:t>
      </w:r>
      <w:r>
        <w:rPr>
          <w:rFonts w:ascii="Arial" w:cs="Arial" w:eastAsia="Arial" w:hAnsi="Arial"/>
          <w:sz w:val="17"/>
          <w:szCs w:val="17"/>
          <w:color w:val="auto"/>
        </w:rPr>
        <w:t>2, the number of Warrant Shares that may be purchased upon exercise of this Warrant shall be increased or decreased proportionately, so that after such adjustment the aggregate Exercise Price payable hereunder for the adjusted number of Warrant Shares shall be the same as the aggregate Exercise Price in effect immediately prior to such adjustment (without regard to any limitations on exercise contained herein).</w:t>
      </w:r>
    </w:p>
    <w:p>
      <w:pPr>
        <w:spacing w:after="0" w:line="171" w:lineRule="exact"/>
        <w:rPr>
          <w:rFonts w:ascii="Arial" w:cs="Arial" w:eastAsia="Arial" w:hAnsi="Arial"/>
          <w:sz w:val="17"/>
          <w:szCs w:val="17"/>
          <w:color w:val="auto"/>
        </w:rPr>
      </w:pPr>
    </w:p>
    <w:p>
      <w:pPr>
        <w:ind w:firstLine="1952"/>
        <w:spacing w:after="0" w:line="277" w:lineRule="auto"/>
        <w:tabs>
          <w:tab w:leader="none" w:pos="2188" w:val="left"/>
        </w:tabs>
        <w:numPr>
          <w:ilvl w:val="1"/>
          <w:numId w:val="308"/>
        </w:numPr>
        <w:rPr>
          <w:rFonts w:ascii="Arial" w:cs="Arial" w:eastAsia="Arial" w:hAnsi="Arial"/>
          <w:sz w:val="18"/>
          <w:szCs w:val="18"/>
          <w:color w:val="auto"/>
        </w:rPr>
      </w:pPr>
      <w:r>
        <w:rPr>
          <w:rFonts w:ascii="Arial" w:cs="Arial" w:eastAsia="Arial" w:hAnsi="Arial"/>
          <w:sz w:val="18"/>
          <w:szCs w:val="18"/>
          <w:u w:val="single" w:color="auto"/>
          <w:color w:val="auto"/>
        </w:rPr>
        <w:t>Par Value</w:t>
      </w:r>
      <w:r>
        <w:rPr>
          <w:rFonts w:ascii="Arial" w:cs="Arial" w:eastAsia="Arial" w:hAnsi="Arial"/>
          <w:sz w:val="18"/>
          <w:szCs w:val="18"/>
          <w:color w:val="auto"/>
        </w:rPr>
        <w:t>. Notwithstanding anything to the contrary in this Warrant, in no event shall the Exercise Price be reduced below the par value of the Company’s Common Stock.</w:t>
      </w:r>
    </w:p>
    <w:p>
      <w:pPr>
        <w:spacing w:after="0" w:line="170" w:lineRule="exact"/>
        <w:rPr>
          <w:rFonts w:ascii="Arial" w:cs="Arial" w:eastAsia="Arial" w:hAnsi="Arial"/>
          <w:sz w:val="18"/>
          <w:szCs w:val="18"/>
          <w:color w:val="auto"/>
        </w:rPr>
      </w:pPr>
    </w:p>
    <w:p>
      <w:pPr>
        <w:jc w:val="both"/>
        <w:ind w:firstLine="1952"/>
        <w:spacing w:after="0" w:line="263" w:lineRule="auto"/>
        <w:tabs>
          <w:tab w:leader="none" w:pos="2199" w:val="left"/>
        </w:tabs>
        <w:numPr>
          <w:ilvl w:val="1"/>
          <w:numId w:val="308"/>
        </w:numPr>
        <w:rPr>
          <w:rFonts w:ascii="Arial" w:cs="Arial" w:eastAsia="Arial" w:hAnsi="Arial"/>
          <w:sz w:val="18"/>
          <w:szCs w:val="18"/>
          <w:color w:val="auto"/>
        </w:rPr>
      </w:pPr>
      <w:r>
        <w:rPr>
          <w:rFonts w:ascii="Arial" w:cs="Arial" w:eastAsia="Arial" w:hAnsi="Arial"/>
          <w:sz w:val="18"/>
          <w:szCs w:val="18"/>
          <w:u w:val="single" w:color="auto"/>
          <w:color w:val="auto"/>
        </w:rPr>
        <w:t>Voluntary Adjustment by Company</w:t>
      </w:r>
      <w:r>
        <w:rPr>
          <w:rFonts w:ascii="Arial" w:cs="Arial" w:eastAsia="Arial" w:hAnsi="Arial"/>
          <w:sz w:val="18"/>
          <w:szCs w:val="18"/>
          <w:color w:val="auto"/>
        </w:rPr>
        <w:t>. Subject to Section 2(c), the Company may at any time during the term of this Warrant, with prior written notice to the Holder, reduce the then current Exercise Price to any amount and for any period of time deemed appropriate by the board of directors of the Company.</w:t>
      </w:r>
    </w:p>
    <w:p>
      <w:pPr>
        <w:spacing w:after="0" w:line="170" w:lineRule="exact"/>
        <w:rPr>
          <w:rFonts w:ascii="Arial" w:cs="Arial" w:eastAsia="Arial" w:hAnsi="Arial"/>
          <w:sz w:val="18"/>
          <w:szCs w:val="18"/>
          <w:color w:val="auto"/>
        </w:rPr>
      </w:pPr>
    </w:p>
    <w:p>
      <w:pPr>
        <w:jc w:val="both"/>
        <w:ind w:firstLine="1304"/>
        <w:spacing w:after="0" w:line="268" w:lineRule="auto"/>
        <w:tabs>
          <w:tab w:leader="none" w:pos="1489" w:val="left"/>
        </w:tabs>
        <w:numPr>
          <w:ilvl w:val="0"/>
          <w:numId w:val="309"/>
        </w:numPr>
        <w:rPr>
          <w:rFonts w:ascii="Arial" w:cs="Arial" w:eastAsia="Arial" w:hAnsi="Arial"/>
          <w:sz w:val="17"/>
          <w:szCs w:val="17"/>
          <w:color w:val="auto"/>
        </w:rPr>
      </w:pPr>
      <w:r>
        <w:rPr>
          <w:rFonts w:ascii="Arial" w:cs="Arial" w:eastAsia="Arial" w:hAnsi="Arial"/>
          <w:sz w:val="17"/>
          <w:szCs w:val="17"/>
          <w:u w:val="single" w:color="auto"/>
          <w:color w:val="auto"/>
        </w:rPr>
        <w:t>RIGHTS UPON DISTRIBUTION OF ASSETS</w:t>
      </w:r>
      <w:r>
        <w:rPr>
          <w:rFonts w:ascii="Arial" w:cs="Arial" w:eastAsia="Arial" w:hAnsi="Arial"/>
          <w:sz w:val="17"/>
          <w:szCs w:val="17"/>
          <w:color w:val="auto"/>
        </w:rPr>
        <w:t xml:space="preserve">. In addition to any adjustments pursuant to Section </w:t>
      </w:r>
      <w:r>
        <w:rPr>
          <w:rFonts w:ascii="Arial" w:cs="Arial" w:eastAsia="Arial" w:hAnsi="Arial"/>
          <w:sz w:val="20"/>
          <w:szCs w:val="20"/>
          <w:b w:val="1"/>
          <w:bCs w:val="1"/>
          <w:color w:val="auto"/>
        </w:rPr>
        <w:t>‎</w:t>
      </w:r>
      <w:r>
        <w:rPr>
          <w:rFonts w:ascii="Arial" w:cs="Arial" w:eastAsia="Arial" w:hAnsi="Arial"/>
          <w:sz w:val="17"/>
          <w:szCs w:val="17"/>
          <w:color w:val="auto"/>
        </w:rPr>
        <w:t>2 above,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(a “</w:t>
      </w:r>
      <w:r>
        <w:rPr>
          <w:rFonts w:ascii="Arial" w:cs="Arial" w:eastAsia="Arial" w:hAnsi="Arial"/>
          <w:sz w:val="17"/>
          <w:szCs w:val="17"/>
          <w:b w:val="1"/>
          <w:bCs w:val="1"/>
          <w:color w:val="auto"/>
        </w:rPr>
        <w:t>Distribution</w:t>
      </w:r>
      <w:r>
        <w:rPr>
          <w:rFonts w:ascii="Arial" w:cs="Arial" w:eastAsia="Arial" w:hAnsi="Arial"/>
          <w:sz w:val="17"/>
          <w:szCs w:val="17"/>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such Distribution, or, if no such record is taken, the date as of which the record holders of shares of Common Stock are to be determined for the participation in such Distribution (provided, however, that to the extent that the Holder’s right to participate in any such Distribution would result in the Holder and the other Attribution Parties exceeding the Maximum Percentage, then the Holder shall not be entitled to participate in such Distribution to the extent of the Maximum Percentage (and shall not be entitled to beneficial ownership of such shares of Common Stock as a result of such Distribution (and beneficial ownership) to the extent of any such excess) and the portion of such Distribution shall be held in abeyance for the benefit of the Holder until such time or times, if ever,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held similarly in abeyance) to the same extent as if there had been no such limitation).</w:t>
      </w:r>
    </w:p>
    <w:p>
      <w:pPr>
        <w:spacing w:after="0" w:line="181" w:lineRule="exact"/>
        <w:rPr>
          <w:rFonts w:ascii="Arial" w:cs="Arial" w:eastAsia="Arial" w:hAnsi="Arial"/>
          <w:sz w:val="17"/>
          <w:szCs w:val="17"/>
          <w:color w:val="auto"/>
        </w:rPr>
      </w:pPr>
    </w:p>
    <w:p>
      <w:pPr>
        <w:ind w:left="1480" w:hanging="176"/>
        <w:spacing w:after="0"/>
        <w:tabs>
          <w:tab w:leader="none" w:pos="1480" w:val="left"/>
        </w:tabs>
        <w:numPr>
          <w:ilvl w:val="0"/>
          <w:numId w:val="309"/>
        </w:numPr>
        <w:rPr>
          <w:rFonts w:ascii="Arial" w:cs="Arial" w:eastAsia="Arial" w:hAnsi="Arial"/>
          <w:sz w:val="18"/>
          <w:szCs w:val="18"/>
          <w:color w:val="auto"/>
        </w:rPr>
      </w:pPr>
      <w:r>
        <w:rPr>
          <w:rFonts w:ascii="Arial" w:cs="Arial" w:eastAsia="Arial" w:hAnsi="Arial"/>
          <w:sz w:val="18"/>
          <w:szCs w:val="18"/>
          <w:u w:val="single" w:color="auto"/>
          <w:color w:val="auto"/>
        </w:rPr>
        <w:t>PURCHASE RIGHTS; FUNDAMENTAL TRANSACTIONS</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jc w:val="both"/>
        <w:ind w:firstLine="1952"/>
        <w:spacing w:after="0" w:line="268" w:lineRule="auto"/>
        <w:tabs>
          <w:tab w:leader="none" w:pos="2202" w:val="left"/>
        </w:tabs>
        <w:numPr>
          <w:ilvl w:val="1"/>
          <w:numId w:val="309"/>
        </w:numPr>
        <w:rPr>
          <w:rFonts w:ascii="Arial" w:cs="Arial" w:eastAsia="Arial" w:hAnsi="Arial"/>
          <w:sz w:val="17"/>
          <w:szCs w:val="17"/>
          <w:color w:val="auto"/>
        </w:rPr>
      </w:pPr>
      <w:r>
        <w:rPr>
          <w:rFonts w:ascii="Arial" w:cs="Arial" w:eastAsia="Arial" w:hAnsi="Arial"/>
          <w:sz w:val="17"/>
          <w:szCs w:val="17"/>
          <w:u w:val="single" w:color="auto"/>
          <w:color w:val="auto"/>
        </w:rPr>
        <w:t>Purchase Rights</w:t>
      </w:r>
      <w:r>
        <w:rPr>
          <w:rFonts w:ascii="Arial" w:cs="Arial" w:eastAsia="Arial" w:hAnsi="Arial"/>
          <w:sz w:val="17"/>
          <w:szCs w:val="17"/>
          <w:color w:val="auto"/>
        </w:rPr>
        <w:t xml:space="preserve">. In addition to any adjustments pursuant to Section </w:t>
      </w:r>
      <w:r>
        <w:rPr>
          <w:rFonts w:ascii="Arial" w:cs="Arial" w:eastAsia="Arial" w:hAnsi="Arial"/>
          <w:sz w:val="20"/>
          <w:szCs w:val="20"/>
          <w:b w:val="1"/>
          <w:bCs w:val="1"/>
          <w:color w:val="auto"/>
        </w:rPr>
        <w:t>‎</w:t>
      </w:r>
      <w:r>
        <w:rPr>
          <w:rFonts w:ascii="Arial" w:cs="Arial" w:eastAsia="Arial" w:hAnsi="Arial"/>
          <w:sz w:val="17"/>
          <w:szCs w:val="17"/>
          <w:color w:val="auto"/>
        </w:rPr>
        <w:t>2 above, if at any time the Company grants, issues or sells any Options, Convertible Securities or rights to purchase stock, warrants, securities or other property pro rata to the record holders of any class of Common Stock (the “</w:t>
      </w:r>
      <w:r>
        <w:rPr>
          <w:rFonts w:ascii="Arial" w:cs="Arial" w:eastAsia="Arial" w:hAnsi="Arial"/>
          <w:sz w:val="17"/>
          <w:szCs w:val="17"/>
          <w:b w:val="1"/>
          <w:bCs w:val="1"/>
          <w:color w:val="auto"/>
        </w:rPr>
        <w:t>Purchase Rights</w:t>
      </w:r>
      <w:r>
        <w:rPr>
          <w:rFonts w:ascii="Arial" w:cs="Arial" w:eastAsia="Arial" w:hAnsi="Arial"/>
          <w:sz w:val="17"/>
          <w:szCs w:val="17"/>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the grant, issuance or sale of such Purchase Rights, or, if no such record is taken, the date as of which the record holders of shares of Common Stock are to be determined for the grant, issuance or sale of such Purchase Rights (provided, however, that to the extent that the Holder’s right to participate in any such Purchase Right would result in the Holder and the other Attribution Parties exceeding the Maximum Percentage, then the Holder shall not be entitled to participate in such Purchase Right to the extent of the Maximum Percentage (and shall not be entitled to beneficial ownership of such shares of Common Stock as a result of such Purchase Right (and beneficial ownership) to the extent of any such excess) and such Purchase Right to such extent shall be held in abeyance for the benefit of the Holder until such time or times, if ever,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held similarly in abeyance) to the same extent as if there had been no such limitation).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98" w:name="page299"/>
    <w:bookmarkEnd w:id="298"/>
    <w:p>
      <w:pPr>
        <w:ind w:left="2200" w:hanging="248"/>
        <w:spacing w:after="0"/>
        <w:tabs>
          <w:tab w:leader="none" w:pos="2200" w:val="left"/>
        </w:tabs>
        <w:numPr>
          <w:ilvl w:val="0"/>
          <w:numId w:val="310"/>
        </w:numPr>
        <w:rPr>
          <w:rFonts w:ascii="Arial" w:cs="Arial" w:eastAsia="Arial" w:hAnsi="Arial"/>
          <w:sz w:val="18"/>
          <w:szCs w:val="18"/>
          <w:color w:val="auto"/>
        </w:rPr>
      </w:pPr>
      <w:r>
        <w:rPr>
          <w:rFonts w:ascii="Arial" w:cs="Arial" w:eastAsia="Arial" w:hAnsi="Arial"/>
          <w:sz w:val="18"/>
          <w:szCs w:val="18"/>
          <w:u w:val="single" w:color="auto"/>
          <w:color w:val="auto"/>
        </w:rPr>
        <w:t>Fundamental Transactions</w:t>
      </w:r>
      <w:r>
        <w:rPr>
          <w:rFonts w:ascii="Arial" w:cs="Arial" w:eastAsia="Arial" w:hAnsi="Arial"/>
          <w:sz w:val="18"/>
          <w:szCs w:val="18"/>
          <w:color w:val="auto"/>
        </w:rPr>
        <w:t>. The Company shall not enter into or be party to a Fundamental Transaction unless:</w:t>
      </w:r>
    </w:p>
    <w:p>
      <w:pPr>
        <w:spacing w:after="0" w:line="225" w:lineRule="exact"/>
        <w:rPr>
          <w:rFonts w:ascii="Arial" w:cs="Arial" w:eastAsia="Arial" w:hAnsi="Arial"/>
          <w:sz w:val="18"/>
          <w:szCs w:val="18"/>
          <w:color w:val="auto"/>
        </w:rPr>
      </w:pPr>
    </w:p>
    <w:p>
      <w:pPr>
        <w:jc w:val="both"/>
        <w:ind w:firstLine="2600"/>
        <w:spacing w:after="0" w:line="273" w:lineRule="auto"/>
        <w:tabs>
          <w:tab w:leader="none" w:pos="2807" w:val="left"/>
        </w:tabs>
        <w:numPr>
          <w:ilvl w:val="1"/>
          <w:numId w:val="310"/>
        </w:numPr>
        <w:rPr>
          <w:rFonts w:ascii="Arial" w:cs="Arial" w:eastAsia="Arial" w:hAnsi="Arial"/>
          <w:sz w:val="17"/>
          <w:szCs w:val="17"/>
          <w:color w:val="auto"/>
        </w:rPr>
      </w:pPr>
      <w:r>
        <w:rPr>
          <w:rFonts w:ascii="Arial" w:cs="Arial" w:eastAsia="Arial" w:hAnsi="Arial"/>
          <w:sz w:val="17"/>
          <w:szCs w:val="17"/>
          <w:color w:val="auto"/>
        </w:rPr>
        <w:t>in the event that the Successor Entity (including its Parent Entity) is not a publicly traded entity with common equity quoted on or listed for trading on an Eligible Market and registered under the Exchange Act, the Company or the Successor Entity, as applicable, shall, on or prior to the date of consummation of such Fundamental Transaction, purchase this Warrant from the Holder by paying to the Holder cash in an amount equal to the Black Scholes Going Private Value (without regard to the limitation set forth in Section 1(f))</w:t>
      </w:r>
      <w:r>
        <w:rPr>
          <w:rFonts w:ascii="Arial" w:cs="Arial" w:eastAsia="Arial" w:hAnsi="Arial"/>
          <w:sz w:val="17"/>
          <w:szCs w:val="17"/>
          <w:b w:val="1"/>
          <w:bCs w:val="1"/>
          <w:color w:val="auto"/>
        </w:rPr>
        <w:t>‎</w:t>
      </w:r>
      <w:r>
        <w:rPr>
          <w:rFonts w:ascii="Arial" w:cs="Arial" w:eastAsia="Arial" w:hAnsi="Arial"/>
          <w:sz w:val="17"/>
          <w:szCs w:val="17"/>
          <w:color w:val="auto"/>
        </w:rPr>
        <w:t xml:space="preserve"> whereupon the Successor Entity shall have no obligation to assume the obligations of the Company under this Warrant and the other Loan Documents, including any obligation to deliver to the Holder in exchange for this Warrant any security of the Successor Entity, and</w:t>
      </w:r>
    </w:p>
    <w:p>
      <w:pPr>
        <w:spacing w:after="0" w:line="177" w:lineRule="exact"/>
        <w:rPr>
          <w:rFonts w:ascii="Arial" w:cs="Arial" w:eastAsia="Arial" w:hAnsi="Arial"/>
          <w:sz w:val="17"/>
          <w:szCs w:val="17"/>
          <w:color w:val="auto"/>
        </w:rPr>
      </w:pPr>
    </w:p>
    <w:p>
      <w:pPr>
        <w:jc w:val="both"/>
        <w:ind w:firstLine="2600"/>
        <w:spacing w:after="0" w:line="291" w:lineRule="auto"/>
        <w:tabs>
          <w:tab w:leader="none" w:pos="2870" w:val="left"/>
        </w:tabs>
        <w:numPr>
          <w:ilvl w:val="1"/>
          <w:numId w:val="310"/>
        </w:numPr>
        <w:rPr>
          <w:rFonts w:ascii="Arial" w:cs="Arial" w:eastAsia="Arial" w:hAnsi="Arial"/>
          <w:sz w:val="16"/>
          <w:szCs w:val="16"/>
          <w:color w:val="auto"/>
        </w:rPr>
      </w:pPr>
      <w:r>
        <w:rPr>
          <w:rFonts w:ascii="Arial" w:cs="Arial" w:eastAsia="Arial" w:hAnsi="Arial"/>
          <w:sz w:val="16"/>
          <w:szCs w:val="16"/>
          <w:color w:val="auto"/>
        </w:rPr>
        <w:t>in the event that the Successor Entity (including its Parent Entity) is a publicly traded entity with common equity quoted on or listed for trading on an Eligible Market and registered under the Exchange Act, the Successor Entity assumes in writing all of the obligations</w:t>
      </w:r>
    </w:p>
    <w:p>
      <w:pPr>
        <w:jc w:val="both"/>
        <w:spacing w:after="0" w:line="281" w:lineRule="auto"/>
        <w:rPr>
          <w:rFonts w:ascii="Arial" w:cs="Arial" w:eastAsia="Arial" w:hAnsi="Arial"/>
          <w:sz w:val="16"/>
          <w:szCs w:val="16"/>
          <w:color w:val="auto"/>
        </w:rPr>
      </w:pPr>
      <w:r>
        <w:rPr>
          <w:rFonts w:ascii="Arial" w:cs="Arial" w:eastAsia="Arial" w:hAnsi="Arial"/>
          <w:sz w:val="16"/>
          <w:szCs w:val="16"/>
          <w:color w:val="auto"/>
        </w:rPr>
        <w:t>of the Company under this Warrant and the other Loan Documents in accordance with the provisions of this Section 4(b)(ii)</w:t>
      </w:r>
      <w:r>
        <w:rPr>
          <w:rFonts w:ascii="Arial" w:cs="Arial" w:eastAsia="Arial" w:hAnsi="Arial"/>
          <w:sz w:val="16"/>
          <w:szCs w:val="16"/>
          <w:b w:val="1"/>
          <w:bCs w:val="1"/>
          <w:color w:val="auto"/>
        </w:rPr>
        <w:t>‎</w:t>
      </w:r>
      <w:r>
        <w:rPr>
          <w:rFonts w:ascii="Arial" w:cs="Arial" w:eastAsia="Arial" w:hAnsi="Arial"/>
          <w:sz w:val="16"/>
          <w:szCs w:val="16"/>
          <w:color w:val="auto"/>
        </w:rPr>
        <w:t xml:space="preserve"> pursuant to written agreements in form and substance satisfactory to the Holder and approved by the Holder prior to such Fundamental Transaction, including agreements to deliver to the Holder in exchange for this Warrant a security of the Successor Entity evidenced by a written instrument substantially similar in form and substance to this Warrant, including, without limitation, which is exercisable for a corresponding number of shares of capital stock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adjustments to the number of shares of capital stock and such exercise price being for the purpose of protecting the economic value of this Warrant immediately prior to the</w:t>
      </w:r>
    </w:p>
    <w:p>
      <w:pPr>
        <w:spacing w:after="0" w:line="4" w:lineRule="exact"/>
        <w:rPr>
          <w:rFonts w:ascii="Arial" w:cs="Arial" w:eastAsia="Arial" w:hAnsi="Arial"/>
          <w:sz w:val="16"/>
          <w:szCs w:val="16"/>
          <w:color w:val="auto"/>
        </w:rPr>
      </w:pPr>
    </w:p>
    <w:p>
      <w:pPr>
        <w:jc w:val="both"/>
        <w:spacing w:after="0" w:line="281" w:lineRule="auto"/>
        <w:rPr>
          <w:rFonts w:ascii="Arial" w:cs="Arial" w:eastAsia="Arial" w:hAnsi="Arial"/>
          <w:sz w:val="16"/>
          <w:szCs w:val="16"/>
          <w:color w:val="auto"/>
        </w:rPr>
      </w:pPr>
      <w:r>
        <w:rPr>
          <w:rFonts w:ascii="Arial" w:cs="Arial" w:eastAsia="Arial" w:hAnsi="Arial"/>
          <w:sz w:val="16"/>
          <w:szCs w:val="16"/>
          <w:color w:val="auto"/>
        </w:rPr>
        <w:t>consummation of such Fundamental Transaction). Upon the consummation of each Fundamental Transaction described in this Section 4(b)(ii)</w:t>
      </w:r>
      <w:r>
        <w:rPr>
          <w:rFonts w:ascii="Arial" w:cs="Arial" w:eastAsia="Arial" w:hAnsi="Arial"/>
          <w:sz w:val="16"/>
          <w:szCs w:val="16"/>
          <w:b w:val="1"/>
          <w:bCs w:val="1"/>
          <w:color w:val="auto"/>
        </w:rPr>
        <w:t>‎</w:t>
      </w:r>
      <w:r>
        <w:rPr>
          <w:rFonts w:ascii="Arial" w:cs="Arial" w:eastAsia="Arial" w:hAnsi="Arial"/>
          <w:sz w:val="16"/>
          <w:szCs w:val="16"/>
          <w:color w:val="auto"/>
        </w:rPr>
        <w:t xml:space="preserve"> (each such Fundamental Transaction, a “</w:t>
      </w:r>
      <w:r>
        <w:rPr>
          <w:rFonts w:ascii="Arial" w:cs="Arial" w:eastAsia="Arial" w:hAnsi="Arial"/>
          <w:sz w:val="16"/>
          <w:szCs w:val="16"/>
          <w:b w:val="1"/>
          <w:bCs w:val="1"/>
          <w:color w:val="auto"/>
        </w:rPr>
        <w:t>Public Fundamental Transaction</w:t>
      </w:r>
      <w:r>
        <w:rPr>
          <w:rFonts w:ascii="Arial" w:cs="Arial" w:eastAsia="Arial" w:hAnsi="Arial"/>
          <w:sz w:val="16"/>
          <w:szCs w:val="16"/>
          <w:color w:val="auto"/>
        </w:rPr>
        <w:t>”), the Successor Entity shall (x) succeed to, and be substituted for (so that from and after the date of the applicable Public Fundamental Transaction, the provisions of this Warrant and the other Loan Documents referring to the “Company” or the “Borrower” shall refer instead to the Successor Entity), and may exercise every right and power of the Company and shall assume all of the obligations of the Company under this Warrant and the other Loan Documents with the same effect as if such Successor Entity had been named as the Company herein or therein, and (y) deliver to the Holder confirmation that there shall be issued upon exercise of this Warrant at any time after the consummation of the applicable Public Fundamental Transaction, in lieu of the shares of Common Stock (or other securities, cash, assets or other property (except such items still issuable under Sections 3</w:t>
      </w:r>
      <w:r>
        <w:rPr>
          <w:rFonts w:ascii="Arial" w:cs="Arial" w:eastAsia="Arial" w:hAnsi="Arial"/>
          <w:sz w:val="16"/>
          <w:szCs w:val="16"/>
          <w:b w:val="1"/>
          <w:bCs w:val="1"/>
          <w:color w:val="auto"/>
        </w:rPr>
        <w:t>‎</w:t>
      </w:r>
      <w:r>
        <w:rPr>
          <w:rFonts w:ascii="Arial" w:cs="Arial" w:eastAsia="Arial" w:hAnsi="Arial"/>
          <w:sz w:val="16"/>
          <w:szCs w:val="16"/>
          <w:color w:val="auto"/>
        </w:rPr>
        <w:t xml:space="preserve"> and 4(a)</w:t>
      </w:r>
      <w:r>
        <w:rPr>
          <w:rFonts w:ascii="Arial" w:cs="Arial" w:eastAsia="Arial" w:hAnsi="Arial"/>
          <w:sz w:val="16"/>
          <w:szCs w:val="16"/>
          <w:b w:val="1"/>
          <w:bCs w:val="1"/>
          <w:color w:val="auto"/>
        </w:rPr>
        <w:t>‎</w:t>
      </w:r>
      <w:r>
        <w:rPr>
          <w:rFonts w:ascii="Arial" w:cs="Arial" w:eastAsia="Arial" w:hAnsi="Arial"/>
          <w:sz w:val="16"/>
          <w:szCs w:val="16"/>
          <w:color w:val="auto"/>
        </w:rPr>
        <w:t xml:space="preserve"> above, which shall continue to be receivable thereafter)) issuable upon the exercise of this Warrant prior to the applicable Public Fundamental Transaction, such shares of publicly traded common stock (or its equivalent) of the Successor Entity (including its Parent Entity) which the Holder would have been entitled to receive upon the happening of the applicable Public Fundamental Transaction had this Warrant been exercised immediately prior to the applicable Public Fundamental Transaction (without regard to any limitations on the exercise of this Warrant), as adjusted in accordance with the provisions of this Warrant. Notwithstanding the foregoing, and without limiting Section 1(f)</w:t>
      </w:r>
      <w:r>
        <w:rPr>
          <w:rFonts w:ascii="Arial" w:cs="Arial" w:eastAsia="Arial" w:hAnsi="Arial"/>
          <w:sz w:val="16"/>
          <w:szCs w:val="16"/>
          <w:b w:val="1"/>
          <w:bCs w:val="1"/>
          <w:color w:val="auto"/>
        </w:rPr>
        <w:t>‎</w:t>
      </w:r>
      <w:r>
        <w:rPr>
          <w:rFonts w:ascii="Arial" w:cs="Arial" w:eastAsia="Arial" w:hAnsi="Arial"/>
          <w:sz w:val="16"/>
          <w:szCs w:val="16"/>
          <w:color w:val="auto"/>
        </w:rPr>
        <w:t xml:space="preserve"> hereof, the Holder may elect,</w:t>
      </w:r>
    </w:p>
    <w:p>
      <w:pPr>
        <w:spacing w:after="0" w:line="7" w:lineRule="exact"/>
        <w:rPr>
          <w:rFonts w:ascii="Arial" w:cs="Arial" w:eastAsia="Arial" w:hAnsi="Arial"/>
          <w:sz w:val="16"/>
          <w:szCs w:val="16"/>
          <w:color w:val="auto"/>
        </w:rPr>
      </w:pPr>
    </w:p>
    <w:p>
      <w:pPr>
        <w:spacing w:after="0" w:line="260" w:lineRule="auto"/>
        <w:rPr>
          <w:rFonts w:ascii="Arial" w:cs="Arial" w:eastAsia="Arial" w:hAnsi="Arial"/>
          <w:sz w:val="16"/>
          <w:szCs w:val="16"/>
          <w:color w:val="auto"/>
        </w:rPr>
      </w:pPr>
      <w:r>
        <w:rPr>
          <w:rFonts w:ascii="Arial" w:cs="Arial" w:eastAsia="Arial" w:hAnsi="Arial"/>
          <w:sz w:val="18"/>
          <w:szCs w:val="18"/>
          <w:color w:val="auto"/>
        </w:rPr>
        <w:t>at its sole option, by delivery of written notice to the Company to waive this Section 4(b)(ii)</w:t>
      </w:r>
      <w:r>
        <w:rPr>
          <w:rFonts w:ascii="Arial" w:cs="Arial" w:eastAsia="Arial" w:hAnsi="Arial"/>
          <w:sz w:val="18"/>
          <w:szCs w:val="18"/>
          <w:b w:val="1"/>
          <w:bCs w:val="1"/>
          <w:color w:val="auto"/>
        </w:rPr>
        <w:t>‎</w:t>
      </w:r>
      <w:r>
        <w:rPr>
          <w:rFonts w:ascii="Arial" w:cs="Arial" w:eastAsia="Arial" w:hAnsi="Arial"/>
          <w:sz w:val="18"/>
          <w:szCs w:val="18"/>
          <w:color w:val="auto"/>
        </w:rPr>
        <w:t xml:space="preserve"> to permit the Public Fundamental Transaction without the assumption of this Warrant.</w:t>
      </w:r>
    </w:p>
    <w:p>
      <w:pPr>
        <w:spacing w:after="0" w:line="18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to and not in substitution for any other rights hereunder, prior to the consummation of each Fundamental Transaction pursuant to which holders of shares of Common Stock are entitled to receive securities or other assets with respect to or in exchange for shares of Common Stock (a “</w:t>
      </w:r>
      <w:r>
        <w:rPr>
          <w:rFonts w:ascii="Arial" w:cs="Arial" w:eastAsia="Arial" w:hAnsi="Arial"/>
          <w:sz w:val="17"/>
          <w:szCs w:val="17"/>
          <w:b w:val="1"/>
          <w:bCs w:val="1"/>
          <w:color w:val="auto"/>
        </w:rPr>
        <w:t>Corporate</w:t>
      </w:r>
      <w:r>
        <w:rPr>
          <w:rFonts w:ascii="Arial" w:cs="Arial" w:eastAsia="Arial" w:hAnsi="Arial"/>
          <w:sz w:val="17"/>
          <w:szCs w:val="17"/>
          <w:color w:val="auto"/>
        </w:rPr>
        <w:t xml:space="preserve"> </w:t>
      </w:r>
      <w:r>
        <w:rPr>
          <w:rFonts w:ascii="Arial" w:cs="Arial" w:eastAsia="Arial" w:hAnsi="Arial"/>
          <w:sz w:val="17"/>
          <w:szCs w:val="17"/>
          <w:b w:val="1"/>
          <w:bCs w:val="1"/>
          <w:color w:val="auto"/>
        </w:rPr>
        <w:t>Event</w:t>
      </w:r>
      <w:r>
        <w:rPr>
          <w:rFonts w:ascii="Arial" w:cs="Arial" w:eastAsia="Arial" w:hAnsi="Arial"/>
          <w:sz w:val="17"/>
          <w:szCs w:val="17"/>
          <w:color w:val="auto"/>
        </w:rPr>
        <w:t>”), the Company shall make appropriate provision to insure that the Holder will thereafter have the right to receive upon an exercise of this Warrant</w:t>
      </w:r>
      <w:r>
        <w:rPr>
          <w:rFonts w:ascii="Arial" w:cs="Arial" w:eastAsia="Arial" w:hAnsi="Arial"/>
          <w:sz w:val="17"/>
          <w:szCs w:val="17"/>
          <w:b w:val="1"/>
          <w:bCs w:val="1"/>
          <w:color w:val="auto"/>
        </w:rPr>
        <w:t xml:space="preserve"> </w:t>
      </w:r>
      <w:r>
        <w:rPr>
          <w:rFonts w:ascii="Arial" w:cs="Arial" w:eastAsia="Arial" w:hAnsi="Arial"/>
          <w:sz w:val="17"/>
          <w:szCs w:val="17"/>
          <w:color w:val="auto"/>
        </w:rPr>
        <w:t>at any time after the consummation of the applicable Fundamental Transaction but prior to the Expiration Date, in lieu of the shares of the Common Stock (or other securities, cash, assets or other property (except such items still issuable under Sections 3‎ and 4(a)‎ above, which shall continue to be receivable thereafter)) issuable upon the exercise of the Warrant prior to such Fundamental Transaction, such shares of stock, securities, cash, assets or any other property whatsoever (including warrants or other purchase or subscription rights) which the Holder would have been entitled to receive upon the happening of the applicable Fundamental Transaction had this Warrant been exercised immediately prior to the applicable Fundamental Transaction (without regard to any limitations on the exercise of this Warrant). Provision made pursuant to the preceding sentence shall be in a form and substance reasonably satisfactory to the Holder.</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9" w:name="page300"/>
    <w:bookmarkEnd w:id="299"/>
    <w:p>
      <w:pPr>
        <w:jc w:val="both"/>
        <w:ind w:firstLine="1952"/>
        <w:spacing w:after="0" w:line="271" w:lineRule="auto"/>
        <w:tabs>
          <w:tab w:leader="none" w:pos="2188" w:val="left"/>
        </w:tabs>
        <w:numPr>
          <w:ilvl w:val="1"/>
          <w:numId w:val="311"/>
        </w:numPr>
        <w:rPr>
          <w:rFonts w:ascii="Arial" w:cs="Arial" w:eastAsia="Arial" w:hAnsi="Arial"/>
          <w:sz w:val="17"/>
          <w:szCs w:val="17"/>
          <w:color w:val="auto"/>
        </w:rPr>
      </w:pPr>
      <w:r>
        <w:rPr>
          <w:rFonts w:ascii="Arial" w:cs="Arial" w:eastAsia="Arial" w:hAnsi="Arial"/>
          <w:sz w:val="17"/>
          <w:szCs w:val="17"/>
          <w:u w:val="single" w:color="auto"/>
          <w:color w:val="auto"/>
        </w:rPr>
        <w:t>Holder Optional Redemptions</w:t>
      </w:r>
      <w:r>
        <w:rPr>
          <w:rFonts w:ascii="Arial" w:cs="Arial" w:eastAsia="Arial" w:hAnsi="Arial"/>
          <w:sz w:val="17"/>
          <w:szCs w:val="17"/>
          <w:color w:val="auto"/>
        </w:rPr>
        <w:t>. Notwithstanding the foregoing and the provisions of Section 4(b)(ii) above, at the request of the Holder delivered at any time commencing on the earliest to occur of (x) the public disclosure of any Public Fundamental Transaction, (y) the consummation of any Public Fundamental Transaction and (z) the Holder first becoming aware of any Public Fundamental Transaction through the date that is ninety (90) days after the public disclosure of the consummation of such Public Fundamental Transaction by the Company pursuant to a Current Report on Form 8-K filed with the SEC, the Company or the Successor Entity (as the case may be) shall purchase this Warrant from the Holder on the date of such request by paying to the Holder cash in an amount equal to the Black Scholes Value. Payment of such amounts shall be made by the Company (or at the Company’s direction) to the Holder on or prior to the later of (x) the second (2nd) Trading Day after the date of such request and (y) the date of consummation of such Public Fundamental Transaction.</w:t>
      </w:r>
    </w:p>
    <w:p>
      <w:pPr>
        <w:spacing w:after="0" w:line="165" w:lineRule="exact"/>
        <w:rPr>
          <w:rFonts w:ascii="Arial" w:cs="Arial" w:eastAsia="Arial" w:hAnsi="Arial"/>
          <w:sz w:val="17"/>
          <w:szCs w:val="17"/>
          <w:color w:val="auto"/>
        </w:rPr>
      </w:pPr>
    </w:p>
    <w:p>
      <w:pPr>
        <w:jc w:val="both"/>
        <w:ind w:firstLine="1952"/>
        <w:spacing w:after="0" w:line="300" w:lineRule="auto"/>
        <w:tabs>
          <w:tab w:leader="none" w:pos="2199" w:val="left"/>
        </w:tabs>
        <w:numPr>
          <w:ilvl w:val="1"/>
          <w:numId w:val="311"/>
        </w:numPr>
        <w:rPr>
          <w:rFonts w:ascii="Arial" w:cs="Arial" w:eastAsia="Arial" w:hAnsi="Arial"/>
          <w:sz w:val="16"/>
          <w:szCs w:val="16"/>
          <w:color w:val="auto"/>
        </w:rPr>
      </w:pPr>
      <w:r>
        <w:rPr>
          <w:rFonts w:ascii="Arial" w:cs="Arial" w:eastAsia="Arial" w:hAnsi="Arial"/>
          <w:sz w:val="16"/>
          <w:szCs w:val="16"/>
          <w:u w:val="single" w:color="auto"/>
          <w:color w:val="auto"/>
        </w:rPr>
        <w:t>Application</w:t>
      </w:r>
      <w:r>
        <w:rPr>
          <w:rFonts w:ascii="Arial" w:cs="Arial" w:eastAsia="Arial" w:hAnsi="Arial"/>
          <w:sz w:val="16"/>
          <w:szCs w:val="16"/>
          <w:color w:val="auto"/>
        </w:rPr>
        <w:t xml:space="preserve">. The provisions of this Section </w:t>
      </w:r>
      <w:r>
        <w:rPr>
          <w:rFonts w:ascii="Arial" w:cs="Arial" w:eastAsia="Arial" w:hAnsi="Arial"/>
          <w:sz w:val="19"/>
          <w:szCs w:val="19"/>
          <w:b w:val="1"/>
          <w:bCs w:val="1"/>
          <w:color w:val="auto"/>
        </w:rPr>
        <w:t>‎</w:t>
      </w:r>
      <w:r>
        <w:rPr>
          <w:rFonts w:ascii="Arial" w:cs="Arial" w:eastAsia="Arial" w:hAnsi="Arial"/>
          <w:sz w:val="16"/>
          <w:szCs w:val="16"/>
          <w:color w:val="auto"/>
        </w:rPr>
        <w:t>4 shall apply similarly and equally to successive Fundamental Transactions and Corporate Events and shall be applied as if this Warrant (and any such subsequent warrants) were fully exercisable and without regard to any limitations on the exercise of this Warrant (provided that the Holder shall continue to be entitled to the benefit of the Maximum Percentage, applied however with respect to shares of capital stock registered under the Exchange Act and thereafter receivable upon exercise of this Warrant (or any such other warrant)).</w:t>
      </w:r>
    </w:p>
    <w:p>
      <w:pPr>
        <w:spacing w:after="0" w:line="157" w:lineRule="exact"/>
        <w:rPr>
          <w:rFonts w:ascii="Arial" w:cs="Arial" w:eastAsia="Arial" w:hAnsi="Arial"/>
          <w:sz w:val="16"/>
          <w:szCs w:val="16"/>
          <w:color w:val="auto"/>
        </w:rPr>
      </w:pPr>
    </w:p>
    <w:p>
      <w:pPr>
        <w:jc w:val="both"/>
        <w:ind w:firstLine="1304"/>
        <w:spacing w:after="0" w:line="268" w:lineRule="auto"/>
        <w:tabs>
          <w:tab w:leader="none" w:pos="1476" w:val="left"/>
        </w:tabs>
        <w:numPr>
          <w:ilvl w:val="0"/>
          <w:numId w:val="312"/>
        </w:numPr>
        <w:rPr>
          <w:rFonts w:ascii="Arial" w:cs="Arial" w:eastAsia="Arial" w:hAnsi="Arial"/>
          <w:sz w:val="17"/>
          <w:szCs w:val="17"/>
          <w:color w:val="auto"/>
        </w:rPr>
      </w:pPr>
      <w:r>
        <w:rPr>
          <w:rFonts w:ascii="Arial" w:cs="Arial" w:eastAsia="Arial" w:hAnsi="Arial"/>
          <w:sz w:val="17"/>
          <w:szCs w:val="17"/>
          <w:u w:val="single" w:color="auto"/>
          <w:color w:val="auto"/>
        </w:rPr>
        <w:t>NONCIRCUMVENTION</w:t>
      </w:r>
      <w:r>
        <w:rPr>
          <w:rFonts w:ascii="Arial" w:cs="Arial" w:eastAsia="Arial" w:hAnsi="Arial"/>
          <w:sz w:val="17"/>
          <w:szCs w:val="17"/>
          <w:color w:val="auto"/>
        </w:rPr>
        <w:t>. The Company hereby covenants and agrees that the Company will not, by amendment of its Certificate of Incorporation or Bylaws, or through any reorganization, transfer of assets, consolidation, merger, scheme of arrangement, dissolution, issuance or sale of securities, or any other voluntary action, avoid or seek to avoid the observance or performance of any of the terms of this Warrant, and will at all times in good faith carry out all of the provisions of this Warrant and take all action as may be required to protect the rights of the Holder. Without limiting the generality of the foregoing, the Company (i) shall not increase the par value of any shares of Common Stock receivable upon the exercise of this Warrant above the Exercise Price then in effect, (ii) shall take all such actions as may be necessary or appropriate in order that the Company may validly and legally issue fully paid and nonassessable shares of Common Stock upon the proper exercise of this Warrant by the Holder, and (iii) shall, so long as this Warrant is outstanding, take all action necessary to reserve and keep available out of its authorized and unissued shares of Common Stock, solely for the purpose of effecting the exercise of this Warrant, the number of shares of Common Stock as shall from time to time be necessary to effect the exercise of this Warrant (without regard to any limitations on exercise). Notwithstanding anything herein to the contrary, if after the sixty (60) calendar day anniversary of the Issuance Date, the Holder is not permitted to exercise this Warrant in full for any reason (other than pursuant to restrictions set forth in Section 1(f) hereof), the Company shall use its reasonable best efforts to promptly remedy such failure, including, without limitation, obtaining such consents or approvals as necessary to permit such exercise into shares of Common Stock.</w:t>
      </w:r>
    </w:p>
    <w:p>
      <w:pPr>
        <w:spacing w:after="0" w:line="186" w:lineRule="exact"/>
        <w:rPr>
          <w:rFonts w:ascii="Arial" w:cs="Arial" w:eastAsia="Arial" w:hAnsi="Arial"/>
          <w:sz w:val="17"/>
          <w:szCs w:val="17"/>
          <w:color w:val="auto"/>
        </w:rPr>
      </w:pPr>
    </w:p>
    <w:p>
      <w:pPr>
        <w:jc w:val="both"/>
        <w:ind w:firstLine="1304"/>
        <w:spacing w:after="0" w:line="287" w:lineRule="auto"/>
        <w:tabs>
          <w:tab w:leader="none" w:pos="1476" w:val="left"/>
        </w:tabs>
        <w:numPr>
          <w:ilvl w:val="0"/>
          <w:numId w:val="312"/>
        </w:numPr>
        <w:rPr>
          <w:rFonts w:ascii="Arial" w:cs="Arial" w:eastAsia="Arial" w:hAnsi="Arial"/>
          <w:sz w:val="16"/>
          <w:szCs w:val="16"/>
          <w:color w:val="auto"/>
        </w:rPr>
      </w:pPr>
      <w:r>
        <w:rPr>
          <w:rFonts w:ascii="Arial" w:cs="Arial" w:eastAsia="Arial" w:hAnsi="Arial"/>
          <w:sz w:val="16"/>
          <w:szCs w:val="16"/>
          <w:u w:val="single" w:color="auto"/>
          <w:color w:val="auto"/>
        </w:rPr>
        <w:t>WARRANT HOLDER NOT DEEMED A STOCKHOLDER</w:t>
      </w:r>
      <w:r>
        <w:rPr>
          <w:rFonts w:ascii="Arial" w:cs="Arial" w:eastAsia="Arial" w:hAnsi="Arial"/>
          <w:sz w:val="16"/>
          <w:szCs w:val="16"/>
          <w:color w:val="auto"/>
        </w:rPr>
        <w:t xml:space="preserve">. Except as otherwise specifically provided herein, the Holder, solely in such Person’s capacity as a holder of this Warrant, shall not be entitled to vote or receive dividends or be deemed the holder of share capital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 Notwithstanding this Section </w:t>
      </w:r>
      <w:r>
        <w:rPr>
          <w:rFonts w:ascii="Arial" w:cs="Arial" w:eastAsia="Arial" w:hAnsi="Arial"/>
          <w:sz w:val="19"/>
          <w:szCs w:val="19"/>
          <w:b w:val="1"/>
          <w:bCs w:val="1"/>
          <w:color w:val="auto"/>
        </w:rPr>
        <w:t>‎</w:t>
      </w:r>
      <w:r>
        <w:rPr>
          <w:rFonts w:ascii="Arial" w:cs="Arial" w:eastAsia="Arial" w:hAnsi="Arial"/>
          <w:sz w:val="16"/>
          <w:szCs w:val="16"/>
          <w:color w:val="auto"/>
        </w:rPr>
        <w:t>6, the Company shall provide the Holder with copies of the same notices and other information given to the stockholders of the Company generally, contemporaneously with the giving thereof to the stockholders.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00" w:name="page301"/>
    <w:bookmarkEnd w:id="300"/>
    <w:p>
      <w:pPr>
        <w:ind w:left="1480" w:hanging="176"/>
        <w:spacing w:after="0"/>
        <w:tabs>
          <w:tab w:leader="none" w:pos="1480" w:val="left"/>
        </w:tabs>
        <w:numPr>
          <w:ilvl w:val="0"/>
          <w:numId w:val="313"/>
        </w:numPr>
        <w:rPr>
          <w:rFonts w:ascii="Arial" w:cs="Arial" w:eastAsia="Arial" w:hAnsi="Arial"/>
          <w:sz w:val="18"/>
          <w:szCs w:val="18"/>
          <w:color w:val="auto"/>
        </w:rPr>
      </w:pPr>
      <w:r>
        <w:rPr>
          <w:rFonts w:ascii="Arial" w:cs="Arial" w:eastAsia="Arial" w:hAnsi="Arial"/>
          <w:sz w:val="18"/>
          <w:szCs w:val="18"/>
          <w:u w:val="single" w:color="auto"/>
          <w:color w:val="auto"/>
        </w:rPr>
        <w:t>REISSUANCE OF WARRANTS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952"/>
        <w:spacing w:after="0" w:line="250" w:lineRule="auto"/>
        <w:tabs>
          <w:tab w:leader="none" w:pos="2188" w:val="left"/>
        </w:tabs>
        <w:numPr>
          <w:ilvl w:val="1"/>
          <w:numId w:val="313"/>
        </w:numPr>
        <w:rPr>
          <w:rFonts w:ascii="Arial" w:cs="Arial" w:eastAsia="Arial" w:hAnsi="Arial"/>
          <w:sz w:val="18"/>
          <w:szCs w:val="18"/>
          <w:color w:val="auto"/>
        </w:rPr>
      </w:pPr>
      <w:r>
        <w:rPr>
          <w:rFonts w:ascii="Arial" w:cs="Arial" w:eastAsia="Arial" w:hAnsi="Arial"/>
          <w:sz w:val="18"/>
          <w:szCs w:val="18"/>
          <w:u w:val="single" w:color="auto"/>
          <w:color w:val="auto"/>
        </w:rPr>
        <w:t>Transfer of Warrant</w:t>
      </w:r>
      <w:r>
        <w:rPr>
          <w:rFonts w:ascii="Arial" w:cs="Arial" w:eastAsia="Arial" w:hAnsi="Arial"/>
          <w:sz w:val="18"/>
          <w:szCs w:val="18"/>
          <w:color w:val="auto"/>
        </w:rPr>
        <w:t xml:space="preserve">. If this Warrant is to be transferred and reissued to the transferee, the Holder shall surrender this Warrant to the Company together with a written assignment of this Warrant substantially in the form attached hereto duly executed by the Holder or its agent or attorney and funds sufficient to pay any transfer taxes payable upon the making of such transfer, whereupon the Company will forthwith issue and deliver upon the order of the Holder a new Warrant (in accordance with Section </w:t>
      </w:r>
      <w:r>
        <w:rPr>
          <w:rFonts w:ascii="Arial" w:cs="Arial" w:eastAsia="Arial" w:hAnsi="Arial"/>
          <w:sz w:val="21"/>
          <w:szCs w:val="21"/>
          <w:b w:val="1"/>
          <w:bCs w:val="1"/>
          <w:color w:val="auto"/>
        </w:rPr>
        <w:t>‎</w:t>
      </w:r>
      <w:r>
        <w:rPr>
          <w:rFonts w:ascii="Arial" w:cs="Arial" w:eastAsia="Arial" w:hAnsi="Arial"/>
          <w:sz w:val="18"/>
          <w:szCs w:val="18"/>
          <w:color w:val="auto"/>
        </w:rPr>
        <w:t xml:space="preserve">7(d)), registered as the Holder may request, representing the right to purchase the number of Warrant Shares being transferred by the Holder and, if less than the total number of Warrant Shares then underlying this Warrant is being transferred, a new Warrant (in accordance with Section </w:t>
      </w:r>
      <w:r>
        <w:rPr>
          <w:rFonts w:ascii="Arial" w:cs="Arial" w:eastAsia="Arial" w:hAnsi="Arial"/>
          <w:sz w:val="21"/>
          <w:szCs w:val="21"/>
          <w:b w:val="1"/>
          <w:bCs w:val="1"/>
          <w:color w:val="auto"/>
        </w:rPr>
        <w:t>‎</w:t>
      </w:r>
      <w:r>
        <w:rPr>
          <w:rFonts w:ascii="Arial" w:cs="Arial" w:eastAsia="Arial" w:hAnsi="Arial"/>
          <w:sz w:val="18"/>
          <w:szCs w:val="18"/>
          <w:color w:val="auto"/>
        </w:rPr>
        <w:t xml:space="preserve">7(d)) to the Holder representing the right to purchase the number of Warrant Shares not being transferred. For the avoidance of doubt, this Section </w:t>
      </w:r>
      <w:r>
        <w:rPr>
          <w:rFonts w:ascii="Arial" w:cs="Arial" w:eastAsia="Arial" w:hAnsi="Arial"/>
          <w:sz w:val="21"/>
          <w:szCs w:val="21"/>
          <w:b w:val="1"/>
          <w:bCs w:val="1"/>
          <w:color w:val="auto"/>
        </w:rPr>
        <w:t>‎</w:t>
      </w:r>
      <w:r>
        <w:rPr>
          <w:rFonts w:ascii="Arial" w:cs="Arial" w:eastAsia="Arial" w:hAnsi="Arial"/>
          <w:sz w:val="18"/>
          <w:szCs w:val="18"/>
          <w:color w:val="auto"/>
        </w:rPr>
        <w:t>7(a) will not apply to a sale, transfer, pledge or assignment of this Warrant that does not involve a reissuance of this Warrant.</w:t>
      </w:r>
    </w:p>
    <w:p>
      <w:pPr>
        <w:spacing w:after="0" w:line="192" w:lineRule="exact"/>
        <w:rPr>
          <w:rFonts w:ascii="Arial" w:cs="Arial" w:eastAsia="Arial" w:hAnsi="Arial"/>
          <w:sz w:val="18"/>
          <w:szCs w:val="18"/>
          <w:color w:val="auto"/>
        </w:rPr>
      </w:pPr>
    </w:p>
    <w:p>
      <w:pPr>
        <w:jc w:val="both"/>
        <w:ind w:firstLine="1952"/>
        <w:spacing w:after="0" w:line="275" w:lineRule="auto"/>
        <w:tabs>
          <w:tab w:leader="none" w:pos="2199" w:val="left"/>
        </w:tabs>
        <w:numPr>
          <w:ilvl w:val="1"/>
          <w:numId w:val="313"/>
        </w:numPr>
        <w:rPr>
          <w:rFonts w:ascii="Arial" w:cs="Arial" w:eastAsia="Arial" w:hAnsi="Arial"/>
          <w:sz w:val="17"/>
          <w:szCs w:val="17"/>
          <w:color w:val="auto"/>
        </w:rPr>
      </w:pPr>
      <w:r>
        <w:rPr>
          <w:rFonts w:ascii="Arial" w:cs="Arial" w:eastAsia="Arial" w:hAnsi="Arial"/>
          <w:sz w:val="17"/>
          <w:szCs w:val="17"/>
          <w:u w:val="single" w:color="auto"/>
          <w:color w:val="auto"/>
        </w:rPr>
        <w:t>Lost, Stolen or Mutilated Warrant</w:t>
      </w:r>
      <w:r>
        <w:rPr>
          <w:rFonts w:ascii="Arial" w:cs="Arial" w:eastAsia="Arial" w:hAnsi="Arial"/>
          <w:sz w:val="17"/>
          <w:szCs w:val="17"/>
          <w:color w:val="auto"/>
        </w:rPr>
        <w:t xml:space="preserve">. Upon receipt by the Company of evidence reasonably satisfactory to the Company of the loss, theft, destruction or mutilation of this Warrant (as to which a written certification and the indemnification contemplated below shall suffice as such evidence), and, in the case of loss, theft or destruction, of any indemnification undertaking by the Holder to the Company in customary and reasonable form and, in the case of mutilation, upon surrender and cancellation of this Warrant, the Company shall execute and deliver to the Holder a new Warrant (in accordance with Section </w:t>
      </w:r>
      <w:r>
        <w:rPr>
          <w:rFonts w:ascii="Arial" w:cs="Arial" w:eastAsia="Arial" w:hAnsi="Arial"/>
          <w:sz w:val="20"/>
          <w:szCs w:val="20"/>
          <w:b w:val="1"/>
          <w:bCs w:val="1"/>
          <w:color w:val="auto"/>
        </w:rPr>
        <w:t>‎</w:t>
      </w:r>
      <w:r>
        <w:rPr>
          <w:rFonts w:ascii="Arial" w:cs="Arial" w:eastAsia="Arial" w:hAnsi="Arial"/>
          <w:sz w:val="17"/>
          <w:szCs w:val="17"/>
          <w:color w:val="auto"/>
        </w:rPr>
        <w:t>7(d)) representing the right to purchase the Warrant Shares then underlying this Warrant.</w:t>
      </w:r>
    </w:p>
    <w:p>
      <w:pPr>
        <w:spacing w:after="0" w:line="163" w:lineRule="exact"/>
        <w:rPr>
          <w:rFonts w:ascii="Arial" w:cs="Arial" w:eastAsia="Arial" w:hAnsi="Arial"/>
          <w:sz w:val="17"/>
          <w:szCs w:val="17"/>
          <w:color w:val="auto"/>
        </w:rPr>
      </w:pPr>
    </w:p>
    <w:p>
      <w:pPr>
        <w:jc w:val="both"/>
        <w:ind w:firstLine="1952"/>
        <w:spacing w:after="0" w:line="295" w:lineRule="auto"/>
        <w:tabs>
          <w:tab w:leader="none" w:pos="2188" w:val="left"/>
        </w:tabs>
        <w:numPr>
          <w:ilvl w:val="1"/>
          <w:numId w:val="313"/>
        </w:numPr>
        <w:rPr>
          <w:rFonts w:ascii="Arial" w:cs="Arial" w:eastAsia="Arial" w:hAnsi="Arial"/>
          <w:sz w:val="16"/>
          <w:szCs w:val="16"/>
          <w:color w:val="auto"/>
        </w:rPr>
      </w:pPr>
      <w:r>
        <w:rPr>
          <w:rFonts w:ascii="Arial" w:cs="Arial" w:eastAsia="Arial" w:hAnsi="Arial"/>
          <w:sz w:val="16"/>
          <w:szCs w:val="16"/>
          <w:u w:val="single" w:color="auto"/>
          <w:color w:val="auto"/>
        </w:rPr>
        <w:t>Exchangeable for Multiple Warrants</w:t>
      </w:r>
      <w:r>
        <w:rPr>
          <w:rFonts w:ascii="Arial" w:cs="Arial" w:eastAsia="Arial" w:hAnsi="Arial"/>
          <w:sz w:val="16"/>
          <w:szCs w:val="16"/>
          <w:color w:val="auto"/>
        </w:rPr>
        <w:t xml:space="preserve">. This Warrant is exchangeable, upon the surrender hereof by the Holder at the principal office of the Company, for a new Warrant or Warrants (in accordance with Section </w:t>
      </w:r>
      <w:r>
        <w:rPr>
          <w:rFonts w:ascii="Arial" w:cs="Arial" w:eastAsia="Arial" w:hAnsi="Arial"/>
          <w:sz w:val="19"/>
          <w:szCs w:val="19"/>
          <w:b w:val="1"/>
          <w:bCs w:val="1"/>
          <w:color w:val="auto"/>
        </w:rPr>
        <w:t>‎</w:t>
      </w:r>
      <w:r>
        <w:rPr>
          <w:rFonts w:ascii="Arial" w:cs="Arial" w:eastAsia="Arial" w:hAnsi="Arial"/>
          <w:sz w:val="16"/>
          <w:szCs w:val="16"/>
          <w:color w:val="auto"/>
        </w:rPr>
        <w:t xml:space="preserve">7(d)) representing in the aggregate the right to purchase the number of Warrant Shares then underlying this Warrant, and each such new Warrant will represent the right to purchase such portion of such Warrant Shares as is designated by the Holder at the time of such surrender;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warrants for fractional shares of Common Stock shall be given.</w:t>
      </w:r>
    </w:p>
    <w:p>
      <w:pPr>
        <w:spacing w:after="0" w:line="159" w:lineRule="exact"/>
        <w:rPr>
          <w:rFonts w:ascii="Arial" w:cs="Arial" w:eastAsia="Arial" w:hAnsi="Arial"/>
          <w:sz w:val="16"/>
          <w:szCs w:val="16"/>
          <w:color w:val="auto"/>
        </w:rPr>
      </w:pPr>
    </w:p>
    <w:p>
      <w:pPr>
        <w:jc w:val="both"/>
        <w:ind w:firstLine="1952"/>
        <w:spacing w:after="0" w:line="290" w:lineRule="auto"/>
        <w:tabs>
          <w:tab w:leader="none" w:pos="2199" w:val="left"/>
        </w:tabs>
        <w:numPr>
          <w:ilvl w:val="1"/>
          <w:numId w:val="313"/>
        </w:numPr>
        <w:rPr>
          <w:rFonts w:ascii="Arial" w:cs="Arial" w:eastAsia="Arial" w:hAnsi="Arial"/>
          <w:sz w:val="16"/>
          <w:szCs w:val="16"/>
          <w:color w:val="auto"/>
        </w:rPr>
      </w:pPr>
      <w:r>
        <w:rPr>
          <w:rFonts w:ascii="Arial" w:cs="Arial" w:eastAsia="Arial" w:hAnsi="Arial"/>
          <w:sz w:val="16"/>
          <w:szCs w:val="16"/>
          <w:u w:val="single" w:color="auto"/>
          <w:color w:val="auto"/>
        </w:rPr>
        <w:t>Issuance of New Warrants</w:t>
      </w:r>
      <w:r>
        <w:rPr>
          <w:rFonts w:ascii="Arial" w:cs="Arial" w:eastAsia="Arial" w:hAnsi="Arial"/>
          <w:sz w:val="16"/>
          <w:szCs w:val="16"/>
          <w:color w:val="auto"/>
        </w:rPr>
        <w:t xml:space="preserve">. Whenever the Company is required to issue a new Warrant pursuant to the terms of this Warrant, such new Warrant (i) shall be of like tenor with this Warrant, (ii) shall represent, as indicated on the face of such new Warrant, the right to purchase the Warrant Shares then underlying this Warrant (or in the case of a new Warrant being issued pursuant to Section </w:t>
      </w:r>
      <w:r>
        <w:rPr>
          <w:rFonts w:ascii="Arial" w:cs="Arial" w:eastAsia="Arial" w:hAnsi="Arial"/>
          <w:sz w:val="19"/>
          <w:szCs w:val="19"/>
          <w:b w:val="1"/>
          <w:bCs w:val="1"/>
          <w:color w:val="auto"/>
        </w:rPr>
        <w:t>‎</w:t>
      </w:r>
      <w:r>
        <w:rPr>
          <w:rFonts w:ascii="Arial" w:cs="Arial" w:eastAsia="Arial" w:hAnsi="Arial"/>
          <w:sz w:val="16"/>
          <w:szCs w:val="16"/>
          <w:color w:val="auto"/>
        </w:rPr>
        <w:t xml:space="preserve">7(a) or Section </w:t>
      </w:r>
      <w:r>
        <w:rPr>
          <w:rFonts w:ascii="Arial" w:cs="Arial" w:eastAsia="Arial" w:hAnsi="Arial"/>
          <w:sz w:val="19"/>
          <w:szCs w:val="19"/>
          <w:b w:val="1"/>
          <w:bCs w:val="1"/>
          <w:color w:val="auto"/>
        </w:rPr>
        <w:t>‎</w:t>
      </w:r>
      <w:r>
        <w:rPr>
          <w:rFonts w:ascii="Arial" w:cs="Arial" w:eastAsia="Arial" w:hAnsi="Arial"/>
          <w:sz w:val="16"/>
          <w:szCs w:val="16"/>
          <w:color w:val="auto"/>
        </w:rPr>
        <w:t>7(c), the Warrant Shares designated by the Holder which, when added to the number of shares of Common Stock underlying the other new Warrants issued in connection with such issuance, does not exceed the number of Warrant Shares then underlying this Warrant), (iii) shall have an issuance date, as indicated on the face of such new Warrant which is the same as the Issuance Date, and (iv) shall have the same rights and conditions as this Warrant.</w:t>
      </w:r>
    </w:p>
    <w:p>
      <w:pPr>
        <w:spacing w:after="0" w:line="163" w:lineRule="exact"/>
        <w:rPr>
          <w:rFonts w:ascii="Arial" w:cs="Arial" w:eastAsia="Arial" w:hAnsi="Arial"/>
          <w:sz w:val="16"/>
          <w:szCs w:val="16"/>
          <w:color w:val="auto"/>
        </w:rPr>
      </w:pPr>
    </w:p>
    <w:p>
      <w:pPr>
        <w:jc w:val="both"/>
        <w:ind w:firstLine="1304"/>
        <w:spacing w:after="0" w:line="296" w:lineRule="auto"/>
        <w:tabs>
          <w:tab w:leader="none" w:pos="1489" w:val="left"/>
        </w:tabs>
        <w:numPr>
          <w:ilvl w:val="0"/>
          <w:numId w:val="313"/>
        </w:numPr>
        <w:rPr>
          <w:rFonts w:ascii="Arial" w:cs="Arial" w:eastAsia="Arial" w:hAnsi="Arial"/>
          <w:sz w:val="16"/>
          <w:szCs w:val="16"/>
          <w:color w:val="auto"/>
        </w:rPr>
      </w:pPr>
      <w:r>
        <w:rPr>
          <w:rFonts w:ascii="Arial" w:cs="Arial" w:eastAsia="Arial" w:hAnsi="Arial"/>
          <w:sz w:val="16"/>
          <w:szCs w:val="16"/>
          <w:u w:val="single" w:color="auto"/>
          <w:color w:val="auto"/>
        </w:rPr>
        <w:t>NOTICES OF CHANGES IN WARRANT</w:t>
      </w:r>
      <w:r>
        <w:rPr>
          <w:rFonts w:ascii="Arial" w:cs="Arial" w:eastAsia="Arial" w:hAnsi="Arial"/>
          <w:sz w:val="16"/>
          <w:szCs w:val="16"/>
          <w:color w:val="auto"/>
        </w:rPr>
        <w:t>. Whenever notice is required to be given under this Warrant, unless otherwise provided herein, such notice shall be given in accordance with Section 8.2 of the Credit Agreement. Upon every adjustment of the Exercise Price or the number of shares of Common Stock issuable upon exercise of a Warrant, the Company shall give written notice thereof to the Holders, which notice shall state the Exercise Price resulting from such adjustment and the increase or decrease, if any, in the number of Warrant Shares purchasable at such price upon the exercise of a Warrant, setting forth in reasonable detail the method of calculation and the facts upon which such calculation is based.</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01" w:name="page302"/>
    <w:bookmarkEnd w:id="301"/>
    <w:p>
      <w:pPr>
        <w:jc w:val="both"/>
        <w:ind w:firstLine="1304"/>
        <w:spacing w:after="0" w:line="301" w:lineRule="auto"/>
        <w:tabs>
          <w:tab w:leader="none" w:pos="1476" w:val="left"/>
        </w:tabs>
        <w:numPr>
          <w:ilvl w:val="0"/>
          <w:numId w:val="314"/>
        </w:numPr>
        <w:rPr>
          <w:rFonts w:ascii="Arial" w:cs="Arial" w:eastAsia="Arial" w:hAnsi="Arial"/>
          <w:sz w:val="16"/>
          <w:szCs w:val="16"/>
          <w:color w:val="auto"/>
        </w:rPr>
      </w:pPr>
      <w:r>
        <w:rPr>
          <w:rFonts w:ascii="Arial" w:cs="Arial" w:eastAsia="Arial" w:hAnsi="Arial"/>
          <w:sz w:val="16"/>
          <w:szCs w:val="16"/>
          <w:u w:val="single" w:color="auto"/>
          <w:color w:val="auto"/>
        </w:rPr>
        <w:t>AMENDMENT AND WAIVER</w:t>
      </w:r>
      <w:r>
        <w:rPr>
          <w:rFonts w:ascii="Arial" w:cs="Arial" w:eastAsia="Arial" w:hAnsi="Arial"/>
          <w:sz w:val="16"/>
          <w:szCs w:val="16"/>
          <w:color w:val="auto"/>
        </w:rPr>
        <w:t>. Except as otherwise provided herein, the provisions of this Warrant may be amended or waived and the Company may take any action herein prohibited, or omit to perform any act herein required to be performed by it, only if the Company has obtained the written consent of (i) the Holder, if there is one Holder, or (ii) the Holder or Holders of the Warrant or Warrants representing the majority of Warrant Shares if there is more than one Holder, and with respect to any amendment, the amendment is in writing and signed by the Company and the Holder.</w:t>
      </w:r>
    </w:p>
    <w:p>
      <w:pPr>
        <w:spacing w:after="0" w:line="157" w:lineRule="exact"/>
        <w:rPr>
          <w:rFonts w:ascii="Arial" w:cs="Arial" w:eastAsia="Arial" w:hAnsi="Arial"/>
          <w:sz w:val="16"/>
          <w:szCs w:val="16"/>
          <w:color w:val="auto"/>
        </w:rPr>
      </w:pPr>
    </w:p>
    <w:p>
      <w:pPr>
        <w:jc w:val="both"/>
        <w:ind w:firstLine="1304"/>
        <w:spacing w:after="0" w:line="283" w:lineRule="auto"/>
        <w:tabs>
          <w:tab w:leader="none" w:pos="1566" w:val="left"/>
        </w:tabs>
        <w:numPr>
          <w:ilvl w:val="0"/>
          <w:numId w:val="314"/>
        </w:numPr>
        <w:rPr>
          <w:rFonts w:ascii="Arial" w:cs="Arial" w:eastAsia="Arial" w:hAnsi="Arial"/>
          <w:sz w:val="16"/>
          <w:szCs w:val="16"/>
          <w:color w:val="auto"/>
        </w:rPr>
      </w:pPr>
      <w:r>
        <w:rPr>
          <w:rFonts w:ascii="Arial" w:cs="Arial" w:eastAsia="Arial" w:hAnsi="Arial"/>
          <w:sz w:val="16"/>
          <w:szCs w:val="16"/>
          <w:u w:val="single" w:color="auto"/>
          <w:color w:val="auto"/>
        </w:rPr>
        <w:t>GOVERNING LAW; JURISDICTION; JURY TRIAL</w:t>
      </w:r>
      <w:r>
        <w:rPr>
          <w:rFonts w:ascii="Arial" w:cs="Arial" w:eastAsia="Arial" w:hAnsi="Arial"/>
          <w:sz w:val="16"/>
          <w:szCs w:val="16"/>
          <w:color w:val="auto"/>
        </w:rPr>
        <w:t xml:space="preserve">. This Warrant shall be governed by and construed and enforced in accordance with, and all questions concerning the construction, validity, interpretation and performance of this Warrant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The Company and the Holder each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The Company and the Holder each hereby irrevocably waives personal service of process and consents to process being served in any such suit, action or proceeding by mailing a copy thereof to the Company or such Holder, as applicable at the address set forth in Section 8.2 of the Credit Agreement and agrees that such service shall constitute good and sufficient service of process and notice thereof. Nothing contained herein shall be deemed to limit in any way any right to serve process in any manner permitted by law. Nothing contained herein shall be deemed or operate to preclude the Holder from bringing suit or taking other legal action against the Company in any other jurisdiction to collect on the Company’s obligations to the Holder, to realize on any collateral or any other security for such obligations, or to enforce a judgment or other court ruling in favor of the Holder. </w:t>
      </w:r>
      <w:r>
        <w:rPr>
          <w:rFonts w:ascii="Arial" w:cs="Arial" w:eastAsia="Arial" w:hAnsi="Arial"/>
          <w:sz w:val="16"/>
          <w:szCs w:val="16"/>
          <w:b w:val="1"/>
          <w:bCs w:val="1"/>
          <w:color w:val="auto"/>
        </w:rPr>
        <w:t>THE COMPANY HEREBY AND THE HOLDER EACH</w:t>
      </w:r>
    </w:p>
    <w:p>
      <w:pPr>
        <w:spacing w:after="0" w:line="1" w:lineRule="exact"/>
        <w:rPr>
          <w:rFonts w:ascii="Arial" w:cs="Arial" w:eastAsia="Arial" w:hAnsi="Arial"/>
          <w:sz w:val="16"/>
          <w:szCs w:val="16"/>
          <w:color w:val="auto"/>
        </w:rPr>
      </w:pPr>
    </w:p>
    <w:p>
      <w:pPr>
        <w:jc w:val="both"/>
        <w:spacing w:after="0" w:line="255" w:lineRule="auto"/>
        <w:rPr>
          <w:rFonts w:ascii="Arial" w:cs="Arial" w:eastAsia="Arial" w:hAnsi="Arial"/>
          <w:sz w:val="16"/>
          <w:szCs w:val="16"/>
          <w:color w:val="auto"/>
        </w:rPr>
      </w:pPr>
      <w:r>
        <w:rPr>
          <w:rFonts w:ascii="Arial" w:cs="Arial" w:eastAsia="Arial" w:hAnsi="Arial"/>
          <w:sz w:val="18"/>
          <w:szCs w:val="18"/>
          <w:b w:val="1"/>
          <w:bCs w:val="1"/>
          <w:color w:val="auto"/>
        </w:rPr>
        <w:t>IRREVOCABLY WAIVES ANY RIGHT IT MAY HAVE, AND AGREES NOT TO REQUEST, A JURY TRIAL FOR THE ADJUDICATION OF ANY DISPUTE HEREUNDER OR IN CONNECTION WITH OR ARISING OUT OF THIS WARRANT OR ANY TRANSACTION CONTEMPLATED HEREBY.</w:t>
      </w:r>
    </w:p>
    <w:p>
      <w:pPr>
        <w:spacing w:after="0" w:line="189" w:lineRule="exact"/>
        <w:rPr>
          <w:rFonts w:ascii="Arial" w:cs="Arial" w:eastAsia="Arial" w:hAnsi="Arial"/>
          <w:sz w:val="16"/>
          <w:szCs w:val="16"/>
          <w:color w:val="auto"/>
        </w:rPr>
      </w:pPr>
    </w:p>
    <w:p>
      <w:pPr>
        <w:jc w:val="both"/>
        <w:ind w:firstLine="1304"/>
        <w:spacing w:after="0" w:line="301" w:lineRule="auto"/>
        <w:tabs>
          <w:tab w:leader="none" w:pos="1573" w:val="left"/>
        </w:tabs>
        <w:numPr>
          <w:ilvl w:val="0"/>
          <w:numId w:val="314"/>
        </w:numPr>
        <w:rPr>
          <w:rFonts w:ascii="Arial" w:cs="Arial" w:eastAsia="Arial" w:hAnsi="Arial"/>
          <w:sz w:val="16"/>
          <w:szCs w:val="16"/>
          <w:color w:val="auto"/>
        </w:rPr>
      </w:pPr>
      <w:r>
        <w:rPr>
          <w:rFonts w:ascii="Arial" w:cs="Arial" w:eastAsia="Arial" w:hAnsi="Arial"/>
          <w:sz w:val="16"/>
          <w:szCs w:val="16"/>
          <w:u w:val="single" w:color="auto"/>
          <w:color w:val="auto"/>
        </w:rPr>
        <w:t>CONSTRUCTION; HEADINGS; BUSINESS DAYS</w:t>
      </w:r>
      <w:r>
        <w:rPr>
          <w:rFonts w:ascii="Arial" w:cs="Arial" w:eastAsia="Arial" w:hAnsi="Arial"/>
          <w:sz w:val="16"/>
          <w:szCs w:val="16"/>
          <w:color w:val="auto"/>
        </w:rPr>
        <w:t>. This Warrant shall be deemed to be jointly drafted by the Company and the Holder and shall not be construed against any Person as the drafter hereof. The headings of this Warrant are for convenience of reference and shall not form part of, or affect the interpretation of, this Warrant.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57" w:lineRule="exact"/>
        <w:rPr>
          <w:rFonts w:ascii="Arial" w:cs="Arial" w:eastAsia="Arial" w:hAnsi="Arial"/>
          <w:sz w:val="16"/>
          <w:szCs w:val="16"/>
          <w:color w:val="auto"/>
        </w:rPr>
      </w:pPr>
    </w:p>
    <w:p>
      <w:pPr>
        <w:jc w:val="both"/>
        <w:ind w:firstLine="1304"/>
        <w:spacing w:after="0" w:line="268" w:lineRule="auto"/>
        <w:tabs>
          <w:tab w:leader="none" w:pos="1566" w:val="left"/>
        </w:tabs>
        <w:numPr>
          <w:ilvl w:val="0"/>
          <w:numId w:val="314"/>
        </w:numPr>
        <w:rPr>
          <w:rFonts w:ascii="Arial" w:cs="Arial" w:eastAsia="Arial" w:hAnsi="Arial"/>
          <w:sz w:val="17"/>
          <w:szCs w:val="17"/>
          <w:color w:val="auto"/>
        </w:rPr>
      </w:pPr>
      <w:r>
        <w:rPr>
          <w:rFonts w:ascii="Arial" w:cs="Arial" w:eastAsia="Arial" w:hAnsi="Arial"/>
          <w:sz w:val="17"/>
          <w:szCs w:val="17"/>
          <w:u w:val="single" w:color="auto"/>
          <w:color w:val="auto"/>
        </w:rPr>
        <w:t>DISPUTE RESOLUTION</w:t>
      </w:r>
      <w:r>
        <w:rPr>
          <w:rFonts w:ascii="Arial" w:cs="Arial" w:eastAsia="Arial" w:hAnsi="Arial"/>
          <w:sz w:val="17"/>
          <w:szCs w:val="17"/>
          <w:color w:val="auto"/>
        </w:rPr>
        <w:t xml:space="preserve">. In the case of a dispute as to the determination of the Exercise Price or the arithmetic calculation of the Warrant Shares, the Company shall submit the disputed determinations or arithmetic calculations via facsimile or electronic mail within two (2) Business Days of receipt of the Exercise Notice giving rise to such dispute, as the case may be, to the Holder. If the Holder and the Company are unable to agree upon such determination or calculation of the Exercise Price or the Warrant Shares within three (3) Business Days of such disputed determination or arithmetic calculation being submitted to the Holder, then the Company shall, within two (2) Business Days submit via facsimile or electronic mail the dispute to a nationally recognized accounting firm selected by the Holder and reasonably satisfactory to the Company. If the Company does not object in writing to the selection of the accounting firm within two (2) Business Days of notice of the Holder’s selection, the Company will have deemed to have consented to such selection. If the Company does object, the Company shall provide the Holder its rationale for such rejection and five (5) acceptable alternative firms. The Company shall cause at its expense the accepted accounting firm to perform the determinations or calculations and notify the Company and the Holder of the results no later than three (3) Business Days from the time it receives the disputed determinations or calculations. Such accounting firm’s determination or calculation, as the case may be, shall be binding upon all parties absent demonstrable error. In the event that the accounting firm resolves the dispute in the Holder’s favor, a Delivery Failure will be deemed to have occurred and the Buy-In and other remedies available to the Holder under Section </w:t>
      </w:r>
      <w:r>
        <w:rPr>
          <w:rFonts w:ascii="Arial" w:cs="Arial" w:eastAsia="Arial" w:hAnsi="Arial"/>
          <w:sz w:val="20"/>
          <w:szCs w:val="20"/>
          <w:b w:val="1"/>
          <w:bCs w:val="1"/>
          <w:color w:val="auto"/>
        </w:rPr>
        <w:t>‎</w:t>
      </w:r>
      <w:r>
        <w:rPr>
          <w:rFonts w:ascii="Arial" w:cs="Arial" w:eastAsia="Arial" w:hAnsi="Arial"/>
          <w:sz w:val="17"/>
          <w:szCs w:val="17"/>
          <w:color w:val="auto"/>
        </w:rPr>
        <w:t>1(c) will apply.</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02" w:name="page303"/>
    <w:bookmarkEnd w:id="302"/>
    <w:p>
      <w:pPr>
        <w:jc w:val="both"/>
        <w:ind w:firstLine="1304"/>
        <w:spacing w:after="0" w:line="272" w:lineRule="auto"/>
        <w:tabs>
          <w:tab w:leader="none" w:pos="1566" w:val="left"/>
        </w:tabs>
        <w:numPr>
          <w:ilvl w:val="0"/>
          <w:numId w:val="315"/>
        </w:numPr>
        <w:rPr>
          <w:rFonts w:ascii="Arial" w:cs="Arial" w:eastAsia="Arial" w:hAnsi="Arial"/>
          <w:sz w:val="17"/>
          <w:szCs w:val="17"/>
          <w:color w:val="auto"/>
        </w:rPr>
      </w:pPr>
      <w:r>
        <w:rPr>
          <w:rFonts w:ascii="Arial" w:cs="Arial" w:eastAsia="Arial" w:hAnsi="Arial"/>
          <w:sz w:val="17"/>
          <w:szCs w:val="17"/>
          <w:u w:val="single" w:color="auto"/>
          <w:color w:val="auto"/>
        </w:rPr>
        <w:t>REMEDIES, OTHER OBLIGATIONS, BREACHES AND INJUNCTIVE RELIEF</w:t>
      </w:r>
      <w:r>
        <w:rPr>
          <w:rFonts w:ascii="Arial" w:cs="Arial" w:eastAsia="Arial" w:hAnsi="Arial"/>
          <w:sz w:val="17"/>
          <w:szCs w:val="17"/>
          <w:color w:val="auto"/>
        </w:rPr>
        <w:t>. The remedies provided in this Warrant shall be cumulative and in addition to all other remedies available under this Warrant and the other Loan Documents, at law or in equity (including a decree of specific performance and/or other injunctive relief), and nothing herein shall limit the right of the Holder to pursue actual damages for any failure by the Company to comply with the terms of this Warrant.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shall be entitled, in addition to all other available remedies, to an injunction restraining any breach, without the necessity of showing economic loss and without any bond or other security being required.</w:t>
      </w:r>
    </w:p>
    <w:p>
      <w:pPr>
        <w:spacing w:after="0" w:line="177" w:lineRule="exact"/>
        <w:rPr>
          <w:rFonts w:ascii="Arial" w:cs="Arial" w:eastAsia="Arial" w:hAnsi="Arial"/>
          <w:sz w:val="17"/>
          <w:szCs w:val="17"/>
          <w:color w:val="auto"/>
        </w:rPr>
      </w:pPr>
    </w:p>
    <w:p>
      <w:pPr>
        <w:jc w:val="both"/>
        <w:ind w:firstLine="1304"/>
        <w:spacing w:after="0" w:line="259" w:lineRule="auto"/>
        <w:tabs>
          <w:tab w:leader="none" w:pos="1566" w:val="left"/>
        </w:tabs>
        <w:numPr>
          <w:ilvl w:val="0"/>
          <w:numId w:val="315"/>
        </w:numPr>
        <w:rPr>
          <w:rFonts w:ascii="Arial" w:cs="Arial" w:eastAsia="Arial" w:hAnsi="Arial"/>
          <w:sz w:val="18"/>
          <w:szCs w:val="18"/>
          <w:color w:val="auto"/>
        </w:rPr>
      </w:pPr>
      <w:r>
        <w:rPr>
          <w:rFonts w:ascii="Arial" w:cs="Arial" w:eastAsia="Arial" w:hAnsi="Arial"/>
          <w:sz w:val="18"/>
          <w:szCs w:val="18"/>
          <w:u w:val="single" w:color="auto"/>
          <w:color w:val="auto"/>
        </w:rPr>
        <w:t>TRANSFER</w:t>
      </w:r>
      <w:r>
        <w:rPr>
          <w:rFonts w:ascii="Arial" w:cs="Arial" w:eastAsia="Arial" w:hAnsi="Arial"/>
          <w:sz w:val="18"/>
          <w:szCs w:val="18"/>
          <w:color w:val="auto"/>
        </w:rPr>
        <w:t>. This Warrant and the Warrant Shares may be offered for sale, sold, transferred, pledged or assigned without the consent of the Company, subject to compliance with applicable state and federal securities laws. The Holder acknowledges that the Warrant Shares acquired upon the exercise of this Warrant, if not registered, and the Holder does not utilize cashless exercise, will have restrictions upon resale imposed by state and federal securities laws.</w:t>
      </w:r>
    </w:p>
    <w:p>
      <w:pPr>
        <w:spacing w:after="0" w:line="186" w:lineRule="exact"/>
        <w:rPr>
          <w:rFonts w:ascii="Arial" w:cs="Arial" w:eastAsia="Arial" w:hAnsi="Arial"/>
          <w:sz w:val="18"/>
          <w:szCs w:val="18"/>
          <w:color w:val="auto"/>
        </w:rPr>
      </w:pPr>
    </w:p>
    <w:p>
      <w:pPr>
        <w:jc w:val="both"/>
        <w:ind w:firstLine="1304"/>
        <w:spacing w:after="0" w:line="271" w:lineRule="auto"/>
        <w:tabs>
          <w:tab w:leader="none" w:pos="1566" w:val="left"/>
        </w:tabs>
        <w:numPr>
          <w:ilvl w:val="0"/>
          <w:numId w:val="315"/>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of this Warrant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Warrant so long as this Warrant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178" w:lineRule="exact"/>
        <w:rPr>
          <w:rFonts w:ascii="Arial" w:cs="Arial" w:eastAsia="Arial" w:hAnsi="Arial"/>
          <w:sz w:val="17"/>
          <w:szCs w:val="17"/>
          <w:color w:val="auto"/>
        </w:rPr>
      </w:pPr>
    </w:p>
    <w:p>
      <w:pPr>
        <w:ind w:firstLine="1304"/>
        <w:spacing w:after="0" w:line="277" w:lineRule="auto"/>
        <w:tabs>
          <w:tab w:leader="none" w:pos="1566" w:val="left"/>
        </w:tabs>
        <w:numPr>
          <w:ilvl w:val="0"/>
          <w:numId w:val="315"/>
        </w:numPr>
        <w:rPr>
          <w:rFonts w:ascii="Arial" w:cs="Arial" w:eastAsia="Arial" w:hAnsi="Arial"/>
          <w:sz w:val="18"/>
          <w:szCs w:val="18"/>
          <w:color w:val="auto"/>
        </w:rPr>
      </w:pPr>
      <w:r>
        <w:rPr>
          <w:rFonts w:ascii="Arial" w:cs="Arial" w:eastAsia="Arial" w:hAnsi="Arial"/>
          <w:sz w:val="18"/>
          <w:szCs w:val="18"/>
          <w:u w:val="single" w:color="auto"/>
          <w:color w:val="auto"/>
        </w:rPr>
        <w:t>NO DISCLOSURE</w:t>
      </w:r>
      <w:r>
        <w:rPr>
          <w:rFonts w:ascii="Arial" w:cs="Arial" w:eastAsia="Arial" w:hAnsi="Arial"/>
          <w:sz w:val="18"/>
          <w:szCs w:val="18"/>
          <w:color w:val="auto"/>
        </w:rPr>
        <w:t>. The Company shall not provide material, non-public information or confidential or proprietary information to the Holder without such Holder’s written consent.</w:t>
      </w:r>
    </w:p>
    <w:p>
      <w:pPr>
        <w:spacing w:after="0" w:line="170" w:lineRule="exact"/>
        <w:rPr>
          <w:rFonts w:ascii="Arial" w:cs="Arial" w:eastAsia="Arial" w:hAnsi="Arial"/>
          <w:sz w:val="18"/>
          <w:szCs w:val="18"/>
          <w:color w:val="auto"/>
        </w:rPr>
      </w:pPr>
    </w:p>
    <w:p>
      <w:pPr>
        <w:ind w:left="1580" w:hanging="276"/>
        <w:spacing w:after="0"/>
        <w:tabs>
          <w:tab w:leader="none" w:pos="1580" w:val="left"/>
        </w:tabs>
        <w:numPr>
          <w:ilvl w:val="0"/>
          <w:numId w:val="315"/>
        </w:numPr>
        <w:rPr>
          <w:rFonts w:ascii="Arial" w:cs="Arial" w:eastAsia="Arial" w:hAnsi="Arial"/>
          <w:sz w:val="18"/>
          <w:szCs w:val="18"/>
          <w:color w:val="auto"/>
        </w:rPr>
      </w:pPr>
      <w:r>
        <w:rPr>
          <w:rFonts w:ascii="Arial" w:cs="Arial" w:eastAsia="Arial" w:hAnsi="Arial"/>
          <w:sz w:val="18"/>
          <w:szCs w:val="18"/>
          <w:u w:val="single" w:color="auto"/>
          <w:color w:val="auto"/>
        </w:rPr>
        <w:t>REPRESENTATIONS OF HOLDERS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952"/>
        <w:spacing w:after="0" w:line="263" w:lineRule="auto"/>
        <w:tabs>
          <w:tab w:leader="none" w:pos="2188" w:val="left"/>
        </w:tabs>
        <w:numPr>
          <w:ilvl w:val="1"/>
          <w:numId w:val="315"/>
        </w:numPr>
        <w:rPr>
          <w:rFonts w:ascii="Arial" w:cs="Arial" w:eastAsia="Arial" w:hAnsi="Arial"/>
          <w:sz w:val="18"/>
          <w:szCs w:val="18"/>
          <w:color w:val="auto"/>
        </w:rPr>
      </w:pPr>
      <w:r>
        <w:rPr>
          <w:rFonts w:ascii="Arial" w:cs="Arial" w:eastAsia="Arial" w:hAnsi="Arial"/>
          <w:sz w:val="18"/>
          <w:szCs w:val="18"/>
          <w:u w:val="single" w:color="auto"/>
          <w:color w:val="auto"/>
        </w:rPr>
        <w:t>Investment Intent</w:t>
      </w:r>
      <w:r>
        <w:rPr>
          <w:rFonts w:ascii="Arial" w:cs="Arial" w:eastAsia="Arial" w:hAnsi="Arial"/>
          <w:sz w:val="18"/>
          <w:szCs w:val="18"/>
          <w:color w:val="auto"/>
        </w:rPr>
        <w:t>. Each Holder represents and warrants that it is acquiring this Warrant and the Warrant Shares (collectively, the “</w:t>
      </w:r>
      <w:r>
        <w:rPr>
          <w:rFonts w:ascii="Arial" w:cs="Arial" w:eastAsia="Arial" w:hAnsi="Arial"/>
          <w:sz w:val="18"/>
          <w:szCs w:val="18"/>
          <w:b w:val="1"/>
          <w:bCs w:val="1"/>
          <w:color w:val="auto"/>
        </w:rPr>
        <w:t>Securities</w:t>
      </w:r>
      <w:r>
        <w:rPr>
          <w:rFonts w:ascii="Arial" w:cs="Arial" w:eastAsia="Arial" w:hAnsi="Arial"/>
          <w:sz w:val="18"/>
          <w:szCs w:val="18"/>
          <w:color w:val="auto"/>
        </w:rPr>
        <w:t>”), solely for its beneficial account, for investment purposes, and not with a view to, or for resale in connection with, any distribution of the Securities in violation of applicable securities laws.</w:t>
      </w:r>
    </w:p>
    <w:p>
      <w:pPr>
        <w:spacing w:after="0" w:line="183" w:lineRule="exact"/>
        <w:rPr>
          <w:rFonts w:ascii="Arial" w:cs="Arial" w:eastAsia="Arial" w:hAnsi="Arial"/>
          <w:sz w:val="18"/>
          <w:szCs w:val="18"/>
          <w:color w:val="auto"/>
        </w:rPr>
      </w:pPr>
    </w:p>
    <w:p>
      <w:pPr>
        <w:jc w:val="both"/>
        <w:ind w:firstLine="1952"/>
        <w:spacing w:after="0" w:line="286" w:lineRule="auto"/>
        <w:tabs>
          <w:tab w:leader="none" w:pos="2199" w:val="left"/>
        </w:tabs>
        <w:numPr>
          <w:ilvl w:val="1"/>
          <w:numId w:val="315"/>
        </w:numPr>
        <w:rPr>
          <w:rFonts w:ascii="Arial" w:cs="Arial" w:eastAsia="Arial" w:hAnsi="Arial"/>
          <w:sz w:val="17"/>
          <w:szCs w:val="17"/>
          <w:color w:val="auto"/>
        </w:rPr>
      </w:pPr>
      <w:r>
        <w:rPr>
          <w:rFonts w:ascii="Arial" w:cs="Arial" w:eastAsia="Arial" w:hAnsi="Arial"/>
          <w:sz w:val="17"/>
          <w:szCs w:val="17"/>
          <w:u w:val="single" w:color="auto"/>
          <w:color w:val="auto"/>
        </w:rPr>
        <w:t>Unregistered Securities</w:t>
      </w:r>
      <w:r>
        <w:rPr>
          <w:rFonts w:ascii="Arial" w:cs="Arial" w:eastAsia="Arial" w:hAnsi="Arial"/>
          <w:sz w:val="17"/>
          <w:szCs w:val="17"/>
          <w:color w:val="auto"/>
        </w:rPr>
        <w:t>. Each Holder represents and warrants that it understands that the Securities have not been registered under the Securities Act or any state securities laws by reason of specific exemptions under the provisions thereof, the availability of which depend in part upon the bona fide nature of its investment intent and upon the accuracy of its representations made herein.</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03" w:name="page304"/>
    <w:bookmarkEnd w:id="303"/>
    <w:p>
      <w:pPr>
        <w:jc w:val="both"/>
        <w:ind w:firstLine="1952"/>
        <w:spacing w:after="0" w:line="263" w:lineRule="auto"/>
        <w:tabs>
          <w:tab w:leader="none" w:pos="2242" w:val="left"/>
        </w:tabs>
        <w:numPr>
          <w:ilvl w:val="0"/>
          <w:numId w:val="316"/>
        </w:numPr>
        <w:rPr>
          <w:rFonts w:ascii="Arial" w:cs="Arial" w:eastAsia="Arial" w:hAnsi="Arial"/>
          <w:sz w:val="18"/>
          <w:szCs w:val="18"/>
          <w:color w:val="auto"/>
        </w:rPr>
      </w:pPr>
      <w:r>
        <w:rPr>
          <w:rFonts w:ascii="Arial" w:cs="Arial" w:eastAsia="Arial" w:hAnsi="Arial"/>
          <w:sz w:val="18"/>
          <w:szCs w:val="18"/>
          <w:u w:val="single" w:color="auto"/>
          <w:color w:val="auto"/>
        </w:rPr>
        <w:t>Reliance</w:t>
      </w:r>
      <w:r>
        <w:rPr>
          <w:rFonts w:ascii="Arial" w:cs="Arial" w:eastAsia="Arial" w:hAnsi="Arial"/>
          <w:sz w:val="18"/>
          <w:szCs w:val="18"/>
          <w:color w:val="auto"/>
        </w:rPr>
        <w:t>. Each Holder represents and warrants that it understands that the Company is relying in part upon the representations and agreements of the Holders contained herein for the purpose of determining whether the offer, sale and issuance of the Securities meet the requirements for such exemptions described in Section 17(b).</w:t>
      </w:r>
    </w:p>
    <w:p>
      <w:pPr>
        <w:spacing w:after="0" w:line="183" w:lineRule="exact"/>
        <w:rPr>
          <w:rFonts w:ascii="Arial" w:cs="Arial" w:eastAsia="Arial" w:hAnsi="Arial"/>
          <w:sz w:val="18"/>
          <w:szCs w:val="18"/>
          <w:color w:val="auto"/>
        </w:rPr>
      </w:pPr>
    </w:p>
    <w:p>
      <w:pPr>
        <w:ind w:left="2200" w:hanging="248"/>
        <w:spacing w:after="0"/>
        <w:tabs>
          <w:tab w:leader="none" w:pos="2200" w:val="left"/>
        </w:tabs>
        <w:numPr>
          <w:ilvl w:val="0"/>
          <w:numId w:val="316"/>
        </w:numPr>
        <w:rPr>
          <w:rFonts w:ascii="Arial" w:cs="Arial" w:eastAsia="Arial" w:hAnsi="Arial"/>
          <w:sz w:val="16"/>
          <w:szCs w:val="16"/>
          <w:color w:val="auto"/>
        </w:rPr>
      </w:pPr>
      <w:r>
        <w:rPr>
          <w:rFonts w:ascii="Arial" w:cs="Arial" w:eastAsia="Arial" w:hAnsi="Arial"/>
          <w:sz w:val="16"/>
          <w:szCs w:val="16"/>
          <w:u w:val="single" w:color="auto"/>
          <w:color w:val="auto"/>
        </w:rPr>
        <w:t>Accredited Investor</w:t>
      </w:r>
      <w:r>
        <w:rPr>
          <w:rFonts w:ascii="Arial" w:cs="Arial" w:eastAsia="Arial" w:hAnsi="Arial"/>
          <w:sz w:val="16"/>
          <w:szCs w:val="16"/>
          <w:color w:val="auto"/>
        </w:rPr>
        <w:t>. Each Holder represents and warrants that it is an “accredited investor” as defined in Rule 501(a) under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Securities Act.</w:t>
      </w:r>
    </w:p>
    <w:p>
      <w:pPr>
        <w:spacing w:after="0" w:line="210" w:lineRule="exact"/>
        <w:rPr>
          <w:rFonts w:ascii="Arial" w:cs="Arial" w:eastAsia="Arial" w:hAnsi="Arial"/>
          <w:sz w:val="16"/>
          <w:szCs w:val="16"/>
          <w:color w:val="auto"/>
        </w:rPr>
      </w:pPr>
    </w:p>
    <w:p>
      <w:pPr>
        <w:jc w:val="both"/>
        <w:ind w:right="20" w:firstLine="1952"/>
        <w:spacing w:after="0" w:line="263" w:lineRule="auto"/>
        <w:tabs>
          <w:tab w:leader="none" w:pos="2202" w:val="left"/>
        </w:tabs>
        <w:numPr>
          <w:ilvl w:val="0"/>
          <w:numId w:val="316"/>
        </w:numPr>
        <w:rPr>
          <w:rFonts w:ascii="Arial" w:cs="Arial" w:eastAsia="Arial" w:hAnsi="Arial"/>
          <w:sz w:val="18"/>
          <w:szCs w:val="18"/>
          <w:color w:val="auto"/>
        </w:rPr>
      </w:pPr>
      <w:r>
        <w:rPr>
          <w:rFonts w:ascii="Arial" w:cs="Arial" w:eastAsia="Arial" w:hAnsi="Arial"/>
          <w:sz w:val="18"/>
          <w:szCs w:val="18"/>
          <w:u w:val="single" w:color="auto"/>
          <w:color w:val="auto"/>
        </w:rPr>
        <w:t>Sophisticated Investor</w:t>
      </w:r>
      <w:r>
        <w:rPr>
          <w:rFonts w:ascii="Arial" w:cs="Arial" w:eastAsia="Arial" w:hAnsi="Arial"/>
          <w:sz w:val="18"/>
          <w:szCs w:val="18"/>
          <w:color w:val="auto"/>
        </w:rPr>
        <w:t>. Each Holder represents and warrants that it has such knowledge, skill and experience in business, financial and investment matters that it is capable of evaluating the merits and risks of an investment in the Securities, including experience in and knowledge of the industry in which the Company operates.</w:t>
      </w:r>
    </w:p>
    <w:p>
      <w:pPr>
        <w:spacing w:after="0" w:line="183" w:lineRule="exact"/>
        <w:rPr>
          <w:rFonts w:ascii="Arial" w:cs="Arial" w:eastAsia="Arial" w:hAnsi="Arial"/>
          <w:sz w:val="18"/>
          <w:szCs w:val="18"/>
          <w:color w:val="auto"/>
        </w:rPr>
      </w:pPr>
    </w:p>
    <w:p>
      <w:pPr>
        <w:jc w:val="both"/>
        <w:ind w:firstLine="1952"/>
        <w:spacing w:after="0" w:line="263" w:lineRule="auto"/>
        <w:tabs>
          <w:tab w:leader="none" w:pos="2169" w:val="left"/>
        </w:tabs>
        <w:numPr>
          <w:ilvl w:val="0"/>
          <w:numId w:val="316"/>
        </w:numPr>
        <w:rPr>
          <w:rFonts w:ascii="Arial" w:cs="Arial" w:eastAsia="Arial" w:hAnsi="Arial"/>
          <w:sz w:val="18"/>
          <w:szCs w:val="18"/>
          <w:color w:val="auto"/>
        </w:rPr>
      </w:pPr>
      <w:r>
        <w:rPr>
          <w:rFonts w:ascii="Arial" w:cs="Arial" w:eastAsia="Arial" w:hAnsi="Arial"/>
          <w:sz w:val="18"/>
          <w:szCs w:val="18"/>
          <w:u w:val="single" w:color="auto"/>
          <w:color w:val="auto"/>
        </w:rPr>
        <w:t>Restricted Securities</w:t>
      </w:r>
      <w:r>
        <w:rPr>
          <w:rFonts w:ascii="Arial" w:cs="Arial" w:eastAsia="Arial" w:hAnsi="Arial"/>
          <w:sz w:val="18"/>
          <w:szCs w:val="18"/>
          <w:color w:val="auto"/>
        </w:rPr>
        <w:t>. Each Holder represents and warrants that it understand that the Securities will be “restricted securities” under applicable federal securities laws and that the Securities Act and the rules of the SEC provide in substance that it may dispose of the Securities only pursuant to an effective registration statement under the Securities Act or an exemption therefrom.</w:t>
      </w:r>
    </w:p>
    <w:p>
      <w:pPr>
        <w:spacing w:after="0" w:line="183" w:lineRule="exact"/>
        <w:rPr>
          <w:rFonts w:ascii="Arial" w:cs="Arial" w:eastAsia="Arial" w:hAnsi="Arial"/>
          <w:sz w:val="18"/>
          <w:szCs w:val="18"/>
          <w:color w:val="auto"/>
        </w:rPr>
      </w:pPr>
    </w:p>
    <w:p>
      <w:pPr>
        <w:jc w:val="both"/>
        <w:ind w:firstLine="1952"/>
        <w:spacing w:after="0" w:line="270" w:lineRule="auto"/>
        <w:tabs>
          <w:tab w:leader="none" w:pos="2212" w:val="left"/>
        </w:tabs>
        <w:numPr>
          <w:ilvl w:val="0"/>
          <w:numId w:val="316"/>
        </w:numPr>
        <w:rPr>
          <w:rFonts w:ascii="Arial" w:cs="Arial" w:eastAsia="Arial" w:hAnsi="Arial"/>
          <w:sz w:val="17"/>
          <w:szCs w:val="17"/>
          <w:color w:val="auto"/>
        </w:rPr>
      </w:pPr>
      <w:r>
        <w:rPr>
          <w:rFonts w:ascii="Arial" w:cs="Arial" w:eastAsia="Arial" w:hAnsi="Arial"/>
          <w:sz w:val="17"/>
          <w:szCs w:val="17"/>
          <w:u w:val="single" w:color="auto"/>
          <w:color w:val="auto"/>
        </w:rPr>
        <w:t>Information</w:t>
      </w:r>
      <w:r>
        <w:rPr>
          <w:rFonts w:ascii="Arial" w:cs="Arial" w:eastAsia="Arial" w:hAnsi="Arial"/>
          <w:sz w:val="17"/>
          <w:szCs w:val="17"/>
          <w:color w:val="auto"/>
        </w:rPr>
        <w:t>. Each Holder represents and warrants that it has been furnished by the Company all information (or provided access to all information) regarding the business and financial condition of the Company, the attributes of the Securities, and the merits and risks of an investment in such Securities which it has requested or otherwise needs to evaluate the investment in such Securities; that in making the proposed investment decision, such Holder is relying solely on such information, the representations, warranties and agreements of the Company and the other Loan Parties contained herein and in the other Loan Documents and on investigations made by it and its representatives; that the offer to sell the Securities hereunder was communicated to such Holder in such a manner that it was able to ask questions of and receive answers from the management of the Company concerning the terms and conditions of the proposed transaction and that at no time was it presented with or solicited by or through any leaflet, public promotional meeting, television advertisement or any other form of general or public advertising or solicitation; and such Holder recognizes that an investment in the Securities involves risks and can result in a total loss of all funds invested.</w:t>
      </w:r>
    </w:p>
    <w:p>
      <w:pPr>
        <w:spacing w:after="0" w:line="180" w:lineRule="exact"/>
        <w:rPr>
          <w:rFonts w:ascii="Arial" w:cs="Arial" w:eastAsia="Arial" w:hAnsi="Arial"/>
          <w:sz w:val="17"/>
          <w:szCs w:val="17"/>
          <w:color w:val="auto"/>
        </w:rPr>
      </w:pPr>
    </w:p>
    <w:p>
      <w:pPr>
        <w:jc w:val="both"/>
        <w:ind w:firstLine="1952"/>
        <w:spacing w:after="0" w:line="287" w:lineRule="auto"/>
        <w:tabs>
          <w:tab w:leader="none" w:pos="2199" w:val="left"/>
        </w:tabs>
        <w:numPr>
          <w:ilvl w:val="0"/>
          <w:numId w:val="316"/>
        </w:numPr>
        <w:rPr>
          <w:rFonts w:ascii="Arial" w:cs="Arial" w:eastAsia="Arial" w:hAnsi="Arial"/>
          <w:sz w:val="16"/>
          <w:szCs w:val="16"/>
          <w:color w:val="auto"/>
        </w:rPr>
      </w:pPr>
      <w:r>
        <w:rPr>
          <w:rFonts w:ascii="Arial" w:cs="Arial" w:eastAsia="Arial" w:hAnsi="Arial"/>
          <w:sz w:val="16"/>
          <w:szCs w:val="16"/>
          <w:u w:val="single" w:color="auto"/>
          <w:color w:val="auto"/>
        </w:rPr>
        <w:t>Non-Reliance</w:t>
      </w:r>
      <w:r>
        <w:rPr>
          <w:rFonts w:ascii="Arial" w:cs="Arial" w:eastAsia="Arial" w:hAnsi="Arial"/>
          <w:sz w:val="16"/>
          <w:szCs w:val="16"/>
          <w:color w:val="auto"/>
        </w:rPr>
        <w:t xml:space="preserve">. Notwithstanding anything in this Warrant to the contrary, each Holder hereby acknowledges, with respect to itself, that the Company may possess material non-public information with respect to the Company and/or its securities not known to each Holder as of the date hereof or at a time when each Holder exercises its right to purchase Warrant Shares pursuant to this Warrant and that any such information may impact the value of the Warrant and the Warrant Shares. Each Holder with respect to itself irrevocably waives any claim, or potential claim, that it may have based on the failure of the Company or its Affiliates, officers, directors, employees, agents or other representatives to disclose such information in connection with the execution and delivery of this Warrant or the purchase of Warrant Shares hereunder;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notwithstanding anything in this Section 17(h) or otherwise to the contrary, each Holder does not and shall not be deemed to have waived or otherwise compromised any rights or claims based upon or arising out of (i) the Company’s disclosure obligations under the federal securities laws with respect to any untrue statement of a material fact or omission to state a material fact necessary in order to make the statements made, in the light of the circumstances under which they were made, not misleading in any public statement or filing made by the Company pursuant to the Exchange Act, or (ii) any breach or inaccuracy of any representation or warranty of the Company or any other Loan Party in the Credit Agreement or any other Loan Document. Each Holder with respect to itself acknowledges that the Company would not enter into this Warrant in the absence of the agreements set forth in this Section 17.</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04" w:name="page305"/>
    <w:bookmarkEnd w:id="304"/>
    <w:p>
      <w:pPr>
        <w:ind w:left="1580" w:hanging="276"/>
        <w:spacing w:after="0"/>
        <w:tabs>
          <w:tab w:leader="none" w:pos="1580" w:val="left"/>
        </w:tabs>
        <w:numPr>
          <w:ilvl w:val="1"/>
          <w:numId w:val="317"/>
        </w:numPr>
        <w:rPr>
          <w:rFonts w:ascii="Arial" w:cs="Arial" w:eastAsia="Arial" w:hAnsi="Arial"/>
          <w:sz w:val="18"/>
          <w:szCs w:val="18"/>
          <w:color w:val="auto"/>
        </w:rPr>
      </w:pPr>
      <w:r>
        <w:rPr>
          <w:rFonts w:ascii="Arial" w:cs="Arial" w:eastAsia="Arial" w:hAnsi="Arial"/>
          <w:sz w:val="18"/>
          <w:szCs w:val="18"/>
          <w:u w:val="single" w:color="auto"/>
          <w:color w:val="auto"/>
        </w:rPr>
        <w:t>REPRESENTATIONS OF THE COMPANY</w:t>
      </w:r>
      <w:r>
        <w:rPr>
          <w:rFonts w:ascii="Arial" w:cs="Arial" w:eastAsia="Arial" w:hAnsi="Arial"/>
          <w:sz w:val="18"/>
          <w:szCs w:val="18"/>
          <w:color w:val="auto"/>
        </w:rPr>
        <w:t>. The Company represents and warrants to the Holder that:</w:t>
      </w:r>
    </w:p>
    <w:p>
      <w:pPr>
        <w:spacing w:after="0" w:line="225" w:lineRule="exact"/>
        <w:rPr>
          <w:rFonts w:ascii="Arial" w:cs="Arial" w:eastAsia="Arial" w:hAnsi="Arial"/>
          <w:sz w:val="18"/>
          <w:szCs w:val="18"/>
          <w:color w:val="auto"/>
        </w:rPr>
      </w:pPr>
    </w:p>
    <w:p>
      <w:pPr>
        <w:ind w:left="2200" w:hanging="248"/>
        <w:spacing w:after="0"/>
        <w:tabs>
          <w:tab w:leader="none" w:pos="2200" w:val="left"/>
        </w:tabs>
        <w:numPr>
          <w:ilvl w:val="2"/>
          <w:numId w:val="317"/>
        </w:numPr>
        <w:rPr>
          <w:rFonts w:ascii="Arial" w:cs="Arial" w:eastAsia="Arial" w:hAnsi="Arial"/>
          <w:sz w:val="16"/>
          <w:szCs w:val="16"/>
          <w:color w:val="auto"/>
        </w:rPr>
      </w:pPr>
      <w:r>
        <w:rPr>
          <w:rFonts w:ascii="Arial" w:cs="Arial" w:eastAsia="Arial" w:hAnsi="Arial"/>
          <w:sz w:val="16"/>
          <w:szCs w:val="16"/>
          <w:color w:val="auto"/>
        </w:rPr>
        <w:t>The Company (i) is duly organized, validly existing and in good standing under the laws of its jurisdiction of incorporation;</w:t>
      </w:r>
    </w:p>
    <w:p>
      <w:pPr>
        <w:spacing w:after="0" w:line="46" w:lineRule="exact"/>
        <w:rPr>
          <w:rFonts w:ascii="Arial" w:cs="Arial" w:eastAsia="Arial" w:hAnsi="Arial"/>
          <w:sz w:val="16"/>
          <w:szCs w:val="16"/>
          <w:color w:val="auto"/>
        </w:rPr>
      </w:pPr>
    </w:p>
    <w:p>
      <w:pPr>
        <w:jc w:val="both"/>
        <w:ind w:firstLine="8"/>
        <w:spacing w:after="0" w:line="286" w:lineRule="auto"/>
        <w:tabs>
          <w:tab w:leader="none" w:pos="277" w:val="left"/>
        </w:tabs>
        <w:numPr>
          <w:ilvl w:val="0"/>
          <w:numId w:val="318"/>
        </w:numPr>
        <w:rPr>
          <w:rFonts w:ascii="Arial" w:cs="Arial" w:eastAsia="Arial" w:hAnsi="Arial"/>
          <w:sz w:val="16"/>
          <w:szCs w:val="16"/>
          <w:color w:val="auto"/>
        </w:rPr>
      </w:pPr>
      <w:r>
        <w:rPr>
          <w:rFonts w:ascii="Arial" w:cs="Arial" w:eastAsia="Arial" w:hAnsi="Arial"/>
          <w:sz w:val="16"/>
          <w:szCs w:val="16"/>
          <w:color w:val="auto"/>
        </w:rPr>
        <w:t>has the requisite power and authority to own, lease and operate its properties, to carry on its business as it is now being conducted and to enter into, deliver and perform its obligations under this Warrant; and (iii) is duly licensed or qualified to conduct its business and, if applicable, is in good standing under the laws of each jurisdiction (other than its jurisdiction of incorporation) in which the conduct of its business or the ownership of its properties or assets requires such license or qualification, except, with respect to the foregoing clause (iii), where the failure to be in good standing would not reasonably be expected to have a Company Material Adverse Effect. For purposes of this Warrant, a “</w:t>
      </w:r>
      <w:r>
        <w:rPr>
          <w:rFonts w:ascii="Arial" w:cs="Arial" w:eastAsia="Arial" w:hAnsi="Arial"/>
          <w:sz w:val="16"/>
          <w:szCs w:val="16"/>
          <w:b w:val="1"/>
          <w:bCs w:val="1"/>
          <w:color w:val="auto"/>
        </w:rPr>
        <w:t>Company Material Adverse Effect</w:t>
      </w:r>
      <w:r>
        <w:rPr>
          <w:rFonts w:ascii="Arial" w:cs="Arial" w:eastAsia="Arial" w:hAnsi="Arial"/>
          <w:sz w:val="16"/>
          <w:szCs w:val="16"/>
          <w:color w:val="auto"/>
        </w:rPr>
        <w:t>” means an event, change, development, occurrence, condition or effect with respect to the Company and its subsidiaries, taken together as a whole (on a consolidated basis), that, individually or in the aggregate, (A) would reasonably be expected to have a material adverse effect on the business, financial condition or results of operations of the Company and its subsidiaries, taken together as a whole (on a consolidated basis) or (B) would prevent, materially delay or materially impede the performance by the Company or its subsidiaries of their respective obligations under this Warrant or the other Loan Documents.</w:t>
      </w:r>
    </w:p>
    <w:p>
      <w:pPr>
        <w:spacing w:after="0" w:line="172" w:lineRule="exact"/>
        <w:rPr>
          <w:rFonts w:ascii="Arial" w:cs="Arial" w:eastAsia="Arial" w:hAnsi="Arial"/>
          <w:sz w:val="16"/>
          <w:szCs w:val="16"/>
          <w:color w:val="auto"/>
        </w:rPr>
      </w:pPr>
    </w:p>
    <w:p>
      <w:pPr>
        <w:jc w:val="both"/>
        <w:ind w:firstLine="1952"/>
        <w:spacing w:after="0" w:line="301" w:lineRule="auto"/>
        <w:tabs>
          <w:tab w:leader="none" w:pos="2242" w:val="left"/>
        </w:tabs>
        <w:numPr>
          <w:ilvl w:val="2"/>
          <w:numId w:val="318"/>
        </w:numPr>
        <w:rPr>
          <w:rFonts w:ascii="Arial" w:cs="Arial" w:eastAsia="Arial" w:hAnsi="Arial"/>
          <w:sz w:val="16"/>
          <w:szCs w:val="16"/>
          <w:color w:val="auto"/>
        </w:rPr>
      </w:pPr>
      <w:r>
        <w:rPr>
          <w:rFonts w:ascii="Arial" w:cs="Arial" w:eastAsia="Arial" w:hAnsi="Arial"/>
          <w:sz w:val="16"/>
          <w:szCs w:val="16"/>
          <w:color w:val="auto"/>
        </w:rPr>
        <w:t>This Warrant is duly authorized, validly issued and constitutes legal, valid and binding obligations of the Company, enforceable against the Company in accordance with its terms, except that the enforcement thereof may be subject to applicable bankruptcy, insolvency or similar laws affecting creditors’ rights generally or by equitable principles relating to enforceability (collectively, the “</w:t>
      </w:r>
      <w:r>
        <w:rPr>
          <w:rFonts w:ascii="Arial" w:cs="Arial" w:eastAsia="Arial" w:hAnsi="Arial"/>
          <w:sz w:val="16"/>
          <w:szCs w:val="16"/>
          <w:b w:val="1"/>
          <w:bCs w:val="1"/>
          <w:color w:val="auto"/>
        </w:rPr>
        <w:t>Enforceability Exceptions</w:t>
      </w:r>
      <w:r>
        <w:rPr>
          <w:rFonts w:ascii="Arial" w:cs="Arial" w:eastAsia="Arial" w:hAnsi="Arial"/>
          <w:sz w:val="16"/>
          <w:szCs w:val="16"/>
          <w:color w:val="auto"/>
        </w:rPr>
        <w:t>”), and has not been issued in violation of any preemptive rights created under the Company’s organizational documents or the laws of the State of Delaware.</w:t>
      </w:r>
    </w:p>
    <w:p>
      <w:pPr>
        <w:spacing w:after="0" w:line="157" w:lineRule="exact"/>
        <w:rPr>
          <w:rFonts w:ascii="Arial" w:cs="Arial" w:eastAsia="Arial" w:hAnsi="Arial"/>
          <w:sz w:val="16"/>
          <w:szCs w:val="16"/>
          <w:color w:val="auto"/>
        </w:rPr>
      </w:pPr>
    </w:p>
    <w:p>
      <w:pPr>
        <w:jc w:val="both"/>
        <w:ind w:firstLine="1952"/>
        <w:spacing w:after="0" w:line="263" w:lineRule="auto"/>
        <w:tabs>
          <w:tab w:leader="none" w:pos="2223" w:val="left"/>
        </w:tabs>
        <w:numPr>
          <w:ilvl w:val="2"/>
          <w:numId w:val="318"/>
        </w:numPr>
        <w:rPr>
          <w:rFonts w:ascii="Arial" w:cs="Arial" w:eastAsia="Arial" w:hAnsi="Arial"/>
          <w:sz w:val="18"/>
          <w:szCs w:val="18"/>
          <w:color w:val="auto"/>
        </w:rPr>
      </w:pPr>
      <w:r>
        <w:rPr>
          <w:rFonts w:ascii="Arial" w:cs="Arial" w:eastAsia="Arial" w:hAnsi="Arial"/>
          <w:sz w:val="18"/>
          <w:szCs w:val="18"/>
          <w:color w:val="auto"/>
        </w:rPr>
        <w:t>The Warrant Shares have been duly authorized and, when issued and delivered to the Holder upon conversion of this Warrant, will be validly issued, fully paid and nonassessable and will not have been issued in violation of any preemptive rights created under the Company’s organizational documents or the laws of the State of Delaware.</w:t>
      </w:r>
    </w:p>
    <w:p>
      <w:pPr>
        <w:spacing w:after="0" w:line="183" w:lineRule="exact"/>
        <w:rPr>
          <w:rFonts w:ascii="Arial" w:cs="Arial" w:eastAsia="Arial" w:hAnsi="Arial"/>
          <w:sz w:val="18"/>
          <w:szCs w:val="18"/>
          <w:color w:val="auto"/>
        </w:rPr>
      </w:pPr>
    </w:p>
    <w:p>
      <w:pPr>
        <w:jc w:val="both"/>
        <w:ind w:firstLine="1952"/>
        <w:spacing w:after="0" w:line="270" w:lineRule="auto"/>
        <w:tabs>
          <w:tab w:leader="none" w:pos="2215" w:val="left"/>
        </w:tabs>
        <w:numPr>
          <w:ilvl w:val="2"/>
          <w:numId w:val="318"/>
        </w:numPr>
        <w:rPr>
          <w:rFonts w:ascii="Arial" w:cs="Arial" w:eastAsia="Arial" w:hAnsi="Arial"/>
          <w:sz w:val="17"/>
          <w:szCs w:val="17"/>
          <w:color w:val="auto"/>
        </w:rPr>
      </w:pPr>
      <w:r>
        <w:rPr>
          <w:rFonts w:ascii="Arial" w:cs="Arial" w:eastAsia="Arial" w:hAnsi="Arial"/>
          <w:sz w:val="17"/>
          <w:szCs w:val="17"/>
          <w:color w:val="auto"/>
        </w:rPr>
        <w:t>The execution and delivery of this Warrant, the issuance and delivery of the Warrant Shares in accordance with the terms hereof and the compliance by the Company with all of the provisions of this Warrant and the consummation of the transactions contemplated herein will not conflict with or result in a breach or violation of any of the terms or provisions of, or constitute a default under, or result in the creation or imposition of any lien, charge or encumbrance upon any of the property or assets of the Company pursuant to the terms of (i) any indenture, mortgage, deed of trust, loan agreement, lease, license or other agreement or instrument to which the Company is a party or by which the Company is bound or to which any of the property or assets of the Company is subject; (ii) the organizational documents of the Company; or (iii) any statute or any judgment, order, rule or regulation of any court or governmental agency or body, domestic or foreign, having jurisdiction over the Company or any of its properties that, in the case of clauses (i) and (iii), would reasonably be expected to have a Company Material Adverse Effect or have a material adverse effect on the Company’s ability to consummate the transactions contemplated hereby.</w:t>
      </w:r>
    </w:p>
    <w:p>
      <w:pPr>
        <w:spacing w:after="0" w:line="180" w:lineRule="exact"/>
        <w:rPr>
          <w:rFonts w:ascii="Arial" w:cs="Arial" w:eastAsia="Arial" w:hAnsi="Arial"/>
          <w:sz w:val="17"/>
          <w:szCs w:val="17"/>
          <w:color w:val="auto"/>
        </w:rPr>
      </w:pPr>
    </w:p>
    <w:p>
      <w:pPr>
        <w:jc w:val="both"/>
        <w:ind w:firstLine="1952"/>
        <w:spacing w:after="0" w:line="272" w:lineRule="auto"/>
        <w:tabs>
          <w:tab w:leader="none" w:pos="2217" w:val="left"/>
        </w:tabs>
        <w:numPr>
          <w:ilvl w:val="2"/>
          <w:numId w:val="318"/>
        </w:numPr>
        <w:rPr>
          <w:rFonts w:ascii="Arial" w:cs="Arial" w:eastAsia="Arial" w:hAnsi="Arial"/>
          <w:sz w:val="17"/>
          <w:szCs w:val="17"/>
          <w:color w:val="auto"/>
        </w:rPr>
      </w:pPr>
      <w:r>
        <w:rPr>
          <w:rFonts w:ascii="Arial" w:cs="Arial" w:eastAsia="Arial" w:hAnsi="Arial"/>
          <w:sz w:val="17"/>
          <w:szCs w:val="17"/>
          <w:color w:val="auto"/>
        </w:rPr>
        <w:t>Assuming the accuracy of the representations and warranties of the Holder, the Company is not required to obtain any consent, waiver, authorization or order of, give any notice to, or make any filing or registration with, any court or other federal, state, local or other governmental authority, self-regulatory organization (including the Nasdaq Stock Market) or other person in connection with the execution, delivery and performance of this Warrant, other than (i) filings required by applicable state securities laws, (ii) the filing of the registration statement pursuant to the First Amendment Registration Rights Agreement, (iii) the filing of a Notice of Exempt Offering of Securities on Form D with the SEC, if applicable and (iv) those the failure of which to obtain would not be reasonably likely to have a Company Material Adverse Effect or have a material adverse effect on the Company’s ability to consummate the transactions contemplated hereby.</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05" w:name="page306"/>
    <w:bookmarkEnd w:id="305"/>
    <w:p>
      <w:pPr>
        <w:jc w:val="both"/>
        <w:ind w:firstLine="1952"/>
        <w:spacing w:after="0" w:line="291" w:lineRule="auto"/>
        <w:tabs>
          <w:tab w:leader="none" w:pos="2177" w:val="left"/>
        </w:tabs>
        <w:numPr>
          <w:ilvl w:val="0"/>
          <w:numId w:val="319"/>
        </w:numPr>
        <w:rPr>
          <w:rFonts w:ascii="Arial" w:cs="Arial" w:eastAsia="Arial" w:hAnsi="Arial"/>
          <w:sz w:val="16"/>
          <w:szCs w:val="16"/>
          <w:color w:val="auto"/>
        </w:rPr>
      </w:pPr>
      <w:r>
        <w:rPr>
          <w:rFonts w:ascii="Arial" w:cs="Arial" w:eastAsia="Arial" w:hAnsi="Arial"/>
          <w:sz w:val="16"/>
          <w:szCs w:val="16"/>
          <w:color w:val="auto"/>
        </w:rPr>
        <w:t>As of their respective dates, all reports required to be filed by the Company with the SEC (the “</w:t>
      </w:r>
      <w:r>
        <w:rPr>
          <w:rFonts w:ascii="Arial" w:cs="Arial" w:eastAsia="Arial" w:hAnsi="Arial"/>
          <w:sz w:val="16"/>
          <w:szCs w:val="16"/>
          <w:b w:val="1"/>
          <w:bCs w:val="1"/>
          <w:i w:val="1"/>
          <w:iCs w:val="1"/>
          <w:color w:val="auto"/>
        </w:rPr>
        <w:t>SEC Reports</w:t>
      </w:r>
      <w:r>
        <w:rPr>
          <w:rFonts w:ascii="Arial" w:cs="Arial" w:eastAsia="Arial" w:hAnsi="Arial"/>
          <w:sz w:val="16"/>
          <w:szCs w:val="16"/>
          <w:color w:val="auto"/>
        </w:rPr>
        <w:t>”) complied in all material respects with the requirements of the Exchange Act, and the rules and regulations of the SEC promulgated thereunder,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financial statements of the Company included in the SEC Reports comply in all material respects with applicable accounting requirements and the rules and regulations of the SEC with respect thereto as in effect at the time of filing and fairly present in all material respects the financial position of the Company as of and for the dates thereof and the results of operations and cash flows for the periods then ended, subject, in the case of unaudited statements, to normal, year-end audit adjustments.</w:t>
      </w:r>
    </w:p>
    <w:p>
      <w:pPr>
        <w:spacing w:after="0" w:line="166" w:lineRule="exact"/>
        <w:rPr>
          <w:rFonts w:ascii="Arial" w:cs="Arial" w:eastAsia="Arial" w:hAnsi="Arial"/>
          <w:sz w:val="16"/>
          <w:szCs w:val="16"/>
          <w:color w:val="auto"/>
        </w:rPr>
      </w:pPr>
    </w:p>
    <w:p>
      <w:pPr>
        <w:jc w:val="both"/>
        <w:ind w:firstLine="1952"/>
        <w:spacing w:after="0" w:line="275" w:lineRule="auto"/>
        <w:tabs>
          <w:tab w:leader="none" w:pos="2207" w:val="left"/>
        </w:tabs>
        <w:numPr>
          <w:ilvl w:val="0"/>
          <w:numId w:val="319"/>
        </w:numPr>
        <w:rPr>
          <w:rFonts w:ascii="Arial" w:cs="Arial" w:eastAsia="Arial" w:hAnsi="Arial"/>
          <w:sz w:val="17"/>
          <w:szCs w:val="17"/>
          <w:color w:val="auto"/>
        </w:rPr>
      </w:pPr>
      <w:r>
        <w:rPr>
          <w:rFonts w:ascii="Arial" w:cs="Arial" w:eastAsia="Arial" w:hAnsi="Arial"/>
          <w:sz w:val="17"/>
          <w:szCs w:val="17"/>
          <w:color w:val="auto"/>
        </w:rPr>
        <w:t>Except for such matters as have not had and would not be reasonably likely to have a Company Material Adverse Effect or have a material adverse effect on the Company’s ability to consummate the transactions contemplated hereby, there is no (i) suit, action, investigation, proceeding or arbitration before a governmental authority or arbitrator pending, or, to the knowledge of the Company, threatened in writing against the Company or any of its directors or officers in their capacities as such or (ii) judgment, decree, injunction, ruling or order of any governmental authority or arbitrator outstanding against the Company or any of its directors or officers in their capacities as such.</w:t>
      </w:r>
    </w:p>
    <w:p>
      <w:pPr>
        <w:spacing w:after="0" w:line="176" w:lineRule="exact"/>
        <w:rPr>
          <w:rFonts w:ascii="Arial" w:cs="Arial" w:eastAsia="Arial" w:hAnsi="Arial"/>
          <w:sz w:val="17"/>
          <w:szCs w:val="17"/>
          <w:color w:val="auto"/>
        </w:rPr>
      </w:pPr>
    </w:p>
    <w:p>
      <w:pPr>
        <w:jc w:val="both"/>
        <w:ind w:firstLine="1952"/>
        <w:spacing w:after="0" w:line="255" w:lineRule="auto"/>
        <w:tabs>
          <w:tab w:leader="none" w:pos="2207" w:val="left"/>
        </w:tabs>
        <w:numPr>
          <w:ilvl w:val="0"/>
          <w:numId w:val="319"/>
        </w:numPr>
        <w:rPr>
          <w:rFonts w:ascii="Arial" w:cs="Arial" w:eastAsia="Arial" w:hAnsi="Arial"/>
          <w:sz w:val="18"/>
          <w:szCs w:val="18"/>
          <w:color w:val="auto"/>
        </w:rPr>
      </w:pPr>
      <w:r>
        <w:rPr>
          <w:rFonts w:ascii="Arial" w:cs="Arial" w:eastAsia="Arial" w:hAnsi="Arial"/>
          <w:sz w:val="18"/>
          <w:szCs w:val="18"/>
          <w:color w:val="auto"/>
        </w:rPr>
        <w:t>Except for such matters as have not had and would not be reasonably likely to have a Company Material Adverse Effect or have a material adverse effect on the Company’s ability to consummate the transactions contemplated hereby, the Company is, and has been since its inception, in compliance with all laws applicable to the conduct of the business of the Company. The Company has not received any written, or to its knowledge, other communication from a governmental entity that alleges that the Company is not in compliance with or is in default or violation of any applicable law, except where such noncompliance, default or violation would not be reasonably expected to have, individually or in the aggregate, a Company Material Adverse Effect.</w:t>
      </w:r>
    </w:p>
    <w:p>
      <w:pPr>
        <w:spacing w:after="0" w:line="192" w:lineRule="exact"/>
        <w:rPr>
          <w:rFonts w:ascii="Arial" w:cs="Arial" w:eastAsia="Arial" w:hAnsi="Arial"/>
          <w:sz w:val="18"/>
          <w:szCs w:val="18"/>
          <w:color w:val="auto"/>
        </w:rPr>
      </w:pPr>
    </w:p>
    <w:p>
      <w:pPr>
        <w:jc w:val="both"/>
        <w:ind w:firstLine="1952"/>
        <w:spacing w:after="0" w:line="263" w:lineRule="auto"/>
        <w:tabs>
          <w:tab w:leader="none" w:pos="2165" w:val="left"/>
        </w:tabs>
        <w:numPr>
          <w:ilvl w:val="0"/>
          <w:numId w:val="319"/>
        </w:numPr>
        <w:rPr>
          <w:rFonts w:ascii="Arial" w:cs="Arial" w:eastAsia="Arial" w:hAnsi="Arial"/>
          <w:sz w:val="18"/>
          <w:szCs w:val="18"/>
          <w:color w:val="auto"/>
        </w:rPr>
      </w:pPr>
      <w:r>
        <w:rPr>
          <w:rFonts w:ascii="Arial" w:cs="Arial" w:eastAsia="Arial" w:hAnsi="Arial"/>
          <w:sz w:val="18"/>
          <w:szCs w:val="18"/>
          <w:color w:val="auto"/>
        </w:rPr>
        <w:t>The Company has all franchises, permits, licenses and any similar authority necessary for the conduct of its business as now being conducted by it, the lack of which would have a material adverse effect, and to the Company’s knowledge, the Company is not in default in any material respect under any of such franchises, permits, licenses or other authority.</w:t>
      </w:r>
    </w:p>
    <w:p>
      <w:pPr>
        <w:spacing w:after="0" w:line="183" w:lineRule="exact"/>
        <w:rPr>
          <w:rFonts w:ascii="Arial" w:cs="Arial" w:eastAsia="Arial" w:hAnsi="Arial"/>
          <w:sz w:val="18"/>
          <w:szCs w:val="18"/>
          <w:color w:val="auto"/>
        </w:rPr>
      </w:pPr>
    </w:p>
    <w:p>
      <w:pPr>
        <w:jc w:val="both"/>
        <w:ind w:firstLine="1952"/>
        <w:spacing w:after="0" w:line="259" w:lineRule="auto"/>
        <w:tabs>
          <w:tab w:leader="none" w:pos="2163" w:val="left"/>
        </w:tabs>
        <w:numPr>
          <w:ilvl w:val="0"/>
          <w:numId w:val="319"/>
        </w:numPr>
        <w:rPr>
          <w:rFonts w:ascii="Arial" w:cs="Arial" w:eastAsia="Arial" w:hAnsi="Arial"/>
          <w:sz w:val="18"/>
          <w:szCs w:val="18"/>
          <w:color w:val="auto"/>
        </w:rPr>
      </w:pPr>
      <w:r>
        <w:rPr>
          <w:rFonts w:ascii="Arial" w:cs="Arial" w:eastAsia="Arial" w:hAnsi="Arial"/>
          <w:sz w:val="18"/>
          <w:szCs w:val="18"/>
          <w:color w:val="auto"/>
        </w:rPr>
        <w:t>There is no action, suit, proceeding or investigation pending or, to the Company’s knowledge, currently threatened in writing against the Company that questions the validity of this Warrant or the right of the Company to enter into this Warrant, or to consummate the transactions contemplated hereby, or that might result, if determined adversely to the Company, in a material adverse effect, or in any material change in the current equity ownership of the Company.</w:t>
      </w:r>
    </w:p>
    <w:p>
      <w:pPr>
        <w:spacing w:after="0" w:line="186" w:lineRule="exact"/>
        <w:rPr>
          <w:rFonts w:ascii="Arial" w:cs="Arial" w:eastAsia="Arial" w:hAnsi="Arial"/>
          <w:sz w:val="18"/>
          <w:szCs w:val="18"/>
          <w:color w:val="auto"/>
        </w:rPr>
      </w:pPr>
    </w:p>
    <w:p>
      <w:pPr>
        <w:jc w:val="both"/>
        <w:ind w:firstLine="1952"/>
        <w:spacing w:after="0" w:line="291" w:lineRule="auto"/>
        <w:tabs>
          <w:tab w:leader="none" w:pos="2212" w:val="left"/>
        </w:tabs>
        <w:numPr>
          <w:ilvl w:val="0"/>
          <w:numId w:val="319"/>
        </w:numPr>
        <w:rPr>
          <w:rFonts w:ascii="Arial" w:cs="Arial" w:eastAsia="Arial" w:hAnsi="Arial"/>
          <w:sz w:val="16"/>
          <w:szCs w:val="16"/>
          <w:color w:val="auto"/>
        </w:rPr>
      </w:pPr>
      <w:r>
        <w:rPr>
          <w:rFonts w:ascii="Arial" w:cs="Arial" w:eastAsia="Arial" w:hAnsi="Arial"/>
          <w:sz w:val="16"/>
          <w:szCs w:val="16"/>
          <w:color w:val="auto"/>
        </w:rPr>
        <w:t>To the Company’s knowledge, the Company owns or possesses sufficient legal rights to all (a) patents, patent applications and inventions; (b) trademarks, service marks, trade names, trade dress, logos, domain names or corporate names and registrations and applications for registration thereof, together with all of the goodwill associated therewith; (c) copyrights (registered or unregistered) and copyrightable works and registrations and applications for registrations thereof; (d) computer software, data, and databases and documentation thereof; (e) trade secrets and other confidential information; and (f) licenses, information and proprietary rights and processes necessary for its business as now conducted. The Company has not received any written communications alleging that the Company has violated or, by conducting its business as proposed, would violate any of the patents, trademarks, service marks, trade names, copyrights or trade secrets or other proprietary rights of any other person or entity.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06" w:name="page307"/>
    <w:bookmarkEnd w:id="306"/>
    <w:p>
      <w:pPr>
        <w:ind w:left="1580" w:hanging="276"/>
        <w:spacing w:after="0"/>
        <w:tabs>
          <w:tab w:leader="none" w:pos="1580" w:val="left"/>
        </w:tabs>
        <w:numPr>
          <w:ilvl w:val="0"/>
          <w:numId w:val="320"/>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Warrant, the following terms shall have the following meanings:</w:t>
      </w:r>
    </w:p>
    <w:p>
      <w:pPr>
        <w:spacing w:after="0" w:line="221" w:lineRule="exact"/>
        <w:rPr>
          <w:rFonts w:ascii="Arial" w:cs="Arial" w:eastAsia="Arial" w:hAnsi="Arial"/>
          <w:sz w:val="18"/>
          <w:szCs w:val="18"/>
          <w:color w:val="auto"/>
        </w:rPr>
      </w:pPr>
    </w:p>
    <w:p>
      <w:pPr>
        <w:ind w:firstLine="1952"/>
        <w:spacing w:after="0" w:line="282" w:lineRule="auto"/>
        <w:tabs>
          <w:tab w:leader="none" w:pos="2189" w:val="left"/>
        </w:tabs>
        <w:numPr>
          <w:ilvl w:val="1"/>
          <w:numId w:val="3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61" w:lineRule="exact"/>
        <w:rPr>
          <w:rFonts w:ascii="Arial" w:cs="Arial" w:eastAsia="Arial" w:hAnsi="Arial"/>
          <w:sz w:val="18"/>
          <w:szCs w:val="18"/>
          <w:color w:val="auto"/>
        </w:rPr>
      </w:pPr>
    </w:p>
    <w:p>
      <w:pPr>
        <w:jc w:val="both"/>
        <w:ind w:firstLine="1952"/>
        <w:spacing w:after="0" w:line="294" w:lineRule="auto"/>
        <w:tabs>
          <w:tab w:leader="none" w:pos="2212" w:val="left"/>
        </w:tabs>
        <w:numPr>
          <w:ilvl w:val="1"/>
          <w:numId w:val="32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Attribution Parties</w:t>
      </w:r>
      <w:r>
        <w:rPr>
          <w:rFonts w:ascii="Arial" w:cs="Arial" w:eastAsia="Arial" w:hAnsi="Arial"/>
          <w:sz w:val="16"/>
          <w:szCs w:val="16"/>
          <w:color w:val="auto"/>
        </w:rPr>
        <w:t>” means, collectively, the following Persons and entities: (i) any investment vehicle, including, any funds, feeder funds or managed accounts, currently, or from time to time after the Issuance Date, directly or indirectly managed or advised by the Holder’s investment manager or any of its Affiliates or principals, (ii) any direct or indirect Affiliates of the Holder or any of the foregoing, (iii) any Person acting or who could be deemed to be acting as a Group together with the Holder or any of the foregoing and (iv) any other Persons whose beneficial ownership of the Company’s Common Stock would or could be aggregated with the Holder’s and the other Attribution Parties for purposes of Section 13(d) of the Exchange Act. For clarity, the purpose of the foregoing is to subject collectively the Holder and all other Attribution Parties to the Maximum Percentage.</w:t>
      </w:r>
    </w:p>
    <w:p>
      <w:pPr>
        <w:spacing w:after="0" w:line="159" w:lineRule="exact"/>
        <w:rPr>
          <w:rFonts w:ascii="Arial" w:cs="Arial" w:eastAsia="Arial" w:hAnsi="Arial"/>
          <w:sz w:val="16"/>
          <w:szCs w:val="16"/>
          <w:color w:val="auto"/>
        </w:rPr>
      </w:pPr>
    </w:p>
    <w:p>
      <w:pPr>
        <w:jc w:val="both"/>
        <w:ind w:firstLine="1952"/>
        <w:spacing w:after="0" w:line="267" w:lineRule="auto"/>
        <w:tabs>
          <w:tab w:leader="none" w:pos="2189" w:val="left"/>
        </w:tabs>
        <w:numPr>
          <w:ilvl w:val="1"/>
          <w:numId w:val="32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Black Scholes Going Private Value</w:t>
      </w:r>
      <w:r>
        <w:rPr>
          <w:rFonts w:ascii="Arial" w:cs="Arial" w:eastAsia="Arial" w:hAnsi="Arial"/>
          <w:sz w:val="17"/>
          <w:szCs w:val="17"/>
          <w:color w:val="auto"/>
        </w:rPr>
        <w:t xml:space="preserve">” means the value of the unexercised portion of this Warrant remaining on the date of the consummation of the Fundamental Transaction referred to in Section </w:t>
      </w:r>
      <w:r>
        <w:rPr>
          <w:rFonts w:ascii="Arial" w:cs="Arial" w:eastAsia="Arial" w:hAnsi="Arial"/>
          <w:sz w:val="20"/>
          <w:szCs w:val="20"/>
          <w:b w:val="1"/>
          <w:bCs w:val="1"/>
          <w:color w:val="auto"/>
        </w:rPr>
        <w:t>‎</w:t>
      </w:r>
      <w:r>
        <w:rPr>
          <w:rFonts w:ascii="Arial" w:cs="Arial" w:eastAsia="Arial" w:hAnsi="Arial"/>
          <w:sz w:val="17"/>
          <w:szCs w:val="17"/>
          <w:color w:val="auto"/>
        </w:rPr>
        <w:t>4(b)(i), which value is calculated using the Black Scholes Option Pricing Model obtained from the “OV” function on Bloomberg utilizing (i) an underlying price per share equal to the greater of (1) the highest Closing Sale Price of the Common Stock during the period beginning on the Trading Day immediately preceding the announcement of the applicable Fundamental Transaction (or the consummation of the applicable Fundamental Transaction, if earlier) and ending on the date of consummation of the applicable Fundamental Transaction and (2) the sum of the price per share being offered in cash in the applicable Fundamental Transaction (if any) plus the value of the non-cash consideration being offered in the applicable Fundamental Transaction (if any), (ii) a strike price equal to the Exercise Price in effect on the date of consummation of the applicable Fundamental Transaction, (iii) a risk-free interest rate corresponding to the U.S. Treasury rate for a period equal to the greater of (1) the remaining term of this Warrant as of the date of consummation of the applicable Fundamental Transaction and (2) the remaining term of this Warrant as of the date of consummation of the applicable Fundamental Transaction, (iv) a zero cost of borrow and (v) an expected volatility equal to the greater of 100% and the 60 day volatility obtained from the “HVT” function on Bloomberg (determined utilizing a 365 day annualization factor) as of the Trading Day immediately following the earliest to occur of (A) the public disclosure of the applicable Fundamental Transaction, and (B) the consummation of the applicable Fundamental Transaction.</w:t>
      </w:r>
    </w:p>
    <w:p>
      <w:pPr>
        <w:spacing w:after="0" w:line="185" w:lineRule="exact"/>
        <w:rPr>
          <w:rFonts w:ascii="Arial" w:cs="Arial" w:eastAsia="Arial" w:hAnsi="Arial"/>
          <w:sz w:val="17"/>
          <w:szCs w:val="17"/>
          <w:color w:val="auto"/>
        </w:rPr>
      </w:pPr>
    </w:p>
    <w:p>
      <w:pPr>
        <w:jc w:val="both"/>
        <w:ind w:firstLine="1952"/>
        <w:spacing w:after="0" w:line="267" w:lineRule="auto"/>
        <w:tabs>
          <w:tab w:leader="none" w:pos="2212" w:val="left"/>
        </w:tabs>
        <w:numPr>
          <w:ilvl w:val="1"/>
          <w:numId w:val="32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Black Scholes Value</w:t>
      </w:r>
      <w:r>
        <w:rPr>
          <w:rFonts w:ascii="Arial" w:cs="Arial" w:eastAsia="Arial" w:hAnsi="Arial"/>
          <w:sz w:val="17"/>
          <w:szCs w:val="17"/>
          <w:color w:val="auto"/>
        </w:rPr>
        <w:t xml:space="preserve">” means the value of the unexercised portion of this Warrant remaining on the date of the Holder’s request pursuant to Section </w:t>
      </w:r>
      <w:r>
        <w:rPr>
          <w:rFonts w:ascii="Arial" w:cs="Arial" w:eastAsia="Arial" w:hAnsi="Arial"/>
          <w:sz w:val="20"/>
          <w:szCs w:val="20"/>
          <w:b w:val="1"/>
          <w:bCs w:val="1"/>
          <w:color w:val="auto"/>
        </w:rPr>
        <w:t>‎</w:t>
      </w:r>
      <w:r>
        <w:rPr>
          <w:rFonts w:ascii="Arial" w:cs="Arial" w:eastAsia="Arial" w:hAnsi="Arial"/>
          <w:sz w:val="17"/>
          <w:szCs w:val="17"/>
          <w:color w:val="auto"/>
        </w:rPr>
        <w:t xml:space="preserve">4(c), which value is calculated using the Black Scholes Option Pricing Model obtained from the “OV” function on Bloomberg utilizing (i) an underlying price per share equal to the greater of (1) the highest Closing Sale Price of the Common Stock during the period beginning on the Trading Day immediately preceding the announcement of the applicable Fundamental Transaction (or the consummation of the applicable Fundamental Transaction, if earlier) and ending on the Trading Day of the Holder’s request pursuant to Section </w:t>
      </w:r>
      <w:r>
        <w:rPr>
          <w:rFonts w:ascii="Arial" w:cs="Arial" w:eastAsia="Arial" w:hAnsi="Arial"/>
          <w:sz w:val="20"/>
          <w:szCs w:val="20"/>
          <w:b w:val="1"/>
          <w:bCs w:val="1"/>
          <w:color w:val="auto"/>
        </w:rPr>
        <w:t>‎</w:t>
      </w:r>
      <w:r>
        <w:rPr>
          <w:rFonts w:ascii="Arial" w:cs="Arial" w:eastAsia="Arial" w:hAnsi="Arial"/>
          <w:sz w:val="17"/>
          <w:szCs w:val="17"/>
          <w:color w:val="auto"/>
        </w:rPr>
        <w:t xml:space="preserve">4(c) and (2) the sum of the price per share being offered in cash in the applicable Fundamental Transaction (if any) plus the value of the non-cash consideration being offered in the applicable Fundamental Transaction (if any), (ii) a strike price equal to the Exercise Price in effect on the date of the Holder’s request pursuant to Section 4(c), (iii) a risk-free interest rate corresponding to the U.S. Treasury rate for a period equal to the greater of (1) the remaining term of this Warrant as of the date of the Holder’s request pursuant to Section </w:t>
      </w:r>
      <w:r>
        <w:rPr>
          <w:rFonts w:ascii="Arial" w:cs="Arial" w:eastAsia="Arial" w:hAnsi="Arial"/>
          <w:sz w:val="20"/>
          <w:szCs w:val="20"/>
          <w:b w:val="1"/>
          <w:bCs w:val="1"/>
          <w:color w:val="auto"/>
        </w:rPr>
        <w:t>‎</w:t>
      </w:r>
      <w:r>
        <w:rPr>
          <w:rFonts w:ascii="Arial" w:cs="Arial" w:eastAsia="Arial" w:hAnsi="Arial"/>
          <w:sz w:val="17"/>
          <w:szCs w:val="17"/>
          <w:color w:val="auto"/>
        </w:rPr>
        <w:t xml:space="preserve">4(c) and (2) the remaining term of this Warrant as of the date of consummation of the applicable Fundamental Transaction or as of the date of the Holder’s request pursuant to Section </w:t>
      </w:r>
      <w:r>
        <w:rPr>
          <w:rFonts w:ascii="Arial" w:cs="Arial" w:eastAsia="Arial" w:hAnsi="Arial"/>
          <w:sz w:val="20"/>
          <w:szCs w:val="20"/>
          <w:b w:val="1"/>
          <w:bCs w:val="1"/>
          <w:color w:val="auto"/>
        </w:rPr>
        <w:t>‎</w:t>
      </w:r>
      <w:r>
        <w:rPr>
          <w:rFonts w:ascii="Arial" w:cs="Arial" w:eastAsia="Arial" w:hAnsi="Arial"/>
          <w:sz w:val="17"/>
          <w:szCs w:val="17"/>
          <w:color w:val="auto"/>
        </w:rPr>
        <w:t>4(c) if such request is prior to the date of the consummation of the applicable Fundamental Transaction, (iv) a zero cost of borrow and (v) an expected volatility equal to the greater of 100% and the 60 day volatility obtained from the “HVT” function on Bloomberg (determined utilizing a 365 day annualization factor) as of the Trading Day immediately following the earliest to occur of (A) the public disclosure of the applicable Fundamental Transaction, (B) the consummation of the applicable Fundamental Transaction and (C) the date on which the Holder first became aware of the applicable Fundamental Transaction.</w:t>
      </w:r>
    </w:p>
    <w:p>
      <w:pPr>
        <w:spacing w:after="0" w:line="176" w:lineRule="exact"/>
        <w:rPr>
          <w:rFonts w:ascii="Arial" w:cs="Arial" w:eastAsia="Arial" w:hAnsi="Arial"/>
          <w:sz w:val="17"/>
          <w:szCs w:val="17"/>
          <w:color w:val="auto"/>
        </w:rPr>
      </w:pPr>
    </w:p>
    <w:p>
      <w:pPr>
        <w:ind w:left="2200" w:hanging="248"/>
        <w:spacing w:after="0"/>
        <w:tabs>
          <w:tab w:leader="none" w:pos="2200" w:val="left"/>
        </w:tabs>
        <w:numPr>
          <w:ilvl w:val="1"/>
          <w:numId w:val="3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Bloomberg</w:t>
      </w:r>
      <w:r>
        <w:rPr>
          <w:rFonts w:ascii="Arial" w:cs="Arial" w:eastAsia="Arial" w:hAnsi="Arial"/>
          <w:sz w:val="18"/>
          <w:szCs w:val="18"/>
          <w:color w:val="auto"/>
        </w:rPr>
        <w:t>” means Bloomberg, L.P.</w:t>
      </w:r>
    </w:p>
    <w:p>
      <w:pPr>
        <w:spacing w:after="0" w:line="225" w:lineRule="exact"/>
        <w:rPr>
          <w:rFonts w:ascii="Arial" w:cs="Arial" w:eastAsia="Arial" w:hAnsi="Arial"/>
          <w:sz w:val="18"/>
          <w:szCs w:val="18"/>
          <w:color w:val="auto"/>
        </w:rPr>
      </w:pPr>
    </w:p>
    <w:p>
      <w:pPr>
        <w:ind w:firstLine="1952"/>
        <w:spacing w:after="0" w:line="347" w:lineRule="auto"/>
        <w:tabs>
          <w:tab w:leader="none" w:pos="2182" w:val="left"/>
        </w:tabs>
        <w:numPr>
          <w:ilvl w:val="1"/>
          <w:numId w:val="32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Business Day</w:t>
      </w:r>
      <w:r>
        <w:rPr>
          <w:rFonts w:ascii="Arial" w:cs="Arial" w:eastAsia="Arial" w:hAnsi="Arial"/>
          <w:sz w:val="16"/>
          <w:szCs w:val="16"/>
          <w:color w:val="auto"/>
        </w:rPr>
        <w:t>” means any day except any Saturday, any Sunday, any day which is a federal legal holiday in the United States or any day on which banking institutions in the State of New York are authorized or required by law or other governmental action to close.</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07" w:name="page308"/>
    <w:bookmarkEnd w:id="307"/>
    <w:p>
      <w:pPr>
        <w:jc w:val="both"/>
        <w:ind w:firstLine="1952"/>
        <w:spacing w:after="0" w:line="268" w:lineRule="auto"/>
        <w:tabs>
          <w:tab w:leader="none" w:pos="2212" w:val="left"/>
        </w:tabs>
        <w:numPr>
          <w:ilvl w:val="0"/>
          <w:numId w:val="32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Closing Bid Price</w:t>
      </w:r>
      <w:r>
        <w:rPr>
          <w:rFonts w:ascii="Arial" w:cs="Arial" w:eastAsia="Arial" w:hAnsi="Arial"/>
          <w:sz w:val="17"/>
          <w:szCs w:val="17"/>
          <w:color w:val="auto"/>
        </w:rPr>
        <w:t>” and “</w:t>
      </w:r>
      <w:r>
        <w:rPr>
          <w:rFonts w:ascii="Arial" w:cs="Arial" w:eastAsia="Arial" w:hAnsi="Arial"/>
          <w:sz w:val="17"/>
          <w:szCs w:val="17"/>
          <w:b w:val="1"/>
          <w:bCs w:val="1"/>
          <w:color w:val="auto"/>
        </w:rPr>
        <w:t>Closing Sale Price</w:t>
      </w:r>
      <w:r>
        <w:rPr>
          <w:rFonts w:ascii="Arial" w:cs="Arial" w:eastAsia="Arial" w:hAnsi="Arial"/>
          <w:sz w:val="17"/>
          <w:szCs w:val="17"/>
          <w:color w:val="auto"/>
        </w:rPr>
        <w:t xml:space="preserve">” means, for any security as of any date, the last closing bid price and last closing trade price, respectively, for such security on the Principal Market, as reported by Bloomberg, or, if the Principal Market begins to operate on an extended hours basis and does not designate the closing bid price or the closing trade price, as the case may be, then the last bid price or the last trade price, respectively, of such security prior to 4:00:00 p.m., New York time, as reported by Bloomberg, or, if the Principal Market is not the principal securities exchange or trading market for such security, the last closing bid price or last trade price, respectively, of such security on the principal securities exchange or trading market where such security is listed or traded as reported by Bloomberg, or if the foregoing do not apply, the last closing bid price or last trade price, respectively, of such security in the over-the-counter market on the electronic bulletin board for such security as reported by Bloomberg, or, if no closing bid price or last trade price, respectively, is reported for such security by Bloomberg, the average of the bid prices, or the ask prices, respectively, of any market makers for such security as reported in the OTC Link or “pink sheets” by OTC Markets Group Inc. (formerly Pink OTC Markets Inc.). If the Closing Bid Price or the Closing Sale Price cannot be calculated for a security on a particular date on any of the foregoing bases, the Closing Bid Price or the Closing Sale Price, as the case may be, of such security on such date shall be the fair market value as mutually determined by the Company and the Holder. If the Company and the Holder are unable to agree upon the fair market value of such security, then such dispute shall be resolved pursuant to Section </w:t>
      </w:r>
      <w:r>
        <w:rPr>
          <w:rFonts w:ascii="Arial" w:cs="Arial" w:eastAsia="Arial" w:hAnsi="Arial"/>
          <w:sz w:val="20"/>
          <w:szCs w:val="20"/>
          <w:b w:val="1"/>
          <w:bCs w:val="1"/>
          <w:color w:val="auto"/>
        </w:rPr>
        <w:t>‎</w:t>
      </w:r>
      <w:r>
        <w:rPr>
          <w:rFonts w:ascii="Arial" w:cs="Arial" w:eastAsia="Arial" w:hAnsi="Arial"/>
          <w:sz w:val="17"/>
          <w:szCs w:val="17"/>
          <w:color w:val="auto"/>
        </w:rPr>
        <w:t>12. All such determinations to be appropriately adjusted for any stock dividend, stock split, stock combination, reclassification or other similar transaction during the applicable calculation period.</w:t>
      </w:r>
    </w:p>
    <w:p>
      <w:pPr>
        <w:spacing w:after="0" w:line="172" w:lineRule="exact"/>
        <w:rPr>
          <w:rFonts w:ascii="Arial" w:cs="Arial" w:eastAsia="Arial" w:hAnsi="Arial"/>
          <w:sz w:val="17"/>
          <w:szCs w:val="17"/>
          <w:color w:val="auto"/>
        </w:rPr>
      </w:pPr>
    </w:p>
    <w:p>
      <w:pPr>
        <w:ind w:firstLine="1952"/>
        <w:spacing w:after="0" w:line="312" w:lineRule="auto"/>
        <w:tabs>
          <w:tab w:leader="none" w:pos="2199" w:val="left"/>
        </w:tabs>
        <w:numPr>
          <w:ilvl w:val="0"/>
          <w:numId w:val="32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Common Stock</w:t>
      </w:r>
      <w:r>
        <w:rPr>
          <w:rFonts w:ascii="Arial" w:cs="Arial" w:eastAsia="Arial" w:hAnsi="Arial"/>
          <w:sz w:val="17"/>
          <w:szCs w:val="17"/>
          <w:color w:val="auto"/>
        </w:rPr>
        <w:t>” means (i) the Company’s shares of common stock, par value $0.0001 per share, and (ii) any share capital into which such common stock shall have been changed or any share capital resulting from a reclassification of such common stock.</w:t>
      </w:r>
    </w:p>
    <w:p>
      <w:pPr>
        <w:spacing w:after="0" w:line="139" w:lineRule="exact"/>
        <w:rPr>
          <w:rFonts w:ascii="Arial" w:cs="Arial" w:eastAsia="Arial" w:hAnsi="Arial"/>
          <w:sz w:val="17"/>
          <w:szCs w:val="17"/>
          <w:color w:val="auto"/>
        </w:rPr>
      </w:pPr>
    </w:p>
    <w:p>
      <w:pPr>
        <w:ind w:firstLine="1952"/>
        <w:spacing w:after="0" w:line="282" w:lineRule="auto"/>
        <w:tabs>
          <w:tab w:leader="none" w:pos="2199" w:val="left"/>
        </w:tabs>
        <w:numPr>
          <w:ilvl w:val="0"/>
          <w:numId w:val="3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Convertible Securities</w:t>
      </w:r>
      <w:r>
        <w:rPr>
          <w:rFonts w:ascii="Arial" w:cs="Arial" w:eastAsia="Arial" w:hAnsi="Arial"/>
          <w:sz w:val="18"/>
          <w:szCs w:val="18"/>
          <w:color w:val="auto"/>
        </w:rPr>
        <w:t>” means any stock or securities (other than Options) directly or indirectly convertible into or exercisable or exchangeable for shares of Common Stock.</w:t>
      </w:r>
    </w:p>
    <w:p>
      <w:pPr>
        <w:spacing w:after="0" w:line="161" w:lineRule="exact"/>
        <w:rPr>
          <w:rFonts w:ascii="Arial" w:cs="Arial" w:eastAsia="Arial" w:hAnsi="Arial"/>
          <w:sz w:val="18"/>
          <w:szCs w:val="18"/>
          <w:color w:val="auto"/>
        </w:rPr>
      </w:pPr>
    </w:p>
    <w:p>
      <w:pPr>
        <w:ind w:right="20" w:firstLine="1952"/>
        <w:spacing w:after="0" w:line="282" w:lineRule="auto"/>
        <w:tabs>
          <w:tab w:leader="none" w:pos="2172" w:val="left"/>
        </w:tabs>
        <w:numPr>
          <w:ilvl w:val="0"/>
          <w:numId w:val="3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Market</w:t>
      </w:r>
      <w:r>
        <w:rPr>
          <w:rFonts w:ascii="Arial" w:cs="Arial" w:eastAsia="Arial" w:hAnsi="Arial"/>
          <w:sz w:val="18"/>
          <w:szCs w:val="18"/>
          <w:color w:val="auto"/>
        </w:rPr>
        <w:t>” means The Nasdaq Capital Market, The Nasdaq Global Select Market, The Nasdaq Global Market, the NYSE American, or The New York Stock Exchange.</w:t>
      </w:r>
    </w:p>
    <w:p>
      <w:pPr>
        <w:spacing w:after="0" w:line="161" w:lineRule="exact"/>
        <w:rPr>
          <w:rFonts w:ascii="Arial" w:cs="Arial" w:eastAsia="Arial" w:hAnsi="Arial"/>
          <w:sz w:val="18"/>
          <w:szCs w:val="18"/>
          <w:color w:val="auto"/>
        </w:rPr>
      </w:pPr>
    </w:p>
    <w:p>
      <w:pPr>
        <w:ind w:right="20" w:firstLine="1952"/>
        <w:spacing w:after="0" w:line="312" w:lineRule="auto"/>
        <w:tabs>
          <w:tab w:leader="none" w:pos="2212" w:val="left"/>
        </w:tabs>
        <w:numPr>
          <w:ilvl w:val="0"/>
          <w:numId w:val="32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Expiration Date</w:t>
      </w:r>
      <w:r>
        <w:rPr>
          <w:rFonts w:ascii="Arial" w:cs="Arial" w:eastAsia="Arial" w:hAnsi="Arial"/>
          <w:sz w:val="17"/>
          <w:szCs w:val="17"/>
          <w:color w:val="auto"/>
        </w:rPr>
        <w:t>” means the date that is the five (5) year anniversary of the Issuance Date or, if such date falls on a day other than a Trading Day or on which trading does not take place on the Principal Market (a “</w:t>
      </w:r>
      <w:r>
        <w:rPr>
          <w:rFonts w:ascii="Arial" w:cs="Arial" w:eastAsia="Arial" w:hAnsi="Arial"/>
          <w:sz w:val="17"/>
          <w:szCs w:val="17"/>
          <w:b w:val="1"/>
          <w:bCs w:val="1"/>
          <w:color w:val="auto"/>
        </w:rPr>
        <w:t>Holiday</w:t>
      </w:r>
      <w:r>
        <w:rPr>
          <w:rFonts w:ascii="Arial" w:cs="Arial" w:eastAsia="Arial" w:hAnsi="Arial"/>
          <w:sz w:val="17"/>
          <w:szCs w:val="17"/>
          <w:color w:val="auto"/>
        </w:rPr>
        <w:t>”), the next date that is not a Holiday.</w:t>
      </w:r>
    </w:p>
    <w:p>
      <w:pPr>
        <w:spacing w:after="0" w:line="139" w:lineRule="exact"/>
        <w:rPr>
          <w:rFonts w:ascii="Arial" w:cs="Arial" w:eastAsia="Arial" w:hAnsi="Arial"/>
          <w:sz w:val="17"/>
          <w:szCs w:val="17"/>
          <w:color w:val="auto"/>
        </w:rPr>
      </w:pPr>
    </w:p>
    <w:p>
      <w:pPr>
        <w:jc w:val="both"/>
        <w:ind w:firstLine="1952"/>
        <w:spacing w:after="0" w:line="284" w:lineRule="auto"/>
        <w:tabs>
          <w:tab w:leader="none" w:pos="2186" w:val="left"/>
        </w:tabs>
        <w:numPr>
          <w:ilvl w:val="0"/>
          <w:numId w:val="32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Fundamental Transaction</w:t>
      </w:r>
      <w:r>
        <w:rPr>
          <w:rFonts w:ascii="Arial" w:cs="Arial" w:eastAsia="Arial" w:hAnsi="Arial"/>
          <w:sz w:val="16"/>
          <w:szCs w:val="16"/>
          <w:color w:val="auto"/>
        </w:rPr>
        <w:t>” means (A) that the Company shall, directly or indirectly, including through subsidiaries, Affiliates or otherwise, in one or more related transactions, (i) consolidate or merge with or into (whether or not the Company is the surviving corporation) another Subject Entity, or (ii) sell, assign, transfer, convey or otherwise dispose of all or substantially all of the properties or assets of the Company or any of its “significant subsidiaries” (as defined in Rule 1-02 of Regulation S-X) to one or more Subject Entities, or (iii) make, or allow one or more Subject Entities to make, or allow the Company to be subject to or have its Common Stock be subject to or party to one or more Subject Entities making, a purchase, tender or exchange offer that is accepted by the holders of at least either (x) 50% of the outstanding shares of Common Stock, (y) 50% of the outstanding shares of Common Stock calculated as if any shares of Common Stock held by all Subject Entities making or party to, or Affiliated with any Subject Entities making or party to, such purchase, tender or exchange offer were not outstanding; or (z) such number of shares of Common Stock such that all Subject Entities making or party to, or Affiliated with any Subject Entity making or party to, such purchase, tender or exchange offer, become collectively the beneficial owners (as defined in Rule 13d-3 under the Exchange Act) of at least 50% of the outstanding shares of Common Stock, or (iv) consummate a stock purchase agreement or other business combination (including, without limitation, a reorganization, recapitalization, spin-off or scheme of arrangement) with one or more Subject Entities whereby all such Subject Entities, individually or in the aggregate, acquire, either (x) at least 50% of the outstanding shares of Common Stock, (y) at least 50% of the outstanding shares of Common Stock calculated as if any shares of Common Stock held by all the Subject Entities making or party to, or Affiliated with any Subject Entity making or party to, such stock purchase agreement or other business combination were not outstanding; or (z) such number of shares of Common Stock such that the Subject Entities become collectively the beneficial owners (as defined in Rule 13d-3 under the Exchange Act) of at least 50% of the outstanding shares of Common Stock, or (v) reorganize, recapitalize or reclassify its Common Stock, (B) that the Company shall, directly or indirectly, including through subsidiaries, Affiliates or otherwise, in one or more related transactions, allow any Subject Entity individually or the Subject Entities in the aggregate to be or become the “beneficial owner” (as defined in Rule 13d-3 under the Exchange Act), directly or indirectly, whether through acquisition, purchase, assignment, conveyance, tender, tender offer, exchange, reduction in outstanding shares of Common Stock, merger, consolidation, business combination, reorganization, recapitalization, spin-off, scheme of arrangement, reorganization, recapitalization or reclassification or otherwise in any manner whatsoever, of either (x) at least 50% of the aggregate ordinary voting power represented by issued and outstanding Common Stock, (y) at least 50% of the aggregate ordinary voting power represented by issued and outstanding Common Stock not held by all such Subject Entities as of the date of this Warrant calculated as if any shares of Common Stock held by all such Subject Entities were not outstanding, or (z) a percentage of the aggregate ordinary voting power represented by issued and outstanding shares of Common Stock or other equity securities of the Company sufficient to allow such Subject Entities to effect a statutory short form merger or other transaction requiring other stockholders of the Company to surrender their shares of Common Stock without approval of the stockholders of the Company or (C) directly or indirectly, including through subsidiaries, Affiliates or otherwise, in one or more related transactions, the issuance of or the entering into any other instrument or transaction structured in a manner to circumvent, or that circumvents, the intent of this definition in which case this definition shall be construed and implemented in a manner otherwise than in strict conformity with the terms of this definition to the extent necessary to correct this definition or any portion of this definition which may be defective or inconsistent with the intended treatment of such instrument or transaction.</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8" w:name="page309"/>
    <w:bookmarkEnd w:id="308"/>
    <w:p>
      <w:pPr>
        <w:ind w:left="1960"/>
        <w:spacing w:after="0"/>
        <w:rPr>
          <w:sz w:val="20"/>
          <w:szCs w:val="20"/>
          <w:color w:val="auto"/>
        </w:rPr>
      </w:pPr>
      <w:r>
        <w:rPr>
          <w:rFonts w:ascii="Arial" w:cs="Arial" w:eastAsia="Arial" w:hAnsi="Arial"/>
          <w:sz w:val="17"/>
          <w:szCs w:val="17"/>
          <w:color w:val="auto"/>
        </w:rPr>
        <w:t>(m) “</w:t>
      </w:r>
      <w:r>
        <w:rPr>
          <w:rFonts w:ascii="Arial" w:cs="Arial" w:eastAsia="Arial" w:hAnsi="Arial"/>
          <w:sz w:val="17"/>
          <w:szCs w:val="17"/>
          <w:b w:val="1"/>
          <w:bCs w:val="1"/>
          <w:color w:val="auto"/>
        </w:rPr>
        <w:t>Group</w:t>
      </w:r>
      <w:r>
        <w:rPr>
          <w:rFonts w:ascii="Arial" w:cs="Arial" w:eastAsia="Arial" w:hAnsi="Arial"/>
          <w:sz w:val="17"/>
          <w:szCs w:val="17"/>
          <w:color w:val="auto"/>
        </w:rPr>
        <w:t>” means a “group” as that term is used in Section 13(d) of the Exchange Act and as defined in Rule 13d-5</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thereunder.</w:t>
      </w:r>
    </w:p>
    <w:p>
      <w:pPr>
        <w:spacing w:after="0" w:line="207"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(n) “</w:t>
      </w:r>
      <w:r>
        <w:rPr>
          <w:rFonts w:ascii="Arial" w:cs="Arial" w:eastAsia="Arial" w:hAnsi="Arial"/>
          <w:sz w:val="17"/>
          <w:szCs w:val="17"/>
          <w:b w:val="1"/>
          <w:bCs w:val="1"/>
          <w:color w:val="auto"/>
        </w:rPr>
        <w:t>Options</w:t>
      </w:r>
      <w:r>
        <w:rPr>
          <w:rFonts w:ascii="Arial" w:cs="Arial" w:eastAsia="Arial" w:hAnsi="Arial"/>
          <w:sz w:val="17"/>
          <w:szCs w:val="17"/>
          <w:color w:val="auto"/>
        </w:rPr>
        <w:t>” means any rights, warrants or options to subscribe for or purchase shares of Common Stock or Convertible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Securities.</w:t>
      </w:r>
    </w:p>
    <w:p>
      <w:pPr>
        <w:spacing w:after="0" w:line="207" w:lineRule="exact"/>
        <w:rPr>
          <w:sz w:val="20"/>
          <w:szCs w:val="20"/>
          <w:color w:val="auto"/>
        </w:rPr>
      </w:pPr>
    </w:p>
    <w:p>
      <w:pPr>
        <w:jc w:val="both"/>
        <w:ind w:firstLine="1952"/>
        <w:spacing w:after="0" w:line="258" w:lineRule="auto"/>
        <w:tabs>
          <w:tab w:leader="none" w:pos="2199" w:val="left"/>
        </w:tabs>
        <w:numPr>
          <w:ilvl w:val="0"/>
          <w:numId w:val="3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Entity</w:t>
      </w:r>
      <w:r>
        <w:rPr>
          <w:rFonts w:ascii="Arial" w:cs="Arial" w:eastAsia="Arial" w:hAnsi="Arial"/>
          <w:sz w:val="18"/>
          <w:szCs w:val="18"/>
          <w:color w:val="auto"/>
        </w:rPr>
        <w:t>” of a Person means an entity that, directly or indirectly, controls the applicable Person, including such entity whose common shares or common stock or equivalent equity security is quoted or listed on an Eligible Market (or, if so elected by the Holder, any other market, exchange or quotation system), or, if there is more than one such Person or such entity, the Person or such entity designated by the Holder or in the absence of such designation, such Person or entity with the largest public market capitalization as of the date of consummation of the Fundamental Transaction.</w:t>
      </w:r>
    </w:p>
    <w:p>
      <w:pPr>
        <w:spacing w:after="0" w:line="183" w:lineRule="exact"/>
        <w:rPr>
          <w:rFonts w:ascii="Arial" w:cs="Arial" w:eastAsia="Arial" w:hAnsi="Arial"/>
          <w:sz w:val="18"/>
          <w:szCs w:val="18"/>
          <w:color w:val="auto"/>
        </w:rPr>
      </w:pPr>
    </w:p>
    <w:p>
      <w:pPr>
        <w:ind w:firstLine="1952"/>
        <w:spacing w:after="0" w:line="282" w:lineRule="auto"/>
        <w:tabs>
          <w:tab w:leader="none" w:pos="2212" w:val="left"/>
        </w:tabs>
        <w:numPr>
          <w:ilvl w:val="0"/>
          <w:numId w:val="3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61" w:lineRule="exact"/>
        <w:rPr>
          <w:rFonts w:ascii="Arial" w:cs="Arial" w:eastAsia="Arial" w:hAnsi="Arial"/>
          <w:sz w:val="18"/>
          <w:szCs w:val="18"/>
          <w:color w:val="auto"/>
        </w:rPr>
      </w:pPr>
    </w:p>
    <w:p>
      <w:pPr>
        <w:ind w:right="20" w:firstLine="1952"/>
        <w:spacing w:after="0" w:line="282" w:lineRule="auto"/>
        <w:tabs>
          <w:tab w:leader="none" w:pos="2226" w:val="left"/>
        </w:tabs>
        <w:numPr>
          <w:ilvl w:val="0"/>
          <w:numId w:val="3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Principal Market</w:t>
      </w:r>
      <w:r>
        <w:rPr>
          <w:rFonts w:ascii="Arial" w:cs="Arial" w:eastAsia="Arial" w:hAnsi="Arial"/>
          <w:sz w:val="18"/>
          <w:szCs w:val="18"/>
          <w:color w:val="auto"/>
        </w:rPr>
        <w:t>” means the OTC Bulletin Board or any other Eligible Market, or any national securities exchange, market or trading or quotation facility on which the Common Stock is then listed or quoted.</w:t>
      </w:r>
    </w:p>
    <w:p>
      <w:pPr>
        <w:spacing w:after="0" w:line="161" w:lineRule="exact"/>
        <w:rPr>
          <w:rFonts w:ascii="Arial" w:cs="Arial" w:eastAsia="Arial" w:hAnsi="Arial"/>
          <w:sz w:val="18"/>
          <w:szCs w:val="18"/>
          <w:color w:val="auto"/>
        </w:rPr>
      </w:pPr>
    </w:p>
    <w:p>
      <w:pPr>
        <w:ind w:left="2180" w:hanging="228"/>
        <w:spacing w:after="0"/>
        <w:tabs>
          <w:tab w:leader="none" w:pos="218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w:t>
      </w:r>
    </w:p>
    <w:p>
      <w:pPr>
        <w:spacing w:after="0" w:line="225" w:lineRule="exact"/>
        <w:rPr>
          <w:rFonts w:ascii="Arial" w:cs="Arial" w:eastAsia="Arial" w:hAnsi="Arial"/>
          <w:sz w:val="18"/>
          <w:szCs w:val="18"/>
          <w:color w:val="auto"/>
        </w:rPr>
      </w:pPr>
    </w:p>
    <w:p>
      <w:pPr>
        <w:ind w:left="2180" w:hanging="228"/>
        <w:spacing w:after="0"/>
        <w:tabs>
          <w:tab w:leader="none" w:pos="2180" w:val="left"/>
        </w:tabs>
        <w:numPr>
          <w:ilvl w:val="0"/>
          <w:numId w:val="32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Subject Entity</w:t>
      </w:r>
      <w:r>
        <w:rPr>
          <w:rFonts w:ascii="Arial" w:cs="Arial" w:eastAsia="Arial" w:hAnsi="Arial"/>
          <w:sz w:val="16"/>
          <w:szCs w:val="16"/>
          <w:color w:val="auto"/>
        </w:rPr>
        <w:t>” means any Person, Persons or Group or any Affiliate or associate of any such Person, Persons or Group.</w:t>
      </w:r>
    </w:p>
    <w:p>
      <w:pPr>
        <w:spacing w:after="0" w:line="248" w:lineRule="exact"/>
        <w:rPr>
          <w:rFonts w:ascii="Arial" w:cs="Arial" w:eastAsia="Arial" w:hAnsi="Arial"/>
          <w:sz w:val="16"/>
          <w:szCs w:val="16"/>
          <w:color w:val="auto"/>
        </w:rPr>
      </w:pPr>
    </w:p>
    <w:p>
      <w:pPr>
        <w:jc w:val="both"/>
        <w:ind w:firstLine="1952"/>
        <w:spacing w:after="0" w:line="266" w:lineRule="auto"/>
        <w:tabs>
          <w:tab w:leader="none" w:pos="2172" w:val="left"/>
        </w:tabs>
        <w:numPr>
          <w:ilvl w:val="0"/>
          <w:numId w:val="3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Successor Entity</w:t>
      </w:r>
      <w:r>
        <w:rPr>
          <w:rFonts w:ascii="Arial" w:cs="Arial" w:eastAsia="Arial" w:hAnsi="Arial"/>
          <w:sz w:val="18"/>
          <w:szCs w:val="18"/>
          <w:color w:val="auto"/>
        </w:rPr>
        <w:t>” means one or more Person or Persons (or, if so elected by the Holder, the Company or Parent Entity) formed by, resulting from or surviving any Fundamental Transaction or one or more Person or Persons (or, if so elected by the Holder, the Company or the Parent Entity) with which such Fundamental Transaction shall have been entered into.</w:t>
      </w:r>
    </w:p>
    <w:p>
      <w:pPr>
        <w:spacing w:after="0" w:line="175" w:lineRule="exact"/>
        <w:rPr>
          <w:rFonts w:ascii="Arial" w:cs="Arial" w:eastAsia="Arial" w:hAnsi="Arial"/>
          <w:sz w:val="18"/>
          <w:szCs w:val="18"/>
          <w:color w:val="auto"/>
        </w:rPr>
      </w:pPr>
    </w:p>
    <w:p>
      <w:pPr>
        <w:jc w:val="both"/>
        <w:ind w:firstLine="1952"/>
        <w:spacing w:after="0" w:line="298" w:lineRule="auto"/>
        <w:tabs>
          <w:tab w:leader="none" w:pos="2199" w:val="left"/>
        </w:tabs>
        <w:numPr>
          <w:ilvl w:val="0"/>
          <w:numId w:val="32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Trading Day</w:t>
      </w:r>
      <w:r>
        <w:rPr>
          <w:rFonts w:ascii="Arial" w:cs="Arial" w:eastAsia="Arial" w:hAnsi="Arial"/>
          <w:sz w:val="16"/>
          <w:szCs w:val="16"/>
          <w:color w:val="auto"/>
        </w:rPr>
        <w:t xml:space="preserve">” means any day on which the Common Stock is traded on the Principal Market, or, if the Principal Market is not the principal trading market for the Common Stock, then on the principal securities exchange or securities market on which the Common Stock is then traded;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time).</w:t>
      </w:r>
    </w:p>
    <w:p>
      <w:pPr>
        <w:spacing w:after="0" w:line="153" w:lineRule="exact"/>
        <w:rPr>
          <w:rFonts w:ascii="Arial" w:cs="Arial" w:eastAsia="Arial" w:hAnsi="Arial"/>
          <w:sz w:val="16"/>
          <w:szCs w:val="16"/>
          <w:color w:val="auto"/>
        </w:rPr>
      </w:pPr>
    </w:p>
    <w:p>
      <w:pPr>
        <w:jc w:val="both"/>
        <w:ind w:firstLine="1952"/>
        <w:spacing w:after="0" w:line="267" w:lineRule="auto"/>
        <w:tabs>
          <w:tab w:leader="none" w:pos="2199" w:val="left"/>
        </w:tabs>
        <w:numPr>
          <w:ilvl w:val="0"/>
          <w:numId w:val="32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VWAP</w:t>
      </w:r>
      <w:r>
        <w:rPr>
          <w:rFonts w:ascii="Arial" w:cs="Arial" w:eastAsia="Arial" w:hAnsi="Arial"/>
          <w:sz w:val="17"/>
          <w:szCs w:val="17"/>
          <w:color w:val="auto"/>
        </w:rPr>
        <w:t xml:space="preserve">” means, for any security as of any date, the dollar volume-weighted average price for such security on the Principal Market during the period beginning at 9:30:01 a.m., New York time (or such other time as the Principal Market publicly announces is the official open of trading), and ending at 4:00:00 p.m., New York time (or such other time as the Principal Market publicly announces is the official close of trading), as reported by Bloomberg through its “Volume at Price” function or, if the foregoing does not apply, the dollar volume-weighted average price of such security in the over-the-counter market on the electronic bulletin board for such security during the period beginning at 9:30:01 a.m., New York time (or such other time as such market publicly announces is the official open of trading), and ending at 4:00:00 p.m., New York time (or such other time as such market publicly announces is the official close of trading), as reported by Bloomberg, or, if no dollar volume-weighted average price is reported for such security by Bloomberg for such hours, the average of the highest Closing Bid Price and the lowest closing ask price of any of the market makers for such security as reported in the OTC Link or “pink sheets” by OTC Markets Group Inc. (formerly Pink OTC Markets Inc.). If the VWAP cannot be calculated for a security on a particular date on any of the foregoing bases, the VWAP of such security on such date shall be the fair market value as mutually determined by the Company and the Holder. If the Company and the Holder are unable to agree upon the fair market value of such security, then such dispute shall be resolved pursuant to Section </w:t>
      </w:r>
      <w:r>
        <w:rPr>
          <w:rFonts w:ascii="Arial" w:cs="Arial" w:eastAsia="Arial" w:hAnsi="Arial"/>
          <w:sz w:val="20"/>
          <w:szCs w:val="20"/>
          <w:b w:val="1"/>
          <w:bCs w:val="1"/>
          <w:color w:val="auto"/>
        </w:rPr>
        <w:t>‎</w:t>
      </w:r>
      <w:r>
        <w:rPr>
          <w:rFonts w:ascii="Arial" w:cs="Arial" w:eastAsia="Arial" w:hAnsi="Arial"/>
          <w:sz w:val="17"/>
          <w:szCs w:val="17"/>
          <w:color w:val="auto"/>
        </w:rPr>
        <w:t>12 with the term “VWAP” being substituted for the term “Exercise Price.” All such determinations shall be appropriately adjusted for any stock dividend, stock split, stock combination, reclassification or other similar transaction during the applicable calculation period.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 Follows]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9" w:name="page310"/>
    <w:bookmarkEnd w:id="309"/>
    <w:p>
      <w:pPr>
        <w:ind w:left="660"/>
        <w:spacing w:after="0"/>
        <w:rPr>
          <w:sz w:val="20"/>
          <w:szCs w:val="20"/>
          <w:color w:val="auto"/>
        </w:rPr>
      </w:pPr>
      <w:r>
        <w:rPr>
          <w:rFonts w:ascii="Arial" w:cs="Arial" w:eastAsia="Arial" w:hAnsi="Arial"/>
          <w:sz w:val="16"/>
          <w:szCs w:val="16"/>
          <w:b w:val="1"/>
          <w:bCs w:val="1"/>
          <w:color w:val="auto"/>
        </w:rPr>
        <w:t xml:space="preserve">IN WITNESS WHEREOF, </w:t>
      </w:r>
      <w:r>
        <w:rPr>
          <w:rFonts w:ascii="Arial" w:cs="Arial" w:eastAsia="Arial" w:hAnsi="Arial"/>
          <w:sz w:val="16"/>
          <w:szCs w:val="16"/>
          <w:color w:val="auto"/>
        </w:rPr>
        <w:t>the Company has caused this Warrant to Purchase Common Stock to be duly executed as of the Issuance Date set out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07"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PRESTO AUTOMATION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440" w:type="dxa"/>
            <w:vAlign w:val="bottom"/>
          </w:tcPr>
          <w:p>
            <w:pPr>
              <w:ind w:left="6760"/>
              <w:spacing w:after="0"/>
              <w:rPr>
                <w:sz w:val="20"/>
                <w:szCs w:val="20"/>
                <w:color w:val="auto"/>
              </w:rPr>
            </w:pPr>
            <w:r>
              <w:rPr>
                <w:rFonts w:ascii="Arial" w:cs="Arial" w:eastAsia="Arial" w:hAnsi="Arial"/>
                <w:sz w:val="18"/>
                <w:szCs w:val="18"/>
                <w:color w:val="auto"/>
              </w:rPr>
              <w:t>By:</w:t>
            </w: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Xavier Casanova</w:t>
            </w:r>
          </w:p>
        </w:tc>
      </w:tr>
      <w:tr>
        <w:trPr>
          <w:trHeight w:val="202"/>
        </w:trPr>
        <w:tc>
          <w:tcPr>
            <w:tcW w:w="7440" w:type="dxa"/>
            <w:vAlign w:val="bottom"/>
          </w:tcPr>
          <w:p>
            <w:pPr>
              <w:ind w:left="6760"/>
              <w:spacing w:after="0" w:line="201" w:lineRule="exact"/>
              <w:rPr>
                <w:sz w:val="20"/>
                <w:szCs w:val="20"/>
                <w:color w:val="auto"/>
              </w:rPr>
            </w:pPr>
            <w:r>
              <w:rPr>
                <w:rFonts w:ascii="Arial" w:cs="Arial" w:eastAsia="Arial" w:hAnsi="Arial"/>
                <w:sz w:val="18"/>
                <w:szCs w:val="18"/>
                <w:color w:val="auto"/>
              </w:rPr>
              <w:t>Name:</w:t>
            </w:r>
          </w:p>
        </w:tc>
        <w:tc>
          <w:tcPr>
            <w:tcW w:w="3800" w:type="dxa"/>
            <w:vAlign w:val="bottom"/>
          </w:tcPr>
          <w:p>
            <w:pPr>
              <w:spacing w:after="0" w:line="201" w:lineRule="exact"/>
              <w:rPr>
                <w:sz w:val="20"/>
                <w:szCs w:val="20"/>
                <w:color w:val="auto"/>
              </w:rPr>
            </w:pPr>
            <w:r>
              <w:rPr>
                <w:rFonts w:ascii="Arial" w:cs="Arial" w:eastAsia="Arial" w:hAnsi="Arial"/>
                <w:sz w:val="18"/>
                <w:szCs w:val="18"/>
                <w:color w:val="auto"/>
              </w:rPr>
              <w:t>Xavier Casanova</w:t>
            </w:r>
          </w:p>
        </w:tc>
      </w:tr>
      <w:tr>
        <w:trPr>
          <w:trHeight w:val="230"/>
        </w:trPr>
        <w:tc>
          <w:tcPr>
            <w:tcW w:w="7440" w:type="dxa"/>
            <w:vAlign w:val="bottom"/>
          </w:tcPr>
          <w:p>
            <w:pPr>
              <w:ind w:left="6760"/>
              <w:spacing w:after="0"/>
              <w:rPr>
                <w:sz w:val="20"/>
                <w:szCs w:val="20"/>
                <w:color w:val="auto"/>
              </w:rPr>
            </w:pPr>
            <w:r>
              <w:rPr>
                <w:rFonts w:ascii="Arial" w:cs="Arial" w:eastAsia="Arial" w:hAnsi="Arial"/>
                <w:sz w:val="18"/>
                <w:szCs w:val="18"/>
                <w:color w:val="auto"/>
              </w:rPr>
              <w:t>Title:</w:t>
            </w:r>
          </w:p>
        </w:tc>
        <w:tc>
          <w:tcPr>
            <w:tcW w:w="380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682"/>
        </w:trPr>
        <w:tc>
          <w:tcPr>
            <w:tcW w:w="744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10" w:name="page311"/>
    <w:bookmarkEnd w:id="310"/>
    <w:p>
      <w:pPr>
        <w:jc w:val="right"/>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EXERCISE NOTICE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EXECUTED BY THE REGISTERED HOLDER TO EXERCISE THIS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TO PURCHASE COMMON STOCK</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PRESTO AUTOMATION INC.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undersigned holder hereby exercises the right to purchase _________________ of the shares of Common Stock (“</w:t>
      </w:r>
      <w:r>
        <w:rPr>
          <w:rFonts w:ascii="Arial" w:cs="Arial" w:eastAsia="Arial" w:hAnsi="Arial"/>
          <w:sz w:val="17"/>
          <w:szCs w:val="17"/>
          <w:b w:val="1"/>
          <w:bCs w:val="1"/>
          <w:color w:val="auto"/>
        </w:rPr>
        <w:t>Warrant Shares</w:t>
      </w:r>
      <w:r>
        <w:rPr>
          <w:rFonts w:ascii="Arial" w:cs="Arial" w:eastAsia="Arial" w:hAnsi="Arial"/>
          <w:sz w:val="17"/>
          <w:szCs w:val="17"/>
          <w:color w:val="auto"/>
        </w:rPr>
        <w:t>”) of</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Presto Automation Inc.,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evidenced by the attached Warrant to Purchase Common Stock (the “</w:t>
      </w:r>
      <w:r>
        <w:rPr>
          <w:rFonts w:ascii="Arial" w:cs="Arial" w:eastAsia="Arial" w:hAnsi="Arial"/>
          <w:sz w:val="17"/>
          <w:szCs w:val="17"/>
          <w:b w:val="1"/>
          <w:bCs w:val="1"/>
          <w:color w:val="auto"/>
        </w:rPr>
        <w:t>Warrant</w:t>
      </w:r>
      <w:r>
        <w:rPr>
          <w:rFonts w:ascii="Arial" w:cs="Arial" w:eastAsia="Arial" w:hAnsi="Arial"/>
          <w:sz w:val="17"/>
          <w:szCs w:val="17"/>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used herein and not otherwise defined shall have the respective meanings set forth in the Warrant.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Form of Exercise Price. The Holder intends that payment of the Exercise Price shall be made as:</w:t>
      </w:r>
    </w:p>
    <w:p>
      <w:pPr>
        <w:spacing w:after="0" w:line="208" w:lineRule="exact"/>
        <w:rPr>
          <w:sz w:val="20"/>
          <w:szCs w:val="20"/>
          <w:color w:val="auto"/>
        </w:rPr>
      </w:pPr>
    </w:p>
    <w:tbl>
      <w:tblPr>
        <w:tblLayout w:type="fixed"/>
        <w:tblInd w:w="1300" w:type="dxa"/>
        <w:tblCellMar>
          <w:top w:w="0" w:type="dxa"/>
          <w:left w:w="0" w:type="dxa"/>
          <w:bottom w:w="0" w:type="dxa"/>
          <w:right w:w="0" w:type="dxa"/>
        </w:tblCellMar>
      </w:tblPr>
      <w:tr>
        <w:trPr>
          <w:trHeight w:val="207"/>
        </w:trPr>
        <w:tc>
          <w:tcPr>
            <w:tcW w:w="1200" w:type="dxa"/>
            <w:vAlign w:val="bottom"/>
          </w:tcPr>
          <w:p>
            <w:pPr>
              <w:jc w:val="right"/>
              <w:ind w:right="30"/>
              <w:spacing w:after="0"/>
              <w:rPr>
                <w:sz w:val="20"/>
                <w:szCs w:val="20"/>
                <w:color w:val="auto"/>
              </w:rPr>
            </w:pPr>
            <w:r>
              <w:rPr>
                <w:rFonts w:ascii="Arial" w:cs="Arial" w:eastAsia="Arial" w:hAnsi="Arial"/>
                <w:sz w:val="18"/>
                <w:szCs w:val="18"/>
                <w:color w:val="auto"/>
                <w:w w:val="88"/>
              </w:rPr>
              <w:t>____________</w:t>
            </w:r>
          </w:p>
        </w:tc>
        <w:tc>
          <w:tcPr>
            <w:tcW w:w="5780" w:type="dxa"/>
            <w:vAlign w:val="bottom"/>
            <w:gridSpan w:val="4"/>
          </w:tcPr>
          <w:p>
            <w:pPr>
              <w:ind w:left="100"/>
              <w:spacing w:after="0"/>
              <w:rPr>
                <w:sz w:val="20"/>
                <w:szCs w:val="20"/>
                <w:color w:val="auto"/>
              </w:rPr>
            </w:pPr>
            <w:r>
              <w:rPr>
                <w:rFonts w:ascii="Arial" w:cs="Arial" w:eastAsia="Arial" w:hAnsi="Arial"/>
                <w:sz w:val="18"/>
                <w:szCs w:val="18"/>
                <w:color w:val="auto"/>
                <w:w w:val="89"/>
              </w:rPr>
              <w:t>a “Cash Exercise” with respect to _________________ Warrant Shares; and/or</w:t>
            </w:r>
          </w:p>
        </w:tc>
      </w:tr>
      <w:tr>
        <w:trPr>
          <w:trHeight w:val="20"/>
        </w:trPr>
        <w:tc>
          <w:tcPr>
            <w:tcW w:w="1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r>
      <w:tr>
        <w:trPr>
          <w:trHeight w:val="412"/>
        </w:trPr>
        <w:tc>
          <w:tcPr>
            <w:tcW w:w="1200" w:type="dxa"/>
            <w:vAlign w:val="bottom"/>
          </w:tcPr>
          <w:p>
            <w:pPr>
              <w:jc w:val="right"/>
              <w:ind w:right="30"/>
              <w:spacing w:after="0"/>
              <w:rPr>
                <w:sz w:val="20"/>
                <w:szCs w:val="20"/>
                <w:color w:val="auto"/>
              </w:rPr>
            </w:pPr>
            <w:r>
              <w:rPr>
                <w:rFonts w:ascii="Arial" w:cs="Arial" w:eastAsia="Arial" w:hAnsi="Arial"/>
                <w:sz w:val="18"/>
                <w:szCs w:val="18"/>
                <w:color w:val="auto"/>
                <w:w w:val="88"/>
              </w:rPr>
              <w:t>____________</w:t>
            </w:r>
          </w:p>
        </w:tc>
        <w:tc>
          <w:tcPr>
            <w:tcW w:w="5780" w:type="dxa"/>
            <w:vAlign w:val="bottom"/>
            <w:gridSpan w:val="4"/>
          </w:tcPr>
          <w:p>
            <w:pPr>
              <w:ind w:left="100"/>
              <w:spacing w:after="0"/>
              <w:rPr>
                <w:sz w:val="20"/>
                <w:szCs w:val="20"/>
                <w:color w:val="auto"/>
              </w:rPr>
            </w:pPr>
            <w:r>
              <w:rPr>
                <w:rFonts w:ascii="Arial" w:cs="Arial" w:eastAsia="Arial" w:hAnsi="Arial"/>
                <w:sz w:val="18"/>
                <w:szCs w:val="18"/>
                <w:color w:val="auto"/>
                <w:w w:val="96"/>
              </w:rPr>
              <w:t>a “Cashless Exercise” with respect to _______________ Warrant Shares.</w:t>
            </w:r>
          </w:p>
        </w:tc>
      </w:tr>
      <w:tr>
        <w:trPr>
          <w:trHeight w:val="20"/>
        </w:trPr>
        <w:tc>
          <w:tcPr>
            <w:tcW w:w="1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the event that the Holder has elected a Cashless Exercise with respect to some or all of the Warrant Shares to be issued pursuant hereto, the Holder hereby represents and warrants that this Exercise Notice was executed by the Holder at [a.m.][p.m.] on the date set forth below.</w:t>
      </w:r>
    </w:p>
    <w:p>
      <w:pPr>
        <w:spacing w:after="0" w:line="170" w:lineRule="exact"/>
        <w:rPr>
          <w:sz w:val="20"/>
          <w:szCs w:val="20"/>
          <w:color w:val="auto"/>
        </w:rPr>
      </w:pPr>
    </w:p>
    <w:p>
      <w:pPr>
        <w:jc w:val="both"/>
        <w:ind w:firstLine="656"/>
        <w:spacing w:after="0" w:line="263" w:lineRule="auto"/>
        <w:tabs>
          <w:tab w:leader="none" w:pos="846" w:val="left"/>
        </w:tabs>
        <w:numPr>
          <w:ilvl w:val="0"/>
          <w:numId w:val="323"/>
        </w:numPr>
        <w:rPr>
          <w:rFonts w:ascii="Arial" w:cs="Arial" w:eastAsia="Arial" w:hAnsi="Arial"/>
          <w:sz w:val="18"/>
          <w:szCs w:val="18"/>
          <w:color w:val="auto"/>
        </w:rPr>
      </w:pPr>
      <w:r>
        <w:rPr>
          <w:rFonts w:ascii="Arial" w:cs="Arial" w:eastAsia="Arial" w:hAnsi="Arial"/>
          <w:sz w:val="18"/>
          <w:szCs w:val="18"/>
          <w:color w:val="auto"/>
        </w:rPr>
        <w:t>Payment of Exercise Price. In the event that the holder has elected a Cash Exercise with respect to some or all of the Warrant Shares to be issued pursuant hereto, the holder shall pay the Aggregate Exercise Price in the sum of $___________________ to the Company in accordance with the terms of the Warrant.</w:t>
      </w:r>
    </w:p>
    <w:p>
      <w:pPr>
        <w:spacing w:after="0" w:line="183" w:lineRule="exact"/>
        <w:rPr>
          <w:rFonts w:ascii="Arial" w:cs="Arial" w:eastAsia="Arial" w:hAnsi="Arial"/>
          <w:sz w:val="18"/>
          <w:szCs w:val="18"/>
          <w:color w:val="auto"/>
        </w:rPr>
      </w:pPr>
    </w:p>
    <w:p>
      <w:pPr>
        <w:ind w:left="840" w:hanging="184"/>
        <w:spacing w:after="0"/>
        <w:tabs>
          <w:tab w:leader="none" w:pos="840" w:val="left"/>
        </w:tabs>
        <w:numPr>
          <w:ilvl w:val="0"/>
          <w:numId w:val="323"/>
        </w:numPr>
        <w:rPr>
          <w:rFonts w:ascii="Arial" w:cs="Arial" w:eastAsia="Arial" w:hAnsi="Arial"/>
          <w:sz w:val="16"/>
          <w:szCs w:val="16"/>
          <w:color w:val="auto"/>
        </w:rPr>
      </w:pPr>
      <w:r>
        <w:rPr>
          <w:rFonts w:ascii="Arial" w:cs="Arial" w:eastAsia="Arial" w:hAnsi="Arial"/>
          <w:sz w:val="16"/>
          <w:szCs w:val="16"/>
          <w:color w:val="auto"/>
        </w:rPr>
        <w:t>Delivery of Warrant Shares. The Company shall deliver to the holder __________ Warrant Shares in accordance with the terms of the Warrant.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520" w:type="dxa"/>
            <w:vAlign w:val="bottom"/>
            <w:gridSpan w:val="2"/>
          </w:tcPr>
          <w:p>
            <w:pPr>
              <w:spacing w:after="0"/>
              <w:rPr>
                <w:sz w:val="20"/>
                <w:szCs w:val="20"/>
                <w:color w:val="auto"/>
              </w:rPr>
            </w:pPr>
            <w:r>
              <w:rPr>
                <w:rFonts w:ascii="Arial" w:cs="Arial" w:eastAsia="Arial" w:hAnsi="Arial"/>
                <w:sz w:val="18"/>
                <w:szCs w:val="18"/>
                <w:color w:val="auto"/>
              </w:rPr>
              <w:t>_______ Electronic Delivery</w:t>
            </w:r>
          </w:p>
        </w:tc>
        <w:tc>
          <w:tcPr>
            <w:tcW w:w="6720" w:type="dxa"/>
            <w:vAlign w:val="bottom"/>
            <w:gridSpan w:val="2"/>
          </w:tcPr>
          <w:p>
            <w:pPr>
              <w:ind w:left="1680"/>
              <w:spacing w:after="0"/>
              <w:rPr>
                <w:sz w:val="20"/>
                <w:szCs w:val="20"/>
                <w:color w:val="auto"/>
              </w:rPr>
            </w:pPr>
            <w:r>
              <w:rPr>
                <w:rFonts w:ascii="Arial" w:cs="Arial" w:eastAsia="Arial" w:hAnsi="Arial"/>
                <w:sz w:val="18"/>
                <w:szCs w:val="18"/>
                <w:color w:val="auto"/>
              </w:rPr>
              <w:t>DTC Participant:</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3360" w:type="dxa"/>
            <w:vAlign w:val="bottom"/>
          </w:tcPr>
          <w:p>
            <w:pPr>
              <w:ind w:left="1680"/>
              <w:spacing w:after="0" w:line="203" w:lineRule="exact"/>
              <w:rPr>
                <w:sz w:val="20"/>
                <w:szCs w:val="20"/>
                <w:color w:val="auto"/>
              </w:rPr>
            </w:pPr>
            <w:r>
              <w:rPr>
                <w:rFonts w:ascii="Arial" w:cs="Arial" w:eastAsia="Arial" w:hAnsi="Arial"/>
                <w:sz w:val="18"/>
                <w:szCs w:val="18"/>
                <w:color w:val="auto"/>
              </w:rPr>
              <w:t>DTC Number:</w:t>
            </w:r>
          </w:p>
        </w:tc>
        <w:tc>
          <w:tcPr>
            <w:tcW w:w="336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3360" w:type="dxa"/>
            <w:vAlign w:val="bottom"/>
          </w:tcPr>
          <w:p>
            <w:pPr>
              <w:ind w:left="1680"/>
              <w:spacing w:after="0" w:line="202" w:lineRule="exact"/>
              <w:rPr>
                <w:sz w:val="20"/>
                <w:szCs w:val="20"/>
                <w:color w:val="auto"/>
              </w:rPr>
            </w:pPr>
            <w:r>
              <w:rPr>
                <w:rFonts w:ascii="Arial" w:cs="Arial" w:eastAsia="Arial" w:hAnsi="Arial"/>
                <w:sz w:val="18"/>
                <w:szCs w:val="18"/>
                <w:color w:val="auto"/>
              </w:rPr>
              <w:t>Account Name:</w:t>
            </w:r>
          </w:p>
        </w:tc>
        <w:tc>
          <w:tcPr>
            <w:tcW w:w="33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3360" w:type="dxa"/>
            <w:vAlign w:val="bottom"/>
          </w:tcPr>
          <w:p>
            <w:pPr>
              <w:ind w:left="1680"/>
              <w:spacing w:after="0" w:line="202" w:lineRule="exact"/>
              <w:rPr>
                <w:sz w:val="20"/>
                <w:szCs w:val="20"/>
                <w:color w:val="auto"/>
              </w:rPr>
            </w:pPr>
            <w:r>
              <w:rPr>
                <w:rFonts w:ascii="Arial" w:cs="Arial" w:eastAsia="Arial" w:hAnsi="Arial"/>
                <w:sz w:val="18"/>
                <w:szCs w:val="18"/>
                <w:color w:val="auto"/>
              </w:rPr>
              <w:t>Account Number:</w:t>
            </w:r>
          </w:p>
        </w:tc>
        <w:tc>
          <w:tcPr>
            <w:tcW w:w="33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4520" w:type="dxa"/>
            <w:vAlign w:val="bottom"/>
            <w:gridSpan w:val="2"/>
          </w:tcPr>
          <w:p>
            <w:pPr>
              <w:spacing w:after="0"/>
              <w:rPr>
                <w:sz w:val="20"/>
                <w:szCs w:val="20"/>
                <w:color w:val="auto"/>
              </w:rPr>
            </w:pPr>
            <w:r>
              <w:rPr>
                <w:rFonts w:ascii="Arial" w:cs="Arial" w:eastAsia="Arial" w:hAnsi="Arial"/>
                <w:sz w:val="18"/>
                <w:szCs w:val="18"/>
                <w:color w:val="auto"/>
              </w:rPr>
              <w:t>_______ Physical Delivery</w:t>
            </w:r>
          </w:p>
        </w:tc>
        <w:tc>
          <w:tcPr>
            <w:tcW w:w="6720" w:type="dxa"/>
            <w:vAlign w:val="bottom"/>
            <w:gridSpan w:val="2"/>
          </w:tcPr>
          <w:p>
            <w:pPr>
              <w:ind w:left="1680"/>
              <w:spacing w:after="0"/>
              <w:rPr>
                <w:sz w:val="20"/>
                <w:szCs w:val="20"/>
                <w:color w:val="auto"/>
              </w:rPr>
            </w:pPr>
            <w:r>
              <w:rPr>
                <w:rFonts w:ascii="Arial" w:cs="Arial" w:eastAsia="Arial" w:hAnsi="Arial"/>
                <w:sz w:val="18"/>
                <w:szCs w:val="18"/>
                <w:color w:val="auto"/>
              </w:rPr>
              <w:t>Address:</w:t>
            </w:r>
          </w:p>
        </w:tc>
        <w:tc>
          <w:tcPr>
            <w:tcW w:w="0" w:type="dxa"/>
            <w:vAlign w:val="bottom"/>
          </w:tcPr>
          <w:p>
            <w:pPr>
              <w:spacing w:after="0"/>
              <w:rPr>
                <w:sz w:val="1"/>
                <w:szCs w:val="1"/>
                <w:color w:val="auto"/>
              </w:rPr>
            </w:pPr>
          </w:p>
        </w:tc>
      </w:tr>
      <w:tr>
        <w:trPr>
          <w:trHeight w:val="223"/>
        </w:trPr>
        <w:tc>
          <w:tcPr>
            <w:tcW w:w="4520" w:type="dxa"/>
            <w:vAlign w:val="bottom"/>
            <w:gridSpan w:val="2"/>
            <w:vMerge w:val="restart"/>
          </w:tcPr>
          <w:p>
            <w:pPr>
              <w:spacing w:after="0"/>
              <w:rPr>
                <w:sz w:val="20"/>
                <w:szCs w:val="20"/>
                <w:color w:val="auto"/>
              </w:rPr>
            </w:pPr>
            <w:r>
              <w:rPr>
                <w:rFonts w:ascii="Arial" w:cs="Arial" w:eastAsia="Arial" w:hAnsi="Arial"/>
                <w:sz w:val="18"/>
                <w:szCs w:val="18"/>
                <w:color w:val="auto"/>
              </w:rPr>
              <w:t>Date: _______________ __, ______</w:t>
            </w:r>
          </w:p>
        </w:tc>
        <w:tc>
          <w:tcPr>
            <w:tcW w:w="3360" w:type="dxa"/>
            <w:vAlign w:val="bottom"/>
          </w:tcPr>
          <w:p>
            <w:pPr>
              <w:spacing w:after="0"/>
              <w:rPr>
                <w:sz w:val="19"/>
                <w:szCs w:val="19"/>
                <w:color w:val="auto"/>
              </w:rPr>
            </w:pPr>
          </w:p>
        </w:tc>
        <w:tc>
          <w:tcPr>
            <w:tcW w:w="336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20" w:type="dxa"/>
            <w:vAlign w:val="bottom"/>
            <w:gridSpan w:val="2"/>
            <w:vMerge w:val="continue"/>
          </w:tcPr>
          <w:p>
            <w:pPr>
              <w:spacing w:after="0"/>
              <w:rPr>
                <w:sz w:val="19"/>
                <w:szCs w:val="19"/>
                <w:color w:val="auto"/>
              </w:rPr>
            </w:pPr>
          </w:p>
        </w:tc>
        <w:tc>
          <w:tcPr>
            <w:tcW w:w="3360" w:type="dxa"/>
            <w:vAlign w:val="bottom"/>
          </w:tcPr>
          <w:p>
            <w:pPr>
              <w:spacing w:after="0"/>
              <w:rPr>
                <w:sz w:val="19"/>
                <w:szCs w:val="19"/>
                <w:color w:val="auto"/>
              </w:rPr>
            </w:pPr>
          </w:p>
        </w:tc>
        <w:tc>
          <w:tcPr>
            <w:tcW w:w="33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4520" w:type="dxa"/>
            <w:vAlign w:val="bottom"/>
            <w:gridSpan w:val="2"/>
            <w:vMerge w:val="continue"/>
          </w:tcPr>
          <w:p>
            <w:pPr>
              <w:spacing w:after="0"/>
              <w:rPr>
                <w:sz w:val="24"/>
                <w:szCs w:val="24"/>
                <w:color w:val="auto"/>
              </w:rPr>
            </w:pPr>
          </w:p>
        </w:tc>
        <w:tc>
          <w:tcPr>
            <w:tcW w:w="33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520" w:type="dxa"/>
            <w:vAlign w:val="bottom"/>
            <w:tcBorders>
              <w:bottom w:val="single" w:sz="8" w:color="auto"/>
            </w:tcBorders>
            <w:gridSpan w:val="2"/>
          </w:tcPr>
          <w:p>
            <w:pPr>
              <w:spacing w:after="0"/>
              <w:rPr>
                <w:sz w:val="24"/>
                <w:szCs w:val="24"/>
                <w:color w:val="auto"/>
              </w:rPr>
            </w:pPr>
          </w:p>
        </w:tc>
        <w:tc>
          <w:tcPr>
            <w:tcW w:w="33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rPr>
              <w:t>Name of Registered Holder</w:t>
            </w:r>
          </w:p>
        </w:tc>
        <w:tc>
          <w:tcPr>
            <w:tcW w:w="336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520" w:type="dxa"/>
            <w:vAlign w:val="bottom"/>
            <w:gridSpan w:val="2"/>
          </w:tcPr>
          <w:p>
            <w:pPr>
              <w:spacing w:after="0"/>
              <w:rPr>
                <w:sz w:val="20"/>
                <w:szCs w:val="20"/>
                <w:color w:val="auto"/>
              </w:rPr>
            </w:pPr>
            <w:r>
              <w:rPr>
                <w:rFonts w:ascii="Arial" w:cs="Arial" w:eastAsia="Arial" w:hAnsi="Arial"/>
                <w:sz w:val="18"/>
                <w:szCs w:val="18"/>
                <w:color w:val="auto"/>
              </w:rPr>
              <w:t>By:</w:t>
            </w:r>
          </w:p>
        </w:tc>
        <w:tc>
          <w:tcPr>
            <w:tcW w:w="33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60" w:type="dxa"/>
            <w:vAlign w:val="bottom"/>
          </w:tcPr>
          <w:p>
            <w:pPr>
              <w:spacing w:after="0"/>
              <w:rPr>
                <w:sz w:val="17"/>
                <w:szCs w:val="17"/>
                <w:color w:val="auto"/>
              </w:rPr>
            </w:pPr>
          </w:p>
        </w:tc>
        <w:tc>
          <w:tcPr>
            <w:tcW w:w="40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Name:</w:t>
            </w:r>
          </w:p>
        </w:tc>
        <w:tc>
          <w:tcPr>
            <w:tcW w:w="336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Title:</w:t>
            </w:r>
          </w:p>
        </w:tc>
        <w:tc>
          <w:tcPr>
            <w:tcW w:w="336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2"/>
        </w:trPr>
        <w:tc>
          <w:tcPr>
            <w:tcW w:w="46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311" w:name="page312"/>
    <w:bookmarkEnd w:id="311"/>
    <w:p>
      <w:pPr>
        <w:jc w:val="center"/>
        <w:spacing w:after="0"/>
        <w:rPr>
          <w:sz w:val="20"/>
          <w:szCs w:val="20"/>
          <w:color w:val="auto"/>
        </w:rPr>
      </w:pPr>
      <w:r>
        <w:rPr>
          <w:rFonts w:ascii="Arial" w:cs="Arial" w:eastAsia="Arial" w:hAnsi="Arial"/>
          <w:sz w:val="18"/>
          <w:szCs w:val="18"/>
          <w:b w:val="1"/>
          <w:bCs w:val="1"/>
          <w:color w:val="auto"/>
        </w:rPr>
        <w:t>ACKNOWLEDGMENT</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hereby acknowledges this Exercise Notice and hereby directs [TRANSFER AGENT] to issue the above indicated number of shares of Common Stock in accordance with the Transfer Agent Instructions dated _________________ from the Company and acknowledged and agreed to by [TRANSFER AGENT].</w:t>
      </w:r>
    </w:p>
    <w:p>
      <w:pPr>
        <w:spacing w:after="0" w:line="180"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PRESTO AUTOMATION INC.</w:t>
      </w:r>
    </w:p>
    <w:p>
      <w:pPr>
        <w:spacing w:after="0" w:line="2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14605</wp:posOffset>
            </wp:positionV>
            <wp:extent cx="2417445"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1">
                      <a:extLst>
                        <a:ext uri="{28A0092B-C50C-407E-A947-70E740481C1C}"/>
                      </a:extLst>
                    </a:blip>
                    <a:srcRect/>
                    <a:stretch>
                      <a:fillRect/>
                    </a:stretch>
                  </pic:blipFill>
                  <pic:spPr bwMode="auto">
                    <a:xfrm>
                      <a:off x="0" y="0"/>
                      <a:ext cx="2417445" cy="1714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2" w:name="page313"/>
    <w:bookmarkEnd w:id="312"/>
    <w:p>
      <w:pPr>
        <w:jc w:val="center"/>
        <w:ind w:right="-19"/>
        <w:spacing w:after="0"/>
        <w:rPr>
          <w:sz w:val="20"/>
          <w:szCs w:val="20"/>
          <w:color w:val="auto"/>
        </w:rPr>
      </w:pPr>
      <w:r>
        <w:rPr>
          <w:rFonts w:ascii="Arial" w:cs="Arial" w:eastAsia="Arial" w:hAnsi="Arial"/>
          <w:sz w:val="18"/>
          <w:szCs w:val="18"/>
          <w:b w:val="1"/>
          <w:bCs w:val="1"/>
          <w:color w:val="auto"/>
        </w:rPr>
        <w:t>ASSIGNMENT FORM</w:t>
      </w:r>
    </w:p>
    <w:p>
      <w:pPr>
        <w:spacing w:after="0" w:line="229"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(To assign the foregoing warrant, execute</w:t>
      </w:r>
    </w:p>
    <w:p>
      <w:pPr>
        <w:spacing w:after="0" w:line="23"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this form and supply required information.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 not use this form to exercise the warrant.)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VALUE RECEIVED, all of or shares of the foregoing Warrant and all rights evidenced thereby are hereby assigned to</w:t>
      </w:r>
    </w:p>
    <w:p>
      <w:pPr>
        <w:spacing w:after="0" w:line="225" w:lineRule="exact"/>
        <w:rPr>
          <w:sz w:val="20"/>
          <w:szCs w:val="20"/>
          <w:color w:val="auto"/>
        </w:rPr>
      </w:pPr>
    </w:p>
    <w:p>
      <w:pPr>
        <w:ind w:left="8440"/>
        <w:spacing w:after="0"/>
        <w:rPr>
          <w:sz w:val="20"/>
          <w:szCs w:val="20"/>
          <w:color w:val="auto"/>
        </w:rPr>
      </w:pPr>
      <w:r>
        <w:rPr>
          <w:rFonts w:ascii="Arial" w:cs="Arial" w:eastAsia="Arial" w:hAnsi="Arial"/>
          <w:sz w:val="18"/>
          <w:szCs w:val="18"/>
          <w:color w:val="auto"/>
        </w:rPr>
        <w:t>whose address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5349240"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3">
                      <a:extLst>
                        <a:ext uri="{28A0092B-C50C-407E-A947-70E740481C1C}"/>
                      </a:extLst>
                    </a:blip>
                    <a:srcRect/>
                    <a:stretch>
                      <a:fillRect/>
                    </a:stretch>
                  </pic:blipFill>
                  <pic:spPr bwMode="auto">
                    <a:xfrm>
                      <a:off x="0" y="0"/>
                      <a:ext cx="534924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5349240"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4">
                      <a:extLst>
                        <a:ext uri="{28A0092B-C50C-407E-A947-70E740481C1C}"/>
                      </a:extLst>
                    </a:blip>
                    <a:srcRect/>
                    <a:stretch>
                      <a:fillRect/>
                    </a:stretch>
                  </pic:blipFill>
                  <pic:spPr bwMode="auto">
                    <a:xfrm>
                      <a:off x="0" y="0"/>
                      <a:ext cx="534924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5349240"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5">
                      <a:extLst>
                        <a:ext uri="{28A0092B-C50C-407E-A947-70E740481C1C}"/>
                      </a:extLst>
                    </a:blip>
                    <a:srcRect/>
                    <a:stretch>
                      <a:fillRect/>
                    </a:stretch>
                  </pic:blipFill>
                  <pic:spPr bwMode="auto">
                    <a:xfrm>
                      <a:off x="0" y="0"/>
                      <a:ext cx="534924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Dated: __________________, ____</w:t>
      </w:r>
    </w:p>
    <w:p>
      <w:pPr>
        <w:spacing w:after="0" w:line="225"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Holder’s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14605</wp:posOffset>
            </wp:positionV>
            <wp:extent cx="2143125"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6">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3"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Holder’s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177165</wp:posOffset>
            </wp:positionV>
            <wp:extent cx="2143125"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7">
                      <a:extLst>
                        <a:ext uri="{28A0092B-C50C-407E-A947-70E740481C1C}"/>
                      </a:extLst>
                    </a:blip>
                    <a:srcRect/>
                    <a:stretch>
                      <a:fillRect/>
                    </a:stretch>
                  </pic:blipFill>
                  <pic:spPr bwMode="auto">
                    <a:xfrm>
                      <a:off x="0" y="0"/>
                      <a:ext cx="2143125" cy="1714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22860</wp:posOffset>
            </wp:positionV>
            <wp:extent cx="2143125"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8">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NOTE: The signature to this Assignment Form must correspond with the name as it appears on the face of the Warrant, without alteration or enlargement or any change whatsoever.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3" w:name="page314"/>
    <w:bookmarkEnd w:id="313"/>
    <w:p>
      <w:pPr>
        <w:jc w:val="right"/>
        <w:spacing w:after="0"/>
        <w:rPr>
          <w:sz w:val="20"/>
          <w:szCs w:val="20"/>
          <w:color w:val="auto"/>
        </w:rPr>
      </w:pPr>
      <w:r>
        <w:rPr>
          <w:rFonts w:ascii="Arial" w:cs="Arial" w:eastAsia="Arial" w:hAnsi="Arial"/>
          <w:sz w:val="22"/>
          <w:szCs w:val="22"/>
          <w:b w:val="1"/>
          <w:bCs w:val="1"/>
          <w:color w:val="auto"/>
        </w:rPr>
        <w:t>Exhibit 10.9</w:t>
      </w:r>
    </w:p>
    <w:p>
      <w:pPr>
        <w:spacing w:after="0" w:line="247" w:lineRule="exact"/>
        <w:rPr>
          <w:sz w:val="20"/>
          <w:szCs w:val="20"/>
          <w:color w:val="auto"/>
        </w:rPr>
      </w:pPr>
    </w:p>
    <w:p>
      <w:pPr>
        <w:ind w:left="9880"/>
        <w:spacing w:after="0"/>
        <w:rPr>
          <w:sz w:val="20"/>
          <w:szCs w:val="20"/>
          <w:color w:val="auto"/>
        </w:rPr>
      </w:pPr>
      <w:r>
        <w:rPr>
          <w:rFonts w:ascii="Arial" w:cs="Arial" w:eastAsia="Arial" w:hAnsi="Arial"/>
          <w:sz w:val="15"/>
          <w:szCs w:val="15"/>
          <w:b w:val="1"/>
          <w:bCs w:val="1"/>
          <w:i w:val="1"/>
          <w:iCs w:val="1"/>
          <w:color w:val="auto"/>
        </w:rPr>
        <w:t>Execution Version</w:t>
      </w:r>
    </w:p>
    <w:p>
      <w:pPr>
        <w:spacing w:after="0" w:line="28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NEITHER THIS WARRANT, NOR THE SECURITIES ISSUABLE UPON EXERCISE OF THIS WARRANT (COLLECTIVELY, THE “SECURITIES”), HAVE BEEN REGISTERED UNDER THE SECURITIES ACT OF 1933, AS AMENDED (THE “SECURITIES ACT”), OR UNDER ANY STATE SECURITIES OR BLUE SKY LAWS. THE SECURITIES ARE SUBJECT TO RESTRICTIONS ON TRANSFERABILITY AND RESALE AND MAY NOT BE OFFERED, FOR SALE, SOLD, PLEDGED, HYPOTHECATED OR OTHERWISE TRANSFERRED OR ASSIGNED EXCEPT AS PERMITTED UNDER THE SECURITIES ACT AND APPLICABLE STATE SECURITIES OR BLUE SKY LAWS, PURSUANT TO REGISTRATION OR QUALIFICATION OR EXEMPTION THEREFROM. INVESTORS SHOULD BE AWARE THAT THEY MAY BE REQUIRED TO BEAR THE FINANCIAL RISKS OF THIS INVESTMENT FOR AN INDEFINITE PERIOD OF TIME. THE COMPANY MAY REQUIRE AN OPINION OF COUNSEL IN FORM AND SUBSTANCE REASONABLY SATISFACTORY TO THE COMPANY TO THE EFFECT THAT ANY PROPOSED TRANSFER IS IN COMPLIANCE WITH THE SECURITIES ACT AND ANY APPLICABLE STATE SECURITIES OR BLUE SKY LAWS.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PRESTO AUTOMATION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2"/>
          <w:szCs w:val="12"/>
          <w:b w:val="1"/>
          <w:bCs w:val="1"/>
          <w:color w:val="auto"/>
        </w:rPr>
        <w:t>arrant</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o</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urchase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ommon</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Warrant No.: 2023-13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of Common Stock: 11,158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of Issuance: October 10, 2023 (“</w:t>
      </w:r>
      <w:r>
        <w:rPr>
          <w:rFonts w:ascii="Arial" w:cs="Arial" w:eastAsia="Arial" w:hAnsi="Arial"/>
          <w:sz w:val="18"/>
          <w:szCs w:val="18"/>
          <w:b w:val="1"/>
          <w:bCs w:val="1"/>
          <w:color w:val="auto"/>
        </w:rPr>
        <w:t>Issuance Date</w:t>
      </w:r>
      <w:r>
        <w:rPr>
          <w:rFonts w:ascii="Arial" w:cs="Arial" w:eastAsia="Arial" w:hAnsi="Arial"/>
          <w:sz w:val="18"/>
          <w:szCs w:val="18"/>
          <w:color w:val="auto"/>
        </w:rPr>
        <w:t>”)</w:t>
      </w:r>
    </w:p>
    <w:p>
      <w:pPr>
        <w:spacing w:after="0" w:line="207" w:lineRule="exact"/>
        <w:rPr>
          <w:sz w:val="20"/>
          <w:szCs w:val="20"/>
          <w:color w:val="auto"/>
        </w:rPr>
      </w:pPr>
    </w:p>
    <w:p>
      <w:pPr>
        <w:jc w:val="both"/>
        <w:ind w:firstLine="1296"/>
        <w:spacing w:after="0" w:line="288" w:lineRule="auto"/>
        <w:rPr>
          <w:sz w:val="20"/>
          <w:szCs w:val="20"/>
          <w:color w:val="auto"/>
        </w:rPr>
      </w:pPr>
      <w:r>
        <w:rPr>
          <w:rFonts w:ascii="Arial" w:cs="Arial" w:eastAsia="Arial" w:hAnsi="Arial"/>
          <w:sz w:val="16"/>
          <w:szCs w:val="16"/>
          <w:color w:val="auto"/>
        </w:rPr>
        <w:t>Presto Automation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hereby certifies that, for good and valuable consideration, the receipt and sufficiency of which are hereby acknowledged, Metropolitan Partners Fund VII, LP, the registered holder hereof or its permitted assigns (the “</w:t>
      </w:r>
      <w:r>
        <w:rPr>
          <w:rFonts w:ascii="Arial" w:cs="Arial" w:eastAsia="Arial" w:hAnsi="Arial"/>
          <w:sz w:val="16"/>
          <w:szCs w:val="16"/>
          <w:b w:val="1"/>
          <w:bCs w:val="1"/>
          <w:color w:val="auto"/>
        </w:rPr>
        <w:t>Holder</w:t>
      </w:r>
      <w:r>
        <w:rPr>
          <w:rFonts w:ascii="Arial" w:cs="Arial" w:eastAsia="Arial" w:hAnsi="Arial"/>
          <w:sz w:val="16"/>
          <w:szCs w:val="16"/>
          <w:color w:val="auto"/>
        </w:rPr>
        <w:t>”), is entitled, subject to the terms set forth below, to purchase from the Company, at the Exercise Price (as defined below) then in effect, at any time or times on or after the Issuance Date, but not after 11:59 p.m., New York time, on the Expiration Date, (as defined below), 11,158 duly authorized, validly issued, fully paid, nonassessable shares of Common Stock, subject to adjustment as provided herein (the “</w:t>
      </w:r>
      <w:r>
        <w:rPr>
          <w:rFonts w:ascii="Arial" w:cs="Arial" w:eastAsia="Arial" w:hAnsi="Arial"/>
          <w:sz w:val="16"/>
          <w:szCs w:val="16"/>
          <w:b w:val="1"/>
          <w:bCs w:val="1"/>
          <w:color w:val="auto"/>
        </w:rPr>
        <w:t>Warrant Shares</w:t>
      </w:r>
      <w:r>
        <w:rPr>
          <w:rFonts w:ascii="Arial" w:cs="Arial" w:eastAsia="Arial" w:hAnsi="Arial"/>
          <w:sz w:val="16"/>
          <w:szCs w:val="16"/>
          <w:color w:val="auto"/>
        </w:rPr>
        <w:t>”). Except as otherwise defined herein, capitalized terms in this Warrant to Purchase Common Stock (including any Warrants to Purchase Common Stock issued in exchange, transfer or replacement hereof, this “</w:t>
      </w:r>
      <w:r>
        <w:rPr>
          <w:rFonts w:ascii="Arial" w:cs="Arial" w:eastAsia="Arial" w:hAnsi="Arial"/>
          <w:sz w:val="16"/>
          <w:szCs w:val="16"/>
          <w:b w:val="1"/>
          <w:bCs w:val="1"/>
          <w:color w:val="auto"/>
        </w:rPr>
        <w:t>Warrant</w:t>
      </w:r>
      <w:r>
        <w:rPr>
          <w:rFonts w:ascii="Arial" w:cs="Arial" w:eastAsia="Arial" w:hAnsi="Arial"/>
          <w:sz w:val="16"/>
          <w:szCs w:val="16"/>
          <w:color w:val="auto"/>
        </w:rPr>
        <w:t>”) shall have the meanings set forth in Section 17‎. This Warrant is being issued pursuant to Section 4 of that certain Third Amendment to Credit Agreement, dated October 10, 2023, among E La Carte, LLC, the Company and Metropolitan Partners Group Administration, LLC, as agent (the “</w:t>
      </w:r>
      <w:r>
        <w:rPr>
          <w:rFonts w:ascii="Arial" w:cs="Arial" w:eastAsia="Arial" w:hAnsi="Arial"/>
          <w:sz w:val="16"/>
          <w:szCs w:val="16"/>
          <w:b w:val="1"/>
          <w:bCs w:val="1"/>
          <w:color w:val="auto"/>
        </w:rPr>
        <w:t>Third Amendment</w:t>
      </w:r>
      <w:r>
        <w:rPr>
          <w:rFonts w:ascii="Arial" w:cs="Arial" w:eastAsia="Arial" w:hAnsi="Arial"/>
          <w:sz w:val="16"/>
          <w:szCs w:val="16"/>
          <w:color w:val="auto"/>
        </w:rPr>
        <w:t>”), and to Section 7 of that certain Third Amended and Restated Fee Letter, dated October 10, 2023, among E La Carte, LLC, the Company and Metropolitan Partners Group Administration (the “</w:t>
      </w:r>
      <w:r>
        <w:rPr>
          <w:rFonts w:ascii="Arial" w:cs="Arial" w:eastAsia="Arial" w:hAnsi="Arial"/>
          <w:sz w:val="16"/>
          <w:szCs w:val="16"/>
          <w:b w:val="1"/>
          <w:bCs w:val="1"/>
          <w:color w:val="auto"/>
        </w:rPr>
        <w:t>Fee Letter</w:t>
      </w:r>
      <w:r>
        <w:rPr>
          <w:rFonts w:ascii="Arial" w:cs="Arial" w:eastAsia="Arial" w:hAnsi="Arial"/>
          <w:sz w:val="16"/>
          <w:szCs w:val="16"/>
          <w:color w:val="auto"/>
        </w:rPr>
        <w:t>”). Capitalized terms used herein and not otherwise defined shall have the definitions ascribed to such terms in the Credit Agreement (as defined in the Fee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407035</wp:posOffset>
            </wp:positionV>
            <wp:extent cx="7132320"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14" w:name="page315"/>
    <w:bookmarkEnd w:id="314"/>
    <w:p>
      <w:pPr>
        <w:ind w:left="1480" w:hanging="176"/>
        <w:spacing w:after="0"/>
        <w:tabs>
          <w:tab w:leader="none" w:pos="148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EXERCISE OF WARRANT.</w:t>
      </w:r>
    </w:p>
    <w:p>
      <w:pPr>
        <w:spacing w:after="0" w:line="225" w:lineRule="exact"/>
        <w:rPr>
          <w:rFonts w:ascii="Arial" w:cs="Arial" w:eastAsia="Arial" w:hAnsi="Arial"/>
          <w:sz w:val="18"/>
          <w:szCs w:val="18"/>
          <w:color w:val="auto"/>
        </w:rPr>
      </w:pPr>
    </w:p>
    <w:p>
      <w:pPr>
        <w:jc w:val="both"/>
        <w:ind w:firstLine="1952"/>
        <w:spacing w:after="0" w:line="282" w:lineRule="auto"/>
        <w:tabs>
          <w:tab w:leader="none" w:pos="2188" w:val="left"/>
        </w:tabs>
        <w:numPr>
          <w:ilvl w:val="1"/>
          <w:numId w:val="324"/>
        </w:numPr>
        <w:rPr>
          <w:rFonts w:ascii="Arial" w:cs="Arial" w:eastAsia="Arial" w:hAnsi="Arial"/>
          <w:sz w:val="16"/>
          <w:szCs w:val="16"/>
          <w:color w:val="auto"/>
        </w:rPr>
      </w:pPr>
      <w:r>
        <w:rPr>
          <w:rFonts w:ascii="Arial" w:cs="Arial" w:eastAsia="Arial" w:hAnsi="Arial"/>
          <w:sz w:val="16"/>
          <w:szCs w:val="16"/>
          <w:u w:val="single" w:color="auto"/>
          <w:color w:val="auto"/>
        </w:rPr>
        <w:t>Mechanics of Exercise</w:t>
      </w:r>
      <w:r>
        <w:rPr>
          <w:rFonts w:ascii="Arial" w:cs="Arial" w:eastAsia="Arial" w:hAnsi="Arial"/>
          <w:sz w:val="16"/>
          <w:szCs w:val="16"/>
          <w:color w:val="auto"/>
        </w:rPr>
        <w:t xml:space="preserve">. Subject to the terms and conditions hereof (including, without limitation, the limitations set forth in Section </w:t>
      </w:r>
      <w:r>
        <w:rPr>
          <w:rFonts w:ascii="Arial" w:cs="Arial" w:eastAsia="Arial" w:hAnsi="Arial"/>
          <w:sz w:val="19"/>
          <w:szCs w:val="19"/>
          <w:b w:val="1"/>
          <w:bCs w:val="1"/>
          <w:color w:val="auto"/>
        </w:rPr>
        <w:t>‎</w:t>
      </w:r>
      <w:r>
        <w:rPr>
          <w:rFonts w:ascii="Arial" w:cs="Arial" w:eastAsia="Arial" w:hAnsi="Arial"/>
          <w:sz w:val="16"/>
          <w:szCs w:val="16"/>
          <w:color w:val="auto"/>
        </w:rPr>
        <w:t xml:space="preserve">1(f)), this Warrant may be exercised by the Holder at any time or times on or after the Issuance Date, in whole or in part, by (i) delivery (whether via facsimile or otherwise) of a written notice, in the form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(the “</w:t>
      </w:r>
      <w:r>
        <w:rPr>
          <w:rFonts w:ascii="Arial" w:cs="Arial" w:eastAsia="Arial" w:hAnsi="Arial"/>
          <w:sz w:val="16"/>
          <w:szCs w:val="16"/>
          <w:b w:val="1"/>
          <w:bCs w:val="1"/>
          <w:color w:val="auto"/>
        </w:rPr>
        <w:t>Exercise Notice</w:t>
      </w:r>
      <w:r>
        <w:rPr>
          <w:rFonts w:ascii="Arial" w:cs="Arial" w:eastAsia="Arial" w:hAnsi="Arial"/>
          <w:sz w:val="16"/>
          <w:szCs w:val="16"/>
          <w:color w:val="auto"/>
        </w:rPr>
        <w:t>”), of the Holder’s election to exercise this Warrant and (ii) (A) payment to the Company of an amount equal to the applicable Exercise Price multiplied by the number of Warrant Shares as to which this Warrant is being exercised (the “</w:t>
      </w:r>
      <w:r>
        <w:rPr>
          <w:rFonts w:ascii="Arial" w:cs="Arial" w:eastAsia="Arial" w:hAnsi="Arial"/>
          <w:sz w:val="16"/>
          <w:szCs w:val="16"/>
          <w:b w:val="1"/>
          <w:bCs w:val="1"/>
          <w:color w:val="auto"/>
        </w:rPr>
        <w:t>Aggregate Exercise Price</w:t>
      </w:r>
      <w:r>
        <w:rPr>
          <w:rFonts w:ascii="Arial" w:cs="Arial" w:eastAsia="Arial" w:hAnsi="Arial"/>
          <w:sz w:val="16"/>
          <w:szCs w:val="16"/>
          <w:color w:val="auto"/>
        </w:rPr>
        <w:t xml:space="preserve">”) in cash by wire transfer of immediately available funds or (B) if the provisions of Section 1(d) are applicable, by notifying the Company that this Warrant is being exercised pursuant to a Cashless Exercise.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after the date the Warrant Shares which are the subject of the Exercise Notice being delivered to the Holder.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w:t>
      </w:r>
      <w:r>
        <w:rPr>
          <w:rFonts w:ascii="Arial" w:cs="Arial" w:eastAsia="Arial" w:hAnsi="Arial"/>
          <w:sz w:val="16"/>
          <w:szCs w:val="16"/>
          <w:b w:val="1"/>
          <w:bCs w:val="1"/>
          <w:color w:val="auto"/>
        </w:rPr>
        <w:t>The Holder and any assignee, by acceptance of this Warrant, acknowledge and</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agree that, by reason of the provisions of this paragraph, following the purchase of a portion of the Warrant Shares hereunder, the number of Warrant Shares available for purchase hereunder at any given time may be less than the amount stated on the face hereof. </w:t>
      </w:r>
      <w:r>
        <w:rPr>
          <w:rFonts w:ascii="Arial" w:cs="Arial" w:eastAsia="Arial" w:hAnsi="Arial"/>
          <w:sz w:val="16"/>
          <w:szCs w:val="16"/>
          <w:color w:val="auto"/>
        </w:rPr>
        <w:t>On or before the third</w:t>
      </w:r>
      <w:r>
        <w:rPr>
          <w:rFonts w:ascii="Arial" w:cs="Arial" w:eastAsia="Arial" w:hAnsi="Arial"/>
          <w:sz w:val="16"/>
          <w:szCs w:val="16"/>
          <w:b w:val="1"/>
          <w:bCs w:val="1"/>
          <w:color w:val="auto"/>
        </w:rPr>
        <w:t xml:space="preserve"> </w:t>
      </w:r>
      <w:r>
        <w:rPr>
          <w:rFonts w:ascii="Arial" w:cs="Arial" w:eastAsia="Arial" w:hAnsi="Arial"/>
          <w:sz w:val="16"/>
          <w:szCs w:val="16"/>
          <w:color w:val="auto"/>
        </w:rPr>
        <w:t>(3rd) Trading Day following the date on which the Company has received the Exercise Notice (the “</w:t>
      </w:r>
      <w:r>
        <w:rPr>
          <w:rFonts w:ascii="Arial" w:cs="Arial" w:eastAsia="Arial" w:hAnsi="Arial"/>
          <w:sz w:val="16"/>
          <w:szCs w:val="16"/>
          <w:b w:val="1"/>
          <w:bCs w:val="1"/>
          <w:color w:val="auto"/>
        </w:rPr>
        <w:t>Share Delivery Date</w:t>
      </w:r>
      <w:r>
        <w:rPr>
          <w:rFonts w:ascii="Arial" w:cs="Arial" w:eastAsia="Arial" w:hAnsi="Arial"/>
          <w:sz w:val="16"/>
          <w:szCs w:val="16"/>
          <w:color w:val="auto"/>
        </w:rPr>
        <w:t>”), so long as the Holder delivers the Aggregate Exercise Price (or notice of a Cashless Exercise) on or prior to the second (2nd) Trading Day following the date on which the Company has received the Exercise Notice (provided that if the Aggregate Exercise Price (or notice of a Cashless Exercise) has not been delivered by such date, the Share Delivery Date shall be extended one (1) Trading Day after the Aggregate Exercise Price (or notice of a Cashless Exercise) is delivered), the Company shall (X) provided that the Company’s transfer agent (“</w:t>
      </w:r>
      <w:r>
        <w:rPr>
          <w:rFonts w:ascii="Arial" w:cs="Arial" w:eastAsia="Arial" w:hAnsi="Arial"/>
          <w:sz w:val="16"/>
          <w:szCs w:val="16"/>
          <w:b w:val="1"/>
          <w:bCs w:val="1"/>
          <w:color w:val="auto"/>
        </w:rPr>
        <w:t>Transfer Agent</w:t>
      </w:r>
      <w:r>
        <w:rPr>
          <w:rFonts w:ascii="Arial" w:cs="Arial" w:eastAsia="Arial" w:hAnsi="Arial"/>
          <w:sz w:val="16"/>
          <w:szCs w:val="16"/>
          <w:color w:val="auto"/>
        </w:rPr>
        <w:t>”) is participating in The Depository Trust Company (“</w:t>
      </w:r>
      <w:r>
        <w:rPr>
          <w:rFonts w:ascii="Arial" w:cs="Arial" w:eastAsia="Arial" w:hAnsi="Arial"/>
          <w:sz w:val="16"/>
          <w:szCs w:val="16"/>
          <w:b w:val="1"/>
          <w:bCs w:val="1"/>
          <w:color w:val="auto"/>
        </w:rPr>
        <w:t>DTC</w:t>
      </w:r>
      <w:r>
        <w:rPr>
          <w:rFonts w:ascii="Arial" w:cs="Arial" w:eastAsia="Arial" w:hAnsi="Arial"/>
          <w:sz w:val="16"/>
          <w:szCs w:val="16"/>
          <w:color w:val="auto"/>
        </w:rPr>
        <w:t>”) Fast Automated Securities Transfer Program (“</w:t>
      </w:r>
      <w:r>
        <w:rPr>
          <w:rFonts w:ascii="Arial" w:cs="Arial" w:eastAsia="Arial" w:hAnsi="Arial"/>
          <w:sz w:val="16"/>
          <w:szCs w:val="16"/>
          <w:b w:val="1"/>
          <w:bCs w:val="1"/>
          <w:color w:val="auto"/>
        </w:rPr>
        <w:t>FAST</w:t>
      </w:r>
      <w:r>
        <w:rPr>
          <w:rFonts w:ascii="Arial" w:cs="Arial" w:eastAsia="Arial" w:hAnsi="Arial"/>
          <w:sz w:val="16"/>
          <w:szCs w:val="16"/>
          <w:color w:val="auto"/>
        </w:rPr>
        <w:t xml:space="preserve">”) and the Warrant Shares are eligible to be issued without a restrictive legend, credit such aggregate number of Warrant Shares to which the Holder is entitled pursuant to such exercise to the Holder’s or its designee’s balance account with DTC through its Deposit/Withdrawal At Custodian system, or (Y) if the Transfer Agent is not participating in FAST or the Warrant Shares are not eligible to be issued without a restrictive legend, issue and dispatch by overnight courier to the address as specified in the Exercise Notice, a certificate, registered in the Company’s share register in the name of the Holder or its designee, for the number of Warrant Shares to which the Holder is entitled pursuant to such exercise. The Company shall be responsible for all fees and expenses of the Transfer Agent and all fees and expenses with respect to the issuance of Warrant Shares via DTC, if any. Upon delivery of the Exercise Notice and the Aggregate Exercise Price (or notice of a Cashless Exercise), the Holder shall be deemed for all corporate purposes to have become the holder of record of the Warrant Shares with respect to which this Warrant has been exercised, irrespective of the date such Warrant Shares are credited to the Holder’s DTC account or the date of delivery of the certificates evidencing such Warrant Shares, as the case may be. If this Warrant is submitted in connection with any exercise pursuant to this Section </w:t>
      </w:r>
      <w:r>
        <w:rPr>
          <w:rFonts w:ascii="Arial" w:cs="Arial" w:eastAsia="Arial" w:hAnsi="Arial"/>
          <w:sz w:val="19"/>
          <w:szCs w:val="19"/>
          <w:b w:val="1"/>
          <w:bCs w:val="1"/>
          <w:color w:val="auto"/>
        </w:rPr>
        <w:t>‎</w:t>
      </w:r>
      <w:r>
        <w:rPr>
          <w:rFonts w:ascii="Arial" w:cs="Arial" w:eastAsia="Arial" w:hAnsi="Arial"/>
          <w:sz w:val="16"/>
          <w:szCs w:val="16"/>
          <w:color w:val="auto"/>
        </w:rPr>
        <w:t xml:space="preserve">1(a) and the number of Warrant Shares represented by this Warrant submitted for exercise is greater than the number of Warrant Shares being acquired upon an exercise, then the Company shall as soon as reasonably practicable and in no event later than three (3) Trading Days after any exercise and at its own expense, issue a new Warrant (in accordance with Section </w:t>
      </w:r>
      <w:r>
        <w:rPr>
          <w:rFonts w:ascii="Arial" w:cs="Arial" w:eastAsia="Arial" w:hAnsi="Arial"/>
          <w:sz w:val="19"/>
          <w:szCs w:val="19"/>
          <w:b w:val="1"/>
          <w:bCs w:val="1"/>
          <w:color w:val="auto"/>
        </w:rPr>
        <w:t>‎</w:t>
      </w:r>
      <w:r>
        <w:rPr>
          <w:rFonts w:ascii="Arial" w:cs="Arial" w:eastAsia="Arial" w:hAnsi="Arial"/>
          <w:sz w:val="16"/>
          <w:szCs w:val="16"/>
          <w:color w:val="auto"/>
        </w:rPr>
        <w:t>1(d)) representing the right to purchase the number of Warrant Shares issuable immediately prior to such exercise under this Warrant, less the number of Warrant Shares with respect to which this Warrant is exercised upon surrender of the Warrant so exercised. No fractional Warrant Shares are to be issued upon the exercise of this Warrant, but rather the number of Warrant Shares to be issued shall be rounded down to the nearest whole number. The Company shall pay any and all transfer, stamp, issuance and similar taxes (but not any United States federal, state or local income taxes) that may be payable with respect to the issuance and delivery of Warrant Shares upon exercise of this Warrant. The Company’s obligations to issue and deliver Warrant Shares in accordance with the terms and subject to the conditions hereof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5" w:name="page316"/>
    <w:bookmarkEnd w:id="315"/>
    <w:p>
      <w:pPr>
        <w:ind w:left="2200" w:hanging="248"/>
        <w:spacing w:after="0"/>
        <w:tabs>
          <w:tab w:leader="none" w:pos="2200" w:val="left"/>
        </w:tabs>
        <w:numPr>
          <w:ilvl w:val="0"/>
          <w:numId w:val="325"/>
        </w:numPr>
        <w:rPr>
          <w:rFonts w:ascii="Arial" w:cs="Arial" w:eastAsia="Arial" w:hAnsi="Arial"/>
          <w:sz w:val="17"/>
          <w:szCs w:val="17"/>
          <w:color w:val="auto"/>
        </w:rPr>
      </w:pPr>
      <w:r>
        <w:rPr>
          <w:rFonts w:ascii="Arial" w:cs="Arial" w:eastAsia="Arial" w:hAnsi="Arial"/>
          <w:sz w:val="17"/>
          <w:szCs w:val="17"/>
          <w:u w:val="single" w:color="auto"/>
          <w:color w:val="auto"/>
        </w:rPr>
        <w:t>Exercise Price</w:t>
      </w:r>
      <w:r>
        <w:rPr>
          <w:rFonts w:ascii="Arial" w:cs="Arial" w:eastAsia="Arial" w:hAnsi="Arial"/>
          <w:sz w:val="17"/>
          <w:szCs w:val="17"/>
          <w:color w:val="auto"/>
        </w:rPr>
        <w:t>. For purposes of this Warrant, “</w:t>
      </w:r>
      <w:r>
        <w:rPr>
          <w:rFonts w:ascii="Arial" w:cs="Arial" w:eastAsia="Arial" w:hAnsi="Arial"/>
          <w:sz w:val="17"/>
          <w:szCs w:val="17"/>
          <w:b w:val="1"/>
          <w:bCs w:val="1"/>
          <w:color w:val="auto"/>
        </w:rPr>
        <w:t>Exercise Price</w:t>
      </w:r>
      <w:r>
        <w:rPr>
          <w:rFonts w:ascii="Arial" w:cs="Arial" w:eastAsia="Arial" w:hAnsi="Arial"/>
          <w:sz w:val="17"/>
          <w:szCs w:val="17"/>
          <w:color w:val="auto"/>
        </w:rPr>
        <w:t>” means $0.01, subject to adjustment as provided herein.</w:t>
      </w:r>
    </w:p>
    <w:p>
      <w:pPr>
        <w:spacing w:after="0" w:line="240" w:lineRule="exact"/>
        <w:rPr>
          <w:rFonts w:ascii="Arial" w:cs="Arial" w:eastAsia="Arial" w:hAnsi="Arial"/>
          <w:sz w:val="17"/>
          <w:szCs w:val="17"/>
          <w:color w:val="auto"/>
        </w:rPr>
      </w:pPr>
    </w:p>
    <w:p>
      <w:pPr>
        <w:jc w:val="both"/>
        <w:ind w:firstLine="1952"/>
        <w:spacing w:after="0" w:line="283" w:lineRule="auto"/>
        <w:tabs>
          <w:tab w:leader="none" w:pos="2188" w:val="left"/>
        </w:tabs>
        <w:numPr>
          <w:ilvl w:val="0"/>
          <w:numId w:val="325"/>
        </w:numPr>
        <w:rPr>
          <w:rFonts w:ascii="Arial" w:cs="Arial" w:eastAsia="Arial" w:hAnsi="Arial"/>
          <w:sz w:val="16"/>
          <w:szCs w:val="16"/>
          <w:color w:val="auto"/>
        </w:rPr>
      </w:pPr>
      <w:r>
        <w:rPr>
          <w:rFonts w:ascii="Arial" w:cs="Arial" w:eastAsia="Arial" w:hAnsi="Arial"/>
          <w:sz w:val="16"/>
          <w:szCs w:val="16"/>
          <w:u w:val="single" w:color="auto"/>
          <w:color w:val="auto"/>
        </w:rPr>
        <w:t>Company’s Failure to Timely Deliver Securities</w:t>
      </w:r>
      <w:r>
        <w:rPr>
          <w:rFonts w:ascii="Arial" w:cs="Arial" w:eastAsia="Arial" w:hAnsi="Arial"/>
          <w:sz w:val="16"/>
          <w:szCs w:val="16"/>
          <w:color w:val="auto"/>
        </w:rPr>
        <w:t>. If the Company shall fail, for any reason or for no reason, on or prior to the Share Delivery Date, if the Transfer Agent is not participating in FAST or such shares of Common Stock may not be issued without legends under the Securities Act, to issue and deliver to the Holder (or its designee) a certificate for the number of Warrant Shares to which the Holder is entitled and register such Warrant Shares on the Company’s share register or, if the Transfer Agent is participating in FAST and such shares of Common Stock may not be issued without legends under the Securities Act, to credit the balance account of the Holder or the Holder’s designee with DTC for such number of Warrant Shares to which the Holder is entitled upon the Holder’s exercise of this Warrant (as the case may be) (a “</w:t>
      </w:r>
      <w:r>
        <w:rPr>
          <w:rFonts w:ascii="Arial" w:cs="Arial" w:eastAsia="Arial" w:hAnsi="Arial"/>
          <w:sz w:val="16"/>
          <w:szCs w:val="16"/>
          <w:b w:val="1"/>
          <w:bCs w:val="1"/>
          <w:color w:val="auto"/>
        </w:rPr>
        <w:t>Delivery Failure</w:t>
      </w:r>
      <w:r>
        <w:rPr>
          <w:rFonts w:ascii="Arial" w:cs="Arial" w:eastAsia="Arial" w:hAnsi="Arial"/>
          <w:sz w:val="16"/>
          <w:szCs w:val="16"/>
          <w:color w:val="auto"/>
        </w:rPr>
        <w:t xml:space="preserve">”), then, in addition to all other remedies available to the Holder, (X) the Company shall pay in cash to the Holder on each day after the Share Delivery Date and during such Delivery Failure an amount in cash, as liquidated damages and not as a penalty, equal to 2.0% of the product of (A) the sum of the number of shares of Common Stock not issued to the Holder on or prior to the Share Delivery Date and to which the Holder is entitled, and (B) any trading price of the Common Stock selected by the Holder in writing as in effect at any time during the period beginning on the applicable exercise date and ending on the applicable Share Delivery Date, and (Y) the Holder, upon written notice to the Company, may void its Exercise Notice with respect to, and retain or have returned, as the case may be, any portion of this Warrant that has not been exercised pursuant to such Exercise Notice; provided that the voiding of an Exercise Notice shall not affect the Company’s obligations to make any payments which have accrued prior to the date of such notice pursuant to this Section </w:t>
      </w:r>
      <w:r>
        <w:rPr>
          <w:rFonts w:ascii="Arial" w:cs="Arial" w:eastAsia="Arial" w:hAnsi="Arial"/>
          <w:sz w:val="19"/>
          <w:szCs w:val="19"/>
          <w:b w:val="1"/>
          <w:bCs w:val="1"/>
          <w:color w:val="auto"/>
        </w:rPr>
        <w:t>‎</w:t>
      </w:r>
      <w:r>
        <w:rPr>
          <w:rFonts w:ascii="Arial" w:cs="Arial" w:eastAsia="Arial" w:hAnsi="Arial"/>
          <w:sz w:val="16"/>
          <w:szCs w:val="16"/>
          <w:color w:val="auto"/>
        </w:rPr>
        <w:t>1(c) or otherwise. In addition to the foregoing, if on or after such Share Delivery Date the Holder purchases (in an open market transaction or otherwise) shares of Common Stock to deliver in satisfaction of a sale by the Holder of all or any portion of the number of shares of Common Stock issuable upon such exercise that the Holder is entitled to receive from the Company (a “</w:t>
      </w:r>
      <w:r>
        <w:rPr>
          <w:rFonts w:ascii="Arial" w:cs="Arial" w:eastAsia="Arial" w:hAnsi="Arial"/>
          <w:sz w:val="16"/>
          <w:szCs w:val="16"/>
          <w:b w:val="1"/>
          <w:bCs w:val="1"/>
          <w:color w:val="auto"/>
        </w:rPr>
        <w:t>Buy-In</w:t>
      </w:r>
      <w:r>
        <w:rPr>
          <w:rFonts w:ascii="Arial" w:cs="Arial" w:eastAsia="Arial" w:hAnsi="Arial"/>
          <w:sz w:val="16"/>
          <w:szCs w:val="16"/>
          <w:color w:val="auto"/>
        </w:rPr>
        <w:t>”), then, in addition to all other remedies available to the Holder, the Company shall, within three (3) Business Days after the Holder’s request and in the Holder’s discretion, either (i) pay cash to the Holder in an amount equal to the Holder’s total purchase price (including brokerage commissions and other out-of-pocket expenses, if any) for the shares of Common Stock so purchased (including, without limitation, by any other Person in respect, or on behalf, of the Holder) (the “</w:t>
      </w:r>
      <w:r>
        <w:rPr>
          <w:rFonts w:ascii="Arial" w:cs="Arial" w:eastAsia="Arial" w:hAnsi="Arial"/>
          <w:sz w:val="16"/>
          <w:szCs w:val="16"/>
          <w:b w:val="1"/>
          <w:bCs w:val="1"/>
          <w:color w:val="auto"/>
        </w:rPr>
        <w:t>Buy-In Price</w:t>
      </w:r>
      <w:r>
        <w:rPr>
          <w:rFonts w:ascii="Arial" w:cs="Arial" w:eastAsia="Arial" w:hAnsi="Arial"/>
          <w:sz w:val="16"/>
          <w:szCs w:val="16"/>
          <w:color w:val="auto"/>
        </w:rPr>
        <w:t>”), at which point the Company’s obligation to so issue and deliver such certificate (and to issue such shares of Common Stock) or credit the balance account of such Holder or such Holder’s designee, as applicable, with DTC for the number of Warrant Shares to which the Holder is entitled upon the Holder’s exercise hereunder (as the case may be) (and to issue such Warrant Shares) shall terminate, or (ii) promptly honor its obligation to so issue and deliver to the Holder a certificate or certificates representing such Warrant Shares or credit the balance account of such Holder or such Holder’s designee, as applicable, with DTC for the number of Warrant Shares to which the Holder is entitled upon the Holder’s exercise hereunder (as the case may be) and pay cash to the Holder in an amount equal to the excess (if any) of the Buy-In Price over the product of (A) such number of Warrant Shares multiplied by (B) the Closing Sale Price of the Common Stock on the Share Delivery Date with respect to the related Exercise Notice (the “</w:t>
      </w:r>
      <w:r>
        <w:rPr>
          <w:rFonts w:ascii="Arial" w:cs="Arial" w:eastAsia="Arial" w:hAnsi="Arial"/>
          <w:sz w:val="16"/>
          <w:szCs w:val="16"/>
          <w:b w:val="1"/>
          <w:bCs w:val="1"/>
          <w:color w:val="auto"/>
        </w:rPr>
        <w:t>Buy-In Payment Amount</w:t>
      </w:r>
      <w:r>
        <w:rPr>
          <w:rFonts w:ascii="Arial" w:cs="Arial" w:eastAsia="Arial" w:hAnsi="Arial"/>
          <w:sz w:val="16"/>
          <w:szCs w:val="16"/>
          <w:color w:val="auto"/>
        </w:rPr>
        <w:t>”). The Holder shall provide the Company written notice indicating the amounts payable to the Holder in respect of the Buy-In and, upon request of the Company, evidence of the amount of such loss. Nothing shall limit the Holder’s right to pursue any other remedies available to it hereunder, at law or in equity, including, without limitation, a decree of specific performance and/or injunctive relief with respect to the Company’s failure to timely deliver certificates representing shares of Common Stock (or to electronically deliver such shares of Common Stock) upon the exercise of this Warrant as required pursuant to the terms hereof.</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6" w:name="page317"/>
    <w:bookmarkEnd w:id="316"/>
    <w:p>
      <w:pPr>
        <w:jc w:val="both"/>
        <w:ind w:firstLine="1952"/>
        <w:spacing w:after="0" w:line="255" w:lineRule="auto"/>
        <w:tabs>
          <w:tab w:leader="none" w:pos="2212" w:val="left"/>
        </w:tabs>
        <w:numPr>
          <w:ilvl w:val="0"/>
          <w:numId w:val="326"/>
        </w:numPr>
        <w:rPr>
          <w:rFonts w:ascii="Arial" w:cs="Arial" w:eastAsia="Arial" w:hAnsi="Arial"/>
          <w:sz w:val="18"/>
          <w:szCs w:val="18"/>
          <w:color w:val="auto"/>
        </w:rPr>
      </w:pPr>
      <w:r>
        <w:rPr>
          <w:rFonts w:ascii="Arial" w:cs="Arial" w:eastAsia="Arial" w:hAnsi="Arial"/>
          <w:sz w:val="18"/>
          <w:szCs w:val="18"/>
          <w:u w:val="single" w:color="auto"/>
          <w:color w:val="auto"/>
        </w:rPr>
        <w:t>Cashless Exercise</w:t>
      </w:r>
      <w:r>
        <w:rPr>
          <w:rFonts w:ascii="Arial" w:cs="Arial" w:eastAsia="Arial" w:hAnsi="Arial"/>
          <w:sz w:val="18"/>
          <w:szCs w:val="18"/>
          <w:color w:val="auto"/>
        </w:rPr>
        <w:t xml:space="preserve">. Notwithstanding anything contained herein to the contrary (other than Section </w:t>
      </w:r>
      <w:r>
        <w:rPr>
          <w:rFonts w:ascii="Arial" w:cs="Arial" w:eastAsia="Arial" w:hAnsi="Arial"/>
          <w:sz w:val="21"/>
          <w:szCs w:val="21"/>
          <w:b w:val="1"/>
          <w:bCs w:val="1"/>
          <w:color w:val="auto"/>
        </w:rPr>
        <w:t>‎</w:t>
      </w:r>
      <w:r>
        <w:rPr>
          <w:rFonts w:ascii="Arial" w:cs="Arial" w:eastAsia="Arial" w:hAnsi="Arial"/>
          <w:sz w:val="18"/>
          <w:szCs w:val="18"/>
          <w:color w:val="auto"/>
        </w:rPr>
        <w:t xml:space="preserve">1(f) below), the Holder may, in its sole discretion (and without limiting the Holder’s rights and remedies contained herein), exercise this Warrant in whole or in part and, subject to the provisions of Section </w:t>
      </w:r>
      <w:r>
        <w:rPr>
          <w:rFonts w:ascii="Arial" w:cs="Arial" w:eastAsia="Arial" w:hAnsi="Arial"/>
          <w:sz w:val="21"/>
          <w:szCs w:val="21"/>
          <w:b w:val="1"/>
          <w:bCs w:val="1"/>
          <w:color w:val="auto"/>
        </w:rPr>
        <w:t>‎</w:t>
      </w:r>
      <w:r>
        <w:rPr>
          <w:rFonts w:ascii="Arial" w:cs="Arial" w:eastAsia="Arial" w:hAnsi="Arial"/>
          <w:sz w:val="18"/>
          <w:szCs w:val="18"/>
          <w:color w:val="auto"/>
        </w:rPr>
        <w:t>1(a), in lieu of making the cash payment otherwise contemplated to be made to the Company upon such exercise in payment of the Aggregate Exercise Price, elect instead to receive upon such exercise the “Net Number” of Warrant Shares determined according to the following formula:</w:t>
      </w:r>
    </w:p>
    <w:p>
      <w:pPr>
        <w:spacing w:after="0" w:line="19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Net Number = </w:t>
      </w:r>
      <w:r>
        <w:rPr>
          <w:rFonts w:ascii="Arial" w:cs="Arial" w:eastAsia="Arial" w:hAnsi="Arial"/>
          <w:sz w:val="18"/>
          <w:szCs w:val="18"/>
          <w:u w:val="single" w:color="auto"/>
          <w:color w:val="auto"/>
        </w:rPr>
        <w:t>(A x B) - (A x C)</w:t>
      </w:r>
    </w:p>
    <w:p>
      <w:pPr>
        <w:spacing w:after="0" w:line="23"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B</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For purposes of the foregoing formula: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 the total number of shares with respect to which this Warrant is then being exercised.</w:t>
      </w:r>
    </w:p>
    <w:p>
      <w:pPr>
        <w:spacing w:after="0" w:line="225" w:lineRule="exact"/>
        <w:rPr>
          <w:sz w:val="20"/>
          <w:szCs w:val="20"/>
          <w:color w:val="auto"/>
        </w:rPr>
      </w:pPr>
    </w:p>
    <w:p>
      <w:pPr>
        <w:ind w:left="1300" w:right="20"/>
        <w:spacing w:after="0" w:line="342" w:lineRule="auto"/>
        <w:rPr>
          <w:sz w:val="20"/>
          <w:szCs w:val="20"/>
          <w:color w:val="auto"/>
        </w:rPr>
      </w:pPr>
      <w:r>
        <w:rPr>
          <w:rFonts w:ascii="Arial" w:cs="Arial" w:eastAsia="Arial" w:hAnsi="Arial"/>
          <w:sz w:val="16"/>
          <w:szCs w:val="16"/>
          <w:color w:val="auto"/>
        </w:rPr>
        <w:t>B = the quotient of (x) the sum of the VWAP of the Common Stock of each of the five (5) Trading Days ending at the close of business on the Principal Market immediately prior to the time of exercise as set forth in the applicable Exercise Notice, divided by (y) five (5).</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 = the Exercise Price then in effect for the applicable Warrant Shares at the time of such exercise.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purposes of Rule 144(d) promulgated under the Securities Act, as in effect on the date hereof, it is intended that the Warrant Shares issued in a Cashless Exercise shall be deemed to have been acquired by the Holder, and the holding period for the Warrant Shares shall be deemed to have commenced, on the date this Warrant was originally issued pursuant to the Credit Agreement.</w:t>
      </w:r>
    </w:p>
    <w:p>
      <w:pPr>
        <w:spacing w:after="0" w:line="184" w:lineRule="exact"/>
        <w:rPr>
          <w:sz w:val="20"/>
          <w:szCs w:val="20"/>
          <w:color w:val="auto"/>
        </w:rPr>
      </w:pPr>
    </w:p>
    <w:p>
      <w:pPr>
        <w:jc w:val="both"/>
        <w:ind w:firstLine="1952"/>
        <w:spacing w:after="0" w:line="263" w:lineRule="auto"/>
        <w:tabs>
          <w:tab w:leader="none" w:pos="2188" w:val="left"/>
        </w:tabs>
        <w:numPr>
          <w:ilvl w:val="0"/>
          <w:numId w:val="327"/>
        </w:numPr>
        <w:rPr>
          <w:rFonts w:ascii="Arial" w:cs="Arial" w:eastAsia="Arial" w:hAnsi="Arial"/>
          <w:sz w:val="18"/>
          <w:szCs w:val="18"/>
          <w:color w:val="auto"/>
        </w:rPr>
      </w:pPr>
      <w:r>
        <w:rPr>
          <w:rFonts w:ascii="Arial" w:cs="Arial" w:eastAsia="Arial" w:hAnsi="Arial"/>
          <w:sz w:val="18"/>
          <w:szCs w:val="18"/>
          <w:u w:val="single" w:color="auto"/>
          <w:color w:val="auto"/>
        </w:rPr>
        <w:t>Disputes</w:t>
      </w:r>
      <w:r>
        <w:rPr>
          <w:rFonts w:ascii="Arial" w:cs="Arial" w:eastAsia="Arial" w:hAnsi="Arial"/>
          <w:sz w:val="18"/>
          <w:szCs w:val="18"/>
          <w:color w:val="auto"/>
        </w:rPr>
        <w:t xml:space="preserve">. In the case of a dispute as to the determination of the Exercise Price or the arithmetic calculation of the number of Warrant Shares to be issued pursuant to the terms hereof, the Company shall promptly issue to the Holder the number of Warrant Shares that are not disputed and resolve such dispute in accordance with Section </w:t>
      </w:r>
      <w:r>
        <w:rPr>
          <w:rFonts w:ascii="Arial" w:cs="Arial" w:eastAsia="Arial" w:hAnsi="Arial"/>
          <w:sz w:val="21"/>
          <w:szCs w:val="21"/>
          <w:b w:val="1"/>
          <w:bCs w:val="1"/>
          <w:color w:val="auto"/>
        </w:rPr>
        <w:t>‎</w:t>
      </w:r>
      <w:r>
        <w:rPr>
          <w:rFonts w:ascii="Arial" w:cs="Arial" w:eastAsia="Arial" w:hAnsi="Arial"/>
          <w:sz w:val="18"/>
          <w:szCs w:val="18"/>
          <w:color w:val="auto"/>
        </w:rPr>
        <w:t>12.</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17" w:name="page318"/>
    <w:bookmarkEnd w:id="317"/>
    <w:p>
      <w:pPr>
        <w:jc w:val="both"/>
        <w:ind w:firstLine="1952"/>
        <w:spacing w:after="0" w:line="281" w:lineRule="auto"/>
        <w:tabs>
          <w:tab w:leader="none" w:pos="2196" w:val="left"/>
        </w:tabs>
        <w:numPr>
          <w:ilvl w:val="1"/>
          <w:numId w:val="328"/>
        </w:numPr>
        <w:rPr>
          <w:rFonts w:ascii="Arial" w:cs="Arial" w:eastAsia="Arial" w:hAnsi="Arial"/>
          <w:sz w:val="16"/>
          <w:szCs w:val="16"/>
          <w:color w:val="auto"/>
        </w:rPr>
      </w:pPr>
      <w:r>
        <w:rPr>
          <w:rFonts w:ascii="Arial" w:cs="Arial" w:eastAsia="Arial" w:hAnsi="Arial"/>
          <w:sz w:val="16"/>
          <w:szCs w:val="16"/>
          <w:u w:val="single" w:color="auto"/>
          <w:color w:val="auto"/>
        </w:rPr>
        <w:t>Limitations on Exercises</w:t>
      </w:r>
      <w:r>
        <w:rPr>
          <w:rFonts w:ascii="Arial" w:cs="Arial" w:eastAsia="Arial" w:hAnsi="Arial"/>
          <w:sz w:val="16"/>
          <w:szCs w:val="16"/>
          <w:color w:val="auto"/>
        </w:rPr>
        <w:t>. Notwithstanding anything to the contrary contained herein, the Company shall not effect the exercise of any portion of this Warrant, and the Holder shall not have the right to exercise any portion of this Warrant, pursuant to the terms and conditions of this Warrant and any such exercise shall be null and void and treated as if never made, to the extent that after giving effect to such exercise, the Holder together with the other Attribution Parties collectively would beneficially own in excess of 4.99% (the “</w:t>
      </w:r>
      <w:r>
        <w:rPr>
          <w:rFonts w:ascii="Arial" w:cs="Arial" w:eastAsia="Arial" w:hAnsi="Arial"/>
          <w:sz w:val="16"/>
          <w:szCs w:val="16"/>
          <w:b w:val="1"/>
          <w:bCs w:val="1"/>
          <w:color w:val="auto"/>
        </w:rPr>
        <w:t>Maximum Percentage</w:t>
      </w:r>
      <w:r>
        <w:rPr>
          <w:rFonts w:ascii="Arial" w:cs="Arial" w:eastAsia="Arial" w:hAnsi="Arial"/>
          <w:sz w:val="16"/>
          <w:szCs w:val="16"/>
          <w:color w:val="auto"/>
        </w:rPr>
        <w:t xml:space="preserve">”) of the number of shares of Common Stock outstanding immediately after giving effect to such exercise. For purposes of the foregoing sentence, the aggregate number of shares of Common Stock beneficially owned by the Holder and the other Attribution Parties shall include the number of shares of Common Stock held by the Holder and all other Attribution Parties plus the number of shares of Common Stock issuable upon exercise of this Warrant with respect to which the determination of such sentence is being made, but shall exclude the number of shares of Common Stock which would be issuable upon (A) exercise of the remaining, unexercised portion of this Warrant beneficially owned by the Holder or any of the other Attribution Parties and (B) exercise or conversion of the unexercised or unconverted portion of any other securities of the Company (including, without limitation, any convertible notes or convertible preferred stock or warrants) beneficially owned by the Holder or any other Attribution Party subject to a limitation on conversion or exercise analogous to the limitation contained in this Section </w:t>
      </w:r>
      <w:r>
        <w:rPr>
          <w:rFonts w:ascii="Arial" w:cs="Arial" w:eastAsia="Arial" w:hAnsi="Arial"/>
          <w:sz w:val="19"/>
          <w:szCs w:val="19"/>
          <w:b w:val="1"/>
          <w:bCs w:val="1"/>
          <w:color w:val="auto"/>
        </w:rPr>
        <w:t>‎</w:t>
      </w:r>
      <w:r>
        <w:rPr>
          <w:rFonts w:ascii="Arial" w:cs="Arial" w:eastAsia="Arial" w:hAnsi="Arial"/>
          <w:sz w:val="16"/>
          <w:szCs w:val="16"/>
          <w:color w:val="auto"/>
        </w:rPr>
        <w:t xml:space="preserve">1(f). For purposes of this Section </w:t>
      </w:r>
      <w:r>
        <w:rPr>
          <w:rFonts w:ascii="Arial" w:cs="Arial" w:eastAsia="Arial" w:hAnsi="Arial"/>
          <w:sz w:val="19"/>
          <w:szCs w:val="19"/>
          <w:b w:val="1"/>
          <w:bCs w:val="1"/>
          <w:color w:val="auto"/>
        </w:rPr>
        <w:t>‎</w:t>
      </w:r>
      <w:r>
        <w:rPr>
          <w:rFonts w:ascii="Arial" w:cs="Arial" w:eastAsia="Arial" w:hAnsi="Arial"/>
          <w:sz w:val="16"/>
          <w:szCs w:val="16"/>
          <w:color w:val="auto"/>
        </w:rPr>
        <w:t>1(f), beneficial ownership shall be calculated in accordance with Section 13(d) of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For purposes of this Warrant, in determining the number of outstanding shares of Common Stock the Holder may acquire upon the exercise of this Warrant without exceeding the Maximum Percentage, the Holder may rely on the number of outstanding shares of Common Stock as reflected in (x) the Company’s most recent Annual Report on Form 10-K, Quarterly Report on Form 10-Q, Current Report on Form 8-K or other public filing with the Securities and Exchange Commission (the “</w:t>
      </w:r>
      <w:r>
        <w:rPr>
          <w:rFonts w:ascii="Arial" w:cs="Arial" w:eastAsia="Arial" w:hAnsi="Arial"/>
          <w:sz w:val="16"/>
          <w:szCs w:val="16"/>
          <w:b w:val="1"/>
          <w:bCs w:val="1"/>
          <w:color w:val="auto"/>
        </w:rPr>
        <w:t>SEC</w:t>
      </w:r>
      <w:r>
        <w:rPr>
          <w:rFonts w:ascii="Arial" w:cs="Arial" w:eastAsia="Arial" w:hAnsi="Arial"/>
          <w:sz w:val="16"/>
          <w:szCs w:val="16"/>
          <w:color w:val="auto"/>
        </w:rPr>
        <w:t>”), as the case may be, (y) a more recent public announcement by the Company or (z) any other written notice by the Company or the Transfer Agent, if any, setting forth the number of shares of Common Stock outstanding (the “</w:t>
      </w:r>
      <w:r>
        <w:rPr>
          <w:rFonts w:ascii="Arial" w:cs="Arial" w:eastAsia="Arial" w:hAnsi="Arial"/>
          <w:sz w:val="16"/>
          <w:szCs w:val="16"/>
          <w:b w:val="1"/>
          <w:bCs w:val="1"/>
          <w:color w:val="auto"/>
        </w:rPr>
        <w:t>Reported Outstanding Share Number</w:t>
      </w:r>
      <w:r>
        <w:rPr>
          <w:rFonts w:ascii="Arial" w:cs="Arial" w:eastAsia="Arial" w:hAnsi="Arial"/>
          <w:sz w:val="16"/>
          <w:szCs w:val="16"/>
          <w:color w:val="auto"/>
        </w:rPr>
        <w:t xml:space="preserve">”). If the Company receives an Exercise Notice from the Holder at a time when the actual number of outstanding shares of Common Stock is less than the Reported Outstanding Share Number, the Company shall (i) notify the Holder in writing of the number of shares of Common Stock then outstanding and, to the extent that such Exercise Notice would otherwise cause the Holder’s beneficial ownership, as determined pursuant to this Section </w:t>
      </w:r>
      <w:r>
        <w:rPr>
          <w:rFonts w:ascii="Arial" w:cs="Arial" w:eastAsia="Arial" w:hAnsi="Arial"/>
          <w:sz w:val="19"/>
          <w:szCs w:val="19"/>
          <w:b w:val="1"/>
          <w:bCs w:val="1"/>
          <w:color w:val="auto"/>
        </w:rPr>
        <w:t>‎</w:t>
      </w:r>
      <w:r>
        <w:rPr>
          <w:rFonts w:ascii="Arial" w:cs="Arial" w:eastAsia="Arial" w:hAnsi="Arial"/>
          <w:sz w:val="16"/>
          <w:szCs w:val="16"/>
          <w:color w:val="auto"/>
        </w:rPr>
        <w:t>1(f), to exceed the Maximum Percentage, the Holder must notify the Company of a reduced number of Warrant Shares to be purchased pursuant to such Exercise Notice (the number of shares by which such purchase is reduced, the “</w:t>
      </w:r>
      <w:r>
        <w:rPr>
          <w:rFonts w:ascii="Arial" w:cs="Arial" w:eastAsia="Arial" w:hAnsi="Arial"/>
          <w:sz w:val="16"/>
          <w:szCs w:val="16"/>
          <w:b w:val="1"/>
          <w:bCs w:val="1"/>
          <w:color w:val="auto"/>
        </w:rPr>
        <w:t>Reduction Shares</w:t>
      </w:r>
      <w:r>
        <w:rPr>
          <w:rFonts w:ascii="Arial" w:cs="Arial" w:eastAsia="Arial" w:hAnsi="Arial"/>
          <w:sz w:val="16"/>
          <w:szCs w:val="16"/>
          <w:color w:val="auto"/>
        </w:rPr>
        <w:t>”) and</w:t>
      </w:r>
    </w:p>
    <w:p>
      <w:pPr>
        <w:jc w:val="both"/>
        <w:ind w:firstLine="8"/>
        <w:spacing w:after="0" w:line="282" w:lineRule="auto"/>
        <w:tabs>
          <w:tab w:leader="none" w:pos="283" w:val="left"/>
        </w:tabs>
        <w:numPr>
          <w:ilvl w:val="0"/>
          <w:numId w:val="329"/>
        </w:numPr>
        <w:rPr>
          <w:rFonts w:ascii="Arial" w:cs="Arial" w:eastAsia="Arial" w:hAnsi="Arial"/>
          <w:sz w:val="16"/>
          <w:szCs w:val="16"/>
          <w:color w:val="auto"/>
        </w:rPr>
      </w:pPr>
      <w:r>
        <w:rPr>
          <w:rFonts w:ascii="Arial" w:cs="Arial" w:eastAsia="Arial" w:hAnsi="Arial"/>
          <w:sz w:val="16"/>
          <w:szCs w:val="16"/>
          <w:color w:val="auto"/>
        </w:rPr>
        <w:t>as soon as reasonably practicable, the Company shall return to the Holder any exercise price paid by the Holder for the Reduction Shares. For any reason at any time, upon the written or oral request of the Holder, the Company shall within one (1) Business Day confirm orally and in writing or by electronic mail to the Holder the number of shares of Common Stock then outstanding. In any case, the number of outstanding shares of Common Stock shall be determined after giving effect to the conversion or exercise of securities of the Company, including this Warrant, by the Holder and any other Attribution Party since the date as of which the Reported Outstanding Share Number was reported. In the event that the issuance of shares of Common Stock to the Holder upon exercise of this Warrant results in the Holder and the other Attribution Parties being deemed to beneficially own, in the aggregate, more than the Maximum Percentage of the number of outstanding shares of Common Stock (as determined under Section 13(d) of the Exchange Act), the number of shares so issued by which the Holder’s and the other Attribution Parties’ aggregate beneficial ownership exceeds the Maximum Percentage (the “</w:t>
      </w:r>
      <w:r>
        <w:rPr>
          <w:rFonts w:ascii="Arial" w:cs="Arial" w:eastAsia="Arial" w:hAnsi="Arial"/>
          <w:sz w:val="16"/>
          <w:szCs w:val="16"/>
          <w:b w:val="1"/>
          <w:bCs w:val="1"/>
          <w:color w:val="auto"/>
        </w:rPr>
        <w:t>Excess Shares</w:t>
      </w:r>
      <w:r>
        <w:rPr>
          <w:rFonts w:ascii="Arial" w:cs="Arial" w:eastAsia="Arial" w:hAnsi="Arial"/>
          <w:sz w:val="16"/>
          <w:szCs w:val="16"/>
          <w:color w:val="auto"/>
        </w:rPr>
        <w:t xml:space="preserve">”) shall be deemed null and void and shall be cancelled ab initio, and the Holder shall not have the power to vote or to transfer the Excess Shares. As soon as reasonably practicable after the issuance of the Excess Shares has been deemed null and void, the Company shall return to the Holder the exercise price paid by the Holder for the Excess Shares. Upon delivery of a written notice to the Company, the Holder may from time to time increase (with such increase not effective until the sixty-first (61st) day after delivery of such notice) or decrease the Maximum Percentage to any other percentage not in excess of 9.99% as specified in such notice; provided that (i) any such increase in the Maximum Percentage will not be effective until the sixty-first (61st) day after such notice is delivered to the Company and (ii) any such increase or decrease will apply only to the Holder and the other Attribution Parties and not to any other holder that is not an Attribution Party of the Holder. For purposes of clarity, the shares of Common Stock issuable pursuant to the terms of this Warrant in excess of the Maximum Percentage shall not be deemed to be beneficially owned by the Holder for any purpose including for purposes of Section 13(d) or Rule 16a-1(a)(1) of the Exchange Act. No prior inability to exercise this Warrant pursuant to this paragraph shall have any effect on the applicability of the provisions of this paragraph with respect to any subsequent determination of exercisability. The provisions of this paragraph shall be construed and implemented in a manner otherwise than in strict conformity with the terms of this Section </w:t>
      </w:r>
      <w:r>
        <w:rPr>
          <w:rFonts w:ascii="Arial" w:cs="Arial" w:eastAsia="Arial" w:hAnsi="Arial"/>
          <w:sz w:val="19"/>
          <w:szCs w:val="19"/>
          <w:b w:val="1"/>
          <w:bCs w:val="1"/>
          <w:color w:val="auto"/>
        </w:rPr>
        <w:t>‎</w:t>
      </w:r>
      <w:r>
        <w:rPr>
          <w:rFonts w:ascii="Arial" w:cs="Arial" w:eastAsia="Arial" w:hAnsi="Arial"/>
          <w:sz w:val="16"/>
          <w:szCs w:val="16"/>
          <w:color w:val="auto"/>
        </w:rPr>
        <w:t xml:space="preserve">1(f) to the extent necessary to correct this paragraph or any portion of this paragraph which may be defective or inconsistent with the intended beneficial ownership limitation contained in this Section </w:t>
      </w:r>
      <w:r>
        <w:rPr>
          <w:rFonts w:ascii="Arial" w:cs="Arial" w:eastAsia="Arial" w:hAnsi="Arial"/>
          <w:sz w:val="19"/>
          <w:szCs w:val="19"/>
          <w:b w:val="1"/>
          <w:bCs w:val="1"/>
          <w:color w:val="auto"/>
        </w:rPr>
        <w:t>‎</w:t>
      </w:r>
      <w:r>
        <w:rPr>
          <w:rFonts w:ascii="Arial" w:cs="Arial" w:eastAsia="Arial" w:hAnsi="Arial"/>
          <w:sz w:val="16"/>
          <w:szCs w:val="16"/>
          <w:color w:val="auto"/>
        </w:rPr>
        <w:t>1(f) or to make changes or supplements necessary or desirable to properly give effect to such limitation. The limitation contained in this paragraph may not be waived and shall apply to a successor holder of this Warrant.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8" w:name="page319"/>
    <w:bookmarkEnd w:id="318"/>
    <w:p>
      <w:pPr>
        <w:jc w:val="both"/>
        <w:ind w:firstLine="1952"/>
        <w:spacing w:after="0" w:line="285" w:lineRule="auto"/>
        <w:tabs>
          <w:tab w:leader="none" w:pos="2199" w:val="left"/>
        </w:tabs>
        <w:numPr>
          <w:ilvl w:val="1"/>
          <w:numId w:val="330"/>
        </w:numPr>
        <w:rPr>
          <w:rFonts w:ascii="Arial" w:cs="Arial" w:eastAsia="Arial" w:hAnsi="Arial"/>
          <w:sz w:val="16"/>
          <w:szCs w:val="16"/>
          <w:color w:val="auto"/>
        </w:rPr>
      </w:pPr>
      <w:r>
        <w:rPr>
          <w:rFonts w:ascii="Arial" w:cs="Arial" w:eastAsia="Arial" w:hAnsi="Arial"/>
          <w:sz w:val="16"/>
          <w:szCs w:val="16"/>
          <w:u w:val="single" w:color="auto"/>
          <w:color w:val="auto"/>
        </w:rPr>
        <w:t>Insufficient Authorized Shares</w:t>
      </w:r>
      <w:r>
        <w:rPr>
          <w:rFonts w:ascii="Arial" w:cs="Arial" w:eastAsia="Arial" w:hAnsi="Arial"/>
          <w:sz w:val="16"/>
          <w:szCs w:val="16"/>
          <w:color w:val="auto"/>
        </w:rPr>
        <w:t>. If at any time while this Warrant remains outstanding the Company does not have a sufficient number of authorized and unreserved shares of Common Stock to satisfy its obligation to reserve for issuance upon exercise of this Warrant at least a number of shares of Common Stock equal to the number of shares of Common Stock as shall from time to time be necessary to effect the exercise of all of this Warrant then outstanding (the “</w:t>
      </w:r>
      <w:r>
        <w:rPr>
          <w:rFonts w:ascii="Arial" w:cs="Arial" w:eastAsia="Arial" w:hAnsi="Arial"/>
          <w:sz w:val="16"/>
          <w:szCs w:val="16"/>
          <w:b w:val="1"/>
          <w:bCs w:val="1"/>
          <w:color w:val="auto"/>
        </w:rPr>
        <w:t>Required Reserve Amount</w:t>
      </w:r>
      <w:r>
        <w:rPr>
          <w:rFonts w:ascii="Arial" w:cs="Arial" w:eastAsia="Arial" w:hAnsi="Arial"/>
          <w:sz w:val="16"/>
          <w:szCs w:val="16"/>
          <w:color w:val="auto"/>
        </w:rPr>
        <w:t>” and the failure to have such sufficient number of authorized and unreserved shares of Common Stock, an “</w:t>
      </w:r>
      <w:r>
        <w:rPr>
          <w:rFonts w:ascii="Arial" w:cs="Arial" w:eastAsia="Arial" w:hAnsi="Arial"/>
          <w:sz w:val="16"/>
          <w:szCs w:val="16"/>
          <w:b w:val="1"/>
          <w:bCs w:val="1"/>
          <w:color w:val="auto"/>
        </w:rPr>
        <w:t>Authorized Share Failure</w:t>
      </w:r>
      <w:r>
        <w:rPr>
          <w:rFonts w:ascii="Arial" w:cs="Arial" w:eastAsia="Arial" w:hAnsi="Arial"/>
          <w:sz w:val="16"/>
          <w:szCs w:val="16"/>
          <w:color w:val="auto"/>
        </w:rPr>
        <w:t>”), then the Company shall as soon as reasonably practicable take all action necessary to increase the Company’s authorized shares of Common Stock to an amount sufficient to allow the Company to reserve the Required Reserve Amount for this Warrant then outstanding. Without limiting the generality of the foregoing sentence, as soon as reasonably practicable after the date of the occurrence of an Authorized Share Failure, but in no event later than seventy-five (75) days after the occurrence of such Authorized Share Failure, the Company shall hold a meeting of its stockholders for the approval of an increase in the number of authorized shares of Common Stock. In connection with such meeting, the Company shall provide each stockholder with a proxy statement and shall use its reasonable best efforts to solicit its stockholders’ approval of such increase in authorized shares of Common Stock and to cause its board of directors to recommend to the stockholders that they approve such proposal. In the event that the Company is prohibited from issuing shares of Common Stock upon an exercise of this Warrant due to the failure by the Company to have sufficient shares of Common Stock available out of the authorized but unissued shares of Common Stock (such unavailable number of shares of Common Stock, the “</w:t>
      </w:r>
      <w:r>
        <w:rPr>
          <w:rFonts w:ascii="Arial" w:cs="Arial" w:eastAsia="Arial" w:hAnsi="Arial"/>
          <w:sz w:val="16"/>
          <w:szCs w:val="16"/>
          <w:b w:val="1"/>
          <w:bCs w:val="1"/>
          <w:color w:val="auto"/>
        </w:rPr>
        <w:t>Authorization Failure Shares</w:t>
      </w:r>
      <w:r>
        <w:rPr>
          <w:rFonts w:ascii="Arial" w:cs="Arial" w:eastAsia="Arial" w:hAnsi="Arial"/>
          <w:sz w:val="16"/>
          <w:szCs w:val="16"/>
          <w:color w:val="auto"/>
        </w:rPr>
        <w:t xml:space="preserve">”), in lieu of delivering such Authorization Failure Shares to the Holder, the Company shall pay cash in exchange for the cancellation of such portion of this Warrant exercisable into such Authorization Failure Shares at a price equal to the sum of (i) the product of (x) such number of Authorization Failure Shares and (y) the Closing Sale Price of the Common Stock on the date the Holder delivers the applicable Exercise Notice with respect to such Authorization Failure Shares to the Company; and (ii) to the extent the Holder purchases (in an open market transaction or otherwise) shares of Common Stock to deliver in satisfaction of a sale by the Holder of Authorization Failure Shares, any Buy-In Payment Amount, brokerage commissions and other out-of-pocket expenses, if any, of the Holder incurred in connection therewith. Nothing contained in this Section </w:t>
      </w:r>
      <w:r>
        <w:rPr>
          <w:rFonts w:ascii="Arial" w:cs="Arial" w:eastAsia="Arial" w:hAnsi="Arial"/>
          <w:sz w:val="19"/>
          <w:szCs w:val="19"/>
          <w:b w:val="1"/>
          <w:bCs w:val="1"/>
          <w:color w:val="auto"/>
        </w:rPr>
        <w:t>‎</w:t>
      </w:r>
      <w:r>
        <w:rPr>
          <w:rFonts w:ascii="Arial" w:cs="Arial" w:eastAsia="Arial" w:hAnsi="Arial"/>
          <w:sz w:val="16"/>
          <w:szCs w:val="16"/>
          <w:color w:val="auto"/>
        </w:rPr>
        <w:t>1(g) shall limit any obligations of the Company under any provision of the Credit Agreement.</w:t>
      </w:r>
    </w:p>
    <w:p>
      <w:pPr>
        <w:spacing w:after="0" w:line="152" w:lineRule="exact"/>
        <w:rPr>
          <w:rFonts w:ascii="Arial" w:cs="Arial" w:eastAsia="Arial" w:hAnsi="Arial"/>
          <w:sz w:val="16"/>
          <w:szCs w:val="16"/>
          <w:color w:val="auto"/>
        </w:rPr>
      </w:pPr>
    </w:p>
    <w:p>
      <w:pPr>
        <w:ind w:firstLine="1304"/>
        <w:spacing w:after="0" w:line="277" w:lineRule="auto"/>
        <w:tabs>
          <w:tab w:leader="none" w:pos="1476" w:val="left"/>
        </w:tabs>
        <w:numPr>
          <w:ilvl w:val="0"/>
          <w:numId w:val="331"/>
        </w:numPr>
        <w:rPr>
          <w:rFonts w:ascii="Arial" w:cs="Arial" w:eastAsia="Arial" w:hAnsi="Arial"/>
          <w:sz w:val="18"/>
          <w:szCs w:val="18"/>
          <w:color w:val="auto"/>
        </w:rPr>
      </w:pPr>
      <w:r>
        <w:rPr>
          <w:rFonts w:ascii="Arial" w:cs="Arial" w:eastAsia="Arial" w:hAnsi="Arial"/>
          <w:sz w:val="18"/>
          <w:szCs w:val="18"/>
          <w:u w:val="single" w:color="auto"/>
          <w:color w:val="auto"/>
        </w:rPr>
        <w:t>ADJUSTMENT OF EXERCISE PRICE AND NUMBER OF WARRANT SHARES</w:t>
      </w:r>
      <w:r>
        <w:rPr>
          <w:rFonts w:ascii="Arial" w:cs="Arial" w:eastAsia="Arial" w:hAnsi="Arial"/>
          <w:sz w:val="18"/>
          <w:szCs w:val="18"/>
          <w:color w:val="auto"/>
        </w:rPr>
        <w:t>. The Exercise Price and the number of Warrant Shares issuable upon exercise of this Warrant are subject to adjustments from time to time as set forth in this Section 2.</w:t>
      </w:r>
    </w:p>
    <w:p>
      <w:pPr>
        <w:spacing w:after="0" w:line="170" w:lineRule="exact"/>
        <w:rPr>
          <w:rFonts w:ascii="Arial" w:cs="Arial" w:eastAsia="Arial" w:hAnsi="Arial"/>
          <w:sz w:val="18"/>
          <w:szCs w:val="18"/>
          <w:color w:val="auto"/>
        </w:rPr>
      </w:pPr>
    </w:p>
    <w:p>
      <w:pPr>
        <w:jc w:val="both"/>
        <w:ind w:firstLine="1952"/>
        <w:spacing w:after="0" w:line="272" w:lineRule="auto"/>
        <w:tabs>
          <w:tab w:leader="none" w:pos="2202" w:val="left"/>
        </w:tabs>
        <w:numPr>
          <w:ilvl w:val="1"/>
          <w:numId w:val="331"/>
        </w:numPr>
        <w:rPr>
          <w:rFonts w:ascii="Arial" w:cs="Arial" w:eastAsia="Arial" w:hAnsi="Arial"/>
          <w:sz w:val="17"/>
          <w:szCs w:val="17"/>
          <w:color w:val="auto"/>
        </w:rPr>
      </w:pPr>
      <w:r>
        <w:rPr>
          <w:rFonts w:ascii="Arial" w:cs="Arial" w:eastAsia="Arial" w:hAnsi="Arial"/>
          <w:sz w:val="17"/>
          <w:szCs w:val="17"/>
          <w:u w:val="single" w:color="auto"/>
          <w:color w:val="auto"/>
        </w:rPr>
        <w:t>Adjustment Upon Subdivision or Combination of Shares of Common Stock</w:t>
      </w:r>
      <w:r>
        <w:rPr>
          <w:rFonts w:ascii="Arial" w:cs="Arial" w:eastAsia="Arial" w:hAnsi="Arial"/>
          <w:sz w:val="17"/>
          <w:szCs w:val="17"/>
          <w:color w:val="auto"/>
        </w:rPr>
        <w:t>. If the Company at any time on or after the Issuance Date subdivides (by any stock split, stock dividend, recapitalization or otherwise) one or more classes of its outstanding shares of Common Stock into a greater number of shares, the Exercise Price in effect immediately prior to such subdivision will be proportionately reduced and the number of Warrant Shares will be proportionately increased. If the Company at any time on or after the Issuance Date combines (by combination, reverse stock split or otherwise) one or more classes of its outstanding shares of Common Stock into a smaller number of shares, the Exercise Price in effect immediately prior to such combination will be proportionately increased and the number of Warrant Shares will be proportionately decreased. Any adjustment under this Section 2(a) shall become effective at the close of business on the date the subdivision or combination becomes effective.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9" w:name="page320"/>
    <w:bookmarkEnd w:id="319"/>
    <w:p>
      <w:pPr>
        <w:jc w:val="both"/>
        <w:ind w:firstLine="1952"/>
        <w:spacing w:after="0" w:line="279" w:lineRule="auto"/>
        <w:tabs>
          <w:tab w:leader="none" w:pos="2199" w:val="left"/>
        </w:tabs>
        <w:numPr>
          <w:ilvl w:val="1"/>
          <w:numId w:val="332"/>
        </w:numPr>
        <w:rPr>
          <w:rFonts w:ascii="Arial" w:cs="Arial" w:eastAsia="Arial" w:hAnsi="Arial"/>
          <w:sz w:val="17"/>
          <w:szCs w:val="17"/>
          <w:color w:val="auto"/>
        </w:rPr>
      </w:pPr>
      <w:r>
        <w:rPr>
          <w:rFonts w:ascii="Arial" w:cs="Arial" w:eastAsia="Arial" w:hAnsi="Arial"/>
          <w:sz w:val="17"/>
          <w:szCs w:val="17"/>
          <w:u w:val="single" w:color="auto"/>
          <w:color w:val="auto"/>
        </w:rPr>
        <w:t>Adjustment to Number of Warrant Shares.</w:t>
      </w:r>
      <w:r>
        <w:rPr>
          <w:rFonts w:ascii="Arial" w:cs="Arial" w:eastAsia="Arial" w:hAnsi="Arial"/>
          <w:sz w:val="17"/>
          <w:szCs w:val="17"/>
          <w:color w:val="auto"/>
        </w:rPr>
        <w:t xml:space="preserve"> Simultaneously with any adjustment to the Exercise Price pursuant to Section </w:t>
      </w:r>
      <w:r>
        <w:rPr>
          <w:rFonts w:ascii="Arial" w:cs="Arial" w:eastAsia="Arial" w:hAnsi="Arial"/>
          <w:sz w:val="20"/>
          <w:szCs w:val="20"/>
          <w:b w:val="1"/>
          <w:bCs w:val="1"/>
          <w:color w:val="auto"/>
        </w:rPr>
        <w:t>‎</w:t>
      </w:r>
      <w:r>
        <w:rPr>
          <w:rFonts w:ascii="Arial" w:cs="Arial" w:eastAsia="Arial" w:hAnsi="Arial"/>
          <w:sz w:val="17"/>
          <w:szCs w:val="17"/>
          <w:color w:val="auto"/>
        </w:rPr>
        <w:t>2, the number of Warrant Shares that may be purchased upon exercise of this Warrant shall be increased or decreased proportionately, so that after such adjustment the aggregate Exercise Price payable hereunder for the adjusted number of Warrant Shares shall be the same as the aggregate Exercise Price in effect immediately prior to such adjustment (without regard to any limitations on exercise contained herein).</w:t>
      </w:r>
    </w:p>
    <w:p>
      <w:pPr>
        <w:spacing w:after="0" w:line="171" w:lineRule="exact"/>
        <w:rPr>
          <w:rFonts w:ascii="Arial" w:cs="Arial" w:eastAsia="Arial" w:hAnsi="Arial"/>
          <w:sz w:val="17"/>
          <w:szCs w:val="17"/>
          <w:color w:val="auto"/>
        </w:rPr>
      </w:pPr>
    </w:p>
    <w:p>
      <w:pPr>
        <w:ind w:firstLine="1952"/>
        <w:spacing w:after="0" w:line="277" w:lineRule="auto"/>
        <w:tabs>
          <w:tab w:leader="none" w:pos="2188" w:val="left"/>
        </w:tabs>
        <w:numPr>
          <w:ilvl w:val="1"/>
          <w:numId w:val="332"/>
        </w:numPr>
        <w:rPr>
          <w:rFonts w:ascii="Arial" w:cs="Arial" w:eastAsia="Arial" w:hAnsi="Arial"/>
          <w:sz w:val="18"/>
          <w:szCs w:val="18"/>
          <w:color w:val="auto"/>
        </w:rPr>
      </w:pPr>
      <w:r>
        <w:rPr>
          <w:rFonts w:ascii="Arial" w:cs="Arial" w:eastAsia="Arial" w:hAnsi="Arial"/>
          <w:sz w:val="18"/>
          <w:szCs w:val="18"/>
          <w:u w:val="single" w:color="auto"/>
          <w:color w:val="auto"/>
        </w:rPr>
        <w:t>Par Value</w:t>
      </w:r>
      <w:r>
        <w:rPr>
          <w:rFonts w:ascii="Arial" w:cs="Arial" w:eastAsia="Arial" w:hAnsi="Arial"/>
          <w:sz w:val="18"/>
          <w:szCs w:val="18"/>
          <w:color w:val="auto"/>
        </w:rPr>
        <w:t>. Notwithstanding anything to the contrary in this Warrant, in no event shall the Exercise Price be reduced below the par value of the Company’s Common Stock.</w:t>
      </w:r>
    </w:p>
    <w:p>
      <w:pPr>
        <w:spacing w:after="0" w:line="170" w:lineRule="exact"/>
        <w:rPr>
          <w:rFonts w:ascii="Arial" w:cs="Arial" w:eastAsia="Arial" w:hAnsi="Arial"/>
          <w:sz w:val="18"/>
          <w:szCs w:val="18"/>
          <w:color w:val="auto"/>
        </w:rPr>
      </w:pPr>
    </w:p>
    <w:p>
      <w:pPr>
        <w:jc w:val="both"/>
        <w:ind w:firstLine="1952"/>
        <w:spacing w:after="0" w:line="263" w:lineRule="auto"/>
        <w:tabs>
          <w:tab w:leader="none" w:pos="2199" w:val="left"/>
        </w:tabs>
        <w:numPr>
          <w:ilvl w:val="1"/>
          <w:numId w:val="332"/>
        </w:numPr>
        <w:rPr>
          <w:rFonts w:ascii="Arial" w:cs="Arial" w:eastAsia="Arial" w:hAnsi="Arial"/>
          <w:sz w:val="18"/>
          <w:szCs w:val="18"/>
          <w:color w:val="auto"/>
        </w:rPr>
      </w:pPr>
      <w:r>
        <w:rPr>
          <w:rFonts w:ascii="Arial" w:cs="Arial" w:eastAsia="Arial" w:hAnsi="Arial"/>
          <w:sz w:val="18"/>
          <w:szCs w:val="18"/>
          <w:u w:val="single" w:color="auto"/>
          <w:color w:val="auto"/>
        </w:rPr>
        <w:t>Voluntary Adjustment by Company</w:t>
      </w:r>
      <w:r>
        <w:rPr>
          <w:rFonts w:ascii="Arial" w:cs="Arial" w:eastAsia="Arial" w:hAnsi="Arial"/>
          <w:sz w:val="18"/>
          <w:szCs w:val="18"/>
          <w:color w:val="auto"/>
        </w:rPr>
        <w:t>. Subject to Section 2(c), the Company may at any time during the term of this Warrant, with prior written notice to the Holder, reduce the then current Exercise Price to any amount and for any period of time deemed appropriate by the board of directors of the Company.</w:t>
      </w:r>
    </w:p>
    <w:p>
      <w:pPr>
        <w:spacing w:after="0" w:line="170" w:lineRule="exact"/>
        <w:rPr>
          <w:rFonts w:ascii="Arial" w:cs="Arial" w:eastAsia="Arial" w:hAnsi="Arial"/>
          <w:sz w:val="18"/>
          <w:szCs w:val="18"/>
          <w:color w:val="auto"/>
        </w:rPr>
      </w:pPr>
    </w:p>
    <w:p>
      <w:pPr>
        <w:jc w:val="both"/>
        <w:ind w:firstLine="1304"/>
        <w:spacing w:after="0" w:line="268" w:lineRule="auto"/>
        <w:tabs>
          <w:tab w:leader="none" w:pos="1489" w:val="left"/>
        </w:tabs>
        <w:numPr>
          <w:ilvl w:val="0"/>
          <w:numId w:val="333"/>
        </w:numPr>
        <w:rPr>
          <w:rFonts w:ascii="Arial" w:cs="Arial" w:eastAsia="Arial" w:hAnsi="Arial"/>
          <w:sz w:val="17"/>
          <w:szCs w:val="17"/>
          <w:color w:val="auto"/>
        </w:rPr>
      </w:pPr>
      <w:r>
        <w:rPr>
          <w:rFonts w:ascii="Arial" w:cs="Arial" w:eastAsia="Arial" w:hAnsi="Arial"/>
          <w:sz w:val="17"/>
          <w:szCs w:val="17"/>
          <w:u w:val="single" w:color="auto"/>
          <w:color w:val="auto"/>
        </w:rPr>
        <w:t>RIGHTS UPON DISTRIBUTION OF ASSETS</w:t>
      </w:r>
      <w:r>
        <w:rPr>
          <w:rFonts w:ascii="Arial" w:cs="Arial" w:eastAsia="Arial" w:hAnsi="Arial"/>
          <w:sz w:val="17"/>
          <w:szCs w:val="17"/>
          <w:color w:val="auto"/>
        </w:rPr>
        <w:t xml:space="preserve">. In addition to any adjustments pursuant to Section </w:t>
      </w:r>
      <w:r>
        <w:rPr>
          <w:rFonts w:ascii="Arial" w:cs="Arial" w:eastAsia="Arial" w:hAnsi="Arial"/>
          <w:sz w:val="20"/>
          <w:szCs w:val="20"/>
          <w:b w:val="1"/>
          <w:bCs w:val="1"/>
          <w:color w:val="auto"/>
        </w:rPr>
        <w:t>‎</w:t>
      </w:r>
      <w:r>
        <w:rPr>
          <w:rFonts w:ascii="Arial" w:cs="Arial" w:eastAsia="Arial" w:hAnsi="Arial"/>
          <w:sz w:val="17"/>
          <w:szCs w:val="17"/>
          <w:color w:val="auto"/>
        </w:rPr>
        <w:t>2 above,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(a “</w:t>
      </w:r>
      <w:r>
        <w:rPr>
          <w:rFonts w:ascii="Arial" w:cs="Arial" w:eastAsia="Arial" w:hAnsi="Arial"/>
          <w:sz w:val="17"/>
          <w:szCs w:val="17"/>
          <w:b w:val="1"/>
          <w:bCs w:val="1"/>
          <w:color w:val="auto"/>
        </w:rPr>
        <w:t>Distribution</w:t>
      </w:r>
      <w:r>
        <w:rPr>
          <w:rFonts w:ascii="Arial" w:cs="Arial" w:eastAsia="Arial" w:hAnsi="Arial"/>
          <w:sz w:val="17"/>
          <w:szCs w:val="17"/>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such Distribution, or, if no such record is taken, the date as of which the record holders of shares of Common Stock are to be determined for the participation in such Distribution (provided, however, that to the extent that the Holder’s right to participate in any such Distribution would result in the Holder and the other Attribution Parties exceeding the Maximum Percentage, then the Holder shall not be entitled to participate in such Distribution to the extent of the Maximum Percentage (and shall not be entitled to beneficial ownership of such shares of Common Stock as a result of such Distribution (and beneficial ownership) to the extent of any such excess) and the portion of such Distribution shall be held in abeyance for the benefit of the Holder until such time or times, if ever,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held similarly in abeyance) to the same extent as if there had been no such limitation).</w:t>
      </w:r>
    </w:p>
    <w:p>
      <w:pPr>
        <w:spacing w:after="0" w:line="181" w:lineRule="exact"/>
        <w:rPr>
          <w:rFonts w:ascii="Arial" w:cs="Arial" w:eastAsia="Arial" w:hAnsi="Arial"/>
          <w:sz w:val="17"/>
          <w:szCs w:val="17"/>
          <w:color w:val="auto"/>
        </w:rPr>
      </w:pPr>
    </w:p>
    <w:p>
      <w:pPr>
        <w:ind w:left="1480" w:hanging="176"/>
        <w:spacing w:after="0"/>
        <w:tabs>
          <w:tab w:leader="none" w:pos="1480" w:val="left"/>
        </w:tabs>
        <w:numPr>
          <w:ilvl w:val="0"/>
          <w:numId w:val="333"/>
        </w:numPr>
        <w:rPr>
          <w:rFonts w:ascii="Arial" w:cs="Arial" w:eastAsia="Arial" w:hAnsi="Arial"/>
          <w:sz w:val="18"/>
          <w:szCs w:val="18"/>
          <w:color w:val="auto"/>
        </w:rPr>
      </w:pPr>
      <w:r>
        <w:rPr>
          <w:rFonts w:ascii="Arial" w:cs="Arial" w:eastAsia="Arial" w:hAnsi="Arial"/>
          <w:sz w:val="18"/>
          <w:szCs w:val="18"/>
          <w:u w:val="single" w:color="auto"/>
          <w:color w:val="auto"/>
        </w:rPr>
        <w:t>PURCHASE RIGHTS; FUNDAMENTAL TRANSACTIONS</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jc w:val="both"/>
        <w:ind w:firstLine="1952"/>
        <w:spacing w:after="0" w:line="268" w:lineRule="auto"/>
        <w:tabs>
          <w:tab w:leader="none" w:pos="2202" w:val="left"/>
        </w:tabs>
        <w:numPr>
          <w:ilvl w:val="1"/>
          <w:numId w:val="333"/>
        </w:numPr>
        <w:rPr>
          <w:rFonts w:ascii="Arial" w:cs="Arial" w:eastAsia="Arial" w:hAnsi="Arial"/>
          <w:sz w:val="17"/>
          <w:szCs w:val="17"/>
          <w:color w:val="auto"/>
        </w:rPr>
      </w:pPr>
      <w:r>
        <w:rPr>
          <w:rFonts w:ascii="Arial" w:cs="Arial" w:eastAsia="Arial" w:hAnsi="Arial"/>
          <w:sz w:val="17"/>
          <w:szCs w:val="17"/>
          <w:u w:val="single" w:color="auto"/>
          <w:color w:val="auto"/>
        </w:rPr>
        <w:t>Purchase Rights</w:t>
      </w:r>
      <w:r>
        <w:rPr>
          <w:rFonts w:ascii="Arial" w:cs="Arial" w:eastAsia="Arial" w:hAnsi="Arial"/>
          <w:sz w:val="17"/>
          <w:szCs w:val="17"/>
          <w:color w:val="auto"/>
        </w:rPr>
        <w:t xml:space="preserve">. In addition to any adjustments pursuant to Section </w:t>
      </w:r>
      <w:r>
        <w:rPr>
          <w:rFonts w:ascii="Arial" w:cs="Arial" w:eastAsia="Arial" w:hAnsi="Arial"/>
          <w:sz w:val="20"/>
          <w:szCs w:val="20"/>
          <w:b w:val="1"/>
          <w:bCs w:val="1"/>
          <w:color w:val="auto"/>
        </w:rPr>
        <w:t>‎</w:t>
      </w:r>
      <w:r>
        <w:rPr>
          <w:rFonts w:ascii="Arial" w:cs="Arial" w:eastAsia="Arial" w:hAnsi="Arial"/>
          <w:sz w:val="17"/>
          <w:szCs w:val="17"/>
          <w:color w:val="auto"/>
        </w:rPr>
        <w:t>2 above, if at any time the Company grants, issues or sells any Options, Convertible Securities or rights to purchase stock, warrants, securities or other property pro rata to the record holders of any class of Common Stock (the “</w:t>
      </w:r>
      <w:r>
        <w:rPr>
          <w:rFonts w:ascii="Arial" w:cs="Arial" w:eastAsia="Arial" w:hAnsi="Arial"/>
          <w:sz w:val="17"/>
          <w:szCs w:val="17"/>
          <w:b w:val="1"/>
          <w:bCs w:val="1"/>
          <w:color w:val="auto"/>
        </w:rPr>
        <w:t>Purchase Rights</w:t>
      </w:r>
      <w:r>
        <w:rPr>
          <w:rFonts w:ascii="Arial" w:cs="Arial" w:eastAsia="Arial" w:hAnsi="Arial"/>
          <w:sz w:val="17"/>
          <w:szCs w:val="17"/>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the grant, issuance or sale of such Purchase Rights, or, if no such record is taken, the date as of which the record holders of shares of Common Stock are to be determined for the grant, issuance or sale of such Purchase Rights (provided, however, that to the extent that the Holder’s right to participate in any such Purchase Right would result in the Holder and the other Attribution Parties exceeding the Maximum Percentage, then the Holder shall not be entitled to participate in such Purchase Right to the extent of the Maximum Percentage (and shall not be entitled to beneficial ownership of such shares of Common Stock as a result of such Purchase Right (and beneficial ownership) to the extent of any such excess) and such Purchase Right to such extent shall be held in abeyance for the benefit of the Holder until such time or times, if ever,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held similarly in abeyance) to the same extent as if there had been no such limitation).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20" w:name="page321"/>
    <w:bookmarkEnd w:id="320"/>
    <w:p>
      <w:pPr>
        <w:ind w:left="2200" w:hanging="248"/>
        <w:spacing w:after="0"/>
        <w:tabs>
          <w:tab w:leader="none" w:pos="2200" w:val="left"/>
        </w:tabs>
        <w:numPr>
          <w:ilvl w:val="0"/>
          <w:numId w:val="334"/>
        </w:numPr>
        <w:rPr>
          <w:rFonts w:ascii="Arial" w:cs="Arial" w:eastAsia="Arial" w:hAnsi="Arial"/>
          <w:sz w:val="18"/>
          <w:szCs w:val="18"/>
          <w:color w:val="auto"/>
        </w:rPr>
      </w:pPr>
      <w:r>
        <w:rPr>
          <w:rFonts w:ascii="Arial" w:cs="Arial" w:eastAsia="Arial" w:hAnsi="Arial"/>
          <w:sz w:val="18"/>
          <w:szCs w:val="18"/>
          <w:u w:val="single" w:color="auto"/>
          <w:color w:val="auto"/>
        </w:rPr>
        <w:t>Fundamental Transactions</w:t>
      </w:r>
      <w:r>
        <w:rPr>
          <w:rFonts w:ascii="Arial" w:cs="Arial" w:eastAsia="Arial" w:hAnsi="Arial"/>
          <w:sz w:val="18"/>
          <w:szCs w:val="18"/>
          <w:color w:val="auto"/>
        </w:rPr>
        <w:t>. The Company shall not enter into or be party to a Fundamental Transaction unless:</w:t>
      </w:r>
    </w:p>
    <w:p>
      <w:pPr>
        <w:spacing w:after="0" w:line="225" w:lineRule="exact"/>
        <w:rPr>
          <w:rFonts w:ascii="Arial" w:cs="Arial" w:eastAsia="Arial" w:hAnsi="Arial"/>
          <w:sz w:val="18"/>
          <w:szCs w:val="18"/>
          <w:color w:val="auto"/>
        </w:rPr>
      </w:pPr>
    </w:p>
    <w:p>
      <w:pPr>
        <w:jc w:val="both"/>
        <w:ind w:firstLine="2600"/>
        <w:spacing w:after="0" w:line="273" w:lineRule="auto"/>
        <w:tabs>
          <w:tab w:leader="none" w:pos="2807" w:val="left"/>
        </w:tabs>
        <w:numPr>
          <w:ilvl w:val="1"/>
          <w:numId w:val="334"/>
        </w:numPr>
        <w:rPr>
          <w:rFonts w:ascii="Arial" w:cs="Arial" w:eastAsia="Arial" w:hAnsi="Arial"/>
          <w:sz w:val="17"/>
          <w:szCs w:val="17"/>
          <w:color w:val="auto"/>
        </w:rPr>
      </w:pPr>
      <w:r>
        <w:rPr>
          <w:rFonts w:ascii="Arial" w:cs="Arial" w:eastAsia="Arial" w:hAnsi="Arial"/>
          <w:sz w:val="17"/>
          <w:szCs w:val="17"/>
          <w:color w:val="auto"/>
        </w:rPr>
        <w:t>in the event that the Successor Entity (including its Parent Entity) is not a publicly traded entity with common equity quoted on or listed for trading on an Eligible Market and registered under the Exchange Act, the Company or the Successor Entity, as applicable, shall, on or prior to the date of consummation of such Fundamental Transaction, purchase this Warrant from the Holder by paying to the Holder cash in an amount equal to the Black Scholes Going Private Value (without regard to the limitation set forth in Section 1(f))</w:t>
      </w:r>
      <w:r>
        <w:rPr>
          <w:rFonts w:ascii="Arial" w:cs="Arial" w:eastAsia="Arial" w:hAnsi="Arial"/>
          <w:sz w:val="17"/>
          <w:szCs w:val="17"/>
          <w:b w:val="1"/>
          <w:bCs w:val="1"/>
          <w:color w:val="auto"/>
        </w:rPr>
        <w:t>‎</w:t>
      </w:r>
      <w:r>
        <w:rPr>
          <w:rFonts w:ascii="Arial" w:cs="Arial" w:eastAsia="Arial" w:hAnsi="Arial"/>
          <w:sz w:val="17"/>
          <w:szCs w:val="17"/>
          <w:color w:val="auto"/>
        </w:rPr>
        <w:t xml:space="preserve"> whereupon the Successor Entity shall have no obligation to assume the obligations of the Company under this Warrant and the other Loan Documents, including any obligation to deliver to the Holder in exchange for this Warrant any security of the Successor Entity, and</w:t>
      </w:r>
    </w:p>
    <w:p>
      <w:pPr>
        <w:spacing w:after="0" w:line="177" w:lineRule="exact"/>
        <w:rPr>
          <w:rFonts w:ascii="Arial" w:cs="Arial" w:eastAsia="Arial" w:hAnsi="Arial"/>
          <w:sz w:val="17"/>
          <w:szCs w:val="17"/>
          <w:color w:val="auto"/>
        </w:rPr>
      </w:pPr>
    </w:p>
    <w:p>
      <w:pPr>
        <w:jc w:val="both"/>
        <w:ind w:firstLine="2600"/>
        <w:spacing w:after="0" w:line="291" w:lineRule="auto"/>
        <w:tabs>
          <w:tab w:leader="none" w:pos="2870" w:val="left"/>
        </w:tabs>
        <w:numPr>
          <w:ilvl w:val="1"/>
          <w:numId w:val="334"/>
        </w:numPr>
        <w:rPr>
          <w:rFonts w:ascii="Arial" w:cs="Arial" w:eastAsia="Arial" w:hAnsi="Arial"/>
          <w:sz w:val="16"/>
          <w:szCs w:val="16"/>
          <w:color w:val="auto"/>
        </w:rPr>
      </w:pPr>
      <w:r>
        <w:rPr>
          <w:rFonts w:ascii="Arial" w:cs="Arial" w:eastAsia="Arial" w:hAnsi="Arial"/>
          <w:sz w:val="16"/>
          <w:szCs w:val="16"/>
          <w:color w:val="auto"/>
        </w:rPr>
        <w:t>in the event that the Successor Entity (including its Parent Entity) is a publicly traded entity with common equity quoted on or listed for trading on an Eligible Market and registered under the Exchange Act, the Successor Entity assumes in writing all of the obligations</w:t>
      </w:r>
    </w:p>
    <w:p>
      <w:pPr>
        <w:jc w:val="both"/>
        <w:spacing w:after="0" w:line="281" w:lineRule="auto"/>
        <w:rPr>
          <w:rFonts w:ascii="Arial" w:cs="Arial" w:eastAsia="Arial" w:hAnsi="Arial"/>
          <w:sz w:val="16"/>
          <w:szCs w:val="16"/>
          <w:color w:val="auto"/>
        </w:rPr>
      </w:pPr>
      <w:r>
        <w:rPr>
          <w:rFonts w:ascii="Arial" w:cs="Arial" w:eastAsia="Arial" w:hAnsi="Arial"/>
          <w:sz w:val="16"/>
          <w:szCs w:val="16"/>
          <w:color w:val="auto"/>
        </w:rPr>
        <w:t>of the Company under this Warrant and the other Loan Documents in accordance with the provisions of this Section 4(b)(ii)</w:t>
      </w:r>
      <w:r>
        <w:rPr>
          <w:rFonts w:ascii="Arial" w:cs="Arial" w:eastAsia="Arial" w:hAnsi="Arial"/>
          <w:sz w:val="16"/>
          <w:szCs w:val="16"/>
          <w:b w:val="1"/>
          <w:bCs w:val="1"/>
          <w:color w:val="auto"/>
        </w:rPr>
        <w:t>‎</w:t>
      </w:r>
      <w:r>
        <w:rPr>
          <w:rFonts w:ascii="Arial" w:cs="Arial" w:eastAsia="Arial" w:hAnsi="Arial"/>
          <w:sz w:val="16"/>
          <w:szCs w:val="16"/>
          <w:color w:val="auto"/>
        </w:rPr>
        <w:t xml:space="preserve"> pursuant to written agreements in form and substance satisfactory to the Holder and approved by the Holder prior to such Fundamental Transaction, including agreements to deliver to the Holder in exchange for this Warrant a security of the Successor Entity evidenced by a written instrument substantially similar in form and substance to this Warrant, including, without limitation, which is exercisable for a corresponding number of shares of capital stock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adjustments to the number of shares of capital stock and such exercise price being for the purpose of protecting the economic value of this Warrant immediately prior to the</w:t>
      </w:r>
    </w:p>
    <w:p>
      <w:pPr>
        <w:spacing w:after="0" w:line="4" w:lineRule="exact"/>
        <w:rPr>
          <w:rFonts w:ascii="Arial" w:cs="Arial" w:eastAsia="Arial" w:hAnsi="Arial"/>
          <w:sz w:val="16"/>
          <w:szCs w:val="16"/>
          <w:color w:val="auto"/>
        </w:rPr>
      </w:pPr>
    </w:p>
    <w:p>
      <w:pPr>
        <w:jc w:val="both"/>
        <w:spacing w:after="0" w:line="281" w:lineRule="auto"/>
        <w:rPr>
          <w:rFonts w:ascii="Arial" w:cs="Arial" w:eastAsia="Arial" w:hAnsi="Arial"/>
          <w:sz w:val="16"/>
          <w:szCs w:val="16"/>
          <w:color w:val="auto"/>
        </w:rPr>
      </w:pPr>
      <w:r>
        <w:rPr>
          <w:rFonts w:ascii="Arial" w:cs="Arial" w:eastAsia="Arial" w:hAnsi="Arial"/>
          <w:sz w:val="16"/>
          <w:szCs w:val="16"/>
          <w:color w:val="auto"/>
        </w:rPr>
        <w:t>consummation of such Fundamental Transaction). Upon the consummation of each Fundamental Transaction described in this Section 4(b)(ii)</w:t>
      </w:r>
      <w:r>
        <w:rPr>
          <w:rFonts w:ascii="Arial" w:cs="Arial" w:eastAsia="Arial" w:hAnsi="Arial"/>
          <w:sz w:val="16"/>
          <w:szCs w:val="16"/>
          <w:b w:val="1"/>
          <w:bCs w:val="1"/>
          <w:color w:val="auto"/>
        </w:rPr>
        <w:t>‎</w:t>
      </w:r>
      <w:r>
        <w:rPr>
          <w:rFonts w:ascii="Arial" w:cs="Arial" w:eastAsia="Arial" w:hAnsi="Arial"/>
          <w:sz w:val="16"/>
          <w:szCs w:val="16"/>
          <w:color w:val="auto"/>
        </w:rPr>
        <w:t xml:space="preserve"> (each such Fundamental Transaction, a “</w:t>
      </w:r>
      <w:r>
        <w:rPr>
          <w:rFonts w:ascii="Arial" w:cs="Arial" w:eastAsia="Arial" w:hAnsi="Arial"/>
          <w:sz w:val="16"/>
          <w:szCs w:val="16"/>
          <w:b w:val="1"/>
          <w:bCs w:val="1"/>
          <w:color w:val="auto"/>
        </w:rPr>
        <w:t>Public Fundamental Transaction</w:t>
      </w:r>
      <w:r>
        <w:rPr>
          <w:rFonts w:ascii="Arial" w:cs="Arial" w:eastAsia="Arial" w:hAnsi="Arial"/>
          <w:sz w:val="16"/>
          <w:szCs w:val="16"/>
          <w:color w:val="auto"/>
        </w:rPr>
        <w:t>”), the Successor Entity shall (x) succeed to, and be substituted for (so that from and after the date of the applicable Public Fundamental Transaction, the provisions of this Warrant and the other Loan Documents referring to the “Company” or the “Borrower” shall refer instead to the Successor Entity), and may exercise every right and power of the Company and shall assume all of the obligations of the Company under this Warrant and the other Loan Documents with the same effect as if such Successor Entity had been named as the Company herein or therein, and (y) deliver to the Holder confirmation that there shall be issued upon exercise of this Warrant at any time after the consummation of the applicable Public Fundamental Transaction, in lieu of the shares of Common Stock (or other securities, cash, assets or other property (except such items still issuable under Sections 3</w:t>
      </w:r>
      <w:r>
        <w:rPr>
          <w:rFonts w:ascii="Arial" w:cs="Arial" w:eastAsia="Arial" w:hAnsi="Arial"/>
          <w:sz w:val="16"/>
          <w:szCs w:val="16"/>
          <w:b w:val="1"/>
          <w:bCs w:val="1"/>
          <w:color w:val="auto"/>
        </w:rPr>
        <w:t>‎</w:t>
      </w:r>
      <w:r>
        <w:rPr>
          <w:rFonts w:ascii="Arial" w:cs="Arial" w:eastAsia="Arial" w:hAnsi="Arial"/>
          <w:sz w:val="16"/>
          <w:szCs w:val="16"/>
          <w:color w:val="auto"/>
        </w:rPr>
        <w:t xml:space="preserve"> and 4(a)</w:t>
      </w:r>
      <w:r>
        <w:rPr>
          <w:rFonts w:ascii="Arial" w:cs="Arial" w:eastAsia="Arial" w:hAnsi="Arial"/>
          <w:sz w:val="16"/>
          <w:szCs w:val="16"/>
          <w:b w:val="1"/>
          <w:bCs w:val="1"/>
          <w:color w:val="auto"/>
        </w:rPr>
        <w:t>‎</w:t>
      </w:r>
      <w:r>
        <w:rPr>
          <w:rFonts w:ascii="Arial" w:cs="Arial" w:eastAsia="Arial" w:hAnsi="Arial"/>
          <w:sz w:val="16"/>
          <w:szCs w:val="16"/>
          <w:color w:val="auto"/>
        </w:rPr>
        <w:t xml:space="preserve"> above, which shall continue to be receivable thereafter)) issuable upon the exercise of this Warrant prior to the applicable Public Fundamental Transaction, such shares of publicly traded common stock (or its equivalent) of the Successor Entity (including its Parent Entity) which the Holder would have been entitled to receive upon the happening of the applicable Public Fundamental Transaction had this Warrant been exercised immediately prior to the applicable Public Fundamental Transaction (without regard to any limitations on the exercise of this Warrant), as adjusted in accordance with the provisions of this Warrant. Notwithstanding the foregoing, and without limiting Section 1(f)</w:t>
      </w:r>
      <w:r>
        <w:rPr>
          <w:rFonts w:ascii="Arial" w:cs="Arial" w:eastAsia="Arial" w:hAnsi="Arial"/>
          <w:sz w:val="16"/>
          <w:szCs w:val="16"/>
          <w:b w:val="1"/>
          <w:bCs w:val="1"/>
          <w:color w:val="auto"/>
        </w:rPr>
        <w:t>‎</w:t>
      </w:r>
      <w:r>
        <w:rPr>
          <w:rFonts w:ascii="Arial" w:cs="Arial" w:eastAsia="Arial" w:hAnsi="Arial"/>
          <w:sz w:val="16"/>
          <w:szCs w:val="16"/>
          <w:color w:val="auto"/>
        </w:rPr>
        <w:t xml:space="preserve"> hereof, the Holder may elect,</w:t>
      </w:r>
    </w:p>
    <w:p>
      <w:pPr>
        <w:spacing w:after="0" w:line="7" w:lineRule="exact"/>
        <w:rPr>
          <w:rFonts w:ascii="Arial" w:cs="Arial" w:eastAsia="Arial" w:hAnsi="Arial"/>
          <w:sz w:val="16"/>
          <w:szCs w:val="16"/>
          <w:color w:val="auto"/>
        </w:rPr>
      </w:pPr>
    </w:p>
    <w:p>
      <w:pPr>
        <w:spacing w:after="0" w:line="260" w:lineRule="auto"/>
        <w:rPr>
          <w:rFonts w:ascii="Arial" w:cs="Arial" w:eastAsia="Arial" w:hAnsi="Arial"/>
          <w:sz w:val="16"/>
          <w:szCs w:val="16"/>
          <w:color w:val="auto"/>
        </w:rPr>
      </w:pPr>
      <w:r>
        <w:rPr>
          <w:rFonts w:ascii="Arial" w:cs="Arial" w:eastAsia="Arial" w:hAnsi="Arial"/>
          <w:sz w:val="18"/>
          <w:szCs w:val="18"/>
          <w:color w:val="auto"/>
        </w:rPr>
        <w:t>at its sole option, by delivery of written notice to the Company to waive this Section 4(b)(ii)</w:t>
      </w:r>
      <w:r>
        <w:rPr>
          <w:rFonts w:ascii="Arial" w:cs="Arial" w:eastAsia="Arial" w:hAnsi="Arial"/>
          <w:sz w:val="18"/>
          <w:szCs w:val="18"/>
          <w:b w:val="1"/>
          <w:bCs w:val="1"/>
          <w:color w:val="auto"/>
        </w:rPr>
        <w:t>‎</w:t>
      </w:r>
      <w:r>
        <w:rPr>
          <w:rFonts w:ascii="Arial" w:cs="Arial" w:eastAsia="Arial" w:hAnsi="Arial"/>
          <w:sz w:val="18"/>
          <w:szCs w:val="18"/>
          <w:color w:val="auto"/>
        </w:rPr>
        <w:t xml:space="preserve"> to permit the Public Fundamental Transaction without the assumption of this Warrant.</w:t>
      </w:r>
    </w:p>
    <w:p>
      <w:pPr>
        <w:spacing w:after="0" w:line="18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to and not in substitution for any other rights hereunder, prior to the consummation of each Fundamental Transaction pursuant to which holders of shares of Common Stock are entitled to receive securities or other assets with respect to or in exchange for shares of Common Stock (a “</w:t>
      </w:r>
      <w:r>
        <w:rPr>
          <w:rFonts w:ascii="Arial" w:cs="Arial" w:eastAsia="Arial" w:hAnsi="Arial"/>
          <w:sz w:val="17"/>
          <w:szCs w:val="17"/>
          <w:b w:val="1"/>
          <w:bCs w:val="1"/>
          <w:color w:val="auto"/>
        </w:rPr>
        <w:t>Corporate</w:t>
      </w:r>
      <w:r>
        <w:rPr>
          <w:rFonts w:ascii="Arial" w:cs="Arial" w:eastAsia="Arial" w:hAnsi="Arial"/>
          <w:sz w:val="17"/>
          <w:szCs w:val="17"/>
          <w:color w:val="auto"/>
        </w:rPr>
        <w:t xml:space="preserve"> </w:t>
      </w:r>
      <w:r>
        <w:rPr>
          <w:rFonts w:ascii="Arial" w:cs="Arial" w:eastAsia="Arial" w:hAnsi="Arial"/>
          <w:sz w:val="17"/>
          <w:szCs w:val="17"/>
          <w:b w:val="1"/>
          <w:bCs w:val="1"/>
          <w:color w:val="auto"/>
        </w:rPr>
        <w:t>Event</w:t>
      </w:r>
      <w:r>
        <w:rPr>
          <w:rFonts w:ascii="Arial" w:cs="Arial" w:eastAsia="Arial" w:hAnsi="Arial"/>
          <w:sz w:val="17"/>
          <w:szCs w:val="17"/>
          <w:color w:val="auto"/>
        </w:rPr>
        <w:t>”), the Company shall make appropriate provision to insure that the Holder will thereafter have the right to receive upon an exercise of this Warrant</w:t>
      </w:r>
      <w:r>
        <w:rPr>
          <w:rFonts w:ascii="Arial" w:cs="Arial" w:eastAsia="Arial" w:hAnsi="Arial"/>
          <w:sz w:val="17"/>
          <w:szCs w:val="17"/>
          <w:b w:val="1"/>
          <w:bCs w:val="1"/>
          <w:color w:val="auto"/>
        </w:rPr>
        <w:t xml:space="preserve"> </w:t>
      </w:r>
      <w:r>
        <w:rPr>
          <w:rFonts w:ascii="Arial" w:cs="Arial" w:eastAsia="Arial" w:hAnsi="Arial"/>
          <w:sz w:val="17"/>
          <w:szCs w:val="17"/>
          <w:color w:val="auto"/>
        </w:rPr>
        <w:t>at any time after the consummation of the applicable Fundamental Transaction but prior to the Expiration Date, in lieu of the shares of the Common Stock (or other securities, cash, assets or other property (except such items still issuable under Sections 3‎ and 4(a)‎ above, which shall continue to be receivable thereafter)) issuable upon the exercise of the Warrant prior to such Fundamental Transaction, such shares of stock, securities, cash, assets or any other property whatsoever (including warrants or other purchase or subscription rights) which the Holder would have been entitled to receive upon the happening of the applicable Fundamental Transaction had this Warrant been exercised immediately prior to the applicable Fundamental Transaction (without regard to any limitations on the exercise of this Warrant). Provision made pursuant to the preceding sentence shall be in a form and substance reasonably satisfactory to the Holder.</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21" w:name="page322"/>
    <w:bookmarkEnd w:id="321"/>
    <w:p>
      <w:pPr>
        <w:jc w:val="both"/>
        <w:ind w:firstLine="1952"/>
        <w:spacing w:after="0" w:line="271" w:lineRule="auto"/>
        <w:tabs>
          <w:tab w:leader="none" w:pos="2188" w:val="left"/>
        </w:tabs>
        <w:numPr>
          <w:ilvl w:val="1"/>
          <w:numId w:val="335"/>
        </w:numPr>
        <w:rPr>
          <w:rFonts w:ascii="Arial" w:cs="Arial" w:eastAsia="Arial" w:hAnsi="Arial"/>
          <w:sz w:val="17"/>
          <w:szCs w:val="17"/>
          <w:color w:val="auto"/>
        </w:rPr>
      </w:pPr>
      <w:r>
        <w:rPr>
          <w:rFonts w:ascii="Arial" w:cs="Arial" w:eastAsia="Arial" w:hAnsi="Arial"/>
          <w:sz w:val="17"/>
          <w:szCs w:val="17"/>
          <w:u w:val="single" w:color="auto"/>
          <w:color w:val="auto"/>
        </w:rPr>
        <w:t>Holder Optional Redemptions</w:t>
      </w:r>
      <w:r>
        <w:rPr>
          <w:rFonts w:ascii="Arial" w:cs="Arial" w:eastAsia="Arial" w:hAnsi="Arial"/>
          <w:sz w:val="17"/>
          <w:szCs w:val="17"/>
          <w:color w:val="auto"/>
        </w:rPr>
        <w:t xml:space="preserve">. Notwithstanding the foregoing and the provisions of Section </w:t>
      </w:r>
      <w:r>
        <w:rPr>
          <w:rFonts w:ascii="Arial" w:cs="Arial" w:eastAsia="Arial" w:hAnsi="Arial"/>
          <w:sz w:val="20"/>
          <w:szCs w:val="20"/>
          <w:b w:val="1"/>
          <w:bCs w:val="1"/>
          <w:color w:val="auto"/>
        </w:rPr>
        <w:t>‎</w:t>
      </w:r>
      <w:r>
        <w:rPr>
          <w:rFonts w:ascii="Arial" w:cs="Arial" w:eastAsia="Arial" w:hAnsi="Arial"/>
          <w:sz w:val="17"/>
          <w:szCs w:val="17"/>
          <w:color w:val="auto"/>
        </w:rPr>
        <w:t>4(b)(ii) above, at the request of the Holder delivered at any time commencing on the earliest to occur of (x) the public disclosure of any Public Fundamental Transaction, (y) the consummation of any Public Fundamental Transaction and (z) the Holder first becoming aware of any Public Fundamental Transaction through the date that is ninety (90) days after the public disclosure of the consummation of such Public Fundamental Transaction by the Company pursuant to a Current Report on Form 8-K filed with the SEC, the Company or the Successor Entity (as the case may be) shall purchase this Warrant from the Holder on the date of such request by paying to the Holder cash in an amount equal to the Black Scholes Value. Payment of such amounts shall be made by the Company (or at the Company’s direction) to the Holder on or prior to the later of (x) the second (2nd) Trading Day after the date of such request and (y) the date of consummation of such Public Fundamental Transaction.</w:t>
      </w:r>
    </w:p>
    <w:p>
      <w:pPr>
        <w:spacing w:after="0" w:line="166" w:lineRule="exact"/>
        <w:rPr>
          <w:rFonts w:ascii="Arial" w:cs="Arial" w:eastAsia="Arial" w:hAnsi="Arial"/>
          <w:sz w:val="17"/>
          <w:szCs w:val="17"/>
          <w:color w:val="auto"/>
        </w:rPr>
      </w:pPr>
    </w:p>
    <w:p>
      <w:pPr>
        <w:jc w:val="both"/>
        <w:ind w:firstLine="1952"/>
        <w:spacing w:after="0" w:line="300" w:lineRule="auto"/>
        <w:tabs>
          <w:tab w:leader="none" w:pos="2199" w:val="left"/>
        </w:tabs>
        <w:numPr>
          <w:ilvl w:val="1"/>
          <w:numId w:val="335"/>
        </w:numPr>
        <w:rPr>
          <w:rFonts w:ascii="Arial" w:cs="Arial" w:eastAsia="Arial" w:hAnsi="Arial"/>
          <w:sz w:val="16"/>
          <w:szCs w:val="16"/>
          <w:color w:val="auto"/>
        </w:rPr>
      </w:pPr>
      <w:r>
        <w:rPr>
          <w:rFonts w:ascii="Arial" w:cs="Arial" w:eastAsia="Arial" w:hAnsi="Arial"/>
          <w:sz w:val="16"/>
          <w:szCs w:val="16"/>
          <w:u w:val="single" w:color="auto"/>
          <w:color w:val="auto"/>
        </w:rPr>
        <w:t>Application</w:t>
      </w:r>
      <w:r>
        <w:rPr>
          <w:rFonts w:ascii="Arial" w:cs="Arial" w:eastAsia="Arial" w:hAnsi="Arial"/>
          <w:sz w:val="16"/>
          <w:szCs w:val="16"/>
          <w:color w:val="auto"/>
        </w:rPr>
        <w:t xml:space="preserve">. The provisions of this Section </w:t>
      </w:r>
      <w:r>
        <w:rPr>
          <w:rFonts w:ascii="Arial" w:cs="Arial" w:eastAsia="Arial" w:hAnsi="Arial"/>
          <w:sz w:val="19"/>
          <w:szCs w:val="19"/>
          <w:b w:val="1"/>
          <w:bCs w:val="1"/>
          <w:color w:val="auto"/>
        </w:rPr>
        <w:t>‎</w:t>
      </w:r>
      <w:r>
        <w:rPr>
          <w:rFonts w:ascii="Arial" w:cs="Arial" w:eastAsia="Arial" w:hAnsi="Arial"/>
          <w:sz w:val="16"/>
          <w:szCs w:val="16"/>
          <w:color w:val="auto"/>
        </w:rPr>
        <w:t>4 shall apply similarly and equally to successive Fundamental Transactions and Corporate Events and shall be applied as if this Warrant (and any such subsequent warrants) were fully exercisable and without regard to any limitations on the exercise of this Warrant (provided that the Holder shall continue to be entitled to the benefit of the Maximum Percentage, applied however with respect to shares of capital stock registered under the Exchange Act and thereafter receivable upon exercise of this Warrant (or any such other warrant)).</w:t>
      </w:r>
    </w:p>
    <w:p>
      <w:pPr>
        <w:spacing w:after="0" w:line="157" w:lineRule="exact"/>
        <w:rPr>
          <w:rFonts w:ascii="Arial" w:cs="Arial" w:eastAsia="Arial" w:hAnsi="Arial"/>
          <w:sz w:val="16"/>
          <w:szCs w:val="16"/>
          <w:color w:val="auto"/>
        </w:rPr>
      </w:pPr>
    </w:p>
    <w:p>
      <w:pPr>
        <w:jc w:val="both"/>
        <w:ind w:firstLine="1304"/>
        <w:spacing w:after="0" w:line="268" w:lineRule="auto"/>
        <w:tabs>
          <w:tab w:leader="none" w:pos="1476" w:val="left"/>
        </w:tabs>
        <w:numPr>
          <w:ilvl w:val="0"/>
          <w:numId w:val="336"/>
        </w:numPr>
        <w:rPr>
          <w:rFonts w:ascii="Arial" w:cs="Arial" w:eastAsia="Arial" w:hAnsi="Arial"/>
          <w:sz w:val="17"/>
          <w:szCs w:val="17"/>
          <w:color w:val="auto"/>
        </w:rPr>
      </w:pPr>
      <w:r>
        <w:rPr>
          <w:rFonts w:ascii="Arial" w:cs="Arial" w:eastAsia="Arial" w:hAnsi="Arial"/>
          <w:sz w:val="17"/>
          <w:szCs w:val="17"/>
          <w:u w:val="single" w:color="auto"/>
          <w:color w:val="auto"/>
        </w:rPr>
        <w:t>NONCIRCUMVENTION</w:t>
      </w:r>
      <w:r>
        <w:rPr>
          <w:rFonts w:ascii="Arial" w:cs="Arial" w:eastAsia="Arial" w:hAnsi="Arial"/>
          <w:sz w:val="17"/>
          <w:szCs w:val="17"/>
          <w:color w:val="auto"/>
        </w:rPr>
        <w:t>. The Company hereby covenants and agrees that the Company will not, by amendment of its Certificate of Incorporation or Bylaws, or through any reorganization, transfer of assets, consolidation, merger, scheme of arrangement, dissolution, issuance or sale of securities, or any other voluntary action, avoid or seek to avoid the observance or performance of any of the terms of this Warrant, and will at all times in good faith carry out all of the provisions of this Warrant and take all action as may be required to protect the rights of the Holder. Without limiting the generality of the foregoing, the Company (i) shall not increase the par value of any shares of Common Stock receivable upon the exercise of this Warrant above the Exercise Price then in effect, (ii) shall take all such actions as may be necessary or appropriate in order that the Company may validly and legally issue fully paid and nonassessable shares of Common Stock upon the proper exercise of this Warrant by the Holder, and (iii) shall, so long as this Warrant is outstanding, take all action necessary to reserve and keep available out of its authorized and unissued shares of Common Stock, solely for the purpose of effecting the exercise of this Warrant, the number of shares of Common Stock as shall from time to time be necessary to effect the exercise of this Warrant (without regard to any limitations on exercise). Notwithstanding anything herein to the contrary, if after the sixty (60) calendar day anniversary of the Issuance Date, the Holder is not permitted to exercise this Warrant in full for any reason (other than pursuant to restrictions set forth in Section 1(f) hereof), the Company shall use its reasonable best efforts to promptly remedy such failure, including, without limitation, obtaining such consents or approvals as necessary to permit such exercise into shares of Common Stock.</w:t>
      </w:r>
    </w:p>
    <w:p>
      <w:pPr>
        <w:spacing w:after="0" w:line="186" w:lineRule="exact"/>
        <w:rPr>
          <w:rFonts w:ascii="Arial" w:cs="Arial" w:eastAsia="Arial" w:hAnsi="Arial"/>
          <w:sz w:val="17"/>
          <w:szCs w:val="17"/>
          <w:color w:val="auto"/>
        </w:rPr>
      </w:pPr>
    </w:p>
    <w:p>
      <w:pPr>
        <w:jc w:val="both"/>
        <w:ind w:firstLine="1304"/>
        <w:spacing w:after="0" w:line="287" w:lineRule="auto"/>
        <w:tabs>
          <w:tab w:leader="none" w:pos="1476" w:val="left"/>
        </w:tabs>
        <w:numPr>
          <w:ilvl w:val="0"/>
          <w:numId w:val="336"/>
        </w:numPr>
        <w:rPr>
          <w:rFonts w:ascii="Arial" w:cs="Arial" w:eastAsia="Arial" w:hAnsi="Arial"/>
          <w:sz w:val="16"/>
          <w:szCs w:val="16"/>
          <w:color w:val="auto"/>
        </w:rPr>
      </w:pPr>
      <w:r>
        <w:rPr>
          <w:rFonts w:ascii="Arial" w:cs="Arial" w:eastAsia="Arial" w:hAnsi="Arial"/>
          <w:sz w:val="16"/>
          <w:szCs w:val="16"/>
          <w:u w:val="single" w:color="auto"/>
          <w:color w:val="auto"/>
        </w:rPr>
        <w:t>WARRANT HOLDER NOT DEEMED A STOCKHOLDER</w:t>
      </w:r>
      <w:r>
        <w:rPr>
          <w:rFonts w:ascii="Arial" w:cs="Arial" w:eastAsia="Arial" w:hAnsi="Arial"/>
          <w:sz w:val="16"/>
          <w:szCs w:val="16"/>
          <w:color w:val="auto"/>
        </w:rPr>
        <w:t xml:space="preserve">. Except as otherwise specifically provided herein, the Holder, solely in such Person’s capacity as a holder of this Warrant, shall not be entitled to vote or receive dividends or be deemed the holder of share capital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 Notwithstanding this Section </w:t>
      </w:r>
      <w:r>
        <w:rPr>
          <w:rFonts w:ascii="Arial" w:cs="Arial" w:eastAsia="Arial" w:hAnsi="Arial"/>
          <w:sz w:val="19"/>
          <w:szCs w:val="19"/>
          <w:b w:val="1"/>
          <w:bCs w:val="1"/>
          <w:color w:val="auto"/>
        </w:rPr>
        <w:t>‎</w:t>
      </w:r>
      <w:r>
        <w:rPr>
          <w:rFonts w:ascii="Arial" w:cs="Arial" w:eastAsia="Arial" w:hAnsi="Arial"/>
          <w:sz w:val="16"/>
          <w:szCs w:val="16"/>
          <w:color w:val="auto"/>
        </w:rPr>
        <w:t>6, the Company shall provide the Holder with copies of the same notices and other information given to the stockholders of the Company generally, contemporaneously with the giving thereof to the stockholders.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22" w:name="page323"/>
    <w:bookmarkEnd w:id="322"/>
    <w:p>
      <w:pPr>
        <w:ind w:left="1480" w:hanging="176"/>
        <w:spacing w:after="0"/>
        <w:tabs>
          <w:tab w:leader="none" w:pos="1480" w:val="left"/>
        </w:tabs>
        <w:numPr>
          <w:ilvl w:val="0"/>
          <w:numId w:val="337"/>
        </w:numPr>
        <w:rPr>
          <w:rFonts w:ascii="Arial" w:cs="Arial" w:eastAsia="Arial" w:hAnsi="Arial"/>
          <w:sz w:val="18"/>
          <w:szCs w:val="18"/>
          <w:color w:val="auto"/>
        </w:rPr>
      </w:pPr>
      <w:r>
        <w:rPr>
          <w:rFonts w:ascii="Arial" w:cs="Arial" w:eastAsia="Arial" w:hAnsi="Arial"/>
          <w:sz w:val="18"/>
          <w:szCs w:val="18"/>
          <w:u w:val="single" w:color="auto"/>
          <w:color w:val="auto"/>
        </w:rPr>
        <w:t>REISSUANCE OF WARRANTS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952"/>
        <w:spacing w:after="0" w:line="250" w:lineRule="auto"/>
        <w:tabs>
          <w:tab w:leader="none" w:pos="2188" w:val="left"/>
        </w:tabs>
        <w:numPr>
          <w:ilvl w:val="1"/>
          <w:numId w:val="337"/>
        </w:numPr>
        <w:rPr>
          <w:rFonts w:ascii="Arial" w:cs="Arial" w:eastAsia="Arial" w:hAnsi="Arial"/>
          <w:sz w:val="18"/>
          <w:szCs w:val="18"/>
          <w:color w:val="auto"/>
        </w:rPr>
      </w:pPr>
      <w:r>
        <w:rPr>
          <w:rFonts w:ascii="Arial" w:cs="Arial" w:eastAsia="Arial" w:hAnsi="Arial"/>
          <w:sz w:val="18"/>
          <w:szCs w:val="18"/>
          <w:u w:val="single" w:color="auto"/>
          <w:color w:val="auto"/>
        </w:rPr>
        <w:t>Transfer of Warrant</w:t>
      </w:r>
      <w:r>
        <w:rPr>
          <w:rFonts w:ascii="Arial" w:cs="Arial" w:eastAsia="Arial" w:hAnsi="Arial"/>
          <w:sz w:val="18"/>
          <w:szCs w:val="18"/>
          <w:color w:val="auto"/>
        </w:rPr>
        <w:t xml:space="preserve">. If this Warrant is to be transferred and reissued to the transferee, the Holder shall surrender this Warrant to the Company together with a written assignment of this Warrant substantially in the form attached hereto duly executed by the Holder or its agent or attorney and funds sufficient to pay any transfer taxes payable upon the making of such transfer, whereupon the Company will forthwith issue and deliver upon the order of the Holder a new Warrant (in accordance with Section </w:t>
      </w:r>
      <w:r>
        <w:rPr>
          <w:rFonts w:ascii="Arial" w:cs="Arial" w:eastAsia="Arial" w:hAnsi="Arial"/>
          <w:sz w:val="21"/>
          <w:szCs w:val="21"/>
          <w:b w:val="1"/>
          <w:bCs w:val="1"/>
          <w:color w:val="auto"/>
        </w:rPr>
        <w:t>‎</w:t>
      </w:r>
      <w:r>
        <w:rPr>
          <w:rFonts w:ascii="Arial" w:cs="Arial" w:eastAsia="Arial" w:hAnsi="Arial"/>
          <w:sz w:val="18"/>
          <w:szCs w:val="18"/>
          <w:color w:val="auto"/>
        </w:rPr>
        <w:t xml:space="preserve">7(d)), registered as the Holder may request, representing the right to purchase the number of Warrant Shares being transferred by the Holder and, if less than the total number of Warrant Shares then underlying this Warrant is being transferred, a new Warrant (in accordance with Section </w:t>
      </w:r>
      <w:r>
        <w:rPr>
          <w:rFonts w:ascii="Arial" w:cs="Arial" w:eastAsia="Arial" w:hAnsi="Arial"/>
          <w:sz w:val="21"/>
          <w:szCs w:val="21"/>
          <w:b w:val="1"/>
          <w:bCs w:val="1"/>
          <w:color w:val="auto"/>
        </w:rPr>
        <w:t>‎</w:t>
      </w:r>
      <w:r>
        <w:rPr>
          <w:rFonts w:ascii="Arial" w:cs="Arial" w:eastAsia="Arial" w:hAnsi="Arial"/>
          <w:sz w:val="18"/>
          <w:szCs w:val="18"/>
          <w:color w:val="auto"/>
        </w:rPr>
        <w:t xml:space="preserve">7(d)) to the Holder representing the right to purchase the number of Warrant Shares not being transferred. For the avoidance of doubt, this Section </w:t>
      </w:r>
      <w:r>
        <w:rPr>
          <w:rFonts w:ascii="Arial" w:cs="Arial" w:eastAsia="Arial" w:hAnsi="Arial"/>
          <w:sz w:val="21"/>
          <w:szCs w:val="21"/>
          <w:b w:val="1"/>
          <w:bCs w:val="1"/>
          <w:color w:val="auto"/>
        </w:rPr>
        <w:t>‎</w:t>
      </w:r>
      <w:r>
        <w:rPr>
          <w:rFonts w:ascii="Arial" w:cs="Arial" w:eastAsia="Arial" w:hAnsi="Arial"/>
          <w:sz w:val="18"/>
          <w:szCs w:val="18"/>
          <w:color w:val="auto"/>
        </w:rPr>
        <w:t>7(a) will not apply to a sale, transfer, pledge or assignment of this Warrant that does not involve a reissuance of this Warrant.</w:t>
      </w:r>
    </w:p>
    <w:p>
      <w:pPr>
        <w:spacing w:after="0" w:line="192" w:lineRule="exact"/>
        <w:rPr>
          <w:rFonts w:ascii="Arial" w:cs="Arial" w:eastAsia="Arial" w:hAnsi="Arial"/>
          <w:sz w:val="18"/>
          <w:szCs w:val="18"/>
          <w:color w:val="auto"/>
        </w:rPr>
      </w:pPr>
    </w:p>
    <w:p>
      <w:pPr>
        <w:jc w:val="both"/>
        <w:ind w:firstLine="1952"/>
        <w:spacing w:after="0" w:line="275" w:lineRule="auto"/>
        <w:tabs>
          <w:tab w:leader="none" w:pos="2199" w:val="left"/>
        </w:tabs>
        <w:numPr>
          <w:ilvl w:val="1"/>
          <w:numId w:val="337"/>
        </w:numPr>
        <w:rPr>
          <w:rFonts w:ascii="Arial" w:cs="Arial" w:eastAsia="Arial" w:hAnsi="Arial"/>
          <w:sz w:val="17"/>
          <w:szCs w:val="17"/>
          <w:color w:val="auto"/>
        </w:rPr>
      </w:pPr>
      <w:r>
        <w:rPr>
          <w:rFonts w:ascii="Arial" w:cs="Arial" w:eastAsia="Arial" w:hAnsi="Arial"/>
          <w:sz w:val="17"/>
          <w:szCs w:val="17"/>
          <w:u w:val="single" w:color="auto"/>
          <w:color w:val="auto"/>
        </w:rPr>
        <w:t>Lost, Stolen or Mutilated Warrant</w:t>
      </w:r>
      <w:r>
        <w:rPr>
          <w:rFonts w:ascii="Arial" w:cs="Arial" w:eastAsia="Arial" w:hAnsi="Arial"/>
          <w:sz w:val="17"/>
          <w:szCs w:val="17"/>
          <w:color w:val="auto"/>
        </w:rPr>
        <w:t xml:space="preserve">. Upon receipt by the Company of evidence reasonably satisfactory to the Company of the loss, theft, destruction or mutilation of this Warrant (as to which a written certification and the indemnification contemplated below shall suffice as such evidence), and, in the case of loss, theft or destruction, of any indemnification undertaking by the Holder to the Company in customary and reasonable form and, in the case of mutilation, upon surrender and cancellation of this Warrant, the Company shall execute and deliver to the Holder a new Warrant (in accordance with Section </w:t>
      </w:r>
      <w:r>
        <w:rPr>
          <w:rFonts w:ascii="Arial" w:cs="Arial" w:eastAsia="Arial" w:hAnsi="Arial"/>
          <w:sz w:val="20"/>
          <w:szCs w:val="20"/>
          <w:b w:val="1"/>
          <w:bCs w:val="1"/>
          <w:color w:val="auto"/>
        </w:rPr>
        <w:t>‎</w:t>
      </w:r>
      <w:r>
        <w:rPr>
          <w:rFonts w:ascii="Arial" w:cs="Arial" w:eastAsia="Arial" w:hAnsi="Arial"/>
          <w:sz w:val="17"/>
          <w:szCs w:val="17"/>
          <w:color w:val="auto"/>
        </w:rPr>
        <w:t>7(d)) representing the right to purchase the Warrant Shares then underlying this Warrant.</w:t>
      </w:r>
    </w:p>
    <w:p>
      <w:pPr>
        <w:spacing w:after="0" w:line="163" w:lineRule="exact"/>
        <w:rPr>
          <w:rFonts w:ascii="Arial" w:cs="Arial" w:eastAsia="Arial" w:hAnsi="Arial"/>
          <w:sz w:val="17"/>
          <w:szCs w:val="17"/>
          <w:color w:val="auto"/>
        </w:rPr>
      </w:pPr>
    </w:p>
    <w:p>
      <w:pPr>
        <w:jc w:val="both"/>
        <w:ind w:firstLine="1952"/>
        <w:spacing w:after="0" w:line="295" w:lineRule="auto"/>
        <w:tabs>
          <w:tab w:leader="none" w:pos="2188" w:val="left"/>
        </w:tabs>
        <w:numPr>
          <w:ilvl w:val="1"/>
          <w:numId w:val="337"/>
        </w:numPr>
        <w:rPr>
          <w:rFonts w:ascii="Arial" w:cs="Arial" w:eastAsia="Arial" w:hAnsi="Arial"/>
          <w:sz w:val="16"/>
          <w:szCs w:val="16"/>
          <w:color w:val="auto"/>
        </w:rPr>
      </w:pPr>
      <w:r>
        <w:rPr>
          <w:rFonts w:ascii="Arial" w:cs="Arial" w:eastAsia="Arial" w:hAnsi="Arial"/>
          <w:sz w:val="16"/>
          <w:szCs w:val="16"/>
          <w:u w:val="single" w:color="auto"/>
          <w:color w:val="auto"/>
        </w:rPr>
        <w:t>Exchangeable for Multiple Warrants</w:t>
      </w:r>
      <w:r>
        <w:rPr>
          <w:rFonts w:ascii="Arial" w:cs="Arial" w:eastAsia="Arial" w:hAnsi="Arial"/>
          <w:sz w:val="16"/>
          <w:szCs w:val="16"/>
          <w:color w:val="auto"/>
        </w:rPr>
        <w:t xml:space="preserve">. This Warrant is exchangeable, upon the surrender hereof by the Holder at the principal office of the Company, for a new Warrant or Warrants (in accordance with Section </w:t>
      </w:r>
      <w:r>
        <w:rPr>
          <w:rFonts w:ascii="Arial" w:cs="Arial" w:eastAsia="Arial" w:hAnsi="Arial"/>
          <w:sz w:val="19"/>
          <w:szCs w:val="19"/>
          <w:b w:val="1"/>
          <w:bCs w:val="1"/>
          <w:color w:val="auto"/>
        </w:rPr>
        <w:t>‎</w:t>
      </w:r>
      <w:r>
        <w:rPr>
          <w:rFonts w:ascii="Arial" w:cs="Arial" w:eastAsia="Arial" w:hAnsi="Arial"/>
          <w:sz w:val="16"/>
          <w:szCs w:val="16"/>
          <w:color w:val="auto"/>
        </w:rPr>
        <w:t xml:space="preserve">7(d)) representing in the aggregate the right to purchase the number of Warrant Shares then underlying this Warrant, and each such new Warrant will represent the right to purchase such portion of such Warrant Shares as is designated by the Holder at the time of such surrender;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warrants for fractional shares of Common Stock shall be given.</w:t>
      </w:r>
    </w:p>
    <w:p>
      <w:pPr>
        <w:spacing w:after="0" w:line="159" w:lineRule="exact"/>
        <w:rPr>
          <w:rFonts w:ascii="Arial" w:cs="Arial" w:eastAsia="Arial" w:hAnsi="Arial"/>
          <w:sz w:val="16"/>
          <w:szCs w:val="16"/>
          <w:color w:val="auto"/>
        </w:rPr>
      </w:pPr>
    </w:p>
    <w:p>
      <w:pPr>
        <w:jc w:val="both"/>
        <w:ind w:firstLine="1952"/>
        <w:spacing w:after="0" w:line="290" w:lineRule="auto"/>
        <w:tabs>
          <w:tab w:leader="none" w:pos="2199" w:val="left"/>
        </w:tabs>
        <w:numPr>
          <w:ilvl w:val="1"/>
          <w:numId w:val="337"/>
        </w:numPr>
        <w:rPr>
          <w:rFonts w:ascii="Arial" w:cs="Arial" w:eastAsia="Arial" w:hAnsi="Arial"/>
          <w:sz w:val="16"/>
          <w:szCs w:val="16"/>
          <w:color w:val="auto"/>
        </w:rPr>
      </w:pPr>
      <w:r>
        <w:rPr>
          <w:rFonts w:ascii="Arial" w:cs="Arial" w:eastAsia="Arial" w:hAnsi="Arial"/>
          <w:sz w:val="16"/>
          <w:szCs w:val="16"/>
          <w:u w:val="single" w:color="auto"/>
          <w:color w:val="auto"/>
        </w:rPr>
        <w:t>Issuance of New Warrants</w:t>
      </w:r>
      <w:r>
        <w:rPr>
          <w:rFonts w:ascii="Arial" w:cs="Arial" w:eastAsia="Arial" w:hAnsi="Arial"/>
          <w:sz w:val="16"/>
          <w:szCs w:val="16"/>
          <w:color w:val="auto"/>
        </w:rPr>
        <w:t xml:space="preserve">. Whenever the Company is required to issue a new Warrant pursuant to the terms of this Warrant, such new Warrant (i) shall be of like tenor with this Warrant, (ii) shall represent, as indicated on the face of such new Warrant, the right to purchase the Warrant Shares then underlying this Warrant (or in the case of a new Warrant being issued pursuant to Section </w:t>
      </w:r>
      <w:r>
        <w:rPr>
          <w:rFonts w:ascii="Arial" w:cs="Arial" w:eastAsia="Arial" w:hAnsi="Arial"/>
          <w:sz w:val="19"/>
          <w:szCs w:val="19"/>
          <w:b w:val="1"/>
          <w:bCs w:val="1"/>
          <w:color w:val="auto"/>
        </w:rPr>
        <w:t>‎</w:t>
      </w:r>
      <w:r>
        <w:rPr>
          <w:rFonts w:ascii="Arial" w:cs="Arial" w:eastAsia="Arial" w:hAnsi="Arial"/>
          <w:sz w:val="16"/>
          <w:szCs w:val="16"/>
          <w:color w:val="auto"/>
        </w:rPr>
        <w:t xml:space="preserve">7(a) or Section </w:t>
      </w:r>
      <w:r>
        <w:rPr>
          <w:rFonts w:ascii="Arial" w:cs="Arial" w:eastAsia="Arial" w:hAnsi="Arial"/>
          <w:sz w:val="19"/>
          <w:szCs w:val="19"/>
          <w:b w:val="1"/>
          <w:bCs w:val="1"/>
          <w:color w:val="auto"/>
        </w:rPr>
        <w:t>‎</w:t>
      </w:r>
      <w:r>
        <w:rPr>
          <w:rFonts w:ascii="Arial" w:cs="Arial" w:eastAsia="Arial" w:hAnsi="Arial"/>
          <w:sz w:val="16"/>
          <w:szCs w:val="16"/>
          <w:color w:val="auto"/>
        </w:rPr>
        <w:t>7(c), the Warrant Shares designated by the Holder which, when added to the number of shares of Common Stock underlying the other new Warrants issued in connection with such issuance, does not exceed the number of Warrant Shares then underlying this Warrant), (iii) shall have an issuance date, as indicated on the face of such new Warrant which is the same as the Issuance Date, and (iv) shall have the same rights and conditions as this Warrant.</w:t>
      </w:r>
    </w:p>
    <w:p>
      <w:pPr>
        <w:spacing w:after="0" w:line="163" w:lineRule="exact"/>
        <w:rPr>
          <w:rFonts w:ascii="Arial" w:cs="Arial" w:eastAsia="Arial" w:hAnsi="Arial"/>
          <w:sz w:val="16"/>
          <w:szCs w:val="16"/>
          <w:color w:val="auto"/>
        </w:rPr>
      </w:pPr>
    </w:p>
    <w:p>
      <w:pPr>
        <w:jc w:val="both"/>
        <w:ind w:firstLine="1304"/>
        <w:spacing w:after="0" w:line="296" w:lineRule="auto"/>
        <w:tabs>
          <w:tab w:leader="none" w:pos="1489" w:val="left"/>
        </w:tabs>
        <w:numPr>
          <w:ilvl w:val="0"/>
          <w:numId w:val="337"/>
        </w:numPr>
        <w:rPr>
          <w:rFonts w:ascii="Arial" w:cs="Arial" w:eastAsia="Arial" w:hAnsi="Arial"/>
          <w:sz w:val="16"/>
          <w:szCs w:val="16"/>
          <w:color w:val="auto"/>
        </w:rPr>
      </w:pPr>
      <w:r>
        <w:rPr>
          <w:rFonts w:ascii="Arial" w:cs="Arial" w:eastAsia="Arial" w:hAnsi="Arial"/>
          <w:sz w:val="16"/>
          <w:szCs w:val="16"/>
          <w:u w:val="single" w:color="auto"/>
          <w:color w:val="auto"/>
        </w:rPr>
        <w:t>NOTICES OF CHANGES IN WARRANT</w:t>
      </w:r>
      <w:r>
        <w:rPr>
          <w:rFonts w:ascii="Arial" w:cs="Arial" w:eastAsia="Arial" w:hAnsi="Arial"/>
          <w:sz w:val="16"/>
          <w:szCs w:val="16"/>
          <w:color w:val="auto"/>
        </w:rPr>
        <w:t>. Whenever notice is required to be given under this Warrant, unless otherwise provided herein, such notice shall be given in accordance with Section 8.2 of the Credit Agreement. Upon every adjustment of the Exercise Price or the number of shares of Common Stock issuable upon exercise of a Warrant, the Company shall give written notice thereof to the Holders, which notice shall state the Exercise Price resulting from such adjustment and the increase or decrease, if any, in the number of Warrant Shares purchasable at such price upon the exercise of a Warrant, setting forth in reasonable detail the method of calculation and the facts upon which such calculation is based.</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23" w:name="page324"/>
    <w:bookmarkEnd w:id="323"/>
    <w:p>
      <w:pPr>
        <w:jc w:val="both"/>
        <w:ind w:firstLine="1304"/>
        <w:spacing w:after="0" w:line="301" w:lineRule="auto"/>
        <w:tabs>
          <w:tab w:leader="none" w:pos="1476" w:val="left"/>
        </w:tabs>
        <w:numPr>
          <w:ilvl w:val="0"/>
          <w:numId w:val="338"/>
        </w:numPr>
        <w:rPr>
          <w:rFonts w:ascii="Arial" w:cs="Arial" w:eastAsia="Arial" w:hAnsi="Arial"/>
          <w:sz w:val="16"/>
          <w:szCs w:val="16"/>
          <w:color w:val="auto"/>
        </w:rPr>
      </w:pPr>
      <w:r>
        <w:rPr>
          <w:rFonts w:ascii="Arial" w:cs="Arial" w:eastAsia="Arial" w:hAnsi="Arial"/>
          <w:sz w:val="16"/>
          <w:szCs w:val="16"/>
          <w:u w:val="single" w:color="auto"/>
          <w:color w:val="auto"/>
        </w:rPr>
        <w:t>AMENDMENT AND WAIVER</w:t>
      </w:r>
      <w:r>
        <w:rPr>
          <w:rFonts w:ascii="Arial" w:cs="Arial" w:eastAsia="Arial" w:hAnsi="Arial"/>
          <w:sz w:val="16"/>
          <w:szCs w:val="16"/>
          <w:color w:val="auto"/>
        </w:rPr>
        <w:t>. Except as otherwise provided herein, the provisions of this Warrant may be amended or waived and the Company may take any action herein prohibited, or omit to perform any act herein required to be performed by it, only if the Company has obtained the written consent of (i) the Holder, if there is one Holder, or (ii) the Holder or Holders of the Warrant or Warrants representing the majority of Warrant Shares if there is more than one Holder, and with respect to any amendment, the amendment is in writing and signed by the Company and the Holder.</w:t>
      </w:r>
    </w:p>
    <w:p>
      <w:pPr>
        <w:spacing w:after="0" w:line="157" w:lineRule="exact"/>
        <w:rPr>
          <w:rFonts w:ascii="Arial" w:cs="Arial" w:eastAsia="Arial" w:hAnsi="Arial"/>
          <w:sz w:val="16"/>
          <w:szCs w:val="16"/>
          <w:color w:val="auto"/>
        </w:rPr>
      </w:pPr>
    </w:p>
    <w:p>
      <w:pPr>
        <w:jc w:val="both"/>
        <w:ind w:firstLine="1304"/>
        <w:spacing w:after="0" w:line="283" w:lineRule="auto"/>
        <w:tabs>
          <w:tab w:leader="none" w:pos="1566" w:val="left"/>
        </w:tabs>
        <w:numPr>
          <w:ilvl w:val="0"/>
          <w:numId w:val="338"/>
        </w:numPr>
        <w:rPr>
          <w:rFonts w:ascii="Arial" w:cs="Arial" w:eastAsia="Arial" w:hAnsi="Arial"/>
          <w:sz w:val="16"/>
          <w:szCs w:val="16"/>
          <w:color w:val="auto"/>
        </w:rPr>
      </w:pPr>
      <w:r>
        <w:rPr>
          <w:rFonts w:ascii="Arial" w:cs="Arial" w:eastAsia="Arial" w:hAnsi="Arial"/>
          <w:sz w:val="16"/>
          <w:szCs w:val="16"/>
          <w:u w:val="single" w:color="auto"/>
          <w:color w:val="auto"/>
        </w:rPr>
        <w:t>GOVERNING LAW; JURISDICTION; JURY TRIAL</w:t>
      </w:r>
      <w:r>
        <w:rPr>
          <w:rFonts w:ascii="Arial" w:cs="Arial" w:eastAsia="Arial" w:hAnsi="Arial"/>
          <w:sz w:val="16"/>
          <w:szCs w:val="16"/>
          <w:color w:val="auto"/>
        </w:rPr>
        <w:t xml:space="preserve">. This Warrant shall be governed by and construed and enforced in accordance with, and all questions concerning the construction, validity, interpretation and performance of this Warrant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The Company and the Holder each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The Company and the Holder each hereby irrevocably waives personal service of process and consents to process being served in any such suit, action or proceeding by mailing a copy thereof to the Company or such Holder, as applicable at the address set forth in Section 8.2 of the Credit Agreement and agrees that such service shall constitute good and sufficient service of process and notice thereof. Nothing contained herein shall be deemed to limit in any way any right to serve process in any manner permitted by law. Nothing contained herein shall be deemed or operate to preclude the Holder from bringing suit or taking other legal action against the Company in any other jurisdiction to collect on the Company’s obligations to the Holder, to realize on any collateral or any other security for such obligations, or to enforce a judgment or other court ruling in favor of the Holder. </w:t>
      </w:r>
      <w:r>
        <w:rPr>
          <w:rFonts w:ascii="Arial" w:cs="Arial" w:eastAsia="Arial" w:hAnsi="Arial"/>
          <w:sz w:val="16"/>
          <w:szCs w:val="16"/>
          <w:b w:val="1"/>
          <w:bCs w:val="1"/>
          <w:color w:val="auto"/>
        </w:rPr>
        <w:t>THE COMPANY HEREBY AND THE HOLDER EACH</w:t>
      </w:r>
    </w:p>
    <w:p>
      <w:pPr>
        <w:spacing w:after="0" w:line="1" w:lineRule="exact"/>
        <w:rPr>
          <w:rFonts w:ascii="Arial" w:cs="Arial" w:eastAsia="Arial" w:hAnsi="Arial"/>
          <w:sz w:val="16"/>
          <w:szCs w:val="16"/>
          <w:color w:val="auto"/>
        </w:rPr>
      </w:pPr>
    </w:p>
    <w:p>
      <w:pPr>
        <w:jc w:val="both"/>
        <w:spacing w:after="0" w:line="255" w:lineRule="auto"/>
        <w:rPr>
          <w:rFonts w:ascii="Arial" w:cs="Arial" w:eastAsia="Arial" w:hAnsi="Arial"/>
          <w:sz w:val="16"/>
          <w:szCs w:val="16"/>
          <w:color w:val="auto"/>
        </w:rPr>
      </w:pPr>
      <w:r>
        <w:rPr>
          <w:rFonts w:ascii="Arial" w:cs="Arial" w:eastAsia="Arial" w:hAnsi="Arial"/>
          <w:sz w:val="18"/>
          <w:szCs w:val="18"/>
          <w:b w:val="1"/>
          <w:bCs w:val="1"/>
          <w:color w:val="auto"/>
        </w:rPr>
        <w:t>IRREVOCABLY WAIVES ANY RIGHT IT MAY HAVE, AND AGREES NOT TO REQUEST, A JURY TRIAL FOR THE ADJUDICATION OF ANY DISPUTE HEREUNDER OR IN CONNECTION WITH OR ARISING OUT OF THIS WARRANT OR ANY TRANSACTION CONTEMPLATED HEREBY.</w:t>
      </w:r>
    </w:p>
    <w:p>
      <w:pPr>
        <w:spacing w:after="0" w:line="189" w:lineRule="exact"/>
        <w:rPr>
          <w:rFonts w:ascii="Arial" w:cs="Arial" w:eastAsia="Arial" w:hAnsi="Arial"/>
          <w:sz w:val="16"/>
          <w:szCs w:val="16"/>
          <w:color w:val="auto"/>
        </w:rPr>
      </w:pPr>
    </w:p>
    <w:p>
      <w:pPr>
        <w:jc w:val="both"/>
        <w:ind w:firstLine="1304"/>
        <w:spacing w:after="0" w:line="301" w:lineRule="auto"/>
        <w:tabs>
          <w:tab w:leader="none" w:pos="1573" w:val="left"/>
        </w:tabs>
        <w:numPr>
          <w:ilvl w:val="0"/>
          <w:numId w:val="338"/>
        </w:numPr>
        <w:rPr>
          <w:rFonts w:ascii="Arial" w:cs="Arial" w:eastAsia="Arial" w:hAnsi="Arial"/>
          <w:sz w:val="16"/>
          <w:szCs w:val="16"/>
          <w:color w:val="auto"/>
        </w:rPr>
      </w:pPr>
      <w:r>
        <w:rPr>
          <w:rFonts w:ascii="Arial" w:cs="Arial" w:eastAsia="Arial" w:hAnsi="Arial"/>
          <w:sz w:val="16"/>
          <w:szCs w:val="16"/>
          <w:u w:val="single" w:color="auto"/>
          <w:color w:val="auto"/>
        </w:rPr>
        <w:t>CONSTRUCTION; HEADINGS; BUSINESS DAYS</w:t>
      </w:r>
      <w:r>
        <w:rPr>
          <w:rFonts w:ascii="Arial" w:cs="Arial" w:eastAsia="Arial" w:hAnsi="Arial"/>
          <w:sz w:val="16"/>
          <w:szCs w:val="16"/>
          <w:color w:val="auto"/>
        </w:rPr>
        <w:t>. This Warrant shall be deemed to be jointly drafted by the Company and the Holder and shall not be construed against any Person as the drafter hereof. The headings of this Warrant are for convenience of reference and shall not form part of, or affect the interpretation of, this Warrant.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57" w:lineRule="exact"/>
        <w:rPr>
          <w:rFonts w:ascii="Arial" w:cs="Arial" w:eastAsia="Arial" w:hAnsi="Arial"/>
          <w:sz w:val="16"/>
          <w:szCs w:val="16"/>
          <w:color w:val="auto"/>
        </w:rPr>
      </w:pPr>
    </w:p>
    <w:p>
      <w:pPr>
        <w:jc w:val="both"/>
        <w:ind w:firstLine="1304"/>
        <w:spacing w:after="0" w:line="268" w:lineRule="auto"/>
        <w:tabs>
          <w:tab w:leader="none" w:pos="1566" w:val="left"/>
        </w:tabs>
        <w:numPr>
          <w:ilvl w:val="0"/>
          <w:numId w:val="338"/>
        </w:numPr>
        <w:rPr>
          <w:rFonts w:ascii="Arial" w:cs="Arial" w:eastAsia="Arial" w:hAnsi="Arial"/>
          <w:sz w:val="17"/>
          <w:szCs w:val="17"/>
          <w:color w:val="auto"/>
        </w:rPr>
      </w:pPr>
      <w:r>
        <w:rPr>
          <w:rFonts w:ascii="Arial" w:cs="Arial" w:eastAsia="Arial" w:hAnsi="Arial"/>
          <w:sz w:val="17"/>
          <w:szCs w:val="17"/>
          <w:u w:val="single" w:color="auto"/>
          <w:color w:val="auto"/>
        </w:rPr>
        <w:t>DISPUTE RESOLUTION</w:t>
      </w:r>
      <w:r>
        <w:rPr>
          <w:rFonts w:ascii="Arial" w:cs="Arial" w:eastAsia="Arial" w:hAnsi="Arial"/>
          <w:sz w:val="17"/>
          <w:szCs w:val="17"/>
          <w:color w:val="auto"/>
        </w:rPr>
        <w:t xml:space="preserve">. In the case of a dispute as to the determination of the Exercise Price or the arithmetic calculation of the Warrant Shares, the Company shall submit the disputed determinations or arithmetic calculations via facsimile or electronic mail within two (2) Business Days of receipt of the Exercise Notice giving rise to such dispute, as the case may be, to the Holder. If the Holder and the Company are unable to agree upon such determination or calculation of the Exercise Price or the Warrant Shares within three (3) Business Days of such disputed determination or arithmetic calculation being submitted to the Holder, then the Company shall, within two (2) Business Days submit via facsimile or electronic mail the dispute to a nationally recognized accounting firm selected by the Holder and reasonably satisfactory to the Company. If the Company does not object in writing to the selection of the accounting firm within two (2) Business Days of notice of the Holder’s selection, the Company will have deemed to have consented to such selection. If the Company does object, the Company shall provide the Holder its rationale for such rejection and five (5) acceptable alternative firms. The Company shall cause at its expense the accepted accounting firm to perform the determinations or calculations and notify the Company and the Holder of the results no later than three (3) Business Days from the time it receives the disputed determinations or calculations. Such accounting firm’s determination or calculation, as the case may be, shall be binding upon all parties absent demonstrable error. In the event that the accounting firm resolves the dispute in the Holder’s favor, a Delivery Failure will be deemed to have occurred and the Buy-In and other remedies available to the Holder under Section </w:t>
      </w:r>
      <w:r>
        <w:rPr>
          <w:rFonts w:ascii="Arial" w:cs="Arial" w:eastAsia="Arial" w:hAnsi="Arial"/>
          <w:sz w:val="20"/>
          <w:szCs w:val="20"/>
          <w:b w:val="1"/>
          <w:bCs w:val="1"/>
          <w:color w:val="auto"/>
        </w:rPr>
        <w:t>‎</w:t>
      </w:r>
      <w:r>
        <w:rPr>
          <w:rFonts w:ascii="Arial" w:cs="Arial" w:eastAsia="Arial" w:hAnsi="Arial"/>
          <w:sz w:val="17"/>
          <w:szCs w:val="17"/>
          <w:color w:val="auto"/>
        </w:rPr>
        <w:t>1(c) will apply.</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24" w:name="page325"/>
    <w:bookmarkEnd w:id="324"/>
    <w:p>
      <w:pPr>
        <w:jc w:val="both"/>
        <w:ind w:firstLine="1304"/>
        <w:spacing w:after="0" w:line="272" w:lineRule="auto"/>
        <w:tabs>
          <w:tab w:leader="none" w:pos="1566" w:val="left"/>
        </w:tabs>
        <w:numPr>
          <w:ilvl w:val="0"/>
          <w:numId w:val="339"/>
        </w:numPr>
        <w:rPr>
          <w:rFonts w:ascii="Arial" w:cs="Arial" w:eastAsia="Arial" w:hAnsi="Arial"/>
          <w:sz w:val="17"/>
          <w:szCs w:val="17"/>
          <w:color w:val="auto"/>
        </w:rPr>
      </w:pPr>
      <w:r>
        <w:rPr>
          <w:rFonts w:ascii="Arial" w:cs="Arial" w:eastAsia="Arial" w:hAnsi="Arial"/>
          <w:sz w:val="17"/>
          <w:szCs w:val="17"/>
          <w:u w:val="single" w:color="auto"/>
          <w:color w:val="auto"/>
        </w:rPr>
        <w:t>REMEDIES, OTHER OBLIGATIONS, BREACHES AND INJUNCTIVE RELIEF</w:t>
      </w:r>
      <w:r>
        <w:rPr>
          <w:rFonts w:ascii="Arial" w:cs="Arial" w:eastAsia="Arial" w:hAnsi="Arial"/>
          <w:sz w:val="17"/>
          <w:szCs w:val="17"/>
          <w:color w:val="auto"/>
        </w:rPr>
        <w:t>. The remedies provided in this Warrant shall be cumulative and in addition to all other remedies available under this Warrant and the other Loan Documents, at law or in equity (including a decree of specific performance and/or other injunctive relief), and nothing herein shall limit the right of the Holder to pursue actual damages for any failure by the Company to comply with the terms of this Warrant.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shall be entitled, in addition to all other available remedies, to an injunction restraining any breach, without the necessity of showing economic loss and without any bond or other security being required.</w:t>
      </w:r>
    </w:p>
    <w:p>
      <w:pPr>
        <w:spacing w:after="0" w:line="177" w:lineRule="exact"/>
        <w:rPr>
          <w:rFonts w:ascii="Arial" w:cs="Arial" w:eastAsia="Arial" w:hAnsi="Arial"/>
          <w:sz w:val="17"/>
          <w:szCs w:val="17"/>
          <w:color w:val="auto"/>
        </w:rPr>
      </w:pPr>
    </w:p>
    <w:p>
      <w:pPr>
        <w:jc w:val="both"/>
        <w:ind w:firstLine="1304"/>
        <w:spacing w:after="0" w:line="259" w:lineRule="auto"/>
        <w:tabs>
          <w:tab w:leader="none" w:pos="1566" w:val="left"/>
        </w:tabs>
        <w:numPr>
          <w:ilvl w:val="0"/>
          <w:numId w:val="339"/>
        </w:numPr>
        <w:rPr>
          <w:rFonts w:ascii="Arial" w:cs="Arial" w:eastAsia="Arial" w:hAnsi="Arial"/>
          <w:sz w:val="18"/>
          <w:szCs w:val="18"/>
          <w:color w:val="auto"/>
        </w:rPr>
      </w:pPr>
      <w:r>
        <w:rPr>
          <w:rFonts w:ascii="Arial" w:cs="Arial" w:eastAsia="Arial" w:hAnsi="Arial"/>
          <w:sz w:val="18"/>
          <w:szCs w:val="18"/>
          <w:u w:val="single" w:color="auto"/>
          <w:color w:val="auto"/>
        </w:rPr>
        <w:t>TRANSFER</w:t>
      </w:r>
      <w:r>
        <w:rPr>
          <w:rFonts w:ascii="Arial" w:cs="Arial" w:eastAsia="Arial" w:hAnsi="Arial"/>
          <w:sz w:val="18"/>
          <w:szCs w:val="18"/>
          <w:color w:val="auto"/>
        </w:rPr>
        <w:t>. This Warrant and the Warrant Shares may be offered for sale, sold, transferred, pledged or assigned without the consent of the Company, subject to compliance with applicable state and federal securities laws. The Holder acknowledges that the Warrant Shares acquired upon the exercise of this Warrant, if not registered, and the Holder does not utilize cashless exercise, will have restrictions upon resale imposed by state and federal securities laws.</w:t>
      </w:r>
    </w:p>
    <w:p>
      <w:pPr>
        <w:spacing w:after="0" w:line="186" w:lineRule="exact"/>
        <w:rPr>
          <w:rFonts w:ascii="Arial" w:cs="Arial" w:eastAsia="Arial" w:hAnsi="Arial"/>
          <w:sz w:val="18"/>
          <w:szCs w:val="18"/>
          <w:color w:val="auto"/>
        </w:rPr>
      </w:pPr>
    </w:p>
    <w:p>
      <w:pPr>
        <w:jc w:val="both"/>
        <w:ind w:firstLine="1304"/>
        <w:spacing w:after="0" w:line="271" w:lineRule="auto"/>
        <w:tabs>
          <w:tab w:leader="none" w:pos="1566" w:val="left"/>
        </w:tabs>
        <w:numPr>
          <w:ilvl w:val="0"/>
          <w:numId w:val="339"/>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of this Warrant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Warrant so long as this Warrant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178" w:lineRule="exact"/>
        <w:rPr>
          <w:rFonts w:ascii="Arial" w:cs="Arial" w:eastAsia="Arial" w:hAnsi="Arial"/>
          <w:sz w:val="17"/>
          <w:szCs w:val="17"/>
          <w:color w:val="auto"/>
        </w:rPr>
      </w:pPr>
    </w:p>
    <w:p>
      <w:pPr>
        <w:ind w:firstLine="1304"/>
        <w:spacing w:after="0" w:line="277" w:lineRule="auto"/>
        <w:tabs>
          <w:tab w:leader="none" w:pos="1566" w:val="left"/>
        </w:tabs>
        <w:numPr>
          <w:ilvl w:val="0"/>
          <w:numId w:val="339"/>
        </w:numPr>
        <w:rPr>
          <w:rFonts w:ascii="Arial" w:cs="Arial" w:eastAsia="Arial" w:hAnsi="Arial"/>
          <w:sz w:val="18"/>
          <w:szCs w:val="18"/>
          <w:color w:val="auto"/>
        </w:rPr>
      </w:pPr>
      <w:r>
        <w:rPr>
          <w:rFonts w:ascii="Arial" w:cs="Arial" w:eastAsia="Arial" w:hAnsi="Arial"/>
          <w:sz w:val="18"/>
          <w:szCs w:val="18"/>
          <w:u w:val="single" w:color="auto"/>
          <w:color w:val="auto"/>
        </w:rPr>
        <w:t>NO DISCLOSURE</w:t>
      </w:r>
      <w:r>
        <w:rPr>
          <w:rFonts w:ascii="Arial" w:cs="Arial" w:eastAsia="Arial" w:hAnsi="Arial"/>
          <w:sz w:val="18"/>
          <w:szCs w:val="18"/>
          <w:color w:val="auto"/>
        </w:rPr>
        <w:t>. The Company shall not provide material, non-public information or confidential or proprietary information to the Holder without such Holder’s written consent.</w:t>
      </w:r>
    </w:p>
    <w:p>
      <w:pPr>
        <w:spacing w:after="0" w:line="170" w:lineRule="exact"/>
        <w:rPr>
          <w:rFonts w:ascii="Arial" w:cs="Arial" w:eastAsia="Arial" w:hAnsi="Arial"/>
          <w:sz w:val="18"/>
          <w:szCs w:val="18"/>
          <w:color w:val="auto"/>
        </w:rPr>
      </w:pPr>
    </w:p>
    <w:p>
      <w:pPr>
        <w:ind w:left="1580" w:hanging="276"/>
        <w:spacing w:after="0"/>
        <w:tabs>
          <w:tab w:leader="none" w:pos="1580" w:val="left"/>
        </w:tabs>
        <w:numPr>
          <w:ilvl w:val="0"/>
          <w:numId w:val="339"/>
        </w:numPr>
        <w:rPr>
          <w:rFonts w:ascii="Arial" w:cs="Arial" w:eastAsia="Arial" w:hAnsi="Arial"/>
          <w:sz w:val="18"/>
          <w:szCs w:val="18"/>
          <w:color w:val="auto"/>
        </w:rPr>
      </w:pPr>
      <w:r>
        <w:rPr>
          <w:rFonts w:ascii="Arial" w:cs="Arial" w:eastAsia="Arial" w:hAnsi="Arial"/>
          <w:sz w:val="18"/>
          <w:szCs w:val="18"/>
          <w:u w:val="single" w:color="auto"/>
          <w:color w:val="auto"/>
        </w:rPr>
        <w:t>REPRESENTATIONS OF HOLDERS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952"/>
        <w:spacing w:after="0" w:line="263" w:lineRule="auto"/>
        <w:tabs>
          <w:tab w:leader="none" w:pos="2188" w:val="left"/>
        </w:tabs>
        <w:numPr>
          <w:ilvl w:val="1"/>
          <w:numId w:val="339"/>
        </w:numPr>
        <w:rPr>
          <w:rFonts w:ascii="Arial" w:cs="Arial" w:eastAsia="Arial" w:hAnsi="Arial"/>
          <w:sz w:val="18"/>
          <w:szCs w:val="18"/>
          <w:color w:val="auto"/>
        </w:rPr>
      </w:pPr>
      <w:r>
        <w:rPr>
          <w:rFonts w:ascii="Arial" w:cs="Arial" w:eastAsia="Arial" w:hAnsi="Arial"/>
          <w:sz w:val="18"/>
          <w:szCs w:val="18"/>
          <w:u w:val="single" w:color="auto"/>
          <w:color w:val="auto"/>
        </w:rPr>
        <w:t>Investment Intent</w:t>
      </w:r>
      <w:r>
        <w:rPr>
          <w:rFonts w:ascii="Arial" w:cs="Arial" w:eastAsia="Arial" w:hAnsi="Arial"/>
          <w:sz w:val="18"/>
          <w:szCs w:val="18"/>
          <w:color w:val="auto"/>
        </w:rPr>
        <w:t>. Each Holder represents and warrants that it is acquiring this Warrant and the Warrant Shares (collectively, the “</w:t>
      </w:r>
      <w:r>
        <w:rPr>
          <w:rFonts w:ascii="Arial" w:cs="Arial" w:eastAsia="Arial" w:hAnsi="Arial"/>
          <w:sz w:val="18"/>
          <w:szCs w:val="18"/>
          <w:b w:val="1"/>
          <w:bCs w:val="1"/>
          <w:color w:val="auto"/>
        </w:rPr>
        <w:t>Securities</w:t>
      </w:r>
      <w:r>
        <w:rPr>
          <w:rFonts w:ascii="Arial" w:cs="Arial" w:eastAsia="Arial" w:hAnsi="Arial"/>
          <w:sz w:val="18"/>
          <w:szCs w:val="18"/>
          <w:color w:val="auto"/>
        </w:rPr>
        <w:t>”), solely for its beneficial account, for investment purposes, and not with a view to, or for resale in connection with, any distribution of the Securities in violation of applicable securities laws.</w:t>
      </w:r>
    </w:p>
    <w:p>
      <w:pPr>
        <w:spacing w:after="0" w:line="183" w:lineRule="exact"/>
        <w:rPr>
          <w:rFonts w:ascii="Arial" w:cs="Arial" w:eastAsia="Arial" w:hAnsi="Arial"/>
          <w:sz w:val="18"/>
          <w:szCs w:val="18"/>
          <w:color w:val="auto"/>
        </w:rPr>
      </w:pPr>
    </w:p>
    <w:p>
      <w:pPr>
        <w:jc w:val="both"/>
        <w:ind w:firstLine="1952"/>
        <w:spacing w:after="0" w:line="286" w:lineRule="auto"/>
        <w:tabs>
          <w:tab w:leader="none" w:pos="2199" w:val="left"/>
        </w:tabs>
        <w:numPr>
          <w:ilvl w:val="1"/>
          <w:numId w:val="339"/>
        </w:numPr>
        <w:rPr>
          <w:rFonts w:ascii="Arial" w:cs="Arial" w:eastAsia="Arial" w:hAnsi="Arial"/>
          <w:sz w:val="17"/>
          <w:szCs w:val="17"/>
          <w:color w:val="auto"/>
        </w:rPr>
      </w:pPr>
      <w:r>
        <w:rPr>
          <w:rFonts w:ascii="Arial" w:cs="Arial" w:eastAsia="Arial" w:hAnsi="Arial"/>
          <w:sz w:val="17"/>
          <w:szCs w:val="17"/>
          <w:u w:val="single" w:color="auto"/>
          <w:color w:val="auto"/>
        </w:rPr>
        <w:t>Unregistered Securities</w:t>
      </w:r>
      <w:r>
        <w:rPr>
          <w:rFonts w:ascii="Arial" w:cs="Arial" w:eastAsia="Arial" w:hAnsi="Arial"/>
          <w:sz w:val="17"/>
          <w:szCs w:val="17"/>
          <w:color w:val="auto"/>
        </w:rPr>
        <w:t>. Each Holder represents and warrants that it understands that the Securities have not been registered under the Securities Act or any state securities laws by reason of specific exemptions under the provisions thereof, the availability of which depend in part upon the bona fide nature of its investment intent and upon the accuracy of its representations made herein.</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25" w:name="page326"/>
    <w:bookmarkEnd w:id="325"/>
    <w:p>
      <w:pPr>
        <w:jc w:val="both"/>
        <w:ind w:firstLine="1952"/>
        <w:spacing w:after="0" w:line="263" w:lineRule="auto"/>
        <w:tabs>
          <w:tab w:leader="none" w:pos="2242" w:val="left"/>
        </w:tabs>
        <w:numPr>
          <w:ilvl w:val="0"/>
          <w:numId w:val="340"/>
        </w:numPr>
        <w:rPr>
          <w:rFonts w:ascii="Arial" w:cs="Arial" w:eastAsia="Arial" w:hAnsi="Arial"/>
          <w:sz w:val="18"/>
          <w:szCs w:val="18"/>
          <w:color w:val="auto"/>
        </w:rPr>
      </w:pPr>
      <w:r>
        <w:rPr>
          <w:rFonts w:ascii="Arial" w:cs="Arial" w:eastAsia="Arial" w:hAnsi="Arial"/>
          <w:sz w:val="18"/>
          <w:szCs w:val="18"/>
          <w:u w:val="single" w:color="auto"/>
          <w:color w:val="auto"/>
        </w:rPr>
        <w:t>Reliance</w:t>
      </w:r>
      <w:r>
        <w:rPr>
          <w:rFonts w:ascii="Arial" w:cs="Arial" w:eastAsia="Arial" w:hAnsi="Arial"/>
          <w:sz w:val="18"/>
          <w:szCs w:val="18"/>
          <w:color w:val="auto"/>
        </w:rPr>
        <w:t>. Each Holder represents and warrants that it understands that the Company is relying in part upon the representations and agreements of the Holders contained herein for the purpose of determining whether the offer, sale and issuance of the Securities meet the requirements for such exemptions described in Section 17(b).</w:t>
      </w:r>
    </w:p>
    <w:p>
      <w:pPr>
        <w:spacing w:after="0" w:line="183" w:lineRule="exact"/>
        <w:rPr>
          <w:rFonts w:ascii="Arial" w:cs="Arial" w:eastAsia="Arial" w:hAnsi="Arial"/>
          <w:sz w:val="18"/>
          <w:szCs w:val="18"/>
          <w:color w:val="auto"/>
        </w:rPr>
      </w:pPr>
    </w:p>
    <w:p>
      <w:pPr>
        <w:ind w:left="2200" w:hanging="248"/>
        <w:spacing w:after="0"/>
        <w:tabs>
          <w:tab w:leader="none" w:pos="2200" w:val="left"/>
        </w:tabs>
        <w:numPr>
          <w:ilvl w:val="0"/>
          <w:numId w:val="340"/>
        </w:numPr>
        <w:rPr>
          <w:rFonts w:ascii="Arial" w:cs="Arial" w:eastAsia="Arial" w:hAnsi="Arial"/>
          <w:sz w:val="16"/>
          <w:szCs w:val="16"/>
          <w:color w:val="auto"/>
        </w:rPr>
      </w:pPr>
      <w:r>
        <w:rPr>
          <w:rFonts w:ascii="Arial" w:cs="Arial" w:eastAsia="Arial" w:hAnsi="Arial"/>
          <w:sz w:val="16"/>
          <w:szCs w:val="16"/>
          <w:u w:val="single" w:color="auto"/>
          <w:color w:val="auto"/>
        </w:rPr>
        <w:t>Accredited Investor</w:t>
      </w:r>
      <w:r>
        <w:rPr>
          <w:rFonts w:ascii="Arial" w:cs="Arial" w:eastAsia="Arial" w:hAnsi="Arial"/>
          <w:sz w:val="16"/>
          <w:szCs w:val="16"/>
          <w:color w:val="auto"/>
        </w:rPr>
        <w:t>. Each Holder represents and warrants that it is an “accredited investor” as defined in Rule 501(a) under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Securities Act.</w:t>
      </w:r>
    </w:p>
    <w:p>
      <w:pPr>
        <w:spacing w:after="0" w:line="210" w:lineRule="exact"/>
        <w:rPr>
          <w:rFonts w:ascii="Arial" w:cs="Arial" w:eastAsia="Arial" w:hAnsi="Arial"/>
          <w:sz w:val="16"/>
          <w:szCs w:val="16"/>
          <w:color w:val="auto"/>
        </w:rPr>
      </w:pPr>
    </w:p>
    <w:p>
      <w:pPr>
        <w:jc w:val="both"/>
        <w:ind w:right="20" w:firstLine="1952"/>
        <w:spacing w:after="0" w:line="263" w:lineRule="auto"/>
        <w:tabs>
          <w:tab w:leader="none" w:pos="2202" w:val="left"/>
        </w:tabs>
        <w:numPr>
          <w:ilvl w:val="0"/>
          <w:numId w:val="340"/>
        </w:numPr>
        <w:rPr>
          <w:rFonts w:ascii="Arial" w:cs="Arial" w:eastAsia="Arial" w:hAnsi="Arial"/>
          <w:sz w:val="18"/>
          <w:szCs w:val="18"/>
          <w:color w:val="auto"/>
        </w:rPr>
      </w:pPr>
      <w:r>
        <w:rPr>
          <w:rFonts w:ascii="Arial" w:cs="Arial" w:eastAsia="Arial" w:hAnsi="Arial"/>
          <w:sz w:val="18"/>
          <w:szCs w:val="18"/>
          <w:u w:val="single" w:color="auto"/>
          <w:color w:val="auto"/>
        </w:rPr>
        <w:t>Sophisticated Investor</w:t>
      </w:r>
      <w:r>
        <w:rPr>
          <w:rFonts w:ascii="Arial" w:cs="Arial" w:eastAsia="Arial" w:hAnsi="Arial"/>
          <w:sz w:val="18"/>
          <w:szCs w:val="18"/>
          <w:color w:val="auto"/>
        </w:rPr>
        <w:t>. Each Holder represents and warrants that it has such knowledge, skill and experience in business, financial and investment matters that it is capable of evaluating the merits and risks of an investment in the Securities, including experience in and knowledge of the industry in which the Company operates.</w:t>
      </w:r>
    </w:p>
    <w:p>
      <w:pPr>
        <w:spacing w:after="0" w:line="183" w:lineRule="exact"/>
        <w:rPr>
          <w:rFonts w:ascii="Arial" w:cs="Arial" w:eastAsia="Arial" w:hAnsi="Arial"/>
          <w:sz w:val="18"/>
          <w:szCs w:val="18"/>
          <w:color w:val="auto"/>
        </w:rPr>
      </w:pPr>
    </w:p>
    <w:p>
      <w:pPr>
        <w:jc w:val="both"/>
        <w:ind w:firstLine="1952"/>
        <w:spacing w:after="0" w:line="263" w:lineRule="auto"/>
        <w:tabs>
          <w:tab w:leader="none" w:pos="2169" w:val="left"/>
        </w:tabs>
        <w:numPr>
          <w:ilvl w:val="0"/>
          <w:numId w:val="340"/>
        </w:numPr>
        <w:rPr>
          <w:rFonts w:ascii="Arial" w:cs="Arial" w:eastAsia="Arial" w:hAnsi="Arial"/>
          <w:sz w:val="18"/>
          <w:szCs w:val="18"/>
          <w:color w:val="auto"/>
        </w:rPr>
      </w:pPr>
      <w:r>
        <w:rPr>
          <w:rFonts w:ascii="Arial" w:cs="Arial" w:eastAsia="Arial" w:hAnsi="Arial"/>
          <w:sz w:val="18"/>
          <w:szCs w:val="18"/>
          <w:u w:val="single" w:color="auto"/>
          <w:color w:val="auto"/>
        </w:rPr>
        <w:t>Restricted Securities</w:t>
      </w:r>
      <w:r>
        <w:rPr>
          <w:rFonts w:ascii="Arial" w:cs="Arial" w:eastAsia="Arial" w:hAnsi="Arial"/>
          <w:sz w:val="18"/>
          <w:szCs w:val="18"/>
          <w:color w:val="auto"/>
        </w:rPr>
        <w:t>. Each Holder represents and warrants that it understand that the Securities will be “restricted securities” under applicable federal securities laws and that the Securities Act and the rules of the SEC provide in substance that it may dispose of the Securities only pursuant to an effective registration statement under the Securities Act or an exemption therefrom.</w:t>
      </w:r>
    </w:p>
    <w:p>
      <w:pPr>
        <w:spacing w:after="0" w:line="183" w:lineRule="exact"/>
        <w:rPr>
          <w:rFonts w:ascii="Arial" w:cs="Arial" w:eastAsia="Arial" w:hAnsi="Arial"/>
          <w:sz w:val="18"/>
          <w:szCs w:val="18"/>
          <w:color w:val="auto"/>
        </w:rPr>
      </w:pPr>
    </w:p>
    <w:p>
      <w:pPr>
        <w:jc w:val="both"/>
        <w:ind w:firstLine="1952"/>
        <w:spacing w:after="0" w:line="270" w:lineRule="auto"/>
        <w:tabs>
          <w:tab w:leader="none" w:pos="2212" w:val="left"/>
        </w:tabs>
        <w:numPr>
          <w:ilvl w:val="0"/>
          <w:numId w:val="340"/>
        </w:numPr>
        <w:rPr>
          <w:rFonts w:ascii="Arial" w:cs="Arial" w:eastAsia="Arial" w:hAnsi="Arial"/>
          <w:sz w:val="17"/>
          <w:szCs w:val="17"/>
          <w:color w:val="auto"/>
        </w:rPr>
      </w:pPr>
      <w:r>
        <w:rPr>
          <w:rFonts w:ascii="Arial" w:cs="Arial" w:eastAsia="Arial" w:hAnsi="Arial"/>
          <w:sz w:val="17"/>
          <w:szCs w:val="17"/>
          <w:u w:val="single" w:color="auto"/>
          <w:color w:val="auto"/>
        </w:rPr>
        <w:t>Information</w:t>
      </w:r>
      <w:r>
        <w:rPr>
          <w:rFonts w:ascii="Arial" w:cs="Arial" w:eastAsia="Arial" w:hAnsi="Arial"/>
          <w:sz w:val="17"/>
          <w:szCs w:val="17"/>
          <w:color w:val="auto"/>
        </w:rPr>
        <w:t>. Each Holder represents and warrants that it has been furnished by the Company all information (or provided access to all information) regarding the business and financial condition of the Company, the attributes of the Securities, and the merits and risks of an investment in such Securities which it has requested or otherwise needs to evaluate the investment in such Securities; that in making the proposed investment decision, such Holder is relying solely on such information, the representations, warranties and agreements of the Company and the other Loan Parties contained herein and in the other Loan Documents and on investigations made by it and its representatives; that the offer to sell the Securities hereunder was communicated to such Holder in such a manner that it was able to ask questions of and receive answers from the management of the Company concerning the terms and conditions of the proposed transaction and that at no time was it presented with or solicited by or through any leaflet, public promotional meeting, television advertisement or any other form of general or public advertising or solicitation; and such Holder recognizes that an investment in the Securities involves risks and can result in a total loss of all funds invested.</w:t>
      </w:r>
    </w:p>
    <w:p>
      <w:pPr>
        <w:spacing w:after="0" w:line="180" w:lineRule="exact"/>
        <w:rPr>
          <w:rFonts w:ascii="Arial" w:cs="Arial" w:eastAsia="Arial" w:hAnsi="Arial"/>
          <w:sz w:val="17"/>
          <w:szCs w:val="17"/>
          <w:color w:val="auto"/>
        </w:rPr>
      </w:pPr>
    </w:p>
    <w:p>
      <w:pPr>
        <w:jc w:val="both"/>
        <w:ind w:firstLine="1952"/>
        <w:spacing w:after="0" w:line="287" w:lineRule="auto"/>
        <w:tabs>
          <w:tab w:leader="none" w:pos="2199" w:val="left"/>
        </w:tabs>
        <w:numPr>
          <w:ilvl w:val="0"/>
          <w:numId w:val="340"/>
        </w:numPr>
        <w:rPr>
          <w:rFonts w:ascii="Arial" w:cs="Arial" w:eastAsia="Arial" w:hAnsi="Arial"/>
          <w:sz w:val="16"/>
          <w:szCs w:val="16"/>
          <w:color w:val="auto"/>
        </w:rPr>
      </w:pPr>
      <w:r>
        <w:rPr>
          <w:rFonts w:ascii="Arial" w:cs="Arial" w:eastAsia="Arial" w:hAnsi="Arial"/>
          <w:sz w:val="16"/>
          <w:szCs w:val="16"/>
          <w:u w:val="single" w:color="auto"/>
          <w:color w:val="auto"/>
        </w:rPr>
        <w:t>Non-Reliance</w:t>
      </w:r>
      <w:r>
        <w:rPr>
          <w:rFonts w:ascii="Arial" w:cs="Arial" w:eastAsia="Arial" w:hAnsi="Arial"/>
          <w:sz w:val="16"/>
          <w:szCs w:val="16"/>
          <w:color w:val="auto"/>
        </w:rPr>
        <w:t xml:space="preserve">. Notwithstanding anything in this Warrant to the contrary, each Holder hereby acknowledges, with respect to itself, that the Company may possess material non-public information with respect to the Company and/or its securities not known to each Holder as of the date hereof or at a time when each Holder exercises its right to purchase Warrant Shares pursuant to this Warrant and that any such information may impact the value of the Warrant and the Warrant Shares. Each Holder with respect to itself irrevocably waives any claim, or potential claim, that it may have based on the failure of the Company or its Affiliates, officers, directors, employees, agents or other representatives to disclose such information in connection with the execution and delivery of this Warrant or the purchase of Warrant Shares hereunder;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notwithstanding anything in this Section 17(h) or otherwise to the contrary, each Holder does not and shall not be deemed to have waived or otherwise compromised any rights or claims based upon or arising out of (i) the Company’s disclosure obligations under the federal securities laws with respect to any untrue statement of a material fact or omission to state a material fact necessary in order to make the statements made, in the light of the circumstances under which they were made, not misleading in any public statement or filing made by the Company pursuant to the Exchange Act, or (ii) any breach or inaccuracy of any representation or warranty of the Company or any other Loan Party in the Credit Agreement or any other Loan Document. Each Holder with respect to itself acknowledges that the Company would not enter into this Warrant in the absence of the agreements set forth in this Section 17.</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26" w:name="page327"/>
    <w:bookmarkEnd w:id="326"/>
    <w:p>
      <w:pPr>
        <w:ind w:left="1580" w:hanging="276"/>
        <w:spacing w:after="0"/>
        <w:tabs>
          <w:tab w:leader="none" w:pos="1580" w:val="left"/>
        </w:tabs>
        <w:numPr>
          <w:ilvl w:val="1"/>
          <w:numId w:val="341"/>
        </w:numPr>
        <w:rPr>
          <w:rFonts w:ascii="Arial" w:cs="Arial" w:eastAsia="Arial" w:hAnsi="Arial"/>
          <w:sz w:val="18"/>
          <w:szCs w:val="18"/>
          <w:color w:val="auto"/>
        </w:rPr>
      </w:pPr>
      <w:r>
        <w:rPr>
          <w:rFonts w:ascii="Arial" w:cs="Arial" w:eastAsia="Arial" w:hAnsi="Arial"/>
          <w:sz w:val="18"/>
          <w:szCs w:val="18"/>
          <w:u w:val="single" w:color="auto"/>
          <w:color w:val="auto"/>
        </w:rPr>
        <w:t>REPRESENTATIONS OF THE COMPANY</w:t>
      </w:r>
      <w:r>
        <w:rPr>
          <w:rFonts w:ascii="Arial" w:cs="Arial" w:eastAsia="Arial" w:hAnsi="Arial"/>
          <w:sz w:val="18"/>
          <w:szCs w:val="18"/>
          <w:color w:val="auto"/>
        </w:rPr>
        <w:t>. The Company represents and warrants to the Holder that:</w:t>
      </w:r>
    </w:p>
    <w:p>
      <w:pPr>
        <w:spacing w:after="0" w:line="225" w:lineRule="exact"/>
        <w:rPr>
          <w:rFonts w:ascii="Arial" w:cs="Arial" w:eastAsia="Arial" w:hAnsi="Arial"/>
          <w:sz w:val="18"/>
          <w:szCs w:val="18"/>
          <w:color w:val="auto"/>
        </w:rPr>
      </w:pPr>
    </w:p>
    <w:p>
      <w:pPr>
        <w:ind w:left="2200" w:hanging="248"/>
        <w:spacing w:after="0"/>
        <w:tabs>
          <w:tab w:leader="none" w:pos="2200" w:val="left"/>
        </w:tabs>
        <w:numPr>
          <w:ilvl w:val="2"/>
          <w:numId w:val="341"/>
        </w:numPr>
        <w:rPr>
          <w:rFonts w:ascii="Arial" w:cs="Arial" w:eastAsia="Arial" w:hAnsi="Arial"/>
          <w:sz w:val="16"/>
          <w:szCs w:val="16"/>
          <w:color w:val="auto"/>
        </w:rPr>
      </w:pPr>
      <w:r>
        <w:rPr>
          <w:rFonts w:ascii="Arial" w:cs="Arial" w:eastAsia="Arial" w:hAnsi="Arial"/>
          <w:sz w:val="16"/>
          <w:szCs w:val="16"/>
          <w:color w:val="auto"/>
        </w:rPr>
        <w:t>The Company (i) is duly organized, validly existing and in good standing under the laws of its jurisdiction of incorporation;</w:t>
      </w:r>
    </w:p>
    <w:p>
      <w:pPr>
        <w:spacing w:after="0" w:line="46" w:lineRule="exact"/>
        <w:rPr>
          <w:rFonts w:ascii="Arial" w:cs="Arial" w:eastAsia="Arial" w:hAnsi="Arial"/>
          <w:sz w:val="16"/>
          <w:szCs w:val="16"/>
          <w:color w:val="auto"/>
        </w:rPr>
      </w:pPr>
    </w:p>
    <w:p>
      <w:pPr>
        <w:jc w:val="both"/>
        <w:ind w:firstLine="8"/>
        <w:spacing w:after="0" w:line="286" w:lineRule="auto"/>
        <w:tabs>
          <w:tab w:leader="none" w:pos="277" w:val="left"/>
        </w:tabs>
        <w:numPr>
          <w:ilvl w:val="0"/>
          <w:numId w:val="342"/>
        </w:numPr>
        <w:rPr>
          <w:rFonts w:ascii="Arial" w:cs="Arial" w:eastAsia="Arial" w:hAnsi="Arial"/>
          <w:sz w:val="16"/>
          <w:szCs w:val="16"/>
          <w:color w:val="auto"/>
        </w:rPr>
      </w:pPr>
      <w:r>
        <w:rPr>
          <w:rFonts w:ascii="Arial" w:cs="Arial" w:eastAsia="Arial" w:hAnsi="Arial"/>
          <w:sz w:val="16"/>
          <w:szCs w:val="16"/>
          <w:color w:val="auto"/>
        </w:rPr>
        <w:t>has the requisite power and authority to own, lease and operate its properties, to carry on its business as it is now being conducted and to enter into, deliver and perform its obligations under this Warrant; and (iii) is duly licensed or qualified to conduct its business and, if applicable, is in good standing under the laws of each jurisdiction (other than its jurisdiction of incorporation) in which the conduct of its business or the ownership of its properties or assets requires such license or qualification, except, with respect to the foregoing clause (iii), where the failure to be in good standing would not reasonably be expected to have a Company Material Adverse Effect. For purposes of this Warrant, a “</w:t>
      </w:r>
      <w:r>
        <w:rPr>
          <w:rFonts w:ascii="Arial" w:cs="Arial" w:eastAsia="Arial" w:hAnsi="Arial"/>
          <w:sz w:val="16"/>
          <w:szCs w:val="16"/>
          <w:b w:val="1"/>
          <w:bCs w:val="1"/>
          <w:color w:val="auto"/>
        </w:rPr>
        <w:t>Company Material Adverse Effect</w:t>
      </w:r>
      <w:r>
        <w:rPr>
          <w:rFonts w:ascii="Arial" w:cs="Arial" w:eastAsia="Arial" w:hAnsi="Arial"/>
          <w:sz w:val="16"/>
          <w:szCs w:val="16"/>
          <w:color w:val="auto"/>
        </w:rPr>
        <w:t>” means an event, change, development, occurrence, condition or effect with respect to the Company and its subsidiaries, taken together as a whole (on a consolidated basis), that, individually or in the aggregate, (A) would reasonably be expected to have a material adverse effect on the business, financial condition or results of operations of the Company and its subsidiaries, taken together as a whole (on a consolidated basis) or (B) would prevent, materially delay or materially impede the performance by the Company or its subsidiaries of their respective obligations under this Warrant or the other Loan Documents.</w:t>
      </w:r>
    </w:p>
    <w:p>
      <w:pPr>
        <w:spacing w:after="0" w:line="172" w:lineRule="exact"/>
        <w:rPr>
          <w:rFonts w:ascii="Arial" w:cs="Arial" w:eastAsia="Arial" w:hAnsi="Arial"/>
          <w:sz w:val="16"/>
          <w:szCs w:val="16"/>
          <w:color w:val="auto"/>
        </w:rPr>
      </w:pPr>
    </w:p>
    <w:p>
      <w:pPr>
        <w:jc w:val="both"/>
        <w:ind w:firstLine="1952"/>
        <w:spacing w:after="0" w:line="301" w:lineRule="auto"/>
        <w:tabs>
          <w:tab w:leader="none" w:pos="2242" w:val="left"/>
        </w:tabs>
        <w:numPr>
          <w:ilvl w:val="2"/>
          <w:numId w:val="342"/>
        </w:numPr>
        <w:rPr>
          <w:rFonts w:ascii="Arial" w:cs="Arial" w:eastAsia="Arial" w:hAnsi="Arial"/>
          <w:sz w:val="16"/>
          <w:szCs w:val="16"/>
          <w:color w:val="auto"/>
        </w:rPr>
      </w:pPr>
      <w:r>
        <w:rPr>
          <w:rFonts w:ascii="Arial" w:cs="Arial" w:eastAsia="Arial" w:hAnsi="Arial"/>
          <w:sz w:val="16"/>
          <w:szCs w:val="16"/>
          <w:color w:val="auto"/>
        </w:rPr>
        <w:t>This Warrant is duly authorized, validly issued and constitutes legal, valid and binding obligations of the Company, enforceable against the Company in accordance with its terms, except that the enforcement thereof may be subject to applicable bankruptcy, insolvency or similar laws affecting creditors’ rights generally or by equitable principles relating to enforceability (collectively, the “</w:t>
      </w:r>
      <w:r>
        <w:rPr>
          <w:rFonts w:ascii="Arial" w:cs="Arial" w:eastAsia="Arial" w:hAnsi="Arial"/>
          <w:sz w:val="16"/>
          <w:szCs w:val="16"/>
          <w:b w:val="1"/>
          <w:bCs w:val="1"/>
          <w:color w:val="auto"/>
        </w:rPr>
        <w:t>Enforceability Exceptions</w:t>
      </w:r>
      <w:r>
        <w:rPr>
          <w:rFonts w:ascii="Arial" w:cs="Arial" w:eastAsia="Arial" w:hAnsi="Arial"/>
          <w:sz w:val="16"/>
          <w:szCs w:val="16"/>
          <w:color w:val="auto"/>
        </w:rPr>
        <w:t>”), and has not been issued in violation of any preemptive rights created under the Company’s organizational documents or the laws of the State of Delaware.</w:t>
      </w:r>
    </w:p>
    <w:p>
      <w:pPr>
        <w:spacing w:after="0" w:line="157" w:lineRule="exact"/>
        <w:rPr>
          <w:rFonts w:ascii="Arial" w:cs="Arial" w:eastAsia="Arial" w:hAnsi="Arial"/>
          <w:sz w:val="16"/>
          <w:szCs w:val="16"/>
          <w:color w:val="auto"/>
        </w:rPr>
      </w:pPr>
    </w:p>
    <w:p>
      <w:pPr>
        <w:jc w:val="both"/>
        <w:ind w:firstLine="1952"/>
        <w:spacing w:after="0" w:line="263" w:lineRule="auto"/>
        <w:tabs>
          <w:tab w:leader="none" w:pos="2223" w:val="left"/>
        </w:tabs>
        <w:numPr>
          <w:ilvl w:val="2"/>
          <w:numId w:val="342"/>
        </w:numPr>
        <w:rPr>
          <w:rFonts w:ascii="Arial" w:cs="Arial" w:eastAsia="Arial" w:hAnsi="Arial"/>
          <w:sz w:val="18"/>
          <w:szCs w:val="18"/>
          <w:color w:val="auto"/>
        </w:rPr>
      </w:pPr>
      <w:r>
        <w:rPr>
          <w:rFonts w:ascii="Arial" w:cs="Arial" w:eastAsia="Arial" w:hAnsi="Arial"/>
          <w:sz w:val="18"/>
          <w:szCs w:val="18"/>
          <w:color w:val="auto"/>
        </w:rPr>
        <w:t>The Warrant Shares have been duly authorized and, when issued and delivered to the Holder upon conversion of this Warrant, will be validly issued, fully paid and nonassessable and will not have been issued in violation of any preemptive rights created under the Company’s organizational documents or the laws of the State of Delaware.</w:t>
      </w:r>
    </w:p>
    <w:p>
      <w:pPr>
        <w:spacing w:after="0" w:line="183" w:lineRule="exact"/>
        <w:rPr>
          <w:rFonts w:ascii="Arial" w:cs="Arial" w:eastAsia="Arial" w:hAnsi="Arial"/>
          <w:sz w:val="18"/>
          <w:szCs w:val="18"/>
          <w:color w:val="auto"/>
        </w:rPr>
      </w:pPr>
    </w:p>
    <w:p>
      <w:pPr>
        <w:jc w:val="both"/>
        <w:ind w:firstLine="1952"/>
        <w:spacing w:after="0" w:line="270" w:lineRule="auto"/>
        <w:tabs>
          <w:tab w:leader="none" w:pos="2215" w:val="left"/>
        </w:tabs>
        <w:numPr>
          <w:ilvl w:val="2"/>
          <w:numId w:val="342"/>
        </w:numPr>
        <w:rPr>
          <w:rFonts w:ascii="Arial" w:cs="Arial" w:eastAsia="Arial" w:hAnsi="Arial"/>
          <w:sz w:val="17"/>
          <w:szCs w:val="17"/>
          <w:color w:val="auto"/>
        </w:rPr>
      </w:pPr>
      <w:r>
        <w:rPr>
          <w:rFonts w:ascii="Arial" w:cs="Arial" w:eastAsia="Arial" w:hAnsi="Arial"/>
          <w:sz w:val="17"/>
          <w:szCs w:val="17"/>
          <w:color w:val="auto"/>
        </w:rPr>
        <w:t>The execution and delivery of this Warrant, the issuance and delivery of the Warrant Shares in accordance with the terms hereof and the compliance by the Company with all of the provisions of this Warrant and the consummation of the transactions contemplated herein will not conflict with or result in a breach or violation of any of the terms or provisions of, or constitute a default under, or result in the creation or imposition of any lien, charge or encumbrance upon any of the property or assets of the Company pursuant to the terms of (i) any indenture, mortgage, deed of trust, loan agreement, lease, license or other agreement or instrument to which the Company is a party or by which the Company is bound or to which any of the property or assets of the Company is subject; (ii) the organizational documents of the Company; or (iii) any statute or any judgment, order, rule or regulation of any court or governmental agency or body, domestic or foreign, having jurisdiction over the Company or any of its properties that, in the case of clauses (i) and (iii), would reasonably be expected to have a Company Material Adverse Effect or have a material adverse effect on the Company’s ability to consummate the transactions contemplated hereby.</w:t>
      </w:r>
    </w:p>
    <w:p>
      <w:pPr>
        <w:spacing w:after="0" w:line="180" w:lineRule="exact"/>
        <w:rPr>
          <w:rFonts w:ascii="Arial" w:cs="Arial" w:eastAsia="Arial" w:hAnsi="Arial"/>
          <w:sz w:val="17"/>
          <w:szCs w:val="17"/>
          <w:color w:val="auto"/>
        </w:rPr>
      </w:pPr>
    </w:p>
    <w:p>
      <w:pPr>
        <w:jc w:val="both"/>
        <w:ind w:firstLine="1952"/>
        <w:spacing w:after="0" w:line="272" w:lineRule="auto"/>
        <w:tabs>
          <w:tab w:leader="none" w:pos="2217" w:val="left"/>
        </w:tabs>
        <w:numPr>
          <w:ilvl w:val="2"/>
          <w:numId w:val="342"/>
        </w:numPr>
        <w:rPr>
          <w:rFonts w:ascii="Arial" w:cs="Arial" w:eastAsia="Arial" w:hAnsi="Arial"/>
          <w:sz w:val="17"/>
          <w:szCs w:val="17"/>
          <w:color w:val="auto"/>
        </w:rPr>
      </w:pPr>
      <w:r>
        <w:rPr>
          <w:rFonts w:ascii="Arial" w:cs="Arial" w:eastAsia="Arial" w:hAnsi="Arial"/>
          <w:sz w:val="17"/>
          <w:szCs w:val="17"/>
          <w:color w:val="auto"/>
        </w:rPr>
        <w:t>Assuming the accuracy of the representations and warranties of the Holder, the Company is not required to obtain any consent, waiver, authorization or order of, give any notice to, or make any filing or registration with, any court or other federal, state, local or other governmental authority, self-regulatory organization (including the Nasdaq Stock Market) or other person in connection with the execution, delivery and performance of this Warrant, other than (i) filings required by applicable state securities laws, (ii) the filing of the registration statement pursuant to the First Amendment Registration Rights Agreement, (iii) the filing of a Notice of Exempt Offering of Securities on Form D with the SEC, if applicable and (iv) those the failure of which to obtain would not be reasonably likely to have a Company Material Adverse Effect or have a material adverse effect on the Company’s ability to consummate the transactions contemplated hereby.</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27" w:name="page328"/>
    <w:bookmarkEnd w:id="327"/>
    <w:p>
      <w:pPr>
        <w:jc w:val="both"/>
        <w:ind w:firstLine="1952"/>
        <w:spacing w:after="0" w:line="291" w:lineRule="auto"/>
        <w:tabs>
          <w:tab w:leader="none" w:pos="2177" w:val="left"/>
        </w:tabs>
        <w:numPr>
          <w:ilvl w:val="0"/>
          <w:numId w:val="343"/>
        </w:numPr>
        <w:rPr>
          <w:rFonts w:ascii="Arial" w:cs="Arial" w:eastAsia="Arial" w:hAnsi="Arial"/>
          <w:sz w:val="16"/>
          <w:szCs w:val="16"/>
          <w:color w:val="auto"/>
        </w:rPr>
      </w:pPr>
      <w:r>
        <w:rPr>
          <w:rFonts w:ascii="Arial" w:cs="Arial" w:eastAsia="Arial" w:hAnsi="Arial"/>
          <w:sz w:val="16"/>
          <w:szCs w:val="16"/>
          <w:color w:val="auto"/>
        </w:rPr>
        <w:t>As of their respective dates, all reports required to be filed by the Company with the SEC (the “</w:t>
      </w:r>
      <w:r>
        <w:rPr>
          <w:rFonts w:ascii="Arial" w:cs="Arial" w:eastAsia="Arial" w:hAnsi="Arial"/>
          <w:sz w:val="16"/>
          <w:szCs w:val="16"/>
          <w:b w:val="1"/>
          <w:bCs w:val="1"/>
          <w:i w:val="1"/>
          <w:iCs w:val="1"/>
          <w:color w:val="auto"/>
        </w:rPr>
        <w:t>SEC Reports</w:t>
      </w:r>
      <w:r>
        <w:rPr>
          <w:rFonts w:ascii="Arial" w:cs="Arial" w:eastAsia="Arial" w:hAnsi="Arial"/>
          <w:sz w:val="16"/>
          <w:szCs w:val="16"/>
          <w:color w:val="auto"/>
        </w:rPr>
        <w:t>”) complied in all material respects with the requirements of the Exchange Act, and the rules and regulations of the SEC promulgated thereunder,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financial statements of the Company included in the SEC Reports comply in all material respects with applicable accounting requirements and the rules and regulations of the SEC with respect thereto as in effect at the time of filing and fairly present in all material respects the financial position of the Company as of and for the dates thereof and the results of operations and cash flows for the periods then ended, subject, in the case of unaudited statements, to normal, year-end audit adjustments.</w:t>
      </w:r>
    </w:p>
    <w:p>
      <w:pPr>
        <w:spacing w:after="0" w:line="166" w:lineRule="exact"/>
        <w:rPr>
          <w:rFonts w:ascii="Arial" w:cs="Arial" w:eastAsia="Arial" w:hAnsi="Arial"/>
          <w:sz w:val="16"/>
          <w:szCs w:val="16"/>
          <w:color w:val="auto"/>
        </w:rPr>
      </w:pPr>
    </w:p>
    <w:p>
      <w:pPr>
        <w:jc w:val="both"/>
        <w:ind w:firstLine="1952"/>
        <w:spacing w:after="0" w:line="275" w:lineRule="auto"/>
        <w:tabs>
          <w:tab w:leader="none" w:pos="2207" w:val="left"/>
        </w:tabs>
        <w:numPr>
          <w:ilvl w:val="0"/>
          <w:numId w:val="343"/>
        </w:numPr>
        <w:rPr>
          <w:rFonts w:ascii="Arial" w:cs="Arial" w:eastAsia="Arial" w:hAnsi="Arial"/>
          <w:sz w:val="17"/>
          <w:szCs w:val="17"/>
          <w:color w:val="auto"/>
        </w:rPr>
      </w:pPr>
      <w:r>
        <w:rPr>
          <w:rFonts w:ascii="Arial" w:cs="Arial" w:eastAsia="Arial" w:hAnsi="Arial"/>
          <w:sz w:val="17"/>
          <w:szCs w:val="17"/>
          <w:color w:val="auto"/>
        </w:rPr>
        <w:t>Except for such matters as have not had and would not be reasonably likely to have a Company Material Adverse Effect or have a material adverse effect on the Company’s ability to consummate the transactions contemplated hereby, there is no (i) suit, action, investigation, proceeding or arbitration before a governmental authority or arbitrator pending, or, to the knowledge of the Company, threatened in writing against the Company or any of its directors or officers in their capacities as such or (ii) judgment, decree, injunction, ruling or order of any governmental authority or arbitrator outstanding against the Company or any of its directors or officers in their capacities as such.</w:t>
      </w:r>
    </w:p>
    <w:p>
      <w:pPr>
        <w:spacing w:after="0" w:line="176" w:lineRule="exact"/>
        <w:rPr>
          <w:rFonts w:ascii="Arial" w:cs="Arial" w:eastAsia="Arial" w:hAnsi="Arial"/>
          <w:sz w:val="17"/>
          <w:szCs w:val="17"/>
          <w:color w:val="auto"/>
        </w:rPr>
      </w:pPr>
    </w:p>
    <w:p>
      <w:pPr>
        <w:jc w:val="both"/>
        <w:ind w:firstLine="1952"/>
        <w:spacing w:after="0" w:line="255" w:lineRule="auto"/>
        <w:tabs>
          <w:tab w:leader="none" w:pos="2207" w:val="left"/>
        </w:tabs>
        <w:numPr>
          <w:ilvl w:val="0"/>
          <w:numId w:val="343"/>
        </w:numPr>
        <w:rPr>
          <w:rFonts w:ascii="Arial" w:cs="Arial" w:eastAsia="Arial" w:hAnsi="Arial"/>
          <w:sz w:val="18"/>
          <w:szCs w:val="18"/>
          <w:color w:val="auto"/>
        </w:rPr>
      </w:pPr>
      <w:r>
        <w:rPr>
          <w:rFonts w:ascii="Arial" w:cs="Arial" w:eastAsia="Arial" w:hAnsi="Arial"/>
          <w:sz w:val="18"/>
          <w:szCs w:val="18"/>
          <w:color w:val="auto"/>
        </w:rPr>
        <w:t>Except for such matters as have not had and would not be reasonably likely to have a Company Material Adverse Effect or have a material adverse effect on the Company’s ability to consummate the transactions contemplated hereby, the Company is, and has been since its inception, in compliance with all laws applicable to the conduct of the business of the Company. The Company has not received any written, or to its knowledge, other communication from a governmental entity that alleges that the Company is not in compliance with or is in default or violation of any applicable law, except where such noncompliance, default or violation would not be reasonably expected to have, individually or in the aggregate, a Company Material Adverse Effect.</w:t>
      </w:r>
    </w:p>
    <w:p>
      <w:pPr>
        <w:spacing w:after="0" w:line="192" w:lineRule="exact"/>
        <w:rPr>
          <w:rFonts w:ascii="Arial" w:cs="Arial" w:eastAsia="Arial" w:hAnsi="Arial"/>
          <w:sz w:val="18"/>
          <w:szCs w:val="18"/>
          <w:color w:val="auto"/>
        </w:rPr>
      </w:pPr>
    </w:p>
    <w:p>
      <w:pPr>
        <w:jc w:val="both"/>
        <w:ind w:firstLine="1952"/>
        <w:spacing w:after="0" w:line="263" w:lineRule="auto"/>
        <w:tabs>
          <w:tab w:leader="none" w:pos="2165" w:val="left"/>
        </w:tabs>
        <w:numPr>
          <w:ilvl w:val="0"/>
          <w:numId w:val="343"/>
        </w:numPr>
        <w:rPr>
          <w:rFonts w:ascii="Arial" w:cs="Arial" w:eastAsia="Arial" w:hAnsi="Arial"/>
          <w:sz w:val="18"/>
          <w:szCs w:val="18"/>
          <w:color w:val="auto"/>
        </w:rPr>
      </w:pPr>
      <w:r>
        <w:rPr>
          <w:rFonts w:ascii="Arial" w:cs="Arial" w:eastAsia="Arial" w:hAnsi="Arial"/>
          <w:sz w:val="18"/>
          <w:szCs w:val="18"/>
          <w:color w:val="auto"/>
        </w:rPr>
        <w:t>The Company has all franchises, permits, licenses and any similar authority necessary for the conduct of its business as now being conducted by it, the lack of which would have a material adverse effect, and to the Company’s knowledge, the Company is not in default in any material respect under any of such franchises, permits, licenses or other authority.</w:t>
      </w:r>
    </w:p>
    <w:p>
      <w:pPr>
        <w:spacing w:after="0" w:line="183" w:lineRule="exact"/>
        <w:rPr>
          <w:rFonts w:ascii="Arial" w:cs="Arial" w:eastAsia="Arial" w:hAnsi="Arial"/>
          <w:sz w:val="18"/>
          <w:szCs w:val="18"/>
          <w:color w:val="auto"/>
        </w:rPr>
      </w:pPr>
    </w:p>
    <w:p>
      <w:pPr>
        <w:jc w:val="both"/>
        <w:ind w:firstLine="1952"/>
        <w:spacing w:after="0" w:line="259" w:lineRule="auto"/>
        <w:tabs>
          <w:tab w:leader="none" w:pos="2163" w:val="left"/>
        </w:tabs>
        <w:numPr>
          <w:ilvl w:val="0"/>
          <w:numId w:val="343"/>
        </w:numPr>
        <w:rPr>
          <w:rFonts w:ascii="Arial" w:cs="Arial" w:eastAsia="Arial" w:hAnsi="Arial"/>
          <w:sz w:val="18"/>
          <w:szCs w:val="18"/>
          <w:color w:val="auto"/>
        </w:rPr>
      </w:pPr>
      <w:r>
        <w:rPr>
          <w:rFonts w:ascii="Arial" w:cs="Arial" w:eastAsia="Arial" w:hAnsi="Arial"/>
          <w:sz w:val="18"/>
          <w:szCs w:val="18"/>
          <w:color w:val="auto"/>
        </w:rPr>
        <w:t>There is no action, suit, proceeding or investigation pending or, to the Company’s knowledge, currently threatened in writing against the Company that questions the validity of this Warrant or the right of the Company to enter into this Warrant, or to consummate the transactions contemplated hereby, or that might result, if determined adversely to the Company, in a material adverse effect, or in any material change in the current equity ownership of the Company.</w:t>
      </w:r>
    </w:p>
    <w:p>
      <w:pPr>
        <w:spacing w:after="0" w:line="186" w:lineRule="exact"/>
        <w:rPr>
          <w:rFonts w:ascii="Arial" w:cs="Arial" w:eastAsia="Arial" w:hAnsi="Arial"/>
          <w:sz w:val="18"/>
          <w:szCs w:val="18"/>
          <w:color w:val="auto"/>
        </w:rPr>
      </w:pPr>
    </w:p>
    <w:p>
      <w:pPr>
        <w:jc w:val="both"/>
        <w:ind w:firstLine="1952"/>
        <w:spacing w:after="0" w:line="291" w:lineRule="auto"/>
        <w:tabs>
          <w:tab w:leader="none" w:pos="2212" w:val="left"/>
        </w:tabs>
        <w:numPr>
          <w:ilvl w:val="0"/>
          <w:numId w:val="343"/>
        </w:numPr>
        <w:rPr>
          <w:rFonts w:ascii="Arial" w:cs="Arial" w:eastAsia="Arial" w:hAnsi="Arial"/>
          <w:sz w:val="16"/>
          <w:szCs w:val="16"/>
          <w:color w:val="auto"/>
        </w:rPr>
      </w:pPr>
      <w:r>
        <w:rPr>
          <w:rFonts w:ascii="Arial" w:cs="Arial" w:eastAsia="Arial" w:hAnsi="Arial"/>
          <w:sz w:val="16"/>
          <w:szCs w:val="16"/>
          <w:color w:val="auto"/>
        </w:rPr>
        <w:t>To the Company’s knowledge, the Company owns or possesses sufficient legal rights to all (a) patents, patent applications and inventions; (b) trademarks, service marks, trade names, trade dress, logos, domain names or corporate names and registrations and applications for registration thereof, together with all of the goodwill associated therewith; (c) copyrights (registered or unregistered) and copyrightable works and registrations and applications for registrations thereof; (d) computer software, data, and databases and documentation thereof; (e) trade secrets and other confidential information; and (f) licenses, information and proprietary rights and processes necessary for its business as now conducted. The Company has not received any written communications alleging that the Company has violated or, by conducting its business as proposed, would violate any of the patents, trademarks, service marks, trade names, copyrights or trade secrets or other proprietary rights of any other person or entity.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28" w:name="page329"/>
    <w:bookmarkEnd w:id="328"/>
    <w:p>
      <w:pPr>
        <w:ind w:left="1580" w:hanging="276"/>
        <w:spacing w:after="0"/>
        <w:tabs>
          <w:tab w:leader="none" w:pos="1580" w:val="left"/>
        </w:tabs>
        <w:numPr>
          <w:ilvl w:val="0"/>
          <w:numId w:val="344"/>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Warrant, the following terms shall have the following meanings:</w:t>
      </w:r>
    </w:p>
    <w:p>
      <w:pPr>
        <w:spacing w:after="0" w:line="221" w:lineRule="exact"/>
        <w:rPr>
          <w:rFonts w:ascii="Arial" w:cs="Arial" w:eastAsia="Arial" w:hAnsi="Arial"/>
          <w:sz w:val="18"/>
          <w:szCs w:val="18"/>
          <w:color w:val="auto"/>
        </w:rPr>
      </w:pPr>
    </w:p>
    <w:p>
      <w:pPr>
        <w:ind w:firstLine="1952"/>
        <w:spacing w:after="0" w:line="282" w:lineRule="auto"/>
        <w:tabs>
          <w:tab w:leader="none" w:pos="2189" w:val="left"/>
        </w:tabs>
        <w:numPr>
          <w:ilvl w:val="1"/>
          <w:numId w:val="3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61" w:lineRule="exact"/>
        <w:rPr>
          <w:rFonts w:ascii="Arial" w:cs="Arial" w:eastAsia="Arial" w:hAnsi="Arial"/>
          <w:sz w:val="18"/>
          <w:szCs w:val="18"/>
          <w:color w:val="auto"/>
        </w:rPr>
      </w:pPr>
    </w:p>
    <w:p>
      <w:pPr>
        <w:jc w:val="both"/>
        <w:ind w:firstLine="1952"/>
        <w:spacing w:after="0" w:line="294" w:lineRule="auto"/>
        <w:tabs>
          <w:tab w:leader="none" w:pos="2212" w:val="left"/>
        </w:tabs>
        <w:numPr>
          <w:ilvl w:val="1"/>
          <w:numId w:val="34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Attribution Parties</w:t>
      </w:r>
      <w:r>
        <w:rPr>
          <w:rFonts w:ascii="Arial" w:cs="Arial" w:eastAsia="Arial" w:hAnsi="Arial"/>
          <w:sz w:val="16"/>
          <w:szCs w:val="16"/>
          <w:color w:val="auto"/>
        </w:rPr>
        <w:t>” means, collectively, the following Persons and entities: (i) any investment vehicle, including, any funds, feeder funds or managed accounts, currently, or from time to time after the Issuance Date, directly or indirectly managed or advised by the Holder’s investment manager or any of its Affiliates or principals, (ii) any direct or indirect Affiliates of the Holder or any of the foregoing, (iii) any Person acting or who could be deemed to be acting as a Group together with the Holder or any of the foregoing and (iv) any other Persons whose beneficial ownership of the Company’s Common Stock would or could be aggregated with the Holder’s and the other Attribution Parties for purposes of Section 13(d) of the Exchange Act. For clarity, the purpose of the foregoing is to subject collectively the Holder and all other Attribution Parties to the Maximum Percentage.</w:t>
      </w:r>
    </w:p>
    <w:p>
      <w:pPr>
        <w:spacing w:after="0" w:line="159" w:lineRule="exact"/>
        <w:rPr>
          <w:rFonts w:ascii="Arial" w:cs="Arial" w:eastAsia="Arial" w:hAnsi="Arial"/>
          <w:sz w:val="16"/>
          <w:szCs w:val="16"/>
          <w:color w:val="auto"/>
        </w:rPr>
      </w:pPr>
    </w:p>
    <w:p>
      <w:pPr>
        <w:jc w:val="both"/>
        <w:ind w:firstLine="1952"/>
        <w:spacing w:after="0" w:line="267" w:lineRule="auto"/>
        <w:tabs>
          <w:tab w:leader="none" w:pos="2189" w:val="left"/>
        </w:tabs>
        <w:numPr>
          <w:ilvl w:val="1"/>
          <w:numId w:val="34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Black Scholes Going Private Value</w:t>
      </w:r>
      <w:r>
        <w:rPr>
          <w:rFonts w:ascii="Arial" w:cs="Arial" w:eastAsia="Arial" w:hAnsi="Arial"/>
          <w:sz w:val="17"/>
          <w:szCs w:val="17"/>
          <w:color w:val="auto"/>
        </w:rPr>
        <w:t xml:space="preserve">” means the value of the unexercised portion of this Warrant remaining on the date of the consummation of the Fundamental Transaction referred to in Section </w:t>
      </w:r>
      <w:r>
        <w:rPr>
          <w:rFonts w:ascii="Arial" w:cs="Arial" w:eastAsia="Arial" w:hAnsi="Arial"/>
          <w:sz w:val="20"/>
          <w:szCs w:val="20"/>
          <w:b w:val="1"/>
          <w:bCs w:val="1"/>
          <w:color w:val="auto"/>
        </w:rPr>
        <w:t>‎</w:t>
      </w:r>
      <w:r>
        <w:rPr>
          <w:rFonts w:ascii="Arial" w:cs="Arial" w:eastAsia="Arial" w:hAnsi="Arial"/>
          <w:sz w:val="17"/>
          <w:szCs w:val="17"/>
          <w:color w:val="auto"/>
        </w:rPr>
        <w:t>4(b)(i), which value is calculated using the Black Scholes Option Pricing Model obtained from the “OV” function on Bloomberg utilizing (i) an underlying price per share equal to the greater of (1) the highest Closing Sale Price of the Common Stock during the period beginning on the Trading Day immediately preceding the announcement of the applicable Fundamental Transaction (or the consummation of the applicable Fundamental Transaction, if earlier) and ending on the date of consummation of the applicable Fundamental Transaction and (2) the sum of the price per share being offered in cash in the applicable Fundamental Transaction (if any) plus the value of the non-cash consideration being offered in the applicable Fundamental Transaction (if any), (ii) a strike price equal to the Exercise Price in effect on the date of consummation of the applicable Fundamental Transaction, (iii) a risk-free interest rate corresponding to the U.S. Treasury rate for a period equal to the greater of (1) the remaining term of this Warrant as of the date of consummation of the applicable Fundamental Transaction and (2) the remaining term of this Warrant as of the date of consummation of the applicable Fundamental Transaction, (iv) a zero cost of borrow and (v) an expected volatility equal to the greater of 100% and the 60 day volatility obtained from the “HVT” function on Bloomberg (determined utilizing a 365 day annualization factor) as of the Trading Day immediately following the earliest to occur of (A) the public disclosure of the applicable Fundamental Transaction, and (B) the consummation of the applicable Fundamental Transaction.</w:t>
      </w:r>
    </w:p>
    <w:p>
      <w:pPr>
        <w:spacing w:after="0" w:line="185" w:lineRule="exact"/>
        <w:rPr>
          <w:rFonts w:ascii="Arial" w:cs="Arial" w:eastAsia="Arial" w:hAnsi="Arial"/>
          <w:sz w:val="17"/>
          <w:szCs w:val="17"/>
          <w:color w:val="auto"/>
        </w:rPr>
      </w:pPr>
    </w:p>
    <w:p>
      <w:pPr>
        <w:jc w:val="both"/>
        <w:ind w:firstLine="1952"/>
        <w:spacing w:after="0" w:line="267" w:lineRule="auto"/>
        <w:tabs>
          <w:tab w:leader="none" w:pos="2212" w:val="left"/>
        </w:tabs>
        <w:numPr>
          <w:ilvl w:val="1"/>
          <w:numId w:val="34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Black Scholes Value</w:t>
      </w:r>
      <w:r>
        <w:rPr>
          <w:rFonts w:ascii="Arial" w:cs="Arial" w:eastAsia="Arial" w:hAnsi="Arial"/>
          <w:sz w:val="17"/>
          <w:szCs w:val="17"/>
          <w:color w:val="auto"/>
        </w:rPr>
        <w:t xml:space="preserve">” means the value of the unexercised portion of this Warrant remaining on the date of the Holder’s request pursuant to Section </w:t>
      </w:r>
      <w:r>
        <w:rPr>
          <w:rFonts w:ascii="Arial" w:cs="Arial" w:eastAsia="Arial" w:hAnsi="Arial"/>
          <w:sz w:val="20"/>
          <w:szCs w:val="20"/>
          <w:b w:val="1"/>
          <w:bCs w:val="1"/>
          <w:color w:val="auto"/>
        </w:rPr>
        <w:t>‎</w:t>
      </w:r>
      <w:r>
        <w:rPr>
          <w:rFonts w:ascii="Arial" w:cs="Arial" w:eastAsia="Arial" w:hAnsi="Arial"/>
          <w:sz w:val="17"/>
          <w:szCs w:val="17"/>
          <w:color w:val="auto"/>
        </w:rPr>
        <w:t xml:space="preserve">4(c), which value is calculated using the Black Scholes Option Pricing Model obtained from the “OV” function on Bloomberg utilizing (i) an underlying price per share equal to the greater of (1) the highest Closing Sale Price of the Common Stock during the period beginning on the Trading Day immediately preceding the announcement of the applicable Fundamental Transaction (or the consummation of the applicable Fundamental Transaction, if earlier) and ending on the Trading Day of the Holder’s request pursuant to Section </w:t>
      </w:r>
      <w:r>
        <w:rPr>
          <w:rFonts w:ascii="Arial" w:cs="Arial" w:eastAsia="Arial" w:hAnsi="Arial"/>
          <w:sz w:val="20"/>
          <w:szCs w:val="20"/>
          <w:b w:val="1"/>
          <w:bCs w:val="1"/>
          <w:color w:val="auto"/>
        </w:rPr>
        <w:t>‎</w:t>
      </w:r>
      <w:r>
        <w:rPr>
          <w:rFonts w:ascii="Arial" w:cs="Arial" w:eastAsia="Arial" w:hAnsi="Arial"/>
          <w:sz w:val="17"/>
          <w:szCs w:val="17"/>
          <w:color w:val="auto"/>
        </w:rPr>
        <w:t xml:space="preserve">4(c) and (2) the sum of the price per share being offered in cash in the applicable Fundamental Transaction (if any) plus the value of the non-cash consideration being offered in the applicable Fundamental Transaction (if any), (ii) a strike price equal to the Exercise Price in effect on the date of the Holder’s request pursuant to Section 4(c), (iii) a risk-free interest rate corresponding to the U.S. Treasury rate for a period equal to the greater of (1) the remaining term of this Warrant as of the date of the Holder’s request pursuant to Section </w:t>
      </w:r>
      <w:r>
        <w:rPr>
          <w:rFonts w:ascii="Arial" w:cs="Arial" w:eastAsia="Arial" w:hAnsi="Arial"/>
          <w:sz w:val="20"/>
          <w:szCs w:val="20"/>
          <w:b w:val="1"/>
          <w:bCs w:val="1"/>
          <w:color w:val="auto"/>
        </w:rPr>
        <w:t>‎</w:t>
      </w:r>
      <w:r>
        <w:rPr>
          <w:rFonts w:ascii="Arial" w:cs="Arial" w:eastAsia="Arial" w:hAnsi="Arial"/>
          <w:sz w:val="17"/>
          <w:szCs w:val="17"/>
          <w:color w:val="auto"/>
        </w:rPr>
        <w:t xml:space="preserve">4(c) and (2) the remaining term of this Warrant as of the date of consummation of the applicable Fundamental Transaction or as of the date of the Holder’s request pursuant to Section </w:t>
      </w:r>
      <w:r>
        <w:rPr>
          <w:rFonts w:ascii="Arial" w:cs="Arial" w:eastAsia="Arial" w:hAnsi="Arial"/>
          <w:sz w:val="20"/>
          <w:szCs w:val="20"/>
          <w:b w:val="1"/>
          <w:bCs w:val="1"/>
          <w:color w:val="auto"/>
        </w:rPr>
        <w:t>‎</w:t>
      </w:r>
      <w:r>
        <w:rPr>
          <w:rFonts w:ascii="Arial" w:cs="Arial" w:eastAsia="Arial" w:hAnsi="Arial"/>
          <w:sz w:val="17"/>
          <w:szCs w:val="17"/>
          <w:color w:val="auto"/>
        </w:rPr>
        <w:t>4(c) if such request is prior to the date of the consummation of the applicable Fundamental Transaction, (iv) a zero cost of borrow and (v) an expected volatility equal to the greater of 100% and the 60 day volatility obtained from the “HVT” function on Bloomberg (determined utilizing a 365 day annualization factor) as of the Trading Day immediately following the earliest to occur of (A) the public disclosure of the applicable Fundamental Transaction, (B) the consummation of the applicable Fundamental Transaction and (C) the date on which the Holder first became aware of the applicable Fundamental Transaction.</w:t>
      </w:r>
    </w:p>
    <w:p>
      <w:pPr>
        <w:spacing w:after="0" w:line="176" w:lineRule="exact"/>
        <w:rPr>
          <w:rFonts w:ascii="Arial" w:cs="Arial" w:eastAsia="Arial" w:hAnsi="Arial"/>
          <w:sz w:val="17"/>
          <w:szCs w:val="17"/>
          <w:color w:val="auto"/>
        </w:rPr>
      </w:pPr>
    </w:p>
    <w:p>
      <w:pPr>
        <w:ind w:left="2200" w:hanging="248"/>
        <w:spacing w:after="0"/>
        <w:tabs>
          <w:tab w:leader="none" w:pos="2200" w:val="left"/>
        </w:tabs>
        <w:numPr>
          <w:ilvl w:val="1"/>
          <w:numId w:val="3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Bloomberg</w:t>
      </w:r>
      <w:r>
        <w:rPr>
          <w:rFonts w:ascii="Arial" w:cs="Arial" w:eastAsia="Arial" w:hAnsi="Arial"/>
          <w:sz w:val="18"/>
          <w:szCs w:val="18"/>
          <w:color w:val="auto"/>
        </w:rPr>
        <w:t>” means Bloomberg, L.P.</w:t>
      </w:r>
    </w:p>
    <w:p>
      <w:pPr>
        <w:spacing w:after="0" w:line="225" w:lineRule="exact"/>
        <w:rPr>
          <w:rFonts w:ascii="Arial" w:cs="Arial" w:eastAsia="Arial" w:hAnsi="Arial"/>
          <w:sz w:val="18"/>
          <w:szCs w:val="18"/>
          <w:color w:val="auto"/>
        </w:rPr>
      </w:pPr>
    </w:p>
    <w:p>
      <w:pPr>
        <w:ind w:firstLine="1952"/>
        <w:spacing w:after="0" w:line="347" w:lineRule="auto"/>
        <w:tabs>
          <w:tab w:leader="none" w:pos="2182" w:val="left"/>
        </w:tabs>
        <w:numPr>
          <w:ilvl w:val="1"/>
          <w:numId w:val="34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Business Day</w:t>
      </w:r>
      <w:r>
        <w:rPr>
          <w:rFonts w:ascii="Arial" w:cs="Arial" w:eastAsia="Arial" w:hAnsi="Arial"/>
          <w:sz w:val="16"/>
          <w:szCs w:val="16"/>
          <w:color w:val="auto"/>
        </w:rPr>
        <w:t>” means any day except any Saturday, any Sunday, any day which is a federal legal holiday in the United States or any day on which banking institutions in the State of New York are authorized or required by law or other governmental action to close.</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29" w:name="page330"/>
    <w:bookmarkEnd w:id="329"/>
    <w:p>
      <w:pPr>
        <w:jc w:val="both"/>
        <w:ind w:firstLine="1952"/>
        <w:spacing w:after="0" w:line="268" w:lineRule="auto"/>
        <w:tabs>
          <w:tab w:leader="none" w:pos="2212" w:val="left"/>
        </w:tabs>
        <w:numPr>
          <w:ilvl w:val="0"/>
          <w:numId w:val="34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Closing Bid Price</w:t>
      </w:r>
      <w:r>
        <w:rPr>
          <w:rFonts w:ascii="Arial" w:cs="Arial" w:eastAsia="Arial" w:hAnsi="Arial"/>
          <w:sz w:val="17"/>
          <w:szCs w:val="17"/>
          <w:color w:val="auto"/>
        </w:rPr>
        <w:t>” and “</w:t>
      </w:r>
      <w:r>
        <w:rPr>
          <w:rFonts w:ascii="Arial" w:cs="Arial" w:eastAsia="Arial" w:hAnsi="Arial"/>
          <w:sz w:val="17"/>
          <w:szCs w:val="17"/>
          <w:b w:val="1"/>
          <w:bCs w:val="1"/>
          <w:color w:val="auto"/>
        </w:rPr>
        <w:t>Closing Sale Price</w:t>
      </w:r>
      <w:r>
        <w:rPr>
          <w:rFonts w:ascii="Arial" w:cs="Arial" w:eastAsia="Arial" w:hAnsi="Arial"/>
          <w:sz w:val="17"/>
          <w:szCs w:val="17"/>
          <w:color w:val="auto"/>
        </w:rPr>
        <w:t xml:space="preserve">” means, for any security as of any date, the last closing bid price and last closing trade price, respectively, for such security on the Principal Market, as reported by Bloomberg, or, if the Principal Market begins to operate on an extended hours basis and does not designate the closing bid price or the closing trade price, as the case may be, then the last bid price or the last trade price, respectively, of such security prior to 4:00:00 p.m., New York time, as reported by Bloomberg, or, if the Principal Market is not the principal securities exchange or trading market for such security, the last closing bid price or last trade price, respectively, of such security on the principal securities exchange or trading market where such security is listed or traded as reported by Bloomberg, or if the foregoing do not apply, the last closing bid price or last trade price, respectively, of such security in the over-the-counter market on the electronic bulletin board for such security as reported by Bloomberg, or, if no closing bid price or last trade price, respectively, is reported for such security by Bloomberg, the average of the bid prices, or the ask prices, respectively, of any market makers for such security as reported in the OTC Link or “pink sheets” by OTC Markets Group Inc. (formerly Pink OTC Markets Inc.). If the Closing Bid Price or the Closing Sale Price cannot be calculated for a security on a particular date on any of the foregoing bases, the Closing Bid Price or the Closing Sale Price, as the case may be, of such security on such date shall be the fair market value as mutually determined by the Company and the Holder. If the Company and the Holder are unable to agree upon the fair market value of such security, then such dispute shall be resolved pursuant to Section </w:t>
      </w:r>
      <w:r>
        <w:rPr>
          <w:rFonts w:ascii="Arial" w:cs="Arial" w:eastAsia="Arial" w:hAnsi="Arial"/>
          <w:sz w:val="20"/>
          <w:szCs w:val="20"/>
          <w:b w:val="1"/>
          <w:bCs w:val="1"/>
          <w:color w:val="auto"/>
        </w:rPr>
        <w:t>‎</w:t>
      </w:r>
      <w:r>
        <w:rPr>
          <w:rFonts w:ascii="Arial" w:cs="Arial" w:eastAsia="Arial" w:hAnsi="Arial"/>
          <w:sz w:val="17"/>
          <w:szCs w:val="17"/>
          <w:color w:val="auto"/>
        </w:rPr>
        <w:t>12. All such determinations to be appropriately adjusted for any stock dividend, stock split, stock combination, reclassification or other similar transaction during the applicable calculation period.</w:t>
      </w:r>
    </w:p>
    <w:p>
      <w:pPr>
        <w:spacing w:after="0" w:line="172" w:lineRule="exact"/>
        <w:rPr>
          <w:rFonts w:ascii="Arial" w:cs="Arial" w:eastAsia="Arial" w:hAnsi="Arial"/>
          <w:sz w:val="17"/>
          <w:szCs w:val="17"/>
          <w:color w:val="auto"/>
        </w:rPr>
      </w:pPr>
    </w:p>
    <w:p>
      <w:pPr>
        <w:ind w:firstLine="1952"/>
        <w:spacing w:after="0" w:line="312" w:lineRule="auto"/>
        <w:tabs>
          <w:tab w:leader="none" w:pos="2199" w:val="left"/>
        </w:tabs>
        <w:numPr>
          <w:ilvl w:val="0"/>
          <w:numId w:val="34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Common Stock</w:t>
      </w:r>
      <w:r>
        <w:rPr>
          <w:rFonts w:ascii="Arial" w:cs="Arial" w:eastAsia="Arial" w:hAnsi="Arial"/>
          <w:sz w:val="17"/>
          <w:szCs w:val="17"/>
          <w:color w:val="auto"/>
        </w:rPr>
        <w:t>” means (i) the Company’s shares of common stock, par value $0.0001 per share, and (ii) any share capital into which such common stock shall have been changed or any share capital resulting from a reclassification of such common stock.</w:t>
      </w:r>
    </w:p>
    <w:p>
      <w:pPr>
        <w:spacing w:after="0" w:line="139" w:lineRule="exact"/>
        <w:rPr>
          <w:rFonts w:ascii="Arial" w:cs="Arial" w:eastAsia="Arial" w:hAnsi="Arial"/>
          <w:sz w:val="17"/>
          <w:szCs w:val="17"/>
          <w:color w:val="auto"/>
        </w:rPr>
      </w:pPr>
    </w:p>
    <w:p>
      <w:pPr>
        <w:ind w:firstLine="1952"/>
        <w:spacing w:after="0" w:line="282" w:lineRule="auto"/>
        <w:tabs>
          <w:tab w:leader="none" w:pos="2199" w:val="left"/>
        </w:tabs>
        <w:numPr>
          <w:ilvl w:val="0"/>
          <w:numId w:val="3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Convertible Securities</w:t>
      </w:r>
      <w:r>
        <w:rPr>
          <w:rFonts w:ascii="Arial" w:cs="Arial" w:eastAsia="Arial" w:hAnsi="Arial"/>
          <w:sz w:val="18"/>
          <w:szCs w:val="18"/>
          <w:color w:val="auto"/>
        </w:rPr>
        <w:t>” means any stock or securities (other than Options) directly or indirectly convertible into or exercisable or exchangeable for shares of Common Stock.</w:t>
      </w:r>
    </w:p>
    <w:p>
      <w:pPr>
        <w:spacing w:after="0" w:line="161" w:lineRule="exact"/>
        <w:rPr>
          <w:rFonts w:ascii="Arial" w:cs="Arial" w:eastAsia="Arial" w:hAnsi="Arial"/>
          <w:sz w:val="18"/>
          <w:szCs w:val="18"/>
          <w:color w:val="auto"/>
        </w:rPr>
      </w:pPr>
    </w:p>
    <w:p>
      <w:pPr>
        <w:ind w:right="20" w:firstLine="1952"/>
        <w:spacing w:after="0" w:line="282" w:lineRule="auto"/>
        <w:tabs>
          <w:tab w:leader="none" w:pos="2172" w:val="left"/>
        </w:tabs>
        <w:numPr>
          <w:ilvl w:val="0"/>
          <w:numId w:val="3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Market</w:t>
      </w:r>
      <w:r>
        <w:rPr>
          <w:rFonts w:ascii="Arial" w:cs="Arial" w:eastAsia="Arial" w:hAnsi="Arial"/>
          <w:sz w:val="18"/>
          <w:szCs w:val="18"/>
          <w:color w:val="auto"/>
        </w:rPr>
        <w:t>” means The Nasdaq Capital Market, The Nasdaq Global Select Market, The Nasdaq Global Market, the NYSE American, or The New York Stock Exchange.</w:t>
      </w:r>
    </w:p>
    <w:p>
      <w:pPr>
        <w:spacing w:after="0" w:line="161" w:lineRule="exact"/>
        <w:rPr>
          <w:rFonts w:ascii="Arial" w:cs="Arial" w:eastAsia="Arial" w:hAnsi="Arial"/>
          <w:sz w:val="18"/>
          <w:szCs w:val="18"/>
          <w:color w:val="auto"/>
        </w:rPr>
      </w:pPr>
    </w:p>
    <w:p>
      <w:pPr>
        <w:ind w:right="20" w:firstLine="1952"/>
        <w:spacing w:after="0" w:line="312" w:lineRule="auto"/>
        <w:tabs>
          <w:tab w:leader="none" w:pos="2212" w:val="left"/>
        </w:tabs>
        <w:numPr>
          <w:ilvl w:val="0"/>
          <w:numId w:val="34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Expiration Date</w:t>
      </w:r>
      <w:r>
        <w:rPr>
          <w:rFonts w:ascii="Arial" w:cs="Arial" w:eastAsia="Arial" w:hAnsi="Arial"/>
          <w:sz w:val="17"/>
          <w:szCs w:val="17"/>
          <w:color w:val="auto"/>
        </w:rPr>
        <w:t>” means the date that is the five (5) year anniversary of the Issuance Date or, if such date falls on a day other than a Trading Day or on which trading does not take place on the Principal Market (a “</w:t>
      </w:r>
      <w:r>
        <w:rPr>
          <w:rFonts w:ascii="Arial" w:cs="Arial" w:eastAsia="Arial" w:hAnsi="Arial"/>
          <w:sz w:val="17"/>
          <w:szCs w:val="17"/>
          <w:b w:val="1"/>
          <w:bCs w:val="1"/>
          <w:color w:val="auto"/>
        </w:rPr>
        <w:t>Holiday</w:t>
      </w:r>
      <w:r>
        <w:rPr>
          <w:rFonts w:ascii="Arial" w:cs="Arial" w:eastAsia="Arial" w:hAnsi="Arial"/>
          <w:sz w:val="17"/>
          <w:szCs w:val="17"/>
          <w:color w:val="auto"/>
        </w:rPr>
        <w:t>”), the next date that is not a Holiday.</w:t>
      </w:r>
    </w:p>
    <w:p>
      <w:pPr>
        <w:spacing w:after="0" w:line="139" w:lineRule="exact"/>
        <w:rPr>
          <w:rFonts w:ascii="Arial" w:cs="Arial" w:eastAsia="Arial" w:hAnsi="Arial"/>
          <w:sz w:val="17"/>
          <w:szCs w:val="17"/>
          <w:color w:val="auto"/>
        </w:rPr>
      </w:pPr>
    </w:p>
    <w:p>
      <w:pPr>
        <w:jc w:val="both"/>
        <w:ind w:firstLine="1952"/>
        <w:spacing w:after="0" w:line="284" w:lineRule="auto"/>
        <w:tabs>
          <w:tab w:leader="none" w:pos="2186" w:val="left"/>
        </w:tabs>
        <w:numPr>
          <w:ilvl w:val="0"/>
          <w:numId w:val="34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Fundamental Transaction</w:t>
      </w:r>
      <w:r>
        <w:rPr>
          <w:rFonts w:ascii="Arial" w:cs="Arial" w:eastAsia="Arial" w:hAnsi="Arial"/>
          <w:sz w:val="16"/>
          <w:szCs w:val="16"/>
          <w:color w:val="auto"/>
        </w:rPr>
        <w:t>” means (A) that the Company shall, directly or indirectly, including through subsidiaries, Affiliates or otherwise, in one or more related transactions, (i) consolidate or merge with or into (whether or not the Company is the surviving corporation) another Subject Entity, or (ii) sell, assign, transfer, convey or otherwise dispose of all or substantially all of the properties or assets of the Company or any of its “significant subsidiaries” (as defined in Rule 1-02 of Regulation S-X) to one or more Subject Entities, or (iii) make, or allow one or more Subject Entities to make, or allow the Company to be subject to or have its Common Stock be subject to or party to one or more Subject Entities making, a purchase, tender or exchange offer that is accepted by the holders of at least either (x) 50% of the outstanding shares of Common Stock, (y) 50% of the outstanding shares of Common Stock calculated as if any shares of Common Stock held by all Subject Entities making or party to, or Affiliated with any Subject Entities making or party to, such purchase, tender or exchange offer were not outstanding; or (z) such number of shares of Common Stock such that all Subject Entities making or party to, or Affiliated with any Subject Entity making or party to, such purchase, tender or exchange offer, become collectively the beneficial owners (as defined in Rule 13d-3 under the Exchange Act) of at least 50% of the outstanding shares of Common Stock, or (iv) consummate a stock purchase agreement or other business combination (including, without limitation, a reorganization, recapitalization, spin-off or scheme of arrangement) with one or more Subject Entities whereby all such Subject Entities, individually or in the aggregate, acquire, either (x) at least 50% of the outstanding shares of Common Stock, (y) at least 50% of the outstanding shares of Common Stock calculated as if any shares of Common Stock held by all the Subject Entities making or party to, or Affiliated with any Subject Entity making or party to, such stock purchase agreement or other business combination were not outstanding; or (z) such number of shares of Common Stock such that the Subject Entities become collectively the beneficial owners (as defined in Rule 13d-3 under the Exchange Act) of at least 50% of the outstanding shares of Common Stock, or (v) reorganize, recapitalize or reclassify its Common Stock, (B) that the Company shall, directly or indirectly, including through subsidiaries, Affiliates or otherwise, in one or more related transactions, allow any Subject Entity individually or the Subject Entities in the aggregate to be or become the “beneficial owner” (as defined in Rule 13d-3 under the Exchange Act), directly or indirectly, whether through acquisition, purchase, assignment, conveyance, tender, tender offer, exchange, reduction in outstanding shares of Common Stock, merger, consolidation, business combination, reorganization, recapitalization, spin-off, scheme of arrangement, reorganization, recapitalization or reclassification or otherwise in any manner whatsoever, of either (x) at least 50% of the aggregate ordinary voting power represented by issued and outstanding Common Stock, (y) at least 50% of the aggregate ordinary voting power represented by issued and outstanding Common Stock not held by all such Subject Entities as of the date of this Warrant calculated as if any shares of Common Stock held by all such Subject Entities were not outstanding, or (z) a percentage of the aggregate ordinary voting power represented by issued and outstanding shares of Common Stock or other equity securities of the Company sufficient to allow such Subject Entities to effect a statutory short form merger or other transaction requiring other stockholders of the Company to surrender their shares of Common Stock without approval of the stockholders of the Company or (C) directly or indirectly, including through subsidiaries, Affiliates or otherwise, in one or more related transactions, the issuance of or the entering into any other instrument or transaction structured in a manner to circumvent, or that circumvents, the intent of this definition in which case this definition shall be construed and implemented in a manner otherwise than in strict conformity with the terms of this definition to the extent necessary to correct this definition or any portion of this definition which may be defective or inconsistent with the intended treatment of such instrument or transaction.</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0" w:name="page331"/>
    <w:bookmarkEnd w:id="330"/>
    <w:p>
      <w:pPr>
        <w:ind w:left="1960"/>
        <w:spacing w:after="0"/>
        <w:rPr>
          <w:sz w:val="20"/>
          <w:szCs w:val="20"/>
          <w:color w:val="auto"/>
        </w:rPr>
      </w:pPr>
      <w:r>
        <w:rPr>
          <w:rFonts w:ascii="Arial" w:cs="Arial" w:eastAsia="Arial" w:hAnsi="Arial"/>
          <w:sz w:val="17"/>
          <w:szCs w:val="17"/>
          <w:color w:val="auto"/>
        </w:rPr>
        <w:t>(m) “</w:t>
      </w:r>
      <w:r>
        <w:rPr>
          <w:rFonts w:ascii="Arial" w:cs="Arial" w:eastAsia="Arial" w:hAnsi="Arial"/>
          <w:sz w:val="17"/>
          <w:szCs w:val="17"/>
          <w:b w:val="1"/>
          <w:bCs w:val="1"/>
          <w:color w:val="auto"/>
        </w:rPr>
        <w:t>Group</w:t>
      </w:r>
      <w:r>
        <w:rPr>
          <w:rFonts w:ascii="Arial" w:cs="Arial" w:eastAsia="Arial" w:hAnsi="Arial"/>
          <w:sz w:val="17"/>
          <w:szCs w:val="17"/>
          <w:color w:val="auto"/>
        </w:rPr>
        <w:t>” means a “group” as that term is used in Section 13(d) of the Exchange Act and as defined in Rule 13d-5</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thereunder.</w:t>
      </w:r>
    </w:p>
    <w:p>
      <w:pPr>
        <w:spacing w:after="0" w:line="207"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(n) “</w:t>
      </w:r>
      <w:r>
        <w:rPr>
          <w:rFonts w:ascii="Arial" w:cs="Arial" w:eastAsia="Arial" w:hAnsi="Arial"/>
          <w:sz w:val="17"/>
          <w:szCs w:val="17"/>
          <w:b w:val="1"/>
          <w:bCs w:val="1"/>
          <w:color w:val="auto"/>
        </w:rPr>
        <w:t>Options</w:t>
      </w:r>
      <w:r>
        <w:rPr>
          <w:rFonts w:ascii="Arial" w:cs="Arial" w:eastAsia="Arial" w:hAnsi="Arial"/>
          <w:sz w:val="17"/>
          <w:szCs w:val="17"/>
          <w:color w:val="auto"/>
        </w:rPr>
        <w:t>” means any rights, warrants or options to subscribe for or purchase shares of Common Stock or Convertible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Securities.</w:t>
      </w:r>
    </w:p>
    <w:p>
      <w:pPr>
        <w:spacing w:after="0" w:line="207" w:lineRule="exact"/>
        <w:rPr>
          <w:sz w:val="20"/>
          <w:szCs w:val="20"/>
          <w:color w:val="auto"/>
        </w:rPr>
      </w:pPr>
    </w:p>
    <w:p>
      <w:pPr>
        <w:jc w:val="both"/>
        <w:ind w:firstLine="1952"/>
        <w:spacing w:after="0" w:line="258" w:lineRule="auto"/>
        <w:tabs>
          <w:tab w:leader="none" w:pos="2199" w:val="left"/>
        </w:tabs>
        <w:numPr>
          <w:ilvl w:val="0"/>
          <w:numId w:val="3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Entity</w:t>
      </w:r>
      <w:r>
        <w:rPr>
          <w:rFonts w:ascii="Arial" w:cs="Arial" w:eastAsia="Arial" w:hAnsi="Arial"/>
          <w:sz w:val="18"/>
          <w:szCs w:val="18"/>
          <w:color w:val="auto"/>
        </w:rPr>
        <w:t>” of a Person means an entity that, directly or indirectly, controls the applicable Person, including such entity whose common shares or common stock or equivalent equity security is quoted or listed on an Eligible Market (or, if so elected by the Holder, any other market, exchange or quotation system), or, if there is more than one such Person or such entity, the Person or such entity designated by the Holder or in the absence of such designation, such Person or entity with the largest public market capitalization as of the date of consummation of the Fundamental Transaction.</w:t>
      </w:r>
    </w:p>
    <w:p>
      <w:pPr>
        <w:spacing w:after="0" w:line="183" w:lineRule="exact"/>
        <w:rPr>
          <w:rFonts w:ascii="Arial" w:cs="Arial" w:eastAsia="Arial" w:hAnsi="Arial"/>
          <w:sz w:val="18"/>
          <w:szCs w:val="18"/>
          <w:color w:val="auto"/>
        </w:rPr>
      </w:pPr>
    </w:p>
    <w:p>
      <w:pPr>
        <w:ind w:firstLine="1952"/>
        <w:spacing w:after="0" w:line="282" w:lineRule="auto"/>
        <w:tabs>
          <w:tab w:leader="none" w:pos="2212" w:val="left"/>
        </w:tabs>
        <w:numPr>
          <w:ilvl w:val="0"/>
          <w:numId w:val="3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61" w:lineRule="exact"/>
        <w:rPr>
          <w:rFonts w:ascii="Arial" w:cs="Arial" w:eastAsia="Arial" w:hAnsi="Arial"/>
          <w:sz w:val="18"/>
          <w:szCs w:val="18"/>
          <w:color w:val="auto"/>
        </w:rPr>
      </w:pPr>
    </w:p>
    <w:p>
      <w:pPr>
        <w:ind w:right="20" w:firstLine="1952"/>
        <w:spacing w:after="0" w:line="282" w:lineRule="auto"/>
        <w:tabs>
          <w:tab w:leader="none" w:pos="2226" w:val="left"/>
        </w:tabs>
        <w:numPr>
          <w:ilvl w:val="0"/>
          <w:numId w:val="3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Principal Market</w:t>
      </w:r>
      <w:r>
        <w:rPr>
          <w:rFonts w:ascii="Arial" w:cs="Arial" w:eastAsia="Arial" w:hAnsi="Arial"/>
          <w:sz w:val="18"/>
          <w:szCs w:val="18"/>
          <w:color w:val="auto"/>
        </w:rPr>
        <w:t>” means the OTC Bulletin Board or any other Eligible Market, or any national securities exchange, market or trading or quotation facility on which the Common Stock is then listed or quoted.</w:t>
      </w:r>
    </w:p>
    <w:p>
      <w:pPr>
        <w:spacing w:after="0" w:line="161" w:lineRule="exact"/>
        <w:rPr>
          <w:rFonts w:ascii="Arial" w:cs="Arial" w:eastAsia="Arial" w:hAnsi="Arial"/>
          <w:sz w:val="18"/>
          <w:szCs w:val="18"/>
          <w:color w:val="auto"/>
        </w:rPr>
      </w:pPr>
    </w:p>
    <w:p>
      <w:pPr>
        <w:ind w:left="2180" w:hanging="228"/>
        <w:spacing w:after="0"/>
        <w:tabs>
          <w:tab w:leader="none" w:pos="218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w:t>
      </w:r>
    </w:p>
    <w:p>
      <w:pPr>
        <w:spacing w:after="0" w:line="225" w:lineRule="exact"/>
        <w:rPr>
          <w:rFonts w:ascii="Arial" w:cs="Arial" w:eastAsia="Arial" w:hAnsi="Arial"/>
          <w:sz w:val="18"/>
          <w:szCs w:val="18"/>
          <w:color w:val="auto"/>
        </w:rPr>
      </w:pPr>
    </w:p>
    <w:p>
      <w:pPr>
        <w:ind w:left="2180" w:hanging="228"/>
        <w:spacing w:after="0"/>
        <w:tabs>
          <w:tab w:leader="none" w:pos="2180" w:val="left"/>
        </w:tabs>
        <w:numPr>
          <w:ilvl w:val="0"/>
          <w:numId w:val="34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Subject Entity</w:t>
      </w:r>
      <w:r>
        <w:rPr>
          <w:rFonts w:ascii="Arial" w:cs="Arial" w:eastAsia="Arial" w:hAnsi="Arial"/>
          <w:sz w:val="16"/>
          <w:szCs w:val="16"/>
          <w:color w:val="auto"/>
        </w:rPr>
        <w:t>” means any Person, Persons or Group or any Affiliate or associate of any such Person, Persons or Group.</w:t>
      </w:r>
    </w:p>
    <w:p>
      <w:pPr>
        <w:spacing w:after="0" w:line="248" w:lineRule="exact"/>
        <w:rPr>
          <w:rFonts w:ascii="Arial" w:cs="Arial" w:eastAsia="Arial" w:hAnsi="Arial"/>
          <w:sz w:val="16"/>
          <w:szCs w:val="16"/>
          <w:color w:val="auto"/>
        </w:rPr>
      </w:pPr>
    </w:p>
    <w:p>
      <w:pPr>
        <w:jc w:val="both"/>
        <w:ind w:firstLine="1952"/>
        <w:spacing w:after="0" w:line="266" w:lineRule="auto"/>
        <w:tabs>
          <w:tab w:leader="none" w:pos="2172" w:val="left"/>
        </w:tabs>
        <w:numPr>
          <w:ilvl w:val="0"/>
          <w:numId w:val="3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Successor Entity</w:t>
      </w:r>
      <w:r>
        <w:rPr>
          <w:rFonts w:ascii="Arial" w:cs="Arial" w:eastAsia="Arial" w:hAnsi="Arial"/>
          <w:sz w:val="18"/>
          <w:szCs w:val="18"/>
          <w:color w:val="auto"/>
        </w:rPr>
        <w:t>” means one or more Person or Persons (or, if so elected by the Holder, the Company or Parent Entity) formed by, resulting from or surviving any Fundamental Transaction or one or more Person or Persons (or, if so elected by the Holder, the Company or the Parent Entity) with which such Fundamental Transaction shall have been entered into.</w:t>
      </w:r>
    </w:p>
    <w:p>
      <w:pPr>
        <w:spacing w:after="0" w:line="175" w:lineRule="exact"/>
        <w:rPr>
          <w:rFonts w:ascii="Arial" w:cs="Arial" w:eastAsia="Arial" w:hAnsi="Arial"/>
          <w:sz w:val="18"/>
          <w:szCs w:val="18"/>
          <w:color w:val="auto"/>
        </w:rPr>
      </w:pPr>
    </w:p>
    <w:p>
      <w:pPr>
        <w:jc w:val="both"/>
        <w:ind w:firstLine="1952"/>
        <w:spacing w:after="0" w:line="298" w:lineRule="auto"/>
        <w:tabs>
          <w:tab w:leader="none" w:pos="2199" w:val="left"/>
        </w:tabs>
        <w:numPr>
          <w:ilvl w:val="0"/>
          <w:numId w:val="34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Trading Day</w:t>
      </w:r>
      <w:r>
        <w:rPr>
          <w:rFonts w:ascii="Arial" w:cs="Arial" w:eastAsia="Arial" w:hAnsi="Arial"/>
          <w:sz w:val="16"/>
          <w:szCs w:val="16"/>
          <w:color w:val="auto"/>
        </w:rPr>
        <w:t xml:space="preserve">” means any day on which the Common Stock is traded on the Principal Market, or, if the Principal Market is not the principal trading market for the Common Stock, then on the principal securities exchange or securities market on which the Common Stock is then traded;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time).</w:t>
      </w:r>
    </w:p>
    <w:p>
      <w:pPr>
        <w:spacing w:after="0" w:line="153" w:lineRule="exact"/>
        <w:rPr>
          <w:rFonts w:ascii="Arial" w:cs="Arial" w:eastAsia="Arial" w:hAnsi="Arial"/>
          <w:sz w:val="16"/>
          <w:szCs w:val="16"/>
          <w:color w:val="auto"/>
        </w:rPr>
      </w:pPr>
    </w:p>
    <w:p>
      <w:pPr>
        <w:jc w:val="both"/>
        <w:ind w:firstLine="1952"/>
        <w:spacing w:after="0" w:line="267" w:lineRule="auto"/>
        <w:tabs>
          <w:tab w:leader="none" w:pos="2199" w:val="left"/>
        </w:tabs>
        <w:numPr>
          <w:ilvl w:val="0"/>
          <w:numId w:val="34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VWAP</w:t>
      </w:r>
      <w:r>
        <w:rPr>
          <w:rFonts w:ascii="Arial" w:cs="Arial" w:eastAsia="Arial" w:hAnsi="Arial"/>
          <w:sz w:val="17"/>
          <w:szCs w:val="17"/>
          <w:color w:val="auto"/>
        </w:rPr>
        <w:t xml:space="preserve">” means, for any security as of any date, the dollar volume-weighted average price for such security on the Principal Market during the period beginning at 9:30:01 a.m., New York time (or such other time as the Principal Market publicly announces is the official open of trading), and ending at 4:00:00 p.m., New York time (or such other time as the Principal Market publicly announces is the official close of trading), as reported by Bloomberg through its “Volume at Price” function or, if the foregoing does not apply, the dollar volume-weighted average price of such security in the over-the-counter market on the electronic bulletin board for such security during the period beginning at 9:30:01 a.m., New York time (or such other time as such market publicly announces is the official open of trading), and ending at 4:00:00 p.m., New York time (or such other time as such market publicly announces is the official close of trading), as reported by Bloomberg, or, if no dollar volume-weighted average price is reported for such security by Bloomberg for such hours, the average of the highest Closing Bid Price and the lowest closing ask price of any of the market makers for such security as reported in the OTC Link or “pink sheets” by OTC Markets Group Inc. (formerly Pink OTC Markets Inc.). If the VWAP cannot be calculated for a security on a particular date on any of the foregoing bases, the VWAP of such security on such date shall be the fair market value as mutually determined by the Company and the Holder. If the Company and the Holder are unable to agree upon the fair market value of such security, then such dispute shall be resolved pursuant to Section </w:t>
      </w:r>
      <w:r>
        <w:rPr>
          <w:rFonts w:ascii="Arial" w:cs="Arial" w:eastAsia="Arial" w:hAnsi="Arial"/>
          <w:sz w:val="20"/>
          <w:szCs w:val="20"/>
          <w:b w:val="1"/>
          <w:bCs w:val="1"/>
          <w:color w:val="auto"/>
        </w:rPr>
        <w:t>‎</w:t>
      </w:r>
      <w:r>
        <w:rPr>
          <w:rFonts w:ascii="Arial" w:cs="Arial" w:eastAsia="Arial" w:hAnsi="Arial"/>
          <w:sz w:val="17"/>
          <w:szCs w:val="17"/>
          <w:color w:val="auto"/>
        </w:rPr>
        <w:t>12 with the term “VWAP” being substituted for the term “Exercise Price.” All such determinations shall be appropriately adjusted for any stock dividend, stock split, stock combination, reclassification or other similar transaction during the applicable calculation period.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 Follows]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1" w:name="page332"/>
    <w:bookmarkEnd w:id="331"/>
    <w:p>
      <w:pPr>
        <w:ind w:left="660"/>
        <w:spacing w:after="0"/>
        <w:rPr>
          <w:sz w:val="20"/>
          <w:szCs w:val="20"/>
          <w:color w:val="auto"/>
        </w:rPr>
      </w:pPr>
      <w:r>
        <w:rPr>
          <w:rFonts w:ascii="Arial" w:cs="Arial" w:eastAsia="Arial" w:hAnsi="Arial"/>
          <w:sz w:val="16"/>
          <w:szCs w:val="16"/>
          <w:b w:val="1"/>
          <w:bCs w:val="1"/>
          <w:color w:val="auto"/>
        </w:rPr>
        <w:t xml:space="preserve">IN WITNESS WHEREOF, </w:t>
      </w:r>
      <w:r>
        <w:rPr>
          <w:rFonts w:ascii="Arial" w:cs="Arial" w:eastAsia="Arial" w:hAnsi="Arial"/>
          <w:sz w:val="16"/>
          <w:szCs w:val="16"/>
          <w:color w:val="auto"/>
        </w:rPr>
        <w:t>the Company has caused this Warrant to Purchase Common Stock to be duly executed as of the Issuance Date set out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07"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PRESTO AUTOMATION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440" w:type="dxa"/>
            <w:vAlign w:val="bottom"/>
          </w:tcPr>
          <w:p>
            <w:pPr>
              <w:ind w:left="6760"/>
              <w:spacing w:after="0"/>
              <w:rPr>
                <w:sz w:val="20"/>
                <w:szCs w:val="20"/>
                <w:color w:val="auto"/>
              </w:rPr>
            </w:pPr>
            <w:r>
              <w:rPr>
                <w:rFonts w:ascii="Arial" w:cs="Arial" w:eastAsia="Arial" w:hAnsi="Arial"/>
                <w:sz w:val="18"/>
                <w:szCs w:val="18"/>
                <w:color w:val="auto"/>
              </w:rPr>
              <w:t>By:</w:t>
            </w: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Xavier Casanova</w:t>
            </w:r>
          </w:p>
        </w:tc>
      </w:tr>
      <w:tr>
        <w:trPr>
          <w:trHeight w:val="202"/>
        </w:trPr>
        <w:tc>
          <w:tcPr>
            <w:tcW w:w="7440" w:type="dxa"/>
            <w:vAlign w:val="bottom"/>
          </w:tcPr>
          <w:p>
            <w:pPr>
              <w:ind w:left="6760"/>
              <w:spacing w:after="0" w:line="201" w:lineRule="exact"/>
              <w:rPr>
                <w:sz w:val="20"/>
                <w:szCs w:val="20"/>
                <w:color w:val="auto"/>
              </w:rPr>
            </w:pPr>
            <w:r>
              <w:rPr>
                <w:rFonts w:ascii="Arial" w:cs="Arial" w:eastAsia="Arial" w:hAnsi="Arial"/>
                <w:sz w:val="18"/>
                <w:szCs w:val="18"/>
                <w:color w:val="auto"/>
              </w:rPr>
              <w:t>Name:</w:t>
            </w:r>
          </w:p>
        </w:tc>
        <w:tc>
          <w:tcPr>
            <w:tcW w:w="3800" w:type="dxa"/>
            <w:vAlign w:val="bottom"/>
          </w:tcPr>
          <w:p>
            <w:pPr>
              <w:spacing w:after="0" w:line="201" w:lineRule="exact"/>
              <w:rPr>
                <w:sz w:val="20"/>
                <w:szCs w:val="20"/>
                <w:color w:val="auto"/>
              </w:rPr>
            </w:pPr>
            <w:r>
              <w:rPr>
                <w:rFonts w:ascii="Arial" w:cs="Arial" w:eastAsia="Arial" w:hAnsi="Arial"/>
                <w:sz w:val="18"/>
                <w:szCs w:val="18"/>
                <w:color w:val="auto"/>
              </w:rPr>
              <w:t>Xavier Casanova</w:t>
            </w:r>
          </w:p>
        </w:tc>
      </w:tr>
      <w:tr>
        <w:trPr>
          <w:trHeight w:val="230"/>
        </w:trPr>
        <w:tc>
          <w:tcPr>
            <w:tcW w:w="7440" w:type="dxa"/>
            <w:vAlign w:val="bottom"/>
          </w:tcPr>
          <w:p>
            <w:pPr>
              <w:ind w:left="6760"/>
              <w:spacing w:after="0"/>
              <w:rPr>
                <w:sz w:val="20"/>
                <w:szCs w:val="20"/>
                <w:color w:val="auto"/>
              </w:rPr>
            </w:pPr>
            <w:r>
              <w:rPr>
                <w:rFonts w:ascii="Arial" w:cs="Arial" w:eastAsia="Arial" w:hAnsi="Arial"/>
                <w:sz w:val="18"/>
                <w:szCs w:val="18"/>
                <w:color w:val="auto"/>
              </w:rPr>
              <w:t>Title:</w:t>
            </w:r>
          </w:p>
        </w:tc>
        <w:tc>
          <w:tcPr>
            <w:tcW w:w="380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682"/>
        </w:trPr>
        <w:tc>
          <w:tcPr>
            <w:tcW w:w="744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32" w:name="page333"/>
    <w:bookmarkEnd w:id="332"/>
    <w:p>
      <w:pPr>
        <w:jc w:val="right"/>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EXERCISE NOTICE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EXECUTED BY THE REGISTERED HOLDER TO EXERCISE THIS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TO PURCHASE COMMON STOCK</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PRESTO AUTOMATION INC.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undersigned holder hereby exercises the right to purchase _________________ of the shares of Common Stock (“</w:t>
      </w:r>
      <w:r>
        <w:rPr>
          <w:rFonts w:ascii="Arial" w:cs="Arial" w:eastAsia="Arial" w:hAnsi="Arial"/>
          <w:sz w:val="17"/>
          <w:szCs w:val="17"/>
          <w:b w:val="1"/>
          <w:bCs w:val="1"/>
          <w:color w:val="auto"/>
        </w:rPr>
        <w:t>Warrant Shares</w:t>
      </w:r>
      <w:r>
        <w:rPr>
          <w:rFonts w:ascii="Arial" w:cs="Arial" w:eastAsia="Arial" w:hAnsi="Arial"/>
          <w:sz w:val="17"/>
          <w:szCs w:val="17"/>
          <w:color w:val="auto"/>
        </w:rPr>
        <w:t>”) of</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Presto Automation Inc.,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evidenced by the attached Warrant to Purchase Common Stock (the “</w:t>
      </w:r>
      <w:r>
        <w:rPr>
          <w:rFonts w:ascii="Arial" w:cs="Arial" w:eastAsia="Arial" w:hAnsi="Arial"/>
          <w:sz w:val="17"/>
          <w:szCs w:val="17"/>
          <w:b w:val="1"/>
          <w:bCs w:val="1"/>
          <w:color w:val="auto"/>
        </w:rPr>
        <w:t>Warrant</w:t>
      </w:r>
      <w:r>
        <w:rPr>
          <w:rFonts w:ascii="Arial" w:cs="Arial" w:eastAsia="Arial" w:hAnsi="Arial"/>
          <w:sz w:val="17"/>
          <w:szCs w:val="17"/>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used herein and not otherwise defined shall have the respective meanings set forth in the Warrant.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Form of Exercise Price. The Holder intends that payment of the Exercise Price shall be made as:</w:t>
      </w:r>
    </w:p>
    <w:p>
      <w:pPr>
        <w:spacing w:after="0" w:line="208" w:lineRule="exact"/>
        <w:rPr>
          <w:sz w:val="20"/>
          <w:szCs w:val="20"/>
          <w:color w:val="auto"/>
        </w:rPr>
      </w:pPr>
    </w:p>
    <w:tbl>
      <w:tblPr>
        <w:tblLayout w:type="fixed"/>
        <w:tblInd w:w="1300" w:type="dxa"/>
        <w:tblCellMar>
          <w:top w:w="0" w:type="dxa"/>
          <w:left w:w="0" w:type="dxa"/>
          <w:bottom w:w="0" w:type="dxa"/>
          <w:right w:w="0" w:type="dxa"/>
        </w:tblCellMar>
      </w:tblPr>
      <w:tr>
        <w:trPr>
          <w:trHeight w:val="207"/>
        </w:trPr>
        <w:tc>
          <w:tcPr>
            <w:tcW w:w="1200" w:type="dxa"/>
            <w:vAlign w:val="bottom"/>
          </w:tcPr>
          <w:p>
            <w:pPr>
              <w:jc w:val="right"/>
              <w:ind w:right="30"/>
              <w:spacing w:after="0"/>
              <w:rPr>
                <w:sz w:val="20"/>
                <w:szCs w:val="20"/>
                <w:color w:val="auto"/>
              </w:rPr>
            </w:pPr>
            <w:r>
              <w:rPr>
                <w:rFonts w:ascii="Arial" w:cs="Arial" w:eastAsia="Arial" w:hAnsi="Arial"/>
                <w:sz w:val="18"/>
                <w:szCs w:val="18"/>
                <w:color w:val="auto"/>
                <w:w w:val="88"/>
              </w:rPr>
              <w:t>____________</w:t>
            </w:r>
          </w:p>
        </w:tc>
        <w:tc>
          <w:tcPr>
            <w:tcW w:w="5780" w:type="dxa"/>
            <w:vAlign w:val="bottom"/>
            <w:gridSpan w:val="4"/>
          </w:tcPr>
          <w:p>
            <w:pPr>
              <w:ind w:left="100"/>
              <w:spacing w:after="0"/>
              <w:rPr>
                <w:sz w:val="20"/>
                <w:szCs w:val="20"/>
                <w:color w:val="auto"/>
              </w:rPr>
            </w:pPr>
            <w:r>
              <w:rPr>
                <w:rFonts w:ascii="Arial" w:cs="Arial" w:eastAsia="Arial" w:hAnsi="Arial"/>
                <w:sz w:val="18"/>
                <w:szCs w:val="18"/>
                <w:color w:val="auto"/>
                <w:w w:val="89"/>
              </w:rPr>
              <w:t>a “Cash Exercise” with respect to _________________ Warrant Shares; and/or</w:t>
            </w:r>
          </w:p>
        </w:tc>
      </w:tr>
      <w:tr>
        <w:trPr>
          <w:trHeight w:val="20"/>
        </w:trPr>
        <w:tc>
          <w:tcPr>
            <w:tcW w:w="1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r>
      <w:tr>
        <w:trPr>
          <w:trHeight w:val="412"/>
        </w:trPr>
        <w:tc>
          <w:tcPr>
            <w:tcW w:w="1200" w:type="dxa"/>
            <w:vAlign w:val="bottom"/>
          </w:tcPr>
          <w:p>
            <w:pPr>
              <w:jc w:val="right"/>
              <w:ind w:right="30"/>
              <w:spacing w:after="0"/>
              <w:rPr>
                <w:sz w:val="20"/>
                <w:szCs w:val="20"/>
                <w:color w:val="auto"/>
              </w:rPr>
            </w:pPr>
            <w:r>
              <w:rPr>
                <w:rFonts w:ascii="Arial" w:cs="Arial" w:eastAsia="Arial" w:hAnsi="Arial"/>
                <w:sz w:val="18"/>
                <w:szCs w:val="18"/>
                <w:color w:val="auto"/>
                <w:w w:val="88"/>
              </w:rPr>
              <w:t>____________</w:t>
            </w:r>
          </w:p>
        </w:tc>
        <w:tc>
          <w:tcPr>
            <w:tcW w:w="5780" w:type="dxa"/>
            <w:vAlign w:val="bottom"/>
            <w:gridSpan w:val="4"/>
          </w:tcPr>
          <w:p>
            <w:pPr>
              <w:ind w:left="100"/>
              <w:spacing w:after="0"/>
              <w:rPr>
                <w:sz w:val="20"/>
                <w:szCs w:val="20"/>
                <w:color w:val="auto"/>
              </w:rPr>
            </w:pPr>
            <w:r>
              <w:rPr>
                <w:rFonts w:ascii="Arial" w:cs="Arial" w:eastAsia="Arial" w:hAnsi="Arial"/>
                <w:sz w:val="18"/>
                <w:szCs w:val="18"/>
                <w:color w:val="auto"/>
                <w:w w:val="96"/>
              </w:rPr>
              <w:t>a “Cashless Exercise” with respect to _______________ Warrant Shares.</w:t>
            </w:r>
          </w:p>
        </w:tc>
      </w:tr>
      <w:tr>
        <w:trPr>
          <w:trHeight w:val="20"/>
        </w:trPr>
        <w:tc>
          <w:tcPr>
            <w:tcW w:w="1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the event that the Holder has elected a Cashless Exercise with respect to some or all of the Warrant Shares to be issued pursuant hereto, the Holder hereby represents and warrants that this Exercise Notice was executed by the Holder at [a.m.][p.m.] on the date set forth below.</w:t>
      </w:r>
    </w:p>
    <w:p>
      <w:pPr>
        <w:spacing w:after="0" w:line="170" w:lineRule="exact"/>
        <w:rPr>
          <w:sz w:val="20"/>
          <w:szCs w:val="20"/>
          <w:color w:val="auto"/>
        </w:rPr>
      </w:pPr>
    </w:p>
    <w:p>
      <w:pPr>
        <w:jc w:val="both"/>
        <w:ind w:firstLine="656"/>
        <w:spacing w:after="0" w:line="263" w:lineRule="auto"/>
        <w:tabs>
          <w:tab w:leader="none" w:pos="846" w:val="left"/>
        </w:tabs>
        <w:numPr>
          <w:ilvl w:val="0"/>
          <w:numId w:val="347"/>
        </w:numPr>
        <w:rPr>
          <w:rFonts w:ascii="Arial" w:cs="Arial" w:eastAsia="Arial" w:hAnsi="Arial"/>
          <w:sz w:val="18"/>
          <w:szCs w:val="18"/>
          <w:color w:val="auto"/>
        </w:rPr>
      </w:pPr>
      <w:r>
        <w:rPr>
          <w:rFonts w:ascii="Arial" w:cs="Arial" w:eastAsia="Arial" w:hAnsi="Arial"/>
          <w:sz w:val="18"/>
          <w:szCs w:val="18"/>
          <w:color w:val="auto"/>
        </w:rPr>
        <w:t>Payment of Exercise Price. In the event that the holder has elected a Cash Exercise with respect to some or all of the Warrant Shares to be issued pursuant hereto, the holder shall pay the Aggregate Exercise Price in the sum of $___________________ to the Company in accordance with the terms of the Warrant.</w:t>
      </w:r>
    </w:p>
    <w:p>
      <w:pPr>
        <w:spacing w:after="0" w:line="183" w:lineRule="exact"/>
        <w:rPr>
          <w:rFonts w:ascii="Arial" w:cs="Arial" w:eastAsia="Arial" w:hAnsi="Arial"/>
          <w:sz w:val="18"/>
          <w:szCs w:val="18"/>
          <w:color w:val="auto"/>
        </w:rPr>
      </w:pPr>
    </w:p>
    <w:p>
      <w:pPr>
        <w:ind w:left="840" w:hanging="184"/>
        <w:spacing w:after="0"/>
        <w:tabs>
          <w:tab w:leader="none" w:pos="840" w:val="left"/>
        </w:tabs>
        <w:numPr>
          <w:ilvl w:val="0"/>
          <w:numId w:val="347"/>
        </w:numPr>
        <w:rPr>
          <w:rFonts w:ascii="Arial" w:cs="Arial" w:eastAsia="Arial" w:hAnsi="Arial"/>
          <w:sz w:val="16"/>
          <w:szCs w:val="16"/>
          <w:color w:val="auto"/>
        </w:rPr>
      </w:pPr>
      <w:r>
        <w:rPr>
          <w:rFonts w:ascii="Arial" w:cs="Arial" w:eastAsia="Arial" w:hAnsi="Arial"/>
          <w:sz w:val="16"/>
          <w:szCs w:val="16"/>
          <w:color w:val="auto"/>
        </w:rPr>
        <w:t>Delivery of Warrant Shares. The Company shall deliver to the holder __________ Warrant Shares in accordance with the terms of the Warrant.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520" w:type="dxa"/>
            <w:vAlign w:val="bottom"/>
            <w:gridSpan w:val="2"/>
          </w:tcPr>
          <w:p>
            <w:pPr>
              <w:spacing w:after="0"/>
              <w:rPr>
                <w:sz w:val="20"/>
                <w:szCs w:val="20"/>
                <w:color w:val="auto"/>
              </w:rPr>
            </w:pPr>
            <w:r>
              <w:rPr>
                <w:rFonts w:ascii="Arial" w:cs="Arial" w:eastAsia="Arial" w:hAnsi="Arial"/>
                <w:sz w:val="18"/>
                <w:szCs w:val="18"/>
                <w:color w:val="auto"/>
              </w:rPr>
              <w:t>_______ Electronic Delivery</w:t>
            </w:r>
          </w:p>
        </w:tc>
        <w:tc>
          <w:tcPr>
            <w:tcW w:w="6720" w:type="dxa"/>
            <w:vAlign w:val="bottom"/>
            <w:gridSpan w:val="2"/>
          </w:tcPr>
          <w:p>
            <w:pPr>
              <w:ind w:left="1680"/>
              <w:spacing w:after="0"/>
              <w:rPr>
                <w:sz w:val="20"/>
                <w:szCs w:val="20"/>
                <w:color w:val="auto"/>
              </w:rPr>
            </w:pPr>
            <w:r>
              <w:rPr>
                <w:rFonts w:ascii="Arial" w:cs="Arial" w:eastAsia="Arial" w:hAnsi="Arial"/>
                <w:sz w:val="18"/>
                <w:szCs w:val="18"/>
                <w:color w:val="auto"/>
              </w:rPr>
              <w:t>DTC Participant:</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3360" w:type="dxa"/>
            <w:vAlign w:val="bottom"/>
          </w:tcPr>
          <w:p>
            <w:pPr>
              <w:ind w:left="1680"/>
              <w:spacing w:after="0" w:line="203" w:lineRule="exact"/>
              <w:rPr>
                <w:sz w:val="20"/>
                <w:szCs w:val="20"/>
                <w:color w:val="auto"/>
              </w:rPr>
            </w:pPr>
            <w:r>
              <w:rPr>
                <w:rFonts w:ascii="Arial" w:cs="Arial" w:eastAsia="Arial" w:hAnsi="Arial"/>
                <w:sz w:val="18"/>
                <w:szCs w:val="18"/>
                <w:color w:val="auto"/>
              </w:rPr>
              <w:t>DTC Number:</w:t>
            </w:r>
          </w:p>
        </w:tc>
        <w:tc>
          <w:tcPr>
            <w:tcW w:w="336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3360" w:type="dxa"/>
            <w:vAlign w:val="bottom"/>
          </w:tcPr>
          <w:p>
            <w:pPr>
              <w:ind w:left="1680"/>
              <w:spacing w:after="0" w:line="202" w:lineRule="exact"/>
              <w:rPr>
                <w:sz w:val="20"/>
                <w:szCs w:val="20"/>
                <w:color w:val="auto"/>
              </w:rPr>
            </w:pPr>
            <w:r>
              <w:rPr>
                <w:rFonts w:ascii="Arial" w:cs="Arial" w:eastAsia="Arial" w:hAnsi="Arial"/>
                <w:sz w:val="18"/>
                <w:szCs w:val="18"/>
                <w:color w:val="auto"/>
              </w:rPr>
              <w:t>Account Name:</w:t>
            </w:r>
          </w:p>
        </w:tc>
        <w:tc>
          <w:tcPr>
            <w:tcW w:w="33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3360" w:type="dxa"/>
            <w:vAlign w:val="bottom"/>
          </w:tcPr>
          <w:p>
            <w:pPr>
              <w:ind w:left="1680"/>
              <w:spacing w:after="0" w:line="202" w:lineRule="exact"/>
              <w:rPr>
                <w:sz w:val="20"/>
                <w:szCs w:val="20"/>
                <w:color w:val="auto"/>
              </w:rPr>
            </w:pPr>
            <w:r>
              <w:rPr>
                <w:rFonts w:ascii="Arial" w:cs="Arial" w:eastAsia="Arial" w:hAnsi="Arial"/>
                <w:sz w:val="18"/>
                <w:szCs w:val="18"/>
                <w:color w:val="auto"/>
              </w:rPr>
              <w:t>Account Number:</w:t>
            </w:r>
          </w:p>
        </w:tc>
        <w:tc>
          <w:tcPr>
            <w:tcW w:w="33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4520" w:type="dxa"/>
            <w:vAlign w:val="bottom"/>
            <w:gridSpan w:val="2"/>
          </w:tcPr>
          <w:p>
            <w:pPr>
              <w:spacing w:after="0"/>
              <w:rPr>
                <w:sz w:val="20"/>
                <w:szCs w:val="20"/>
                <w:color w:val="auto"/>
              </w:rPr>
            </w:pPr>
            <w:r>
              <w:rPr>
                <w:rFonts w:ascii="Arial" w:cs="Arial" w:eastAsia="Arial" w:hAnsi="Arial"/>
                <w:sz w:val="18"/>
                <w:szCs w:val="18"/>
                <w:color w:val="auto"/>
              </w:rPr>
              <w:t>_______ Physical Delivery</w:t>
            </w:r>
          </w:p>
        </w:tc>
        <w:tc>
          <w:tcPr>
            <w:tcW w:w="6720" w:type="dxa"/>
            <w:vAlign w:val="bottom"/>
            <w:gridSpan w:val="2"/>
          </w:tcPr>
          <w:p>
            <w:pPr>
              <w:ind w:left="1680"/>
              <w:spacing w:after="0"/>
              <w:rPr>
                <w:sz w:val="20"/>
                <w:szCs w:val="20"/>
                <w:color w:val="auto"/>
              </w:rPr>
            </w:pPr>
            <w:r>
              <w:rPr>
                <w:rFonts w:ascii="Arial" w:cs="Arial" w:eastAsia="Arial" w:hAnsi="Arial"/>
                <w:sz w:val="18"/>
                <w:szCs w:val="18"/>
                <w:color w:val="auto"/>
              </w:rPr>
              <w:t>Address:</w:t>
            </w:r>
          </w:p>
        </w:tc>
        <w:tc>
          <w:tcPr>
            <w:tcW w:w="0" w:type="dxa"/>
            <w:vAlign w:val="bottom"/>
          </w:tcPr>
          <w:p>
            <w:pPr>
              <w:spacing w:after="0"/>
              <w:rPr>
                <w:sz w:val="1"/>
                <w:szCs w:val="1"/>
                <w:color w:val="auto"/>
              </w:rPr>
            </w:pPr>
          </w:p>
        </w:tc>
      </w:tr>
      <w:tr>
        <w:trPr>
          <w:trHeight w:val="223"/>
        </w:trPr>
        <w:tc>
          <w:tcPr>
            <w:tcW w:w="4520" w:type="dxa"/>
            <w:vAlign w:val="bottom"/>
            <w:gridSpan w:val="2"/>
            <w:vMerge w:val="restart"/>
          </w:tcPr>
          <w:p>
            <w:pPr>
              <w:spacing w:after="0"/>
              <w:rPr>
                <w:sz w:val="20"/>
                <w:szCs w:val="20"/>
                <w:color w:val="auto"/>
              </w:rPr>
            </w:pPr>
            <w:r>
              <w:rPr>
                <w:rFonts w:ascii="Arial" w:cs="Arial" w:eastAsia="Arial" w:hAnsi="Arial"/>
                <w:sz w:val="18"/>
                <w:szCs w:val="18"/>
                <w:color w:val="auto"/>
              </w:rPr>
              <w:t>Date: _______________ __, ______</w:t>
            </w:r>
          </w:p>
        </w:tc>
        <w:tc>
          <w:tcPr>
            <w:tcW w:w="3360" w:type="dxa"/>
            <w:vAlign w:val="bottom"/>
          </w:tcPr>
          <w:p>
            <w:pPr>
              <w:spacing w:after="0"/>
              <w:rPr>
                <w:sz w:val="19"/>
                <w:szCs w:val="19"/>
                <w:color w:val="auto"/>
              </w:rPr>
            </w:pPr>
          </w:p>
        </w:tc>
        <w:tc>
          <w:tcPr>
            <w:tcW w:w="336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20" w:type="dxa"/>
            <w:vAlign w:val="bottom"/>
            <w:gridSpan w:val="2"/>
            <w:vMerge w:val="continue"/>
          </w:tcPr>
          <w:p>
            <w:pPr>
              <w:spacing w:after="0"/>
              <w:rPr>
                <w:sz w:val="19"/>
                <w:szCs w:val="19"/>
                <w:color w:val="auto"/>
              </w:rPr>
            </w:pPr>
          </w:p>
        </w:tc>
        <w:tc>
          <w:tcPr>
            <w:tcW w:w="3360" w:type="dxa"/>
            <w:vAlign w:val="bottom"/>
          </w:tcPr>
          <w:p>
            <w:pPr>
              <w:spacing w:after="0"/>
              <w:rPr>
                <w:sz w:val="19"/>
                <w:szCs w:val="19"/>
                <w:color w:val="auto"/>
              </w:rPr>
            </w:pPr>
          </w:p>
        </w:tc>
        <w:tc>
          <w:tcPr>
            <w:tcW w:w="33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46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33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rPr>
              <w:t>Name of Registered Holder</w:t>
            </w:r>
          </w:p>
        </w:tc>
        <w:tc>
          <w:tcPr>
            <w:tcW w:w="336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520" w:type="dxa"/>
            <w:vAlign w:val="bottom"/>
            <w:gridSpan w:val="2"/>
          </w:tcPr>
          <w:p>
            <w:pPr>
              <w:spacing w:after="0"/>
              <w:rPr>
                <w:sz w:val="20"/>
                <w:szCs w:val="20"/>
                <w:color w:val="auto"/>
              </w:rPr>
            </w:pPr>
            <w:r>
              <w:rPr>
                <w:rFonts w:ascii="Arial" w:cs="Arial" w:eastAsia="Arial" w:hAnsi="Arial"/>
                <w:sz w:val="18"/>
                <w:szCs w:val="18"/>
                <w:color w:val="auto"/>
              </w:rPr>
              <w:t>By:</w:t>
            </w:r>
          </w:p>
        </w:tc>
        <w:tc>
          <w:tcPr>
            <w:tcW w:w="33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60" w:type="dxa"/>
            <w:vAlign w:val="bottom"/>
          </w:tcPr>
          <w:p>
            <w:pPr>
              <w:spacing w:after="0"/>
              <w:rPr>
                <w:sz w:val="17"/>
                <w:szCs w:val="17"/>
                <w:color w:val="auto"/>
              </w:rPr>
            </w:pPr>
          </w:p>
        </w:tc>
        <w:tc>
          <w:tcPr>
            <w:tcW w:w="40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Name:</w:t>
            </w:r>
          </w:p>
        </w:tc>
        <w:tc>
          <w:tcPr>
            <w:tcW w:w="336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Title:</w:t>
            </w:r>
          </w:p>
        </w:tc>
        <w:tc>
          <w:tcPr>
            <w:tcW w:w="336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2"/>
        </w:trPr>
        <w:tc>
          <w:tcPr>
            <w:tcW w:w="46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333" w:name="page334"/>
    <w:bookmarkEnd w:id="333"/>
    <w:p>
      <w:pPr>
        <w:jc w:val="center"/>
        <w:spacing w:after="0"/>
        <w:rPr>
          <w:sz w:val="20"/>
          <w:szCs w:val="20"/>
          <w:color w:val="auto"/>
        </w:rPr>
      </w:pPr>
      <w:r>
        <w:rPr>
          <w:rFonts w:ascii="Arial" w:cs="Arial" w:eastAsia="Arial" w:hAnsi="Arial"/>
          <w:sz w:val="18"/>
          <w:szCs w:val="18"/>
          <w:b w:val="1"/>
          <w:bCs w:val="1"/>
          <w:color w:val="auto"/>
        </w:rPr>
        <w:t>ACKNOWLEDGMENT</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hereby acknowledges this Exercise Notice and hereby directs [TRANSFER AGENT] to issue the above indicated number of shares of Common Stock in accordance with the Transfer Agent Instructions dated _________________ from the Company and acknowledged and agreed to by [TRANSFER AGENT].</w:t>
      </w:r>
    </w:p>
    <w:p>
      <w:pPr>
        <w:spacing w:after="0" w:line="180"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PRESTO AUTOMATION INC.</w:t>
      </w:r>
    </w:p>
    <w:p>
      <w:pPr>
        <w:spacing w:after="0" w:line="2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14605</wp:posOffset>
            </wp:positionV>
            <wp:extent cx="2417445" cy="171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8">
                      <a:extLst>
                        <a:ext uri="{28A0092B-C50C-407E-A947-70E740481C1C}"/>
                      </a:extLst>
                    </a:blip>
                    <a:srcRect/>
                    <a:stretch>
                      <a:fillRect/>
                    </a:stretch>
                  </pic:blipFill>
                  <pic:spPr bwMode="auto">
                    <a:xfrm>
                      <a:off x="0" y="0"/>
                      <a:ext cx="2417445" cy="1714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4" w:name="page335"/>
    <w:bookmarkEnd w:id="334"/>
    <w:p>
      <w:pPr>
        <w:jc w:val="center"/>
        <w:ind w:right="-19"/>
        <w:spacing w:after="0"/>
        <w:rPr>
          <w:sz w:val="20"/>
          <w:szCs w:val="20"/>
          <w:color w:val="auto"/>
        </w:rPr>
      </w:pPr>
      <w:r>
        <w:rPr>
          <w:rFonts w:ascii="Arial" w:cs="Arial" w:eastAsia="Arial" w:hAnsi="Arial"/>
          <w:sz w:val="18"/>
          <w:szCs w:val="18"/>
          <w:b w:val="1"/>
          <w:bCs w:val="1"/>
          <w:color w:val="auto"/>
        </w:rPr>
        <w:t>ASSIGNMENT FORM</w:t>
      </w:r>
    </w:p>
    <w:p>
      <w:pPr>
        <w:spacing w:after="0" w:line="229"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(To assign the foregoing warrant, execute</w:t>
      </w:r>
    </w:p>
    <w:p>
      <w:pPr>
        <w:spacing w:after="0" w:line="23"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this form and supply required information.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 not use this form to exercise the warrant.)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VALUE RECEIVED, all of or shares of the foregoing Warrant and all rights evidenced thereby are hereby assigned to</w:t>
      </w:r>
    </w:p>
    <w:p>
      <w:pPr>
        <w:spacing w:after="0" w:line="225" w:lineRule="exact"/>
        <w:rPr>
          <w:sz w:val="20"/>
          <w:szCs w:val="20"/>
          <w:color w:val="auto"/>
        </w:rPr>
      </w:pPr>
    </w:p>
    <w:p>
      <w:pPr>
        <w:ind w:left="8440"/>
        <w:spacing w:after="0"/>
        <w:rPr>
          <w:sz w:val="20"/>
          <w:szCs w:val="20"/>
          <w:color w:val="auto"/>
        </w:rPr>
      </w:pPr>
      <w:r>
        <w:rPr>
          <w:rFonts w:ascii="Arial" w:cs="Arial" w:eastAsia="Arial" w:hAnsi="Arial"/>
          <w:sz w:val="18"/>
          <w:szCs w:val="18"/>
          <w:color w:val="auto"/>
        </w:rPr>
        <w:t>whose address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5349240" cy="171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0">
                      <a:extLst>
                        <a:ext uri="{28A0092B-C50C-407E-A947-70E740481C1C}"/>
                      </a:extLst>
                    </a:blip>
                    <a:srcRect/>
                    <a:stretch>
                      <a:fillRect/>
                    </a:stretch>
                  </pic:blipFill>
                  <pic:spPr bwMode="auto">
                    <a:xfrm>
                      <a:off x="0" y="0"/>
                      <a:ext cx="534924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5349240" cy="171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1">
                      <a:extLst>
                        <a:ext uri="{28A0092B-C50C-407E-A947-70E740481C1C}"/>
                      </a:extLst>
                    </a:blip>
                    <a:srcRect/>
                    <a:stretch>
                      <a:fillRect/>
                    </a:stretch>
                  </pic:blipFill>
                  <pic:spPr bwMode="auto">
                    <a:xfrm>
                      <a:off x="0" y="0"/>
                      <a:ext cx="534924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5349240" cy="171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2">
                      <a:extLst>
                        <a:ext uri="{28A0092B-C50C-407E-A947-70E740481C1C}"/>
                      </a:extLst>
                    </a:blip>
                    <a:srcRect/>
                    <a:stretch>
                      <a:fillRect/>
                    </a:stretch>
                  </pic:blipFill>
                  <pic:spPr bwMode="auto">
                    <a:xfrm>
                      <a:off x="0" y="0"/>
                      <a:ext cx="534924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Dated: __________________, ____</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Holder’s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14605</wp:posOffset>
            </wp:positionV>
            <wp:extent cx="2134235" cy="171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3">
                      <a:extLst>
                        <a:ext uri="{28A0092B-C50C-407E-A947-70E740481C1C}"/>
                      </a:extLst>
                    </a:blip>
                    <a:srcRect/>
                    <a:stretch>
                      <a:fillRect/>
                    </a:stretch>
                  </pic:blipFill>
                  <pic:spPr bwMode="auto">
                    <a:xfrm>
                      <a:off x="0" y="0"/>
                      <a:ext cx="2134235" cy="17145"/>
                    </a:xfrm>
                    <a:prstGeom prst="rect">
                      <a:avLst/>
                    </a:prstGeom>
                    <a:noFill/>
                  </pic:spPr>
                </pic:pic>
              </a:graphicData>
            </a:graphic>
          </wp:anchor>
        </w:drawing>
      </w:r>
    </w:p>
    <w:p>
      <w:pPr>
        <w:spacing w:after="0" w:line="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Holder’s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177165</wp:posOffset>
            </wp:positionV>
            <wp:extent cx="2134235" cy="171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4">
                      <a:extLst>
                        <a:ext uri="{28A0092B-C50C-407E-A947-70E740481C1C}"/>
                      </a:extLst>
                    </a:blip>
                    <a:srcRect/>
                    <a:stretch>
                      <a:fillRect/>
                    </a:stretch>
                  </pic:blipFill>
                  <pic:spPr bwMode="auto">
                    <a:xfrm>
                      <a:off x="0" y="0"/>
                      <a:ext cx="2134235" cy="1714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22860</wp:posOffset>
            </wp:positionV>
            <wp:extent cx="2134235" cy="171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5">
                      <a:extLst>
                        <a:ext uri="{28A0092B-C50C-407E-A947-70E740481C1C}"/>
                      </a:extLst>
                    </a:blip>
                    <a:srcRect/>
                    <a:stretch>
                      <a:fillRect/>
                    </a:stretch>
                  </pic:blipFill>
                  <pic:spPr bwMode="auto">
                    <a:xfrm>
                      <a:off x="0" y="0"/>
                      <a:ext cx="2134235" cy="171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NOTE: The signature to this Assignment Form must correspond with the name as it appears on the face of the Warrant, without alteration or enlargement or any change whatsoever.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5" w:name="page336"/>
    <w:bookmarkEnd w:id="335"/>
    <w:p>
      <w:pPr>
        <w:jc w:val="right"/>
        <w:spacing w:after="0"/>
        <w:rPr>
          <w:sz w:val="20"/>
          <w:szCs w:val="20"/>
          <w:color w:val="auto"/>
        </w:rPr>
      </w:pPr>
      <w:r>
        <w:rPr>
          <w:rFonts w:ascii="Arial" w:cs="Arial" w:eastAsia="Arial" w:hAnsi="Arial"/>
          <w:sz w:val="18"/>
          <w:szCs w:val="18"/>
          <w:b w:val="1"/>
          <w:bCs w:val="1"/>
          <w:color w:val="auto"/>
        </w:rPr>
        <w:t>Exhibit 10.10</w:t>
      </w:r>
    </w:p>
    <w:p>
      <w:pPr>
        <w:spacing w:after="0" w:line="229" w:lineRule="exact"/>
        <w:rPr>
          <w:sz w:val="20"/>
          <w:szCs w:val="20"/>
          <w:color w:val="auto"/>
        </w:rPr>
      </w:pPr>
    </w:p>
    <w:p>
      <w:pPr>
        <w:ind w:left="9880"/>
        <w:spacing w:after="0"/>
        <w:rPr>
          <w:sz w:val="20"/>
          <w:szCs w:val="20"/>
          <w:color w:val="auto"/>
        </w:rPr>
      </w:pPr>
      <w:r>
        <w:rPr>
          <w:rFonts w:ascii="Arial" w:cs="Arial" w:eastAsia="Arial" w:hAnsi="Arial"/>
          <w:sz w:val="15"/>
          <w:szCs w:val="15"/>
          <w:b w:val="1"/>
          <w:bCs w:val="1"/>
          <w:i w:val="1"/>
          <w:iCs w:val="1"/>
          <w:color w:val="auto"/>
        </w:rPr>
        <w:t>Execution Version</w:t>
      </w:r>
    </w:p>
    <w:p>
      <w:pPr>
        <w:spacing w:after="0" w:line="2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NEITHER THIS WARRANT, NOR THE SECURITIES ISSUABLE UPON EXERCISE OF THIS WARRANT (COLLECTIVELY, THE “SECURITIES”), HAVE BEEN REGISTERED UNDER THE SECURITIES ACT OF 1933, AS AMENDED (THE “SECURITIES ACT”), OR UNDER ANY STATE SECURITIES OR BLUE SKY LAWS. THE SECURITIES ARE SUBJECT TO RESTRICTIONS ON TRANSFERABILITY AND RESALE AND MAY NOT BE OFFERED, FOR SALE, SOLD, PLEDGED, HYPOTHECATED OR OTHERWISE TRANSFERRED OR ASSIGNED EXCEPT AS PERMITTED UNDER THE SECURITIES ACT AND APPLICABLE STATE SECURITIES OR BLUE SKY LAWS, PURSUANT TO REGISTRATION OR QUALIFICATION OR EXEMPTION THEREFROM. INVESTORS SHOULD BE AWARE THAT THEY MAY BE REQUIRED TO BEAR THE FINANCIAL RISKS OF THIS INVESTMENT FOR AN INDEFINITE PERIOD OF TIME. THE COMPANY MAY REQUIRE AN OPINION OF COUNSEL IN FORM AND SUBSTANCE REASONABLY SATISFACTORY TO THE COMPANY TO THE EFFECT THAT ANY PROPOSED TRANSFER IS IN COMPLIANCE WITH THE SECURITIES ACT AND ANY APPLICABLE STATE SECURITIES OR BLUE SKY LAWS.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PRESTO AUTOMATION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2"/>
          <w:szCs w:val="12"/>
          <w:b w:val="1"/>
          <w:bCs w:val="1"/>
          <w:color w:val="auto"/>
        </w:rPr>
        <w:t>arrant</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o</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urchase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ommon</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Warrant No.: 2023-14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of Common Stock: 2,642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of Issuance: October 10, 2023 (“</w:t>
      </w:r>
      <w:r>
        <w:rPr>
          <w:rFonts w:ascii="Arial" w:cs="Arial" w:eastAsia="Arial" w:hAnsi="Arial"/>
          <w:sz w:val="18"/>
          <w:szCs w:val="18"/>
          <w:b w:val="1"/>
          <w:bCs w:val="1"/>
          <w:color w:val="auto"/>
        </w:rPr>
        <w:t>Issuance Date</w:t>
      </w:r>
      <w:r>
        <w:rPr>
          <w:rFonts w:ascii="Arial" w:cs="Arial" w:eastAsia="Arial" w:hAnsi="Arial"/>
          <w:sz w:val="18"/>
          <w:szCs w:val="18"/>
          <w:color w:val="auto"/>
        </w:rPr>
        <w:t>”)</w:t>
      </w:r>
    </w:p>
    <w:p>
      <w:pPr>
        <w:spacing w:after="0" w:line="207" w:lineRule="exact"/>
        <w:rPr>
          <w:sz w:val="20"/>
          <w:szCs w:val="20"/>
          <w:color w:val="auto"/>
        </w:rPr>
      </w:pPr>
    </w:p>
    <w:p>
      <w:pPr>
        <w:jc w:val="both"/>
        <w:ind w:firstLine="1296"/>
        <w:spacing w:after="0" w:line="288" w:lineRule="auto"/>
        <w:rPr>
          <w:sz w:val="20"/>
          <w:szCs w:val="20"/>
          <w:color w:val="auto"/>
        </w:rPr>
      </w:pPr>
      <w:r>
        <w:rPr>
          <w:rFonts w:ascii="Arial" w:cs="Arial" w:eastAsia="Arial" w:hAnsi="Arial"/>
          <w:sz w:val="16"/>
          <w:szCs w:val="16"/>
          <w:color w:val="auto"/>
        </w:rPr>
        <w:t>Presto Automation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hereby certifies that, for good and valuable consideration, the receipt and sufficiency of which are hereby acknowledged, Metropolitan Offshore Partners Fund VII, LP, the registered holder hereof or its permitted assigns (the “</w:t>
      </w:r>
      <w:r>
        <w:rPr>
          <w:rFonts w:ascii="Arial" w:cs="Arial" w:eastAsia="Arial" w:hAnsi="Arial"/>
          <w:sz w:val="16"/>
          <w:szCs w:val="16"/>
          <w:b w:val="1"/>
          <w:bCs w:val="1"/>
          <w:color w:val="auto"/>
        </w:rPr>
        <w:t>Holder</w:t>
      </w:r>
      <w:r>
        <w:rPr>
          <w:rFonts w:ascii="Arial" w:cs="Arial" w:eastAsia="Arial" w:hAnsi="Arial"/>
          <w:sz w:val="16"/>
          <w:szCs w:val="16"/>
          <w:color w:val="auto"/>
        </w:rPr>
        <w:t>”), is entitled, subject to the terms set forth below, to purchase from the Company, at the Exercise Price (as defined below) then in effect, at any time or times on or after the Issuance Date, but not after 11:59 p.m., New York time, on the Expiration Date, (as defined below), 2,642 duly authorized, validly issued, fully paid, nonassessable shares of Common Stock, subject to adjustment as provided herein (the “</w:t>
      </w:r>
      <w:r>
        <w:rPr>
          <w:rFonts w:ascii="Arial" w:cs="Arial" w:eastAsia="Arial" w:hAnsi="Arial"/>
          <w:sz w:val="16"/>
          <w:szCs w:val="16"/>
          <w:b w:val="1"/>
          <w:bCs w:val="1"/>
          <w:color w:val="auto"/>
        </w:rPr>
        <w:t>Warrant Shares</w:t>
      </w:r>
      <w:r>
        <w:rPr>
          <w:rFonts w:ascii="Arial" w:cs="Arial" w:eastAsia="Arial" w:hAnsi="Arial"/>
          <w:sz w:val="16"/>
          <w:szCs w:val="16"/>
          <w:color w:val="auto"/>
        </w:rPr>
        <w:t>”). Except as otherwise defined herein, capitalized terms in this Warrant to Purchase Common Stock (including any Warrants to Purchase Common Stock issued in exchange, transfer or replacement hereof, this “</w:t>
      </w:r>
      <w:r>
        <w:rPr>
          <w:rFonts w:ascii="Arial" w:cs="Arial" w:eastAsia="Arial" w:hAnsi="Arial"/>
          <w:sz w:val="16"/>
          <w:szCs w:val="16"/>
          <w:b w:val="1"/>
          <w:bCs w:val="1"/>
          <w:color w:val="auto"/>
        </w:rPr>
        <w:t>Warrant</w:t>
      </w:r>
      <w:r>
        <w:rPr>
          <w:rFonts w:ascii="Arial" w:cs="Arial" w:eastAsia="Arial" w:hAnsi="Arial"/>
          <w:sz w:val="16"/>
          <w:szCs w:val="16"/>
          <w:color w:val="auto"/>
        </w:rPr>
        <w:t>”) shall have the meanings set forth in Section 17‎. This Warrant is being issued pursuant to Section 4 of that certain Third Amendment to Credit Agreement, dated October 10, 2023, among E La Carte, LLC, the Company and Metropolitan Partners Group Administration, LLC, as agent (the “</w:t>
      </w:r>
      <w:r>
        <w:rPr>
          <w:rFonts w:ascii="Arial" w:cs="Arial" w:eastAsia="Arial" w:hAnsi="Arial"/>
          <w:sz w:val="16"/>
          <w:szCs w:val="16"/>
          <w:b w:val="1"/>
          <w:bCs w:val="1"/>
          <w:color w:val="auto"/>
        </w:rPr>
        <w:t>Third Amendment</w:t>
      </w:r>
      <w:r>
        <w:rPr>
          <w:rFonts w:ascii="Arial" w:cs="Arial" w:eastAsia="Arial" w:hAnsi="Arial"/>
          <w:sz w:val="16"/>
          <w:szCs w:val="16"/>
          <w:color w:val="auto"/>
        </w:rPr>
        <w:t>”), and to Section 7 of that certain Third Amended and Restated Fee Letter, dated October 10, 2023, among E La Carte, LLC, the Company and Metropolitan Partners Group Administration (the “</w:t>
      </w:r>
      <w:r>
        <w:rPr>
          <w:rFonts w:ascii="Arial" w:cs="Arial" w:eastAsia="Arial" w:hAnsi="Arial"/>
          <w:sz w:val="16"/>
          <w:szCs w:val="16"/>
          <w:b w:val="1"/>
          <w:bCs w:val="1"/>
          <w:color w:val="auto"/>
        </w:rPr>
        <w:t>Fee Letter</w:t>
      </w:r>
      <w:r>
        <w:rPr>
          <w:rFonts w:ascii="Arial" w:cs="Arial" w:eastAsia="Arial" w:hAnsi="Arial"/>
          <w:sz w:val="16"/>
          <w:szCs w:val="16"/>
          <w:color w:val="auto"/>
        </w:rPr>
        <w:t>”). Capitalized terms used herein and not otherwise defined shall have the definitions ascribed to such terms in the Credit Agreement (as defined in the Fee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407035</wp:posOffset>
            </wp:positionV>
            <wp:extent cx="7132320" cy="171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6" w:name="page337"/>
    <w:bookmarkEnd w:id="336"/>
    <w:p>
      <w:pPr>
        <w:ind w:left="1480" w:hanging="176"/>
        <w:spacing w:after="0"/>
        <w:tabs>
          <w:tab w:leader="none" w:pos="1480" w:val="left"/>
        </w:tabs>
        <w:numPr>
          <w:ilvl w:val="0"/>
          <w:numId w:val="348"/>
        </w:numPr>
        <w:rPr>
          <w:rFonts w:ascii="Arial" w:cs="Arial" w:eastAsia="Arial" w:hAnsi="Arial"/>
          <w:sz w:val="18"/>
          <w:szCs w:val="18"/>
          <w:color w:val="auto"/>
        </w:rPr>
      </w:pPr>
      <w:r>
        <w:rPr>
          <w:rFonts w:ascii="Arial" w:cs="Arial" w:eastAsia="Arial" w:hAnsi="Arial"/>
          <w:sz w:val="18"/>
          <w:szCs w:val="18"/>
          <w:color w:val="auto"/>
        </w:rPr>
        <w:t>EXERCISE OF WARRANT.</w:t>
      </w:r>
    </w:p>
    <w:p>
      <w:pPr>
        <w:spacing w:after="0" w:line="225" w:lineRule="exact"/>
        <w:rPr>
          <w:rFonts w:ascii="Arial" w:cs="Arial" w:eastAsia="Arial" w:hAnsi="Arial"/>
          <w:sz w:val="18"/>
          <w:szCs w:val="18"/>
          <w:color w:val="auto"/>
        </w:rPr>
      </w:pPr>
    </w:p>
    <w:p>
      <w:pPr>
        <w:jc w:val="both"/>
        <w:ind w:firstLine="1952"/>
        <w:spacing w:after="0" w:line="282" w:lineRule="auto"/>
        <w:tabs>
          <w:tab w:leader="none" w:pos="2188" w:val="left"/>
        </w:tabs>
        <w:numPr>
          <w:ilvl w:val="1"/>
          <w:numId w:val="348"/>
        </w:numPr>
        <w:rPr>
          <w:rFonts w:ascii="Arial" w:cs="Arial" w:eastAsia="Arial" w:hAnsi="Arial"/>
          <w:sz w:val="16"/>
          <w:szCs w:val="16"/>
          <w:color w:val="auto"/>
        </w:rPr>
      </w:pPr>
      <w:r>
        <w:rPr>
          <w:rFonts w:ascii="Arial" w:cs="Arial" w:eastAsia="Arial" w:hAnsi="Arial"/>
          <w:sz w:val="16"/>
          <w:szCs w:val="16"/>
          <w:u w:val="single" w:color="auto"/>
          <w:color w:val="auto"/>
        </w:rPr>
        <w:t>Mechanics of Exercise</w:t>
      </w:r>
      <w:r>
        <w:rPr>
          <w:rFonts w:ascii="Arial" w:cs="Arial" w:eastAsia="Arial" w:hAnsi="Arial"/>
          <w:sz w:val="16"/>
          <w:szCs w:val="16"/>
          <w:color w:val="auto"/>
        </w:rPr>
        <w:t xml:space="preserve">. Subject to the terms and conditions hereof (including, without limitation, the limitations set forth in Section </w:t>
      </w:r>
      <w:r>
        <w:rPr>
          <w:rFonts w:ascii="Arial" w:cs="Arial" w:eastAsia="Arial" w:hAnsi="Arial"/>
          <w:sz w:val="19"/>
          <w:szCs w:val="19"/>
          <w:b w:val="1"/>
          <w:bCs w:val="1"/>
          <w:color w:val="auto"/>
        </w:rPr>
        <w:t>‎</w:t>
      </w:r>
      <w:r>
        <w:rPr>
          <w:rFonts w:ascii="Arial" w:cs="Arial" w:eastAsia="Arial" w:hAnsi="Arial"/>
          <w:sz w:val="16"/>
          <w:szCs w:val="16"/>
          <w:color w:val="auto"/>
        </w:rPr>
        <w:t xml:space="preserve">1(f)), this Warrant may be exercised by the Holder at any time or times on or after the Issuance Date, in whole or in part, by (i) delivery (whether via facsimile or otherwise) of a written notice, in the form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(the “</w:t>
      </w:r>
      <w:r>
        <w:rPr>
          <w:rFonts w:ascii="Arial" w:cs="Arial" w:eastAsia="Arial" w:hAnsi="Arial"/>
          <w:sz w:val="16"/>
          <w:szCs w:val="16"/>
          <w:b w:val="1"/>
          <w:bCs w:val="1"/>
          <w:color w:val="auto"/>
        </w:rPr>
        <w:t>Exercise Notice</w:t>
      </w:r>
      <w:r>
        <w:rPr>
          <w:rFonts w:ascii="Arial" w:cs="Arial" w:eastAsia="Arial" w:hAnsi="Arial"/>
          <w:sz w:val="16"/>
          <w:szCs w:val="16"/>
          <w:color w:val="auto"/>
        </w:rPr>
        <w:t>”), of the Holder’s election to exercise this Warrant and (ii) (A) payment to the Company of an amount equal to the applicable Exercise Price multiplied by the number of Warrant Shares as to which this Warrant is being exercised (the “</w:t>
      </w:r>
      <w:r>
        <w:rPr>
          <w:rFonts w:ascii="Arial" w:cs="Arial" w:eastAsia="Arial" w:hAnsi="Arial"/>
          <w:sz w:val="16"/>
          <w:szCs w:val="16"/>
          <w:b w:val="1"/>
          <w:bCs w:val="1"/>
          <w:color w:val="auto"/>
        </w:rPr>
        <w:t>Aggregate Exercise Price</w:t>
      </w:r>
      <w:r>
        <w:rPr>
          <w:rFonts w:ascii="Arial" w:cs="Arial" w:eastAsia="Arial" w:hAnsi="Arial"/>
          <w:sz w:val="16"/>
          <w:szCs w:val="16"/>
          <w:color w:val="auto"/>
        </w:rPr>
        <w:t xml:space="preserve">”) in cash by wire transfer of immediately available funds or (B) if the provisions of Section 1(d) are applicable, by notifying the Company that this Warrant is being exercised pursuant to a Cashless Exercise.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after the date the Warrant Shares which are the subject of the Exercise Notice being delivered to the Holder.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w:t>
      </w:r>
      <w:r>
        <w:rPr>
          <w:rFonts w:ascii="Arial" w:cs="Arial" w:eastAsia="Arial" w:hAnsi="Arial"/>
          <w:sz w:val="16"/>
          <w:szCs w:val="16"/>
          <w:b w:val="1"/>
          <w:bCs w:val="1"/>
          <w:color w:val="auto"/>
        </w:rPr>
        <w:t>The Holder and any assignee, by acceptance of this Warrant, acknowledge and</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agree that, by reason of the provisions of this paragraph, following the purchase of a portion of the Warrant Shares hereunder, the number of Warrant Shares available for purchase hereunder at any given time may be less than the amount stated on the face hereof. </w:t>
      </w:r>
      <w:r>
        <w:rPr>
          <w:rFonts w:ascii="Arial" w:cs="Arial" w:eastAsia="Arial" w:hAnsi="Arial"/>
          <w:sz w:val="16"/>
          <w:szCs w:val="16"/>
          <w:color w:val="auto"/>
        </w:rPr>
        <w:t>On or before the third</w:t>
      </w:r>
      <w:r>
        <w:rPr>
          <w:rFonts w:ascii="Arial" w:cs="Arial" w:eastAsia="Arial" w:hAnsi="Arial"/>
          <w:sz w:val="16"/>
          <w:szCs w:val="16"/>
          <w:b w:val="1"/>
          <w:bCs w:val="1"/>
          <w:color w:val="auto"/>
        </w:rPr>
        <w:t xml:space="preserve"> </w:t>
      </w:r>
      <w:r>
        <w:rPr>
          <w:rFonts w:ascii="Arial" w:cs="Arial" w:eastAsia="Arial" w:hAnsi="Arial"/>
          <w:sz w:val="16"/>
          <w:szCs w:val="16"/>
          <w:color w:val="auto"/>
        </w:rPr>
        <w:t>(3rd) Trading Day following the date on which the Company has received the Exercise Notice (the “</w:t>
      </w:r>
      <w:r>
        <w:rPr>
          <w:rFonts w:ascii="Arial" w:cs="Arial" w:eastAsia="Arial" w:hAnsi="Arial"/>
          <w:sz w:val="16"/>
          <w:szCs w:val="16"/>
          <w:b w:val="1"/>
          <w:bCs w:val="1"/>
          <w:color w:val="auto"/>
        </w:rPr>
        <w:t>Share Delivery Date</w:t>
      </w:r>
      <w:r>
        <w:rPr>
          <w:rFonts w:ascii="Arial" w:cs="Arial" w:eastAsia="Arial" w:hAnsi="Arial"/>
          <w:sz w:val="16"/>
          <w:szCs w:val="16"/>
          <w:color w:val="auto"/>
        </w:rPr>
        <w:t>”), so long as the Holder delivers the Aggregate Exercise Price (or notice of a Cashless Exercise) on or prior to the second (2nd) Trading Day following the date on which the Company has received the Exercise Notice (provided that if the Aggregate Exercise Price (or notice of a Cashless Exercise) has not been delivered by such date, the Share Delivery Date shall be extended one (1) Trading Day after the Aggregate Exercise Price (or notice of a Cashless Exercise) is delivered), the Company shall (X) provided that the Company’s transfer agent (“</w:t>
      </w:r>
      <w:r>
        <w:rPr>
          <w:rFonts w:ascii="Arial" w:cs="Arial" w:eastAsia="Arial" w:hAnsi="Arial"/>
          <w:sz w:val="16"/>
          <w:szCs w:val="16"/>
          <w:b w:val="1"/>
          <w:bCs w:val="1"/>
          <w:color w:val="auto"/>
        </w:rPr>
        <w:t>Transfer Agent</w:t>
      </w:r>
      <w:r>
        <w:rPr>
          <w:rFonts w:ascii="Arial" w:cs="Arial" w:eastAsia="Arial" w:hAnsi="Arial"/>
          <w:sz w:val="16"/>
          <w:szCs w:val="16"/>
          <w:color w:val="auto"/>
        </w:rPr>
        <w:t>”) is participating in The Depository Trust Company (“</w:t>
      </w:r>
      <w:r>
        <w:rPr>
          <w:rFonts w:ascii="Arial" w:cs="Arial" w:eastAsia="Arial" w:hAnsi="Arial"/>
          <w:sz w:val="16"/>
          <w:szCs w:val="16"/>
          <w:b w:val="1"/>
          <w:bCs w:val="1"/>
          <w:color w:val="auto"/>
        </w:rPr>
        <w:t>DTC</w:t>
      </w:r>
      <w:r>
        <w:rPr>
          <w:rFonts w:ascii="Arial" w:cs="Arial" w:eastAsia="Arial" w:hAnsi="Arial"/>
          <w:sz w:val="16"/>
          <w:szCs w:val="16"/>
          <w:color w:val="auto"/>
        </w:rPr>
        <w:t>”) Fast Automated Securities Transfer Program (“</w:t>
      </w:r>
      <w:r>
        <w:rPr>
          <w:rFonts w:ascii="Arial" w:cs="Arial" w:eastAsia="Arial" w:hAnsi="Arial"/>
          <w:sz w:val="16"/>
          <w:szCs w:val="16"/>
          <w:b w:val="1"/>
          <w:bCs w:val="1"/>
          <w:color w:val="auto"/>
        </w:rPr>
        <w:t>FAST</w:t>
      </w:r>
      <w:r>
        <w:rPr>
          <w:rFonts w:ascii="Arial" w:cs="Arial" w:eastAsia="Arial" w:hAnsi="Arial"/>
          <w:sz w:val="16"/>
          <w:szCs w:val="16"/>
          <w:color w:val="auto"/>
        </w:rPr>
        <w:t xml:space="preserve">”) and the Warrant Shares are eligible to be issued without a restrictive legend, credit such aggregate number of Warrant Shares to which the Holder is entitled pursuant to such exercise to the Holder’s or its designee’s balance account with DTC through its Deposit/Withdrawal At Custodian system, or (Y) if the Transfer Agent is not participating in FAST or the Warrant Shares are not eligible to be issued without a restrictive legend, issue and dispatch by overnight courier to the address as specified in the Exercise Notice, a certificate, registered in the Company’s share register in the name of the Holder or its designee, for the number of Warrant Shares to which the Holder is entitled pursuant to such exercise. The Company shall be responsible for all fees and expenses of the Transfer Agent and all fees and expenses with respect to the issuance of Warrant Shares via DTC, if any. Upon delivery of the Exercise Notice and the Aggregate Exercise Price (or notice of a Cashless Exercise), the Holder shall be deemed for all corporate purposes to have become the holder of record of the Warrant Shares with respect to which this Warrant has been exercised, irrespective of the date such Warrant Shares are credited to the Holder’s DTC account or the date of delivery of the certificates evidencing such Warrant Shares, as the case may be. If this Warrant is submitted in connection with any exercise pursuant to this Section </w:t>
      </w:r>
      <w:r>
        <w:rPr>
          <w:rFonts w:ascii="Arial" w:cs="Arial" w:eastAsia="Arial" w:hAnsi="Arial"/>
          <w:sz w:val="19"/>
          <w:szCs w:val="19"/>
          <w:b w:val="1"/>
          <w:bCs w:val="1"/>
          <w:color w:val="auto"/>
        </w:rPr>
        <w:t>‎</w:t>
      </w:r>
      <w:r>
        <w:rPr>
          <w:rFonts w:ascii="Arial" w:cs="Arial" w:eastAsia="Arial" w:hAnsi="Arial"/>
          <w:sz w:val="16"/>
          <w:szCs w:val="16"/>
          <w:color w:val="auto"/>
        </w:rPr>
        <w:t xml:space="preserve">1(a) and the number of Warrant Shares represented by this Warrant submitted for exercise is greater than the number of Warrant Shares being acquired upon an exercise, then the Company shall as soon as reasonably practicable and in no event later than three (3) Trading Days after any exercise and at its own expense, issue a new Warrant (in accordance with Section </w:t>
      </w:r>
      <w:r>
        <w:rPr>
          <w:rFonts w:ascii="Arial" w:cs="Arial" w:eastAsia="Arial" w:hAnsi="Arial"/>
          <w:sz w:val="19"/>
          <w:szCs w:val="19"/>
          <w:b w:val="1"/>
          <w:bCs w:val="1"/>
          <w:color w:val="auto"/>
        </w:rPr>
        <w:t>‎</w:t>
      </w:r>
      <w:r>
        <w:rPr>
          <w:rFonts w:ascii="Arial" w:cs="Arial" w:eastAsia="Arial" w:hAnsi="Arial"/>
          <w:sz w:val="16"/>
          <w:szCs w:val="16"/>
          <w:color w:val="auto"/>
        </w:rPr>
        <w:t>1(d)) representing the right to purchase the number of Warrant Shares issuable immediately prior to such exercise under this Warrant, less the number of Warrant Shares with respect to which this Warrant is exercised upon surrender of the Warrant so exercised. No fractional Warrant Shares are to be issued upon the exercise of this Warrant, but rather the number of Warrant Shares to be issued shall be rounded down to the nearest whole number. The Company shall pay any and all transfer, stamp, issuance and similar taxes (but not any United States federal, state or local income taxes) that may be payable with respect to the issuance and delivery of Warrant Shares upon exercise of this Warrant. The Company’s obligations to issue and deliver Warrant Shares in accordance with the terms and subject to the conditions hereof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37" w:name="page338"/>
    <w:bookmarkEnd w:id="337"/>
    <w:p>
      <w:pPr>
        <w:ind w:left="2200" w:hanging="248"/>
        <w:spacing w:after="0"/>
        <w:tabs>
          <w:tab w:leader="none" w:pos="2200" w:val="left"/>
        </w:tabs>
        <w:numPr>
          <w:ilvl w:val="0"/>
          <w:numId w:val="349"/>
        </w:numPr>
        <w:rPr>
          <w:rFonts w:ascii="Arial" w:cs="Arial" w:eastAsia="Arial" w:hAnsi="Arial"/>
          <w:sz w:val="17"/>
          <w:szCs w:val="17"/>
          <w:color w:val="auto"/>
        </w:rPr>
      </w:pPr>
      <w:r>
        <w:rPr>
          <w:rFonts w:ascii="Arial" w:cs="Arial" w:eastAsia="Arial" w:hAnsi="Arial"/>
          <w:sz w:val="17"/>
          <w:szCs w:val="17"/>
          <w:u w:val="single" w:color="auto"/>
          <w:color w:val="auto"/>
        </w:rPr>
        <w:t>Exercise Price</w:t>
      </w:r>
      <w:r>
        <w:rPr>
          <w:rFonts w:ascii="Arial" w:cs="Arial" w:eastAsia="Arial" w:hAnsi="Arial"/>
          <w:sz w:val="17"/>
          <w:szCs w:val="17"/>
          <w:color w:val="auto"/>
        </w:rPr>
        <w:t>. For purposes of this Warrant, “</w:t>
      </w:r>
      <w:r>
        <w:rPr>
          <w:rFonts w:ascii="Arial" w:cs="Arial" w:eastAsia="Arial" w:hAnsi="Arial"/>
          <w:sz w:val="17"/>
          <w:szCs w:val="17"/>
          <w:b w:val="1"/>
          <w:bCs w:val="1"/>
          <w:color w:val="auto"/>
        </w:rPr>
        <w:t>Exercise Price</w:t>
      </w:r>
      <w:r>
        <w:rPr>
          <w:rFonts w:ascii="Arial" w:cs="Arial" w:eastAsia="Arial" w:hAnsi="Arial"/>
          <w:sz w:val="17"/>
          <w:szCs w:val="17"/>
          <w:color w:val="auto"/>
        </w:rPr>
        <w:t>” means $0.01, subject to adjustment as provided herein.</w:t>
      </w:r>
    </w:p>
    <w:p>
      <w:pPr>
        <w:spacing w:after="0" w:line="240" w:lineRule="exact"/>
        <w:rPr>
          <w:rFonts w:ascii="Arial" w:cs="Arial" w:eastAsia="Arial" w:hAnsi="Arial"/>
          <w:sz w:val="17"/>
          <w:szCs w:val="17"/>
          <w:color w:val="auto"/>
        </w:rPr>
      </w:pPr>
    </w:p>
    <w:p>
      <w:pPr>
        <w:jc w:val="both"/>
        <w:ind w:firstLine="1952"/>
        <w:spacing w:after="0" w:line="283" w:lineRule="auto"/>
        <w:tabs>
          <w:tab w:leader="none" w:pos="2188" w:val="left"/>
        </w:tabs>
        <w:numPr>
          <w:ilvl w:val="0"/>
          <w:numId w:val="349"/>
        </w:numPr>
        <w:rPr>
          <w:rFonts w:ascii="Arial" w:cs="Arial" w:eastAsia="Arial" w:hAnsi="Arial"/>
          <w:sz w:val="16"/>
          <w:szCs w:val="16"/>
          <w:color w:val="auto"/>
        </w:rPr>
      </w:pPr>
      <w:r>
        <w:rPr>
          <w:rFonts w:ascii="Arial" w:cs="Arial" w:eastAsia="Arial" w:hAnsi="Arial"/>
          <w:sz w:val="16"/>
          <w:szCs w:val="16"/>
          <w:u w:val="single" w:color="auto"/>
          <w:color w:val="auto"/>
        </w:rPr>
        <w:t>Company’s Failure to Timely Deliver Securities</w:t>
      </w:r>
      <w:r>
        <w:rPr>
          <w:rFonts w:ascii="Arial" w:cs="Arial" w:eastAsia="Arial" w:hAnsi="Arial"/>
          <w:sz w:val="16"/>
          <w:szCs w:val="16"/>
          <w:color w:val="auto"/>
        </w:rPr>
        <w:t>. If the Company shall fail, for any reason or for no reason, on or prior to the Share Delivery Date, if the Transfer Agent is not participating in FAST or such shares of Common Stock may not be issued without legends under the Securities Act, to issue and deliver to the Holder (or its designee) a certificate for the number of Warrant Shares to which the Holder is entitled and register such Warrant Shares on the Company’s share register or, if the Transfer Agent is participating in FAST and such shares of Common Stock may not be issued without legends under the Securities Act, to credit the balance account of the Holder or the Holder’s designee with DTC for such number of Warrant Shares to which the Holder is entitled upon the Holder’s exercise of this Warrant (as the case may be) (a “</w:t>
      </w:r>
      <w:r>
        <w:rPr>
          <w:rFonts w:ascii="Arial" w:cs="Arial" w:eastAsia="Arial" w:hAnsi="Arial"/>
          <w:sz w:val="16"/>
          <w:szCs w:val="16"/>
          <w:b w:val="1"/>
          <w:bCs w:val="1"/>
          <w:color w:val="auto"/>
        </w:rPr>
        <w:t>Delivery Failure</w:t>
      </w:r>
      <w:r>
        <w:rPr>
          <w:rFonts w:ascii="Arial" w:cs="Arial" w:eastAsia="Arial" w:hAnsi="Arial"/>
          <w:sz w:val="16"/>
          <w:szCs w:val="16"/>
          <w:color w:val="auto"/>
        </w:rPr>
        <w:t xml:space="preserve">”), then, in addition to all other remedies available to the Holder, (X) the Company shall pay in cash to the Holder on each day after the Share Delivery Date and during such Delivery Failure an amount in cash, as liquidated damages and not as a penalty, equal to 2.0% of the product of (A) the sum of the number of shares of Common Stock not issued to the Holder on or prior to the Share Delivery Date and to which the Holder is entitled, and (B) any trading price of the Common Stock selected by the Holder in writing as in effect at any time during the period beginning on the applicable exercise date and ending on the applicable Share Delivery Date, and (Y) the Holder, upon written notice to the Company, may void its Exercise Notice with respect to, and retain or have returned, as the case may be, any portion of this Warrant that has not been exercised pursuant to such Exercise Notice; provided that the voiding of an Exercise Notice shall not affect the Company’s obligations to make any payments which have accrued prior to the date of such notice pursuant to this Section </w:t>
      </w:r>
      <w:r>
        <w:rPr>
          <w:rFonts w:ascii="Arial" w:cs="Arial" w:eastAsia="Arial" w:hAnsi="Arial"/>
          <w:sz w:val="19"/>
          <w:szCs w:val="19"/>
          <w:b w:val="1"/>
          <w:bCs w:val="1"/>
          <w:color w:val="auto"/>
        </w:rPr>
        <w:t>‎</w:t>
      </w:r>
      <w:r>
        <w:rPr>
          <w:rFonts w:ascii="Arial" w:cs="Arial" w:eastAsia="Arial" w:hAnsi="Arial"/>
          <w:sz w:val="16"/>
          <w:szCs w:val="16"/>
          <w:color w:val="auto"/>
        </w:rPr>
        <w:t>1(c) or otherwise. In addition to the foregoing, if on or after such Share Delivery Date the Holder purchases (in an open market transaction or otherwise) shares of Common Stock to deliver in satisfaction of a sale by the Holder of all or any portion of the number of shares of Common Stock issuable upon such exercise that the Holder is entitled to receive from the Company (a “</w:t>
      </w:r>
      <w:r>
        <w:rPr>
          <w:rFonts w:ascii="Arial" w:cs="Arial" w:eastAsia="Arial" w:hAnsi="Arial"/>
          <w:sz w:val="16"/>
          <w:szCs w:val="16"/>
          <w:b w:val="1"/>
          <w:bCs w:val="1"/>
          <w:color w:val="auto"/>
        </w:rPr>
        <w:t>Buy-In</w:t>
      </w:r>
      <w:r>
        <w:rPr>
          <w:rFonts w:ascii="Arial" w:cs="Arial" w:eastAsia="Arial" w:hAnsi="Arial"/>
          <w:sz w:val="16"/>
          <w:szCs w:val="16"/>
          <w:color w:val="auto"/>
        </w:rPr>
        <w:t>”), then, in addition to all other remedies available to the Holder, the Company shall, within three (3) Business Days after the Holder’s request and in the Holder’s discretion, either (i) pay cash to the Holder in an amount equal to the Holder’s total purchase price (including brokerage commissions and other out-of-pocket expenses, if any) for the shares of Common Stock so purchased (including, without limitation, by any other Person in respect, or on behalf, of the Holder) (the “</w:t>
      </w:r>
      <w:r>
        <w:rPr>
          <w:rFonts w:ascii="Arial" w:cs="Arial" w:eastAsia="Arial" w:hAnsi="Arial"/>
          <w:sz w:val="16"/>
          <w:szCs w:val="16"/>
          <w:b w:val="1"/>
          <w:bCs w:val="1"/>
          <w:color w:val="auto"/>
        </w:rPr>
        <w:t>Buy-In Price</w:t>
      </w:r>
      <w:r>
        <w:rPr>
          <w:rFonts w:ascii="Arial" w:cs="Arial" w:eastAsia="Arial" w:hAnsi="Arial"/>
          <w:sz w:val="16"/>
          <w:szCs w:val="16"/>
          <w:color w:val="auto"/>
        </w:rPr>
        <w:t>”), at which point the Company’s obligation to so issue and deliver such certificate (and to issue such shares of Common Stock) or credit the balance account of such Holder or such Holder’s designee, as applicable, with DTC for the number of Warrant Shares to which the Holder is entitled upon the Holder’s exercise hereunder (as the case may be) (and to issue such Warrant Shares) shall terminate, or (ii) promptly honor its obligation to so issue and deliver to the Holder a certificate or certificates representing such Warrant Shares or credit the balance account of such Holder or such Holder’s designee, as applicable, with DTC for the number of Warrant Shares to which the Holder is entitled upon the Holder’s exercise hereunder (as the case may be) and pay cash to the Holder in an amount equal to the excess (if any) of the Buy-In Price over the product of (A) such number of Warrant Shares multiplied by (B) the Closing Sale Price of the Common Stock on the Share Delivery Date with respect to the related Exercise Notice (the “</w:t>
      </w:r>
      <w:r>
        <w:rPr>
          <w:rFonts w:ascii="Arial" w:cs="Arial" w:eastAsia="Arial" w:hAnsi="Arial"/>
          <w:sz w:val="16"/>
          <w:szCs w:val="16"/>
          <w:b w:val="1"/>
          <w:bCs w:val="1"/>
          <w:color w:val="auto"/>
        </w:rPr>
        <w:t>Buy-In Payment Amount</w:t>
      </w:r>
      <w:r>
        <w:rPr>
          <w:rFonts w:ascii="Arial" w:cs="Arial" w:eastAsia="Arial" w:hAnsi="Arial"/>
          <w:sz w:val="16"/>
          <w:szCs w:val="16"/>
          <w:color w:val="auto"/>
        </w:rPr>
        <w:t>”). The Holder shall provide the Company written notice indicating the amounts payable to the Holder in respect of the Buy-In and, upon request of the Company, evidence of the amount of such loss. Nothing shall limit the Holder’s right to pursue any other remedies available to it hereunder, at law or in equity, including, without limitation, a decree of specific performance and/or injunctive relief with respect to the Company’s failure to timely deliver certificates representing shares of Common Stock (or to electronically deliver such shares of Common Stock) upon the exercise of this Warrant as required pursuant to the terms hereof.</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8" w:name="page339"/>
    <w:bookmarkEnd w:id="338"/>
    <w:p>
      <w:pPr>
        <w:jc w:val="both"/>
        <w:ind w:firstLine="1952"/>
        <w:spacing w:after="0" w:line="255" w:lineRule="auto"/>
        <w:tabs>
          <w:tab w:leader="none" w:pos="2212" w:val="left"/>
        </w:tabs>
        <w:numPr>
          <w:ilvl w:val="0"/>
          <w:numId w:val="350"/>
        </w:numPr>
        <w:rPr>
          <w:rFonts w:ascii="Arial" w:cs="Arial" w:eastAsia="Arial" w:hAnsi="Arial"/>
          <w:sz w:val="18"/>
          <w:szCs w:val="18"/>
          <w:color w:val="auto"/>
        </w:rPr>
      </w:pPr>
      <w:r>
        <w:rPr>
          <w:rFonts w:ascii="Arial" w:cs="Arial" w:eastAsia="Arial" w:hAnsi="Arial"/>
          <w:sz w:val="18"/>
          <w:szCs w:val="18"/>
          <w:u w:val="single" w:color="auto"/>
          <w:color w:val="auto"/>
        </w:rPr>
        <w:t>Cashless Exercise</w:t>
      </w:r>
      <w:r>
        <w:rPr>
          <w:rFonts w:ascii="Arial" w:cs="Arial" w:eastAsia="Arial" w:hAnsi="Arial"/>
          <w:sz w:val="18"/>
          <w:szCs w:val="18"/>
          <w:color w:val="auto"/>
        </w:rPr>
        <w:t xml:space="preserve">. Notwithstanding anything contained herein to the contrary (other than Section </w:t>
      </w:r>
      <w:r>
        <w:rPr>
          <w:rFonts w:ascii="Arial" w:cs="Arial" w:eastAsia="Arial" w:hAnsi="Arial"/>
          <w:sz w:val="21"/>
          <w:szCs w:val="21"/>
          <w:b w:val="1"/>
          <w:bCs w:val="1"/>
          <w:color w:val="auto"/>
        </w:rPr>
        <w:t>‎</w:t>
      </w:r>
      <w:r>
        <w:rPr>
          <w:rFonts w:ascii="Arial" w:cs="Arial" w:eastAsia="Arial" w:hAnsi="Arial"/>
          <w:sz w:val="18"/>
          <w:szCs w:val="18"/>
          <w:color w:val="auto"/>
        </w:rPr>
        <w:t xml:space="preserve">1(f) below), the Holder may, in its sole discretion (and without limiting the Holder’s rights and remedies contained herein), exercise this Warrant in whole or in part and, subject to the provisions of Section </w:t>
      </w:r>
      <w:r>
        <w:rPr>
          <w:rFonts w:ascii="Arial" w:cs="Arial" w:eastAsia="Arial" w:hAnsi="Arial"/>
          <w:sz w:val="21"/>
          <w:szCs w:val="21"/>
          <w:b w:val="1"/>
          <w:bCs w:val="1"/>
          <w:color w:val="auto"/>
        </w:rPr>
        <w:t>‎</w:t>
      </w:r>
      <w:r>
        <w:rPr>
          <w:rFonts w:ascii="Arial" w:cs="Arial" w:eastAsia="Arial" w:hAnsi="Arial"/>
          <w:sz w:val="18"/>
          <w:szCs w:val="18"/>
          <w:color w:val="auto"/>
        </w:rPr>
        <w:t>1(a), in lieu of making the cash payment otherwise contemplated to be made to the Company upon such exercise in payment of the Aggregate Exercise Price, elect instead to receive upon such exercise the “Net Number” of Warrant Shares determined according to the following formula:</w:t>
      </w:r>
    </w:p>
    <w:p>
      <w:pPr>
        <w:spacing w:after="0" w:line="190" w:lineRule="exact"/>
        <w:rPr>
          <w:sz w:val="20"/>
          <w:szCs w:val="20"/>
          <w:color w:val="auto"/>
        </w:rPr>
      </w:pPr>
    </w:p>
    <w:p>
      <w:pPr>
        <w:ind w:left="1300"/>
        <w:spacing w:after="0"/>
        <w:tabs>
          <w:tab w:leader="none" w:pos="2360" w:val="left"/>
          <w:tab w:leader="none" w:pos="2640" w:val="left"/>
        </w:tabs>
        <w:rPr>
          <w:sz w:val="20"/>
          <w:szCs w:val="20"/>
          <w:color w:val="auto"/>
        </w:rPr>
      </w:pPr>
      <w:r>
        <w:rPr>
          <w:rFonts w:ascii="Arial" w:cs="Arial" w:eastAsia="Arial" w:hAnsi="Arial"/>
          <w:sz w:val="18"/>
          <w:szCs w:val="18"/>
          <w:color w:val="auto"/>
        </w:rPr>
        <w:t>Net Number</w:t>
        <w:tab/>
        <w:t>=</w:t>
      </w:r>
      <w:r>
        <w:rPr>
          <w:sz w:val="20"/>
          <w:szCs w:val="20"/>
          <w:color w:val="auto"/>
        </w:rPr>
        <w:tab/>
      </w:r>
      <w:r>
        <w:rPr>
          <w:rFonts w:ascii="Arial" w:cs="Arial" w:eastAsia="Arial" w:hAnsi="Arial"/>
          <w:sz w:val="17"/>
          <w:szCs w:val="17"/>
          <w:u w:val="single" w:color="auto"/>
          <w:color w:val="auto"/>
        </w:rPr>
        <w:t>(A x B) - (A x C)</w:t>
      </w:r>
    </w:p>
    <w:p>
      <w:pPr>
        <w:spacing w:after="0" w:line="23"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B</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For purposes of the foregoing formula: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  =  the total number of shares with respect to which this Warrant is then being exercised.</w:t>
      </w:r>
    </w:p>
    <w:p>
      <w:pPr>
        <w:spacing w:after="0" w:line="225" w:lineRule="exact"/>
        <w:rPr>
          <w:sz w:val="20"/>
          <w:szCs w:val="20"/>
          <w:color w:val="auto"/>
        </w:rPr>
      </w:pPr>
    </w:p>
    <w:p>
      <w:pPr>
        <w:ind w:left="1300" w:firstLine="4"/>
        <w:spacing w:after="0" w:line="342" w:lineRule="auto"/>
        <w:tabs>
          <w:tab w:leader="none" w:pos="1556" w:val="left"/>
        </w:tabs>
        <w:numPr>
          <w:ilvl w:val="0"/>
          <w:numId w:val="351"/>
        </w:numPr>
        <w:rPr>
          <w:rFonts w:ascii="Arial" w:cs="Arial" w:eastAsia="Arial" w:hAnsi="Arial"/>
          <w:sz w:val="16"/>
          <w:szCs w:val="16"/>
          <w:color w:val="auto"/>
        </w:rPr>
      </w:pPr>
      <w:r>
        <w:rPr>
          <w:rFonts w:ascii="Arial" w:cs="Arial" w:eastAsia="Arial" w:hAnsi="Arial"/>
          <w:sz w:val="16"/>
          <w:szCs w:val="16"/>
          <w:color w:val="auto"/>
        </w:rPr>
        <w:t>= the quotient of (x) the sum of the VWAP of the Common Stock of each of the five (5) Trading Days ending at the close of business on the Principal Market immediately prior to the time of exercise as set forth in the applicable Exercise Notice, divided by (y) five (5).</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  =  the Exercise Price then in effect for the applicable Warrant Shares at the time of such exercise.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purposes of Rule 144(d) promulgated under the Securities Act, as in effect on the date hereof, it is intended that the Warrant Shares issued in a Cashless Exercise shall be deemed to have been acquired by the Holder, and the holding period for the Warrant Shares shall be deemed to have commenced, on the date this Warrant was originally issued pursuant to the Credit Agreement.</w:t>
      </w:r>
    </w:p>
    <w:p>
      <w:pPr>
        <w:spacing w:after="0" w:line="184" w:lineRule="exact"/>
        <w:rPr>
          <w:sz w:val="20"/>
          <w:szCs w:val="20"/>
          <w:color w:val="auto"/>
        </w:rPr>
      </w:pPr>
    </w:p>
    <w:p>
      <w:pPr>
        <w:jc w:val="both"/>
        <w:ind w:firstLine="1952"/>
        <w:spacing w:after="0" w:line="263" w:lineRule="auto"/>
        <w:tabs>
          <w:tab w:leader="none" w:pos="2188" w:val="left"/>
        </w:tabs>
        <w:numPr>
          <w:ilvl w:val="0"/>
          <w:numId w:val="352"/>
        </w:numPr>
        <w:rPr>
          <w:rFonts w:ascii="Arial" w:cs="Arial" w:eastAsia="Arial" w:hAnsi="Arial"/>
          <w:sz w:val="18"/>
          <w:szCs w:val="18"/>
          <w:color w:val="auto"/>
        </w:rPr>
      </w:pPr>
      <w:r>
        <w:rPr>
          <w:rFonts w:ascii="Arial" w:cs="Arial" w:eastAsia="Arial" w:hAnsi="Arial"/>
          <w:sz w:val="18"/>
          <w:szCs w:val="18"/>
          <w:u w:val="single" w:color="auto"/>
          <w:color w:val="auto"/>
        </w:rPr>
        <w:t>Disputes</w:t>
      </w:r>
      <w:r>
        <w:rPr>
          <w:rFonts w:ascii="Arial" w:cs="Arial" w:eastAsia="Arial" w:hAnsi="Arial"/>
          <w:sz w:val="18"/>
          <w:szCs w:val="18"/>
          <w:color w:val="auto"/>
        </w:rPr>
        <w:t xml:space="preserve">. In the case of a dispute as to the determination of the Exercise Price or the arithmetic calculation of the number of Warrant Shares to be issued pursuant to the terms hereof, the Company shall promptly issue to the Holder the number of Warrant Shares that are not disputed and resolve such dispute in accordance with Section </w:t>
      </w:r>
      <w:r>
        <w:rPr>
          <w:rFonts w:ascii="Arial" w:cs="Arial" w:eastAsia="Arial" w:hAnsi="Arial"/>
          <w:sz w:val="21"/>
          <w:szCs w:val="21"/>
          <w:b w:val="1"/>
          <w:bCs w:val="1"/>
          <w:color w:val="auto"/>
        </w:rPr>
        <w:t>‎</w:t>
      </w:r>
      <w:r>
        <w:rPr>
          <w:rFonts w:ascii="Arial" w:cs="Arial" w:eastAsia="Arial" w:hAnsi="Arial"/>
          <w:sz w:val="18"/>
          <w:szCs w:val="18"/>
          <w:color w:val="auto"/>
        </w:rPr>
        <w:t>12.</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39" w:name="page340"/>
    <w:bookmarkEnd w:id="339"/>
    <w:p>
      <w:pPr>
        <w:jc w:val="both"/>
        <w:ind w:firstLine="1952"/>
        <w:spacing w:after="0" w:line="281" w:lineRule="auto"/>
        <w:tabs>
          <w:tab w:leader="none" w:pos="2196" w:val="left"/>
        </w:tabs>
        <w:numPr>
          <w:ilvl w:val="1"/>
          <w:numId w:val="353"/>
        </w:numPr>
        <w:rPr>
          <w:rFonts w:ascii="Arial" w:cs="Arial" w:eastAsia="Arial" w:hAnsi="Arial"/>
          <w:sz w:val="16"/>
          <w:szCs w:val="16"/>
          <w:color w:val="auto"/>
        </w:rPr>
      </w:pPr>
      <w:r>
        <w:rPr>
          <w:rFonts w:ascii="Arial" w:cs="Arial" w:eastAsia="Arial" w:hAnsi="Arial"/>
          <w:sz w:val="16"/>
          <w:szCs w:val="16"/>
          <w:u w:val="single" w:color="auto"/>
          <w:color w:val="auto"/>
        </w:rPr>
        <w:t>Limitations on Exercises</w:t>
      </w:r>
      <w:r>
        <w:rPr>
          <w:rFonts w:ascii="Arial" w:cs="Arial" w:eastAsia="Arial" w:hAnsi="Arial"/>
          <w:sz w:val="16"/>
          <w:szCs w:val="16"/>
          <w:color w:val="auto"/>
        </w:rPr>
        <w:t>. Notwithstanding anything to the contrary contained herein, the Company shall not effect the exercise of any portion of this Warrant, and the Holder shall not have the right to exercise any portion of this Warrant, pursuant to the terms and conditions of this Warrant and any such exercise shall be null and void and treated as if never made, to the extent that after giving effect to such exercise, the Holder together with the other Attribution Parties collectively would beneficially own in excess of 4.99% (the “</w:t>
      </w:r>
      <w:r>
        <w:rPr>
          <w:rFonts w:ascii="Arial" w:cs="Arial" w:eastAsia="Arial" w:hAnsi="Arial"/>
          <w:sz w:val="16"/>
          <w:szCs w:val="16"/>
          <w:b w:val="1"/>
          <w:bCs w:val="1"/>
          <w:color w:val="auto"/>
        </w:rPr>
        <w:t>Maximum Percentage</w:t>
      </w:r>
      <w:r>
        <w:rPr>
          <w:rFonts w:ascii="Arial" w:cs="Arial" w:eastAsia="Arial" w:hAnsi="Arial"/>
          <w:sz w:val="16"/>
          <w:szCs w:val="16"/>
          <w:color w:val="auto"/>
        </w:rPr>
        <w:t xml:space="preserve">”) of the number of shares of Common Stock outstanding immediately after giving effect to such exercise. For purposes of the foregoing sentence, the aggregate number of shares of Common Stock beneficially owned by the Holder and the other Attribution Parties shall include the number of shares of Common Stock held by the Holder and all other Attribution Parties plus the number of shares of Common Stock issuable upon exercise of this Warrant with respect to which the determination of such sentence is being made, but shall exclude the number of shares of Common Stock which would be issuable upon (A) exercise of the remaining, unexercised portion of this Warrant beneficially owned by the Holder or any of the other Attribution Parties and (B) exercise or conversion of the unexercised or unconverted portion of any other securities of the Company (including, without limitation, any convertible notes or convertible preferred stock or warrants) beneficially owned by the Holder or any other Attribution Party subject to a limitation on conversion or exercise analogous to the limitation contained in this Section </w:t>
      </w:r>
      <w:r>
        <w:rPr>
          <w:rFonts w:ascii="Arial" w:cs="Arial" w:eastAsia="Arial" w:hAnsi="Arial"/>
          <w:sz w:val="19"/>
          <w:szCs w:val="19"/>
          <w:b w:val="1"/>
          <w:bCs w:val="1"/>
          <w:color w:val="auto"/>
        </w:rPr>
        <w:t>‎</w:t>
      </w:r>
      <w:r>
        <w:rPr>
          <w:rFonts w:ascii="Arial" w:cs="Arial" w:eastAsia="Arial" w:hAnsi="Arial"/>
          <w:sz w:val="16"/>
          <w:szCs w:val="16"/>
          <w:color w:val="auto"/>
        </w:rPr>
        <w:t xml:space="preserve">1(f). For purposes of this Section </w:t>
      </w:r>
      <w:r>
        <w:rPr>
          <w:rFonts w:ascii="Arial" w:cs="Arial" w:eastAsia="Arial" w:hAnsi="Arial"/>
          <w:sz w:val="19"/>
          <w:szCs w:val="19"/>
          <w:b w:val="1"/>
          <w:bCs w:val="1"/>
          <w:color w:val="auto"/>
        </w:rPr>
        <w:t>‎</w:t>
      </w:r>
      <w:r>
        <w:rPr>
          <w:rFonts w:ascii="Arial" w:cs="Arial" w:eastAsia="Arial" w:hAnsi="Arial"/>
          <w:sz w:val="16"/>
          <w:szCs w:val="16"/>
          <w:color w:val="auto"/>
        </w:rPr>
        <w:t>1(f), beneficial ownership shall be calculated in accordance with Section 13(d) of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For purposes of this Warrant, in determining the number of outstanding shares of Common Stock the Holder may acquire upon the exercise of this Warrant without exceeding the Maximum Percentage, the Holder may rely on the number of outstanding shares of Common Stock as reflected in (x) the Company’s most recent Annual Report on Form 10-K, Quarterly Report on Form 10-Q, Current Report on Form 8-K or other public filing with the Securities and Exchange Commission (the “</w:t>
      </w:r>
      <w:r>
        <w:rPr>
          <w:rFonts w:ascii="Arial" w:cs="Arial" w:eastAsia="Arial" w:hAnsi="Arial"/>
          <w:sz w:val="16"/>
          <w:szCs w:val="16"/>
          <w:b w:val="1"/>
          <w:bCs w:val="1"/>
          <w:color w:val="auto"/>
        </w:rPr>
        <w:t>SEC</w:t>
      </w:r>
      <w:r>
        <w:rPr>
          <w:rFonts w:ascii="Arial" w:cs="Arial" w:eastAsia="Arial" w:hAnsi="Arial"/>
          <w:sz w:val="16"/>
          <w:szCs w:val="16"/>
          <w:color w:val="auto"/>
        </w:rPr>
        <w:t>”), as the case may be, (y) a more recent public announcement by the Company or (z) any other written notice by the Company or the Transfer Agent, if any, setting forth the number of shares of Common Stock outstanding (the “</w:t>
      </w:r>
      <w:r>
        <w:rPr>
          <w:rFonts w:ascii="Arial" w:cs="Arial" w:eastAsia="Arial" w:hAnsi="Arial"/>
          <w:sz w:val="16"/>
          <w:szCs w:val="16"/>
          <w:b w:val="1"/>
          <w:bCs w:val="1"/>
          <w:color w:val="auto"/>
        </w:rPr>
        <w:t>Reported Outstanding Share Number</w:t>
      </w:r>
      <w:r>
        <w:rPr>
          <w:rFonts w:ascii="Arial" w:cs="Arial" w:eastAsia="Arial" w:hAnsi="Arial"/>
          <w:sz w:val="16"/>
          <w:szCs w:val="16"/>
          <w:color w:val="auto"/>
        </w:rPr>
        <w:t xml:space="preserve">”). If the Company receives an Exercise Notice from the Holder at a time when the actual number of outstanding shares of Common Stock is less than the Reported Outstanding Share Number, the Company shall (i) notify the Holder in writing of the number of shares of Common Stock then outstanding and, to the extent that such Exercise Notice would otherwise cause the Holder’s beneficial ownership, as determined pursuant to this Section </w:t>
      </w:r>
      <w:r>
        <w:rPr>
          <w:rFonts w:ascii="Arial" w:cs="Arial" w:eastAsia="Arial" w:hAnsi="Arial"/>
          <w:sz w:val="19"/>
          <w:szCs w:val="19"/>
          <w:b w:val="1"/>
          <w:bCs w:val="1"/>
          <w:color w:val="auto"/>
        </w:rPr>
        <w:t>‎</w:t>
      </w:r>
      <w:r>
        <w:rPr>
          <w:rFonts w:ascii="Arial" w:cs="Arial" w:eastAsia="Arial" w:hAnsi="Arial"/>
          <w:sz w:val="16"/>
          <w:szCs w:val="16"/>
          <w:color w:val="auto"/>
        </w:rPr>
        <w:t>1(f), to exceed the Maximum Percentage, the Holder must notify the Company of a reduced number of Warrant Shares to be purchased pursuant to such Exercise Notice (the number of shares by which such purchase is reduced, the “</w:t>
      </w:r>
      <w:r>
        <w:rPr>
          <w:rFonts w:ascii="Arial" w:cs="Arial" w:eastAsia="Arial" w:hAnsi="Arial"/>
          <w:sz w:val="16"/>
          <w:szCs w:val="16"/>
          <w:b w:val="1"/>
          <w:bCs w:val="1"/>
          <w:color w:val="auto"/>
        </w:rPr>
        <w:t>Reduction Shares</w:t>
      </w:r>
      <w:r>
        <w:rPr>
          <w:rFonts w:ascii="Arial" w:cs="Arial" w:eastAsia="Arial" w:hAnsi="Arial"/>
          <w:sz w:val="16"/>
          <w:szCs w:val="16"/>
          <w:color w:val="auto"/>
        </w:rPr>
        <w:t>”) and</w:t>
      </w:r>
    </w:p>
    <w:p>
      <w:pPr>
        <w:jc w:val="both"/>
        <w:ind w:firstLine="8"/>
        <w:spacing w:after="0" w:line="282" w:lineRule="auto"/>
        <w:tabs>
          <w:tab w:leader="none" w:pos="283" w:val="left"/>
        </w:tabs>
        <w:numPr>
          <w:ilvl w:val="0"/>
          <w:numId w:val="354"/>
        </w:numPr>
        <w:rPr>
          <w:rFonts w:ascii="Arial" w:cs="Arial" w:eastAsia="Arial" w:hAnsi="Arial"/>
          <w:sz w:val="16"/>
          <w:szCs w:val="16"/>
          <w:color w:val="auto"/>
        </w:rPr>
      </w:pPr>
      <w:r>
        <w:rPr>
          <w:rFonts w:ascii="Arial" w:cs="Arial" w:eastAsia="Arial" w:hAnsi="Arial"/>
          <w:sz w:val="16"/>
          <w:szCs w:val="16"/>
          <w:color w:val="auto"/>
        </w:rPr>
        <w:t>as soon as reasonably practicable, the Company shall return to the Holder any exercise price paid by the Holder for the Reduction Shares. For any reason at any time, upon the written or oral request of the Holder, the Company shall within one (1) Business Day confirm orally and in writing or by electronic mail to the Holder the number of shares of Common Stock then outstanding. In any case, the number of outstanding shares of Common Stock shall be determined after giving effect to the conversion or exercise of securities of the Company, including this Warrant, by the Holder and any other Attribution Party since the date as of which the Reported Outstanding Share Number was reported. In the event that the issuance of shares of Common Stock to the Holder upon exercise of this Warrant results in the Holder and the other Attribution Parties being deemed to beneficially own, in the aggregate, more than the Maximum Percentage of the number of outstanding shares of Common Stock (as determined under Section 13(d) of the Exchange Act), the number of shares so issued by which the Holder’s and the other Attribution Parties’ aggregate beneficial ownership exceeds the Maximum Percentage (the “</w:t>
      </w:r>
      <w:r>
        <w:rPr>
          <w:rFonts w:ascii="Arial" w:cs="Arial" w:eastAsia="Arial" w:hAnsi="Arial"/>
          <w:sz w:val="16"/>
          <w:szCs w:val="16"/>
          <w:b w:val="1"/>
          <w:bCs w:val="1"/>
          <w:color w:val="auto"/>
        </w:rPr>
        <w:t>Excess Shares</w:t>
      </w:r>
      <w:r>
        <w:rPr>
          <w:rFonts w:ascii="Arial" w:cs="Arial" w:eastAsia="Arial" w:hAnsi="Arial"/>
          <w:sz w:val="16"/>
          <w:szCs w:val="16"/>
          <w:color w:val="auto"/>
        </w:rPr>
        <w:t xml:space="preserve">”) shall be deemed null and void and shall be cancelled ab initio, and the Holder shall not have the power to vote or to transfer the Excess Shares. As soon as reasonably practicable after the issuance of the Excess Shares has been deemed null and void, the Company shall return to the Holder the exercise price paid by the Holder for the Excess Shares. Upon delivery of a written notice to the Company, the Holder may from time to time increase (with such increase not effective until the sixty-first (61st) day after delivery of such notice) or decrease the Maximum Percentage to any other percentage not in excess of 9.99% as specified in such notice; provided that (i) any such increase in the Maximum Percentage will not be effective until the sixty-first (61st) day after such notice is delivered to the Company and (ii) any such increase or decrease will apply only to the Holder and the other Attribution Parties and not to any other holder that is not an Attribution Party of the Holder. For purposes of clarity, the shares of Common Stock issuable pursuant to the terms of this Warrant in excess of the Maximum Percentage shall not be deemed to be beneficially owned by the Holder for any purpose including for purposes of Section 13(d) or Rule 16a-1(a)(1) of the Exchange Act. No prior inability to exercise this Warrant pursuant to this paragraph shall have any effect on the applicability of the provisions of this paragraph with respect to any subsequent determination of exercisability. The provisions of this paragraph shall be construed and implemented in a manner otherwise than in strict conformity with the terms of this Section </w:t>
      </w:r>
      <w:r>
        <w:rPr>
          <w:rFonts w:ascii="Arial" w:cs="Arial" w:eastAsia="Arial" w:hAnsi="Arial"/>
          <w:sz w:val="19"/>
          <w:szCs w:val="19"/>
          <w:b w:val="1"/>
          <w:bCs w:val="1"/>
          <w:color w:val="auto"/>
        </w:rPr>
        <w:t>‎</w:t>
      </w:r>
      <w:r>
        <w:rPr>
          <w:rFonts w:ascii="Arial" w:cs="Arial" w:eastAsia="Arial" w:hAnsi="Arial"/>
          <w:sz w:val="16"/>
          <w:szCs w:val="16"/>
          <w:color w:val="auto"/>
        </w:rPr>
        <w:t xml:space="preserve">1(f) to the extent necessary to correct this paragraph or any portion of this paragraph which may be defective or inconsistent with the intended beneficial ownership limitation contained in this Section </w:t>
      </w:r>
      <w:r>
        <w:rPr>
          <w:rFonts w:ascii="Arial" w:cs="Arial" w:eastAsia="Arial" w:hAnsi="Arial"/>
          <w:sz w:val="19"/>
          <w:szCs w:val="19"/>
          <w:b w:val="1"/>
          <w:bCs w:val="1"/>
          <w:color w:val="auto"/>
        </w:rPr>
        <w:t>‎</w:t>
      </w:r>
      <w:r>
        <w:rPr>
          <w:rFonts w:ascii="Arial" w:cs="Arial" w:eastAsia="Arial" w:hAnsi="Arial"/>
          <w:sz w:val="16"/>
          <w:szCs w:val="16"/>
          <w:color w:val="auto"/>
        </w:rPr>
        <w:t>1(f) or to make changes or supplements necessary or desirable to properly give effect to such limitation. The limitation contained in this paragraph may not be waived and shall apply to a successor holder of this Warrant.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40" w:name="page341"/>
    <w:bookmarkEnd w:id="340"/>
    <w:p>
      <w:pPr>
        <w:jc w:val="both"/>
        <w:ind w:firstLine="1952"/>
        <w:spacing w:after="0" w:line="285" w:lineRule="auto"/>
        <w:tabs>
          <w:tab w:leader="none" w:pos="2199" w:val="left"/>
        </w:tabs>
        <w:numPr>
          <w:ilvl w:val="1"/>
          <w:numId w:val="355"/>
        </w:numPr>
        <w:rPr>
          <w:rFonts w:ascii="Arial" w:cs="Arial" w:eastAsia="Arial" w:hAnsi="Arial"/>
          <w:sz w:val="16"/>
          <w:szCs w:val="16"/>
          <w:color w:val="auto"/>
        </w:rPr>
      </w:pPr>
      <w:r>
        <w:rPr>
          <w:rFonts w:ascii="Arial" w:cs="Arial" w:eastAsia="Arial" w:hAnsi="Arial"/>
          <w:sz w:val="16"/>
          <w:szCs w:val="16"/>
          <w:u w:val="single" w:color="auto"/>
          <w:color w:val="auto"/>
        </w:rPr>
        <w:t>Insufficient Authorized Shares</w:t>
      </w:r>
      <w:r>
        <w:rPr>
          <w:rFonts w:ascii="Arial" w:cs="Arial" w:eastAsia="Arial" w:hAnsi="Arial"/>
          <w:sz w:val="16"/>
          <w:szCs w:val="16"/>
          <w:color w:val="auto"/>
        </w:rPr>
        <w:t>. If at any time while this Warrant remains outstanding the Company does not have a sufficient number of authorized and unreserved shares of Common Stock to satisfy its obligation to reserve for issuance upon exercise of this Warrant at least a number of shares of Common Stock equal to the number of shares of Common Stock as shall from time to time be necessary to effect the exercise of all of this Warrant then outstanding (the “</w:t>
      </w:r>
      <w:r>
        <w:rPr>
          <w:rFonts w:ascii="Arial" w:cs="Arial" w:eastAsia="Arial" w:hAnsi="Arial"/>
          <w:sz w:val="16"/>
          <w:szCs w:val="16"/>
          <w:b w:val="1"/>
          <w:bCs w:val="1"/>
          <w:color w:val="auto"/>
        </w:rPr>
        <w:t>Required Reserve Amount</w:t>
      </w:r>
      <w:r>
        <w:rPr>
          <w:rFonts w:ascii="Arial" w:cs="Arial" w:eastAsia="Arial" w:hAnsi="Arial"/>
          <w:sz w:val="16"/>
          <w:szCs w:val="16"/>
          <w:color w:val="auto"/>
        </w:rPr>
        <w:t>” and the failure to have such sufficient number of authorized and unreserved shares of Common Stock, an “</w:t>
      </w:r>
      <w:r>
        <w:rPr>
          <w:rFonts w:ascii="Arial" w:cs="Arial" w:eastAsia="Arial" w:hAnsi="Arial"/>
          <w:sz w:val="16"/>
          <w:szCs w:val="16"/>
          <w:b w:val="1"/>
          <w:bCs w:val="1"/>
          <w:color w:val="auto"/>
        </w:rPr>
        <w:t>Authorized Share Failure</w:t>
      </w:r>
      <w:r>
        <w:rPr>
          <w:rFonts w:ascii="Arial" w:cs="Arial" w:eastAsia="Arial" w:hAnsi="Arial"/>
          <w:sz w:val="16"/>
          <w:szCs w:val="16"/>
          <w:color w:val="auto"/>
        </w:rPr>
        <w:t>”), then the Company shall as soon as reasonably practicable take all action necessary to increase the Company’s authorized shares of Common Stock to an amount sufficient to allow the Company to reserve the Required Reserve Amount for this Warrant then outstanding. Without limiting the generality of the foregoing sentence, as soon as reasonably practicable after the date of the occurrence of an Authorized Share Failure, but in no event later than seventy-five (75) days after the occurrence of such Authorized Share Failure, the Company shall hold a meeting of its stockholders for the approval of an increase in the number of authorized shares of Common Stock. In connection with such meeting, the Company shall provide each stockholder with a proxy statement and shall use its reasonable best efforts to solicit its stockholders’ approval of such increase in authorized shares of Common Stock and to cause its board of directors to recommend to the stockholders that they approve such proposal. In the event that the Company is prohibited from issuing shares of Common Stock upon an exercise of this Warrant due to the failure by the Company to have sufficient shares of Common Stock available out of the authorized but unissued shares of Common Stock (such unavailable number of shares of Common Stock, the “</w:t>
      </w:r>
      <w:r>
        <w:rPr>
          <w:rFonts w:ascii="Arial" w:cs="Arial" w:eastAsia="Arial" w:hAnsi="Arial"/>
          <w:sz w:val="16"/>
          <w:szCs w:val="16"/>
          <w:b w:val="1"/>
          <w:bCs w:val="1"/>
          <w:color w:val="auto"/>
        </w:rPr>
        <w:t>Authorization Failure Shares</w:t>
      </w:r>
      <w:r>
        <w:rPr>
          <w:rFonts w:ascii="Arial" w:cs="Arial" w:eastAsia="Arial" w:hAnsi="Arial"/>
          <w:sz w:val="16"/>
          <w:szCs w:val="16"/>
          <w:color w:val="auto"/>
        </w:rPr>
        <w:t xml:space="preserve">”), in lieu of delivering such Authorization Failure Shares to the Holder, the Company shall pay cash in exchange for the cancellation of such portion of this Warrant exercisable into such Authorization Failure Shares at a price equal to the sum of (i) the product of (x) such number of Authorization Failure Shares and (y) the Closing Sale Price of the Common Stock on the date the Holder delivers the applicable Exercise Notice with respect to such Authorization Failure Shares to the Company; and (ii) to the extent the Holder purchases (in an open market transaction or otherwise) shares of Common Stock to deliver in satisfaction of a sale by the Holder of Authorization Failure Shares, any Buy-In Payment Amount, brokerage commissions and other out-of-pocket expenses, if any, of the Holder incurred in connection therewith. Nothing contained in this Section </w:t>
      </w:r>
      <w:r>
        <w:rPr>
          <w:rFonts w:ascii="Arial" w:cs="Arial" w:eastAsia="Arial" w:hAnsi="Arial"/>
          <w:sz w:val="19"/>
          <w:szCs w:val="19"/>
          <w:b w:val="1"/>
          <w:bCs w:val="1"/>
          <w:color w:val="auto"/>
        </w:rPr>
        <w:t>‎</w:t>
      </w:r>
      <w:r>
        <w:rPr>
          <w:rFonts w:ascii="Arial" w:cs="Arial" w:eastAsia="Arial" w:hAnsi="Arial"/>
          <w:sz w:val="16"/>
          <w:szCs w:val="16"/>
          <w:color w:val="auto"/>
        </w:rPr>
        <w:t>1(g) shall limit any obligations of the Company under any provision of the Credit Agreement.</w:t>
      </w:r>
    </w:p>
    <w:p>
      <w:pPr>
        <w:spacing w:after="0" w:line="152" w:lineRule="exact"/>
        <w:rPr>
          <w:rFonts w:ascii="Arial" w:cs="Arial" w:eastAsia="Arial" w:hAnsi="Arial"/>
          <w:sz w:val="16"/>
          <w:szCs w:val="16"/>
          <w:color w:val="auto"/>
        </w:rPr>
      </w:pPr>
    </w:p>
    <w:p>
      <w:pPr>
        <w:ind w:firstLine="1304"/>
        <w:spacing w:after="0" w:line="277" w:lineRule="auto"/>
        <w:tabs>
          <w:tab w:leader="none" w:pos="1476" w:val="left"/>
        </w:tabs>
        <w:numPr>
          <w:ilvl w:val="0"/>
          <w:numId w:val="356"/>
        </w:numPr>
        <w:rPr>
          <w:rFonts w:ascii="Arial" w:cs="Arial" w:eastAsia="Arial" w:hAnsi="Arial"/>
          <w:sz w:val="18"/>
          <w:szCs w:val="18"/>
          <w:color w:val="auto"/>
        </w:rPr>
      </w:pPr>
      <w:r>
        <w:rPr>
          <w:rFonts w:ascii="Arial" w:cs="Arial" w:eastAsia="Arial" w:hAnsi="Arial"/>
          <w:sz w:val="18"/>
          <w:szCs w:val="18"/>
          <w:u w:val="single" w:color="auto"/>
          <w:color w:val="auto"/>
        </w:rPr>
        <w:t>ADJUSTMENT OF EXERCISE PRICE AND NUMBER OF WARRANT SHARES</w:t>
      </w:r>
      <w:r>
        <w:rPr>
          <w:rFonts w:ascii="Arial" w:cs="Arial" w:eastAsia="Arial" w:hAnsi="Arial"/>
          <w:sz w:val="18"/>
          <w:szCs w:val="18"/>
          <w:color w:val="auto"/>
        </w:rPr>
        <w:t>. The Exercise Price and the number of Warrant Shares issuable upon exercise of this Warrant are subject to adjustments from time to time as set forth in this Section 2.</w:t>
      </w:r>
    </w:p>
    <w:p>
      <w:pPr>
        <w:spacing w:after="0" w:line="170" w:lineRule="exact"/>
        <w:rPr>
          <w:rFonts w:ascii="Arial" w:cs="Arial" w:eastAsia="Arial" w:hAnsi="Arial"/>
          <w:sz w:val="18"/>
          <w:szCs w:val="18"/>
          <w:color w:val="auto"/>
        </w:rPr>
      </w:pPr>
    </w:p>
    <w:p>
      <w:pPr>
        <w:jc w:val="both"/>
        <w:ind w:firstLine="1952"/>
        <w:spacing w:after="0" w:line="272" w:lineRule="auto"/>
        <w:tabs>
          <w:tab w:leader="none" w:pos="2202" w:val="left"/>
        </w:tabs>
        <w:numPr>
          <w:ilvl w:val="1"/>
          <w:numId w:val="356"/>
        </w:numPr>
        <w:rPr>
          <w:rFonts w:ascii="Arial" w:cs="Arial" w:eastAsia="Arial" w:hAnsi="Arial"/>
          <w:sz w:val="17"/>
          <w:szCs w:val="17"/>
          <w:color w:val="auto"/>
        </w:rPr>
      </w:pPr>
      <w:r>
        <w:rPr>
          <w:rFonts w:ascii="Arial" w:cs="Arial" w:eastAsia="Arial" w:hAnsi="Arial"/>
          <w:sz w:val="17"/>
          <w:szCs w:val="17"/>
          <w:u w:val="single" w:color="auto"/>
          <w:color w:val="auto"/>
        </w:rPr>
        <w:t>Adjustment Upon Subdivision or Combination of Shares of Common Stock</w:t>
      </w:r>
      <w:r>
        <w:rPr>
          <w:rFonts w:ascii="Arial" w:cs="Arial" w:eastAsia="Arial" w:hAnsi="Arial"/>
          <w:sz w:val="17"/>
          <w:szCs w:val="17"/>
          <w:color w:val="auto"/>
        </w:rPr>
        <w:t>. If the Company at any time on or after the Issuance Date subdivides (by any stock split, stock dividend, recapitalization or otherwise) one or more classes of its outstanding shares of Common Stock into a greater number of shares, the Exercise Price in effect immediately prior to such subdivision will be proportionately reduced and the number of Warrant Shares will be proportionately increased. If the Company at any time on or after the Issuance Date combines (by combination, reverse stock split or otherwise) one or more classes of its outstanding shares of Common Stock into a smaller number of shares, the Exercise Price in effect immediately prior to such combination will be proportionately increased and the number of Warrant Shares will be proportionately decreased. Any adjustment under this Section 2(a) shall become effective at the close of business on the date the subdivision or combination becomes effective.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41" w:name="page342"/>
    <w:bookmarkEnd w:id="341"/>
    <w:p>
      <w:pPr>
        <w:jc w:val="both"/>
        <w:ind w:firstLine="1952"/>
        <w:spacing w:after="0" w:line="279" w:lineRule="auto"/>
        <w:tabs>
          <w:tab w:leader="none" w:pos="2199" w:val="left"/>
        </w:tabs>
        <w:numPr>
          <w:ilvl w:val="1"/>
          <w:numId w:val="357"/>
        </w:numPr>
        <w:rPr>
          <w:rFonts w:ascii="Arial" w:cs="Arial" w:eastAsia="Arial" w:hAnsi="Arial"/>
          <w:sz w:val="17"/>
          <w:szCs w:val="17"/>
          <w:color w:val="auto"/>
        </w:rPr>
      </w:pPr>
      <w:r>
        <w:rPr>
          <w:rFonts w:ascii="Arial" w:cs="Arial" w:eastAsia="Arial" w:hAnsi="Arial"/>
          <w:sz w:val="17"/>
          <w:szCs w:val="17"/>
          <w:u w:val="single" w:color="auto"/>
          <w:color w:val="auto"/>
        </w:rPr>
        <w:t>Adjustment to Number of Warrant Shares.</w:t>
      </w:r>
      <w:r>
        <w:rPr>
          <w:rFonts w:ascii="Arial" w:cs="Arial" w:eastAsia="Arial" w:hAnsi="Arial"/>
          <w:sz w:val="17"/>
          <w:szCs w:val="17"/>
          <w:color w:val="auto"/>
        </w:rPr>
        <w:t xml:space="preserve"> Simultaneously with any adjustment to the Exercise Price pursuant to Section </w:t>
      </w:r>
      <w:r>
        <w:rPr>
          <w:rFonts w:ascii="Arial" w:cs="Arial" w:eastAsia="Arial" w:hAnsi="Arial"/>
          <w:sz w:val="20"/>
          <w:szCs w:val="20"/>
          <w:b w:val="1"/>
          <w:bCs w:val="1"/>
          <w:color w:val="auto"/>
        </w:rPr>
        <w:t>‎</w:t>
      </w:r>
      <w:r>
        <w:rPr>
          <w:rFonts w:ascii="Arial" w:cs="Arial" w:eastAsia="Arial" w:hAnsi="Arial"/>
          <w:sz w:val="17"/>
          <w:szCs w:val="17"/>
          <w:color w:val="auto"/>
        </w:rPr>
        <w:t>2, the number of Warrant Shares that may be purchased upon exercise of this Warrant shall be increased or decreased proportionately, so that after such adjustment the aggregate Exercise Price payable hereunder for the adjusted number of Warrant Shares shall be the same as the aggregate Exercise Price in effect immediately prior to such adjustment (without regard to any limitations on exercise contained herein).</w:t>
      </w:r>
    </w:p>
    <w:p>
      <w:pPr>
        <w:spacing w:after="0" w:line="171" w:lineRule="exact"/>
        <w:rPr>
          <w:rFonts w:ascii="Arial" w:cs="Arial" w:eastAsia="Arial" w:hAnsi="Arial"/>
          <w:sz w:val="17"/>
          <w:szCs w:val="17"/>
          <w:color w:val="auto"/>
        </w:rPr>
      </w:pPr>
    </w:p>
    <w:p>
      <w:pPr>
        <w:ind w:firstLine="1952"/>
        <w:spacing w:after="0" w:line="277" w:lineRule="auto"/>
        <w:tabs>
          <w:tab w:leader="none" w:pos="2188" w:val="left"/>
        </w:tabs>
        <w:numPr>
          <w:ilvl w:val="1"/>
          <w:numId w:val="357"/>
        </w:numPr>
        <w:rPr>
          <w:rFonts w:ascii="Arial" w:cs="Arial" w:eastAsia="Arial" w:hAnsi="Arial"/>
          <w:sz w:val="18"/>
          <w:szCs w:val="18"/>
          <w:color w:val="auto"/>
        </w:rPr>
      </w:pPr>
      <w:r>
        <w:rPr>
          <w:rFonts w:ascii="Arial" w:cs="Arial" w:eastAsia="Arial" w:hAnsi="Arial"/>
          <w:sz w:val="18"/>
          <w:szCs w:val="18"/>
          <w:u w:val="single" w:color="auto"/>
          <w:color w:val="auto"/>
        </w:rPr>
        <w:t>Par Value</w:t>
      </w:r>
      <w:r>
        <w:rPr>
          <w:rFonts w:ascii="Arial" w:cs="Arial" w:eastAsia="Arial" w:hAnsi="Arial"/>
          <w:sz w:val="18"/>
          <w:szCs w:val="18"/>
          <w:color w:val="auto"/>
        </w:rPr>
        <w:t>. Notwithstanding anything to the contrary in this Warrant, in no event shall the Exercise Price be reduced below the par value of the Company’s Common Stock.</w:t>
      </w:r>
    </w:p>
    <w:p>
      <w:pPr>
        <w:spacing w:after="0" w:line="170" w:lineRule="exact"/>
        <w:rPr>
          <w:rFonts w:ascii="Arial" w:cs="Arial" w:eastAsia="Arial" w:hAnsi="Arial"/>
          <w:sz w:val="18"/>
          <w:szCs w:val="18"/>
          <w:color w:val="auto"/>
        </w:rPr>
      </w:pPr>
    </w:p>
    <w:p>
      <w:pPr>
        <w:jc w:val="both"/>
        <w:ind w:firstLine="1952"/>
        <w:spacing w:after="0" w:line="263" w:lineRule="auto"/>
        <w:tabs>
          <w:tab w:leader="none" w:pos="2199" w:val="left"/>
        </w:tabs>
        <w:numPr>
          <w:ilvl w:val="1"/>
          <w:numId w:val="357"/>
        </w:numPr>
        <w:rPr>
          <w:rFonts w:ascii="Arial" w:cs="Arial" w:eastAsia="Arial" w:hAnsi="Arial"/>
          <w:sz w:val="18"/>
          <w:szCs w:val="18"/>
          <w:color w:val="auto"/>
        </w:rPr>
      </w:pPr>
      <w:r>
        <w:rPr>
          <w:rFonts w:ascii="Arial" w:cs="Arial" w:eastAsia="Arial" w:hAnsi="Arial"/>
          <w:sz w:val="18"/>
          <w:szCs w:val="18"/>
          <w:u w:val="single" w:color="auto"/>
          <w:color w:val="auto"/>
        </w:rPr>
        <w:t>Voluntary Adjustment by Company</w:t>
      </w:r>
      <w:r>
        <w:rPr>
          <w:rFonts w:ascii="Arial" w:cs="Arial" w:eastAsia="Arial" w:hAnsi="Arial"/>
          <w:sz w:val="18"/>
          <w:szCs w:val="18"/>
          <w:color w:val="auto"/>
        </w:rPr>
        <w:t>. Subject to Section 2(c), the Company may at any time during the term of this Warrant, with prior written notice to the Holder, reduce the then current Exercise Price to any amount and for any period of time deemed appropriate by the board of directors of the Company.</w:t>
      </w:r>
    </w:p>
    <w:p>
      <w:pPr>
        <w:spacing w:after="0" w:line="170" w:lineRule="exact"/>
        <w:rPr>
          <w:rFonts w:ascii="Arial" w:cs="Arial" w:eastAsia="Arial" w:hAnsi="Arial"/>
          <w:sz w:val="18"/>
          <w:szCs w:val="18"/>
          <w:color w:val="auto"/>
        </w:rPr>
      </w:pPr>
    </w:p>
    <w:p>
      <w:pPr>
        <w:jc w:val="both"/>
        <w:ind w:firstLine="1304"/>
        <w:spacing w:after="0" w:line="268" w:lineRule="auto"/>
        <w:tabs>
          <w:tab w:leader="none" w:pos="1489" w:val="left"/>
        </w:tabs>
        <w:numPr>
          <w:ilvl w:val="0"/>
          <w:numId w:val="358"/>
        </w:numPr>
        <w:rPr>
          <w:rFonts w:ascii="Arial" w:cs="Arial" w:eastAsia="Arial" w:hAnsi="Arial"/>
          <w:sz w:val="17"/>
          <w:szCs w:val="17"/>
          <w:color w:val="auto"/>
        </w:rPr>
      </w:pPr>
      <w:r>
        <w:rPr>
          <w:rFonts w:ascii="Arial" w:cs="Arial" w:eastAsia="Arial" w:hAnsi="Arial"/>
          <w:sz w:val="17"/>
          <w:szCs w:val="17"/>
          <w:u w:val="single" w:color="auto"/>
          <w:color w:val="auto"/>
        </w:rPr>
        <w:t>RIGHTS UPON DISTRIBUTION OF ASSETS</w:t>
      </w:r>
      <w:r>
        <w:rPr>
          <w:rFonts w:ascii="Arial" w:cs="Arial" w:eastAsia="Arial" w:hAnsi="Arial"/>
          <w:sz w:val="17"/>
          <w:szCs w:val="17"/>
          <w:color w:val="auto"/>
        </w:rPr>
        <w:t xml:space="preserve">. In addition to any adjustments pursuant to Section </w:t>
      </w:r>
      <w:r>
        <w:rPr>
          <w:rFonts w:ascii="Arial" w:cs="Arial" w:eastAsia="Arial" w:hAnsi="Arial"/>
          <w:sz w:val="20"/>
          <w:szCs w:val="20"/>
          <w:b w:val="1"/>
          <w:bCs w:val="1"/>
          <w:color w:val="auto"/>
        </w:rPr>
        <w:t>‎</w:t>
      </w:r>
      <w:r>
        <w:rPr>
          <w:rFonts w:ascii="Arial" w:cs="Arial" w:eastAsia="Arial" w:hAnsi="Arial"/>
          <w:sz w:val="17"/>
          <w:szCs w:val="17"/>
          <w:color w:val="auto"/>
        </w:rPr>
        <w:t>2 above,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(a “</w:t>
      </w:r>
      <w:r>
        <w:rPr>
          <w:rFonts w:ascii="Arial" w:cs="Arial" w:eastAsia="Arial" w:hAnsi="Arial"/>
          <w:sz w:val="17"/>
          <w:szCs w:val="17"/>
          <w:b w:val="1"/>
          <w:bCs w:val="1"/>
          <w:color w:val="auto"/>
        </w:rPr>
        <w:t>Distribution</w:t>
      </w:r>
      <w:r>
        <w:rPr>
          <w:rFonts w:ascii="Arial" w:cs="Arial" w:eastAsia="Arial" w:hAnsi="Arial"/>
          <w:sz w:val="17"/>
          <w:szCs w:val="17"/>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such Distribution, or, if no such record is taken, the date as of which the record holders of shares of Common Stock are to be determined for the participation in such Distribution (provided, however, that to the extent that the Holder’s right to participate in any such Distribution would result in the Holder and the other Attribution Parties exceeding the Maximum Percentage, then the Holder shall not be entitled to participate in such Distribution to the extent of the Maximum Percentage (and shall not be entitled to beneficial ownership of such shares of Common Stock as a result of such Distribution (and beneficial ownership) to the extent of any such excess) and the portion of such Distribution shall be held in abeyance for the benefit of the Holder until such time or times, if ever,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held similarly in abeyance) to the same extent as if there had been no such limitation).</w:t>
      </w:r>
    </w:p>
    <w:p>
      <w:pPr>
        <w:spacing w:after="0" w:line="181" w:lineRule="exact"/>
        <w:rPr>
          <w:rFonts w:ascii="Arial" w:cs="Arial" w:eastAsia="Arial" w:hAnsi="Arial"/>
          <w:sz w:val="17"/>
          <w:szCs w:val="17"/>
          <w:color w:val="auto"/>
        </w:rPr>
      </w:pPr>
    </w:p>
    <w:p>
      <w:pPr>
        <w:ind w:left="1480" w:hanging="176"/>
        <w:spacing w:after="0"/>
        <w:tabs>
          <w:tab w:leader="none" w:pos="1480" w:val="left"/>
        </w:tabs>
        <w:numPr>
          <w:ilvl w:val="0"/>
          <w:numId w:val="358"/>
        </w:numPr>
        <w:rPr>
          <w:rFonts w:ascii="Arial" w:cs="Arial" w:eastAsia="Arial" w:hAnsi="Arial"/>
          <w:sz w:val="18"/>
          <w:szCs w:val="18"/>
          <w:color w:val="auto"/>
        </w:rPr>
      </w:pPr>
      <w:r>
        <w:rPr>
          <w:rFonts w:ascii="Arial" w:cs="Arial" w:eastAsia="Arial" w:hAnsi="Arial"/>
          <w:sz w:val="18"/>
          <w:szCs w:val="18"/>
          <w:u w:val="single" w:color="auto"/>
          <w:color w:val="auto"/>
        </w:rPr>
        <w:t>PURCHASE RIGHTS; FUNDAMENTAL TRANSACTIONS</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jc w:val="both"/>
        <w:ind w:firstLine="1952"/>
        <w:spacing w:after="0" w:line="268" w:lineRule="auto"/>
        <w:tabs>
          <w:tab w:leader="none" w:pos="2202" w:val="left"/>
        </w:tabs>
        <w:numPr>
          <w:ilvl w:val="1"/>
          <w:numId w:val="358"/>
        </w:numPr>
        <w:rPr>
          <w:rFonts w:ascii="Arial" w:cs="Arial" w:eastAsia="Arial" w:hAnsi="Arial"/>
          <w:sz w:val="17"/>
          <w:szCs w:val="17"/>
          <w:color w:val="auto"/>
        </w:rPr>
      </w:pPr>
      <w:r>
        <w:rPr>
          <w:rFonts w:ascii="Arial" w:cs="Arial" w:eastAsia="Arial" w:hAnsi="Arial"/>
          <w:sz w:val="17"/>
          <w:szCs w:val="17"/>
          <w:u w:val="single" w:color="auto"/>
          <w:color w:val="auto"/>
        </w:rPr>
        <w:t>Purchase Rights</w:t>
      </w:r>
      <w:r>
        <w:rPr>
          <w:rFonts w:ascii="Arial" w:cs="Arial" w:eastAsia="Arial" w:hAnsi="Arial"/>
          <w:sz w:val="17"/>
          <w:szCs w:val="17"/>
          <w:color w:val="auto"/>
        </w:rPr>
        <w:t xml:space="preserve">. In addition to any adjustments pursuant to Section </w:t>
      </w:r>
      <w:r>
        <w:rPr>
          <w:rFonts w:ascii="Arial" w:cs="Arial" w:eastAsia="Arial" w:hAnsi="Arial"/>
          <w:sz w:val="20"/>
          <w:szCs w:val="20"/>
          <w:b w:val="1"/>
          <w:bCs w:val="1"/>
          <w:color w:val="auto"/>
        </w:rPr>
        <w:t>‎</w:t>
      </w:r>
      <w:r>
        <w:rPr>
          <w:rFonts w:ascii="Arial" w:cs="Arial" w:eastAsia="Arial" w:hAnsi="Arial"/>
          <w:sz w:val="17"/>
          <w:szCs w:val="17"/>
          <w:color w:val="auto"/>
        </w:rPr>
        <w:t>2 above, if at any time the Company grants, issues or sells any Options, Convertible Securities or rights to purchase stock, warrants, securities or other property pro rata to the record holders of any class of Common Stock (the “</w:t>
      </w:r>
      <w:r>
        <w:rPr>
          <w:rFonts w:ascii="Arial" w:cs="Arial" w:eastAsia="Arial" w:hAnsi="Arial"/>
          <w:sz w:val="17"/>
          <w:szCs w:val="17"/>
          <w:b w:val="1"/>
          <w:bCs w:val="1"/>
          <w:color w:val="auto"/>
        </w:rPr>
        <w:t>Purchase Rights</w:t>
      </w:r>
      <w:r>
        <w:rPr>
          <w:rFonts w:ascii="Arial" w:cs="Arial" w:eastAsia="Arial" w:hAnsi="Arial"/>
          <w:sz w:val="17"/>
          <w:szCs w:val="17"/>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the grant, issuance or sale of such Purchase Rights, or, if no such record is taken, the date as of which the record holders of shares of Common Stock are to be determined for the grant, issuance or sale of such Purchase Rights (provided, however, that to the extent that the Holder’s right to participate in any such Purchase Right would result in the Holder and the other Attribution Parties exceeding the Maximum Percentage, then the Holder shall not be entitled to participate in such Purchase Right to the extent of the Maximum Percentage (and shall not be entitled to beneficial ownership of such shares of Common Stock as a result of such Purchase Right (and beneficial ownership) to the extent of any such excess) and such Purchase Right to such extent shall be held in abeyance for the benefit of the Holder until such time or times, if ever,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held similarly in abeyance) to the same extent as if there had been no such limitation).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42" w:name="page343"/>
    <w:bookmarkEnd w:id="342"/>
    <w:p>
      <w:pPr>
        <w:ind w:left="2200" w:hanging="248"/>
        <w:spacing w:after="0"/>
        <w:tabs>
          <w:tab w:leader="none" w:pos="2200" w:val="left"/>
        </w:tabs>
        <w:numPr>
          <w:ilvl w:val="0"/>
          <w:numId w:val="359"/>
        </w:numPr>
        <w:rPr>
          <w:rFonts w:ascii="Arial" w:cs="Arial" w:eastAsia="Arial" w:hAnsi="Arial"/>
          <w:sz w:val="18"/>
          <w:szCs w:val="18"/>
          <w:color w:val="auto"/>
        </w:rPr>
      </w:pPr>
      <w:r>
        <w:rPr>
          <w:rFonts w:ascii="Arial" w:cs="Arial" w:eastAsia="Arial" w:hAnsi="Arial"/>
          <w:sz w:val="18"/>
          <w:szCs w:val="18"/>
          <w:u w:val="single" w:color="auto"/>
          <w:color w:val="auto"/>
        </w:rPr>
        <w:t>Fundamental Transactions</w:t>
      </w:r>
      <w:r>
        <w:rPr>
          <w:rFonts w:ascii="Arial" w:cs="Arial" w:eastAsia="Arial" w:hAnsi="Arial"/>
          <w:sz w:val="18"/>
          <w:szCs w:val="18"/>
          <w:color w:val="auto"/>
        </w:rPr>
        <w:t>. The Company shall not enter into or be party to a Fundamental Transaction unless:</w:t>
      </w:r>
    </w:p>
    <w:p>
      <w:pPr>
        <w:spacing w:after="0" w:line="225" w:lineRule="exact"/>
        <w:rPr>
          <w:rFonts w:ascii="Arial" w:cs="Arial" w:eastAsia="Arial" w:hAnsi="Arial"/>
          <w:sz w:val="18"/>
          <w:szCs w:val="18"/>
          <w:color w:val="auto"/>
        </w:rPr>
      </w:pPr>
    </w:p>
    <w:p>
      <w:pPr>
        <w:jc w:val="both"/>
        <w:ind w:firstLine="2600"/>
        <w:spacing w:after="0" w:line="273" w:lineRule="auto"/>
        <w:tabs>
          <w:tab w:leader="none" w:pos="2807" w:val="left"/>
        </w:tabs>
        <w:numPr>
          <w:ilvl w:val="1"/>
          <w:numId w:val="359"/>
        </w:numPr>
        <w:rPr>
          <w:rFonts w:ascii="Arial" w:cs="Arial" w:eastAsia="Arial" w:hAnsi="Arial"/>
          <w:sz w:val="17"/>
          <w:szCs w:val="17"/>
          <w:color w:val="auto"/>
        </w:rPr>
      </w:pPr>
      <w:r>
        <w:rPr>
          <w:rFonts w:ascii="Arial" w:cs="Arial" w:eastAsia="Arial" w:hAnsi="Arial"/>
          <w:sz w:val="17"/>
          <w:szCs w:val="17"/>
          <w:color w:val="auto"/>
        </w:rPr>
        <w:t>in the event that the Successor Entity (including its Parent Entity) is not a publicly traded entity with common equity quoted on or listed for trading on an Eligible Market and registered under the Exchange Act, the Company or the Successor Entity, as applicable, shall, on or prior to the date of consummation of such Fundamental Transaction, purchase this Warrant from the Holder by paying to the Holder cash in an amount equal to the Black Scholes Going Private Value (without regard to the limitation set forth in Section 1(f))</w:t>
      </w:r>
      <w:r>
        <w:rPr>
          <w:rFonts w:ascii="Arial" w:cs="Arial" w:eastAsia="Arial" w:hAnsi="Arial"/>
          <w:sz w:val="17"/>
          <w:szCs w:val="17"/>
          <w:b w:val="1"/>
          <w:bCs w:val="1"/>
          <w:color w:val="auto"/>
        </w:rPr>
        <w:t>‎</w:t>
      </w:r>
      <w:r>
        <w:rPr>
          <w:rFonts w:ascii="Arial" w:cs="Arial" w:eastAsia="Arial" w:hAnsi="Arial"/>
          <w:sz w:val="17"/>
          <w:szCs w:val="17"/>
          <w:color w:val="auto"/>
        </w:rPr>
        <w:t xml:space="preserve"> whereupon the Successor Entity shall have no obligation to assume the obligations of the Company under this Warrant and the other Loan Documents, including any obligation to deliver to the Holder in exchange for this Warrant any security of the Successor Entity, and</w:t>
      </w:r>
    </w:p>
    <w:p>
      <w:pPr>
        <w:spacing w:after="0" w:line="177" w:lineRule="exact"/>
        <w:rPr>
          <w:rFonts w:ascii="Arial" w:cs="Arial" w:eastAsia="Arial" w:hAnsi="Arial"/>
          <w:sz w:val="17"/>
          <w:szCs w:val="17"/>
          <w:color w:val="auto"/>
        </w:rPr>
      </w:pPr>
    </w:p>
    <w:p>
      <w:pPr>
        <w:jc w:val="both"/>
        <w:ind w:firstLine="2600"/>
        <w:spacing w:after="0" w:line="291" w:lineRule="auto"/>
        <w:tabs>
          <w:tab w:leader="none" w:pos="2857" w:val="left"/>
        </w:tabs>
        <w:numPr>
          <w:ilvl w:val="1"/>
          <w:numId w:val="359"/>
        </w:numPr>
        <w:rPr>
          <w:rFonts w:ascii="Arial" w:cs="Arial" w:eastAsia="Arial" w:hAnsi="Arial"/>
          <w:sz w:val="16"/>
          <w:szCs w:val="16"/>
          <w:color w:val="auto"/>
        </w:rPr>
      </w:pPr>
      <w:r>
        <w:rPr>
          <w:rFonts w:ascii="Arial" w:cs="Arial" w:eastAsia="Arial" w:hAnsi="Arial"/>
          <w:sz w:val="16"/>
          <w:szCs w:val="16"/>
          <w:color w:val="auto"/>
        </w:rPr>
        <w:t>in the event that the Successor Entity (including its Parent Entity) is a publicly traded entity with common equity quoted on or listed for trading on an Eligible Market and registered under the Exchange Act, the Successor Entity assumes in writing all of the obligations</w:t>
      </w:r>
    </w:p>
    <w:p>
      <w:pPr>
        <w:jc w:val="both"/>
        <w:spacing w:after="0" w:line="281" w:lineRule="auto"/>
        <w:rPr>
          <w:rFonts w:ascii="Arial" w:cs="Arial" w:eastAsia="Arial" w:hAnsi="Arial"/>
          <w:sz w:val="16"/>
          <w:szCs w:val="16"/>
          <w:color w:val="auto"/>
        </w:rPr>
      </w:pPr>
      <w:r>
        <w:rPr>
          <w:rFonts w:ascii="Arial" w:cs="Arial" w:eastAsia="Arial" w:hAnsi="Arial"/>
          <w:sz w:val="16"/>
          <w:szCs w:val="16"/>
          <w:color w:val="auto"/>
        </w:rPr>
        <w:t>of the Company under this Warrant and the other Loan Documents in accordance with the provisions of this Section 4(b)(ii)</w:t>
      </w:r>
      <w:r>
        <w:rPr>
          <w:rFonts w:ascii="Arial" w:cs="Arial" w:eastAsia="Arial" w:hAnsi="Arial"/>
          <w:sz w:val="16"/>
          <w:szCs w:val="16"/>
          <w:b w:val="1"/>
          <w:bCs w:val="1"/>
          <w:color w:val="auto"/>
        </w:rPr>
        <w:t>‎</w:t>
      </w:r>
      <w:r>
        <w:rPr>
          <w:rFonts w:ascii="Arial" w:cs="Arial" w:eastAsia="Arial" w:hAnsi="Arial"/>
          <w:sz w:val="16"/>
          <w:szCs w:val="16"/>
          <w:color w:val="auto"/>
        </w:rPr>
        <w:t xml:space="preserve"> pursuant to written agreements in form and substance satisfactory to the Holder and approved by the Holder prior to such Fundamental Transaction, including agreements to deliver to the Holder in exchange for this Warrant a security of the Successor Entity evidenced by a written instrument substantially similar in form and substance to this Warrant, including, without limitation, which is exercisable for a corresponding number of shares of capital stock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adjustments to the number of shares of capital stock and such exercise price being for the purpose of protecting the economic value of this Warrant immediately prior to the</w:t>
      </w:r>
    </w:p>
    <w:p>
      <w:pPr>
        <w:spacing w:after="0" w:line="4" w:lineRule="exact"/>
        <w:rPr>
          <w:rFonts w:ascii="Arial" w:cs="Arial" w:eastAsia="Arial" w:hAnsi="Arial"/>
          <w:sz w:val="16"/>
          <w:szCs w:val="16"/>
          <w:color w:val="auto"/>
        </w:rPr>
      </w:pPr>
    </w:p>
    <w:p>
      <w:pPr>
        <w:jc w:val="both"/>
        <w:spacing w:after="0" w:line="281" w:lineRule="auto"/>
        <w:rPr>
          <w:rFonts w:ascii="Arial" w:cs="Arial" w:eastAsia="Arial" w:hAnsi="Arial"/>
          <w:sz w:val="16"/>
          <w:szCs w:val="16"/>
          <w:color w:val="auto"/>
        </w:rPr>
      </w:pPr>
      <w:r>
        <w:rPr>
          <w:rFonts w:ascii="Arial" w:cs="Arial" w:eastAsia="Arial" w:hAnsi="Arial"/>
          <w:sz w:val="16"/>
          <w:szCs w:val="16"/>
          <w:color w:val="auto"/>
        </w:rPr>
        <w:t>consummation of such Fundamental Transaction). Upon the consummation of each Fundamental Transaction described in this Section 4(b)(ii)</w:t>
      </w:r>
      <w:r>
        <w:rPr>
          <w:rFonts w:ascii="Arial" w:cs="Arial" w:eastAsia="Arial" w:hAnsi="Arial"/>
          <w:sz w:val="16"/>
          <w:szCs w:val="16"/>
          <w:b w:val="1"/>
          <w:bCs w:val="1"/>
          <w:color w:val="auto"/>
        </w:rPr>
        <w:t>‎</w:t>
      </w:r>
      <w:r>
        <w:rPr>
          <w:rFonts w:ascii="Arial" w:cs="Arial" w:eastAsia="Arial" w:hAnsi="Arial"/>
          <w:sz w:val="16"/>
          <w:szCs w:val="16"/>
          <w:color w:val="auto"/>
        </w:rPr>
        <w:t xml:space="preserve"> (each such Fundamental Transaction, a “</w:t>
      </w:r>
      <w:r>
        <w:rPr>
          <w:rFonts w:ascii="Arial" w:cs="Arial" w:eastAsia="Arial" w:hAnsi="Arial"/>
          <w:sz w:val="16"/>
          <w:szCs w:val="16"/>
          <w:b w:val="1"/>
          <w:bCs w:val="1"/>
          <w:color w:val="auto"/>
        </w:rPr>
        <w:t>Public Fundamental Transaction</w:t>
      </w:r>
      <w:r>
        <w:rPr>
          <w:rFonts w:ascii="Arial" w:cs="Arial" w:eastAsia="Arial" w:hAnsi="Arial"/>
          <w:sz w:val="16"/>
          <w:szCs w:val="16"/>
          <w:color w:val="auto"/>
        </w:rPr>
        <w:t>”), the Successor Entity shall (x) succeed to, and be substituted for (so that from and after the date of the applicable Public Fundamental Transaction, the provisions of this Warrant and the other Loan Documents referring to the “Company” or the “Borrower” shall refer instead to the Successor Entity), and may exercise every right and power of the Company and shall assume all of the obligations of the Company under this Warrant and the other Loan Documents with the same effect as if such Successor Entity had been named as the Company herein or therein, and (y) deliver to the Holder confirmation that there shall be issued upon exercise of this Warrant at any time after the consummation of the applicable Public Fundamental Transaction, in lieu of the shares of Common Stock (or other securities, cash, assets or other property (except such items still issuable under Sections 3</w:t>
      </w:r>
      <w:r>
        <w:rPr>
          <w:rFonts w:ascii="Arial" w:cs="Arial" w:eastAsia="Arial" w:hAnsi="Arial"/>
          <w:sz w:val="16"/>
          <w:szCs w:val="16"/>
          <w:b w:val="1"/>
          <w:bCs w:val="1"/>
          <w:color w:val="auto"/>
        </w:rPr>
        <w:t>‎</w:t>
      </w:r>
      <w:r>
        <w:rPr>
          <w:rFonts w:ascii="Arial" w:cs="Arial" w:eastAsia="Arial" w:hAnsi="Arial"/>
          <w:sz w:val="16"/>
          <w:szCs w:val="16"/>
          <w:color w:val="auto"/>
        </w:rPr>
        <w:t xml:space="preserve"> and 4(a)</w:t>
      </w:r>
      <w:r>
        <w:rPr>
          <w:rFonts w:ascii="Arial" w:cs="Arial" w:eastAsia="Arial" w:hAnsi="Arial"/>
          <w:sz w:val="16"/>
          <w:szCs w:val="16"/>
          <w:b w:val="1"/>
          <w:bCs w:val="1"/>
          <w:color w:val="auto"/>
        </w:rPr>
        <w:t>‎</w:t>
      </w:r>
      <w:r>
        <w:rPr>
          <w:rFonts w:ascii="Arial" w:cs="Arial" w:eastAsia="Arial" w:hAnsi="Arial"/>
          <w:sz w:val="16"/>
          <w:szCs w:val="16"/>
          <w:color w:val="auto"/>
        </w:rPr>
        <w:t xml:space="preserve"> above, which shall continue to be receivable thereafter)) issuable upon the exercise of this Warrant prior to the applicable Public Fundamental Transaction, such shares of publicly traded common stock (or its equivalent) of the Successor Entity (including its Parent Entity) which the Holder would have been entitled to receive upon the happening of the applicable Public Fundamental Transaction had this Warrant been exercised immediately prior to the applicable Public Fundamental Transaction (without regard to any limitations on the exercise of this Warrant), as adjusted in accordance with the provisions of this Warrant. Notwithstanding the foregoing, and without limiting Section 1(f)</w:t>
      </w:r>
      <w:r>
        <w:rPr>
          <w:rFonts w:ascii="Arial" w:cs="Arial" w:eastAsia="Arial" w:hAnsi="Arial"/>
          <w:sz w:val="16"/>
          <w:szCs w:val="16"/>
          <w:b w:val="1"/>
          <w:bCs w:val="1"/>
          <w:color w:val="auto"/>
        </w:rPr>
        <w:t>‎</w:t>
      </w:r>
      <w:r>
        <w:rPr>
          <w:rFonts w:ascii="Arial" w:cs="Arial" w:eastAsia="Arial" w:hAnsi="Arial"/>
          <w:sz w:val="16"/>
          <w:szCs w:val="16"/>
          <w:color w:val="auto"/>
        </w:rPr>
        <w:t xml:space="preserve"> hereof, the Holder may elect,</w:t>
      </w:r>
    </w:p>
    <w:p>
      <w:pPr>
        <w:spacing w:after="0" w:line="7" w:lineRule="exact"/>
        <w:rPr>
          <w:rFonts w:ascii="Arial" w:cs="Arial" w:eastAsia="Arial" w:hAnsi="Arial"/>
          <w:sz w:val="16"/>
          <w:szCs w:val="16"/>
          <w:color w:val="auto"/>
        </w:rPr>
      </w:pPr>
    </w:p>
    <w:p>
      <w:pPr>
        <w:spacing w:after="0" w:line="260" w:lineRule="auto"/>
        <w:rPr>
          <w:rFonts w:ascii="Arial" w:cs="Arial" w:eastAsia="Arial" w:hAnsi="Arial"/>
          <w:sz w:val="16"/>
          <w:szCs w:val="16"/>
          <w:color w:val="auto"/>
        </w:rPr>
      </w:pPr>
      <w:r>
        <w:rPr>
          <w:rFonts w:ascii="Arial" w:cs="Arial" w:eastAsia="Arial" w:hAnsi="Arial"/>
          <w:sz w:val="18"/>
          <w:szCs w:val="18"/>
          <w:color w:val="auto"/>
        </w:rPr>
        <w:t>at its sole option, by delivery of written notice to the Company to waive this Section 4(b)(ii)</w:t>
      </w:r>
      <w:r>
        <w:rPr>
          <w:rFonts w:ascii="Arial" w:cs="Arial" w:eastAsia="Arial" w:hAnsi="Arial"/>
          <w:sz w:val="18"/>
          <w:szCs w:val="18"/>
          <w:b w:val="1"/>
          <w:bCs w:val="1"/>
          <w:color w:val="auto"/>
        </w:rPr>
        <w:t>‎</w:t>
      </w:r>
      <w:r>
        <w:rPr>
          <w:rFonts w:ascii="Arial" w:cs="Arial" w:eastAsia="Arial" w:hAnsi="Arial"/>
          <w:sz w:val="18"/>
          <w:szCs w:val="18"/>
          <w:color w:val="auto"/>
        </w:rPr>
        <w:t xml:space="preserve"> to permit the Public Fundamental Transaction without the assumption of this Warrant.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43" w:name="page344"/>
    <w:bookmarkEnd w:id="343"/>
    <w:p>
      <w:pPr>
        <w:jc w:val="both"/>
        <w:spacing w:after="0" w:line="269" w:lineRule="auto"/>
        <w:rPr>
          <w:sz w:val="20"/>
          <w:szCs w:val="20"/>
          <w:color w:val="auto"/>
        </w:rPr>
      </w:pPr>
      <w:r>
        <w:rPr>
          <w:rFonts w:ascii="Arial" w:cs="Arial" w:eastAsia="Arial" w:hAnsi="Arial"/>
          <w:sz w:val="17"/>
          <w:szCs w:val="17"/>
          <w:color w:val="auto"/>
        </w:rPr>
        <w:t>In addition to and not in substitution for any other rights hereunder, prior to the consummation of each Fundamental Transaction pursuant to which holders of shares of Common Stock are entitled to receive securities or other assets with respect to or in exchange for shares of Common Stock (a “</w:t>
      </w:r>
      <w:r>
        <w:rPr>
          <w:rFonts w:ascii="Arial" w:cs="Arial" w:eastAsia="Arial" w:hAnsi="Arial"/>
          <w:sz w:val="17"/>
          <w:szCs w:val="17"/>
          <w:b w:val="1"/>
          <w:bCs w:val="1"/>
          <w:color w:val="auto"/>
        </w:rPr>
        <w:t>Corporate</w:t>
      </w:r>
      <w:r>
        <w:rPr>
          <w:rFonts w:ascii="Arial" w:cs="Arial" w:eastAsia="Arial" w:hAnsi="Arial"/>
          <w:sz w:val="17"/>
          <w:szCs w:val="17"/>
          <w:color w:val="auto"/>
        </w:rPr>
        <w:t xml:space="preserve"> </w:t>
      </w:r>
      <w:r>
        <w:rPr>
          <w:rFonts w:ascii="Arial" w:cs="Arial" w:eastAsia="Arial" w:hAnsi="Arial"/>
          <w:sz w:val="17"/>
          <w:szCs w:val="17"/>
          <w:b w:val="1"/>
          <w:bCs w:val="1"/>
          <w:color w:val="auto"/>
        </w:rPr>
        <w:t>Event</w:t>
      </w:r>
      <w:r>
        <w:rPr>
          <w:rFonts w:ascii="Arial" w:cs="Arial" w:eastAsia="Arial" w:hAnsi="Arial"/>
          <w:sz w:val="17"/>
          <w:szCs w:val="17"/>
          <w:color w:val="auto"/>
        </w:rPr>
        <w:t>”), the Company shall make appropriate provision to insure that the Holder will thereafter have the right to receive upon an exercise of this Warrant</w:t>
      </w:r>
      <w:r>
        <w:rPr>
          <w:rFonts w:ascii="Arial" w:cs="Arial" w:eastAsia="Arial" w:hAnsi="Arial"/>
          <w:sz w:val="17"/>
          <w:szCs w:val="17"/>
          <w:b w:val="1"/>
          <w:bCs w:val="1"/>
          <w:color w:val="auto"/>
        </w:rPr>
        <w:t xml:space="preserve"> </w:t>
      </w:r>
      <w:r>
        <w:rPr>
          <w:rFonts w:ascii="Arial" w:cs="Arial" w:eastAsia="Arial" w:hAnsi="Arial"/>
          <w:sz w:val="17"/>
          <w:szCs w:val="17"/>
          <w:color w:val="auto"/>
        </w:rPr>
        <w:t>at any time after the consummation of the applicable Fundamental Transaction but prior to the Expiration Date, in lieu of the shares of the Common Stock (or other securities, cash, assets or other property (except such items still issuable under Sections 3‎ and 4(a)‎ above, which shall continue to be receivable thereafter)) issuable upon the exercise of the Warrant prior to such Fundamental Transaction, such shares of stock, securities, cash, assets or any other property whatsoever (including warrants or other purchase or subscription rights) which the Holder would have been entitled to receive upon the happening of the applicable Fundamental Transaction had this Warrant been exercised immediately prior to the applicable Fundamental Transaction (without regard to any limitations on the exercise of this Warrant). Provision made pursuant to the preceding sentence shall be in a form and substance reasonably satisfactory to the Holder.</w:t>
      </w:r>
    </w:p>
    <w:p>
      <w:pPr>
        <w:spacing w:after="0" w:line="172" w:lineRule="exact"/>
        <w:rPr>
          <w:sz w:val="20"/>
          <w:szCs w:val="20"/>
          <w:color w:val="auto"/>
        </w:rPr>
      </w:pPr>
    </w:p>
    <w:p>
      <w:pPr>
        <w:jc w:val="both"/>
        <w:ind w:firstLine="1952"/>
        <w:spacing w:after="0" w:line="271" w:lineRule="auto"/>
        <w:tabs>
          <w:tab w:leader="none" w:pos="2188" w:val="left"/>
        </w:tabs>
        <w:numPr>
          <w:ilvl w:val="1"/>
          <w:numId w:val="360"/>
        </w:numPr>
        <w:rPr>
          <w:rFonts w:ascii="Arial" w:cs="Arial" w:eastAsia="Arial" w:hAnsi="Arial"/>
          <w:sz w:val="17"/>
          <w:szCs w:val="17"/>
          <w:color w:val="auto"/>
        </w:rPr>
      </w:pPr>
      <w:r>
        <w:rPr>
          <w:rFonts w:ascii="Arial" w:cs="Arial" w:eastAsia="Arial" w:hAnsi="Arial"/>
          <w:sz w:val="17"/>
          <w:szCs w:val="17"/>
          <w:u w:val="single" w:color="auto"/>
          <w:color w:val="auto"/>
        </w:rPr>
        <w:t>Holder Optional Redemptions</w:t>
      </w:r>
      <w:r>
        <w:rPr>
          <w:rFonts w:ascii="Arial" w:cs="Arial" w:eastAsia="Arial" w:hAnsi="Arial"/>
          <w:sz w:val="17"/>
          <w:szCs w:val="17"/>
          <w:color w:val="auto"/>
        </w:rPr>
        <w:t xml:space="preserve">. Notwithstanding the foregoing and the provisions of Section </w:t>
      </w:r>
      <w:r>
        <w:rPr>
          <w:rFonts w:ascii="Arial" w:cs="Arial" w:eastAsia="Arial" w:hAnsi="Arial"/>
          <w:sz w:val="20"/>
          <w:szCs w:val="20"/>
          <w:b w:val="1"/>
          <w:bCs w:val="1"/>
          <w:color w:val="auto"/>
        </w:rPr>
        <w:t>‎</w:t>
      </w:r>
      <w:r>
        <w:rPr>
          <w:rFonts w:ascii="Arial" w:cs="Arial" w:eastAsia="Arial" w:hAnsi="Arial"/>
          <w:sz w:val="17"/>
          <w:szCs w:val="17"/>
          <w:color w:val="auto"/>
        </w:rPr>
        <w:t>4(b)(ii) above, at the request of the Holder delivered at any time commencing on the earliest to occur of (x) the public disclosure of any Public Fundamental Transaction, (y) the consummation of any Public Fundamental Transaction and (z) the Holder first becoming aware of any Public Fundamental Transaction through the date that is ninety (90) days after the public disclosure of the consummation of such Public Fundamental Transaction by the Company pursuant to a Current Report on Form 8-K filed with the SEC, the Company or the Successor Entity (as the case may be) shall purchase this Warrant from the Holder on the date of such request by paying to the Holder cash in an amount equal to the Black Scholes Value. Payment of such amounts shall be made by the Company (or at the Company’s direction) to the Holder on or prior to the later of (x) the second (2nd) Trading Day after the date of such request and (y) the date of consummation of such Public Fundamental Transaction.</w:t>
      </w:r>
    </w:p>
    <w:p>
      <w:pPr>
        <w:spacing w:after="0" w:line="166" w:lineRule="exact"/>
        <w:rPr>
          <w:rFonts w:ascii="Arial" w:cs="Arial" w:eastAsia="Arial" w:hAnsi="Arial"/>
          <w:sz w:val="17"/>
          <w:szCs w:val="17"/>
          <w:color w:val="auto"/>
        </w:rPr>
      </w:pPr>
    </w:p>
    <w:p>
      <w:pPr>
        <w:jc w:val="both"/>
        <w:ind w:firstLine="1952"/>
        <w:spacing w:after="0" w:line="300" w:lineRule="auto"/>
        <w:tabs>
          <w:tab w:leader="none" w:pos="2199" w:val="left"/>
        </w:tabs>
        <w:numPr>
          <w:ilvl w:val="1"/>
          <w:numId w:val="360"/>
        </w:numPr>
        <w:rPr>
          <w:rFonts w:ascii="Arial" w:cs="Arial" w:eastAsia="Arial" w:hAnsi="Arial"/>
          <w:sz w:val="16"/>
          <w:szCs w:val="16"/>
          <w:color w:val="auto"/>
        </w:rPr>
      </w:pPr>
      <w:r>
        <w:rPr>
          <w:rFonts w:ascii="Arial" w:cs="Arial" w:eastAsia="Arial" w:hAnsi="Arial"/>
          <w:sz w:val="16"/>
          <w:szCs w:val="16"/>
          <w:u w:val="single" w:color="auto"/>
          <w:color w:val="auto"/>
        </w:rPr>
        <w:t>Application</w:t>
      </w:r>
      <w:r>
        <w:rPr>
          <w:rFonts w:ascii="Arial" w:cs="Arial" w:eastAsia="Arial" w:hAnsi="Arial"/>
          <w:sz w:val="16"/>
          <w:szCs w:val="16"/>
          <w:color w:val="auto"/>
        </w:rPr>
        <w:t xml:space="preserve">. The provisions of this Section </w:t>
      </w:r>
      <w:r>
        <w:rPr>
          <w:rFonts w:ascii="Arial" w:cs="Arial" w:eastAsia="Arial" w:hAnsi="Arial"/>
          <w:sz w:val="19"/>
          <w:szCs w:val="19"/>
          <w:b w:val="1"/>
          <w:bCs w:val="1"/>
          <w:color w:val="auto"/>
        </w:rPr>
        <w:t>‎</w:t>
      </w:r>
      <w:r>
        <w:rPr>
          <w:rFonts w:ascii="Arial" w:cs="Arial" w:eastAsia="Arial" w:hAnsi="Arial"/>
          <w:sz w:val="16"/>
          <w:szCs w:val="16"/>
          <w:color w:val="auto"/>
        </w:rPr>
        <w:t>4 shall apply similarly and equally to successive Fundamental Transactions and Corporate Events and shall be applied as if this Warrant (and any such subsequent warrants) were fully exercisable and without regard to any limitations on the exercise of this Warrant (provided that the Holder shall continue to be entitled to the benefit of the Maximum Percentage, applied however with respect to shares of capital stock registered under the Exchange Act and thereafter receivable upon exercise of this Warrant (or any such other warrant)).</w:t>
      </w:r>
    </w:p>
    <w:p>
      <w:pPr>
        <w:spacing w:after="0" w:line="157" w:lineRule="exact"/>
        <w:rPr>
          <w:rFonts w:ascii="Arial" w:cs="Arial" w:eastAsia="Arial" w:hAnsi="Arial"/>
          <w:sz w:val="16"/>
          <w:szCs w:val="16"/>
          <w:color w:val="auto"/>
        </w:rPr>
      </w:pPr>
    </w:p>
    <w:p>
      <w:pPr>
        <w:jc w:val="both"/>
        <w:ind w:firstLine="1304"/>
        <w:spacing w:after="0" w:line="268" w:lineRule="auto"/>
        <w:tabs>
          <w:tab w:leader="none" w:pos="1476" w:val="left"/>
        </w:tabs>
        <w:numPr>
          <w:ilvl w:val="0"/>
          <w:numId w:val="361"/>
        </w:numPr>
        <w:rPr>
          <w:rFonts w:ascii="Arial" w:cs="Arial" w:eastAsia="Arial" w:hAnsi="Arial"/>
          <w:sz w:val="17"/>
          <w:szCs w:val="17"/>
          <w:color w:val="auto"/>
        </w:rPr>
      </w:pPr>
      <w:r>
        <w:rPr>
          <w:rFonts w:ascii="Arial" w:cs="Arial" w:eastAsia="Arial" w:hAnsi="Arial"/>
          <w:sz w:val="17"/>
          <w:szCs w:val="17"/>
          <w:u w:val="single" w:color="auto"/>
          <w:color w:val="auto"/>
        </w:rPr>
        <w:t>NONCIRCUMVENTION</w:t>
      </w:r>
      <w:r>
        <w:rPr>
          <w:rFonts w:ascii="Arial" w:cs="Arial" w:eastAsia="Arial" w:hAnsi="Arial"/>
          <w:sz w:val="17"/>
          <w:szCs w:val="17"/>
          <w:color w:val="auto"/>
        </w:rPr>
        <w:t>. The Company hereby covenants and agrees that the Company will not, by amendment of its Certificate of Incorporation or Bylaws, or through any reorganization, transfer of assets, consolidation, merger, scheme of arrangement, dissolution, issuance or sale of securities, or any other voluntary action, avoid or seek to avoid the observance or performance of any of the terms of this Warrant, and will at all times in good faith carry out all of the provisions of this Warrant and take all action as may be required to protect the rights of the Holder. Without limiting the generality of the foregoing, the Company (i) shall not increase the par value of any shares of Common Stock receivable upon the exercise of this Warrant above the Exercise Price then in effect, (ii) shall take all such actions as may be necessary or appropriate in order that the Company may validly and legally issue fully paid and nonassessable shares of Common Stock upon the proper exercise of this Warrant by the Holder, and (iii) shall, so long as this Warrant is outstanding, take all action necessary to reserve and keep available out of its authorized and unissued shares of Common Stock, solely for the purpose of effecting the exercise of this Warrant, the number of shares of Common Stock as shall from time to time be necessary to effect the exercise of this Warrant (without regard to any limitations on exercise). Notwithstanding anything herein to the contrary, if after the sixty (60) calendar day anniversary of the Issuance Date, the Holder is not permitted to exercise this Warrant in full for any reason (other than pursuant to restrictions set forth in Section 1(f) hereof), the Company shall use its reasonable best efforts to promptly remedy such failure, including, without limitation, obtaining such consents or approvals as necessary to permit such exercise into shares of Common Stock.</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44" w:name="page345"/>
    <w:bookmarkEnd w:id="344"/>
    <w:p>
      <w:pPr>
        <w:jc w:val="both"/>
        <w:ind w:firstLine="1304"/>
        <w:spacing w:after="0" w:line="287" w:lineRule="auto"/>
        <w:tabs>
          <w:tab w:leader="none" w:pos="1476" w:val="left"/>
        </w:tabs>
        <w:numPr>
          <w:ilvl w:val="0"/>
          <w:numId w:val="362"/>
        </w:numPr>
        <w:rPr>
          <w:rFonts w:ascii="Arial" w:cs="Arial" w:eastAsia="Arial" w:hAnsi="Arial"/>
          <w:sz w:val="16"/>
          <w:szCs w:val="16"/>
          <w:color w:val="auto"/>
        </w:rPr>
      </w:pPr>
      <w:r>
        <w:rPr>
          <w:rFonts w:ascii="Arial" w:cs="Arial" w:eastAsia="Arial" w:hAnsi="Arial"/>
          <w:sz w:val="16"/>
          <w:szCs w:val="16"/>
          <w:u w:val="single" w:color="auto"/>
          <w:color w:val="auto"/>
        </w:rPr>
        <w:t>WARRANT HOLDER NOT DEEMED A STOCKHOLDER</w:t>
      </w:r>
      <w:r>
        <w:rPr>
          <w:rFonts w:ascii="Arial" w:cs="Arial" w:eastAsia="Arial" w:hAnsi="Arial"/>
          <w:sz w:val="16"/>
          <w:szCs w:val="16"/>
          <w:color w:val="auto"/>
        </w:rPr>
        <w:t xml:space="preserve">. Except as otherwise specifically provided herein, the Holder, solely in such Person’s capacity as a holder of this Warrant, shall not be entitled to vote or receive dividends or be deemed the holder of share capital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 Notwithstanding this Section </w:t>
      </w:r>
      <w:r>
        <w:rPr>
          <w:rFonts w:ascii="Arial" w:cs="Arial" w:eastAsia="Arial" w:hAnsi="Arial"/>
          <w:sz w:val="19"/>
          <w:szCs w:val="19"/>
          <w:b w:val="1"/>
          <w:bCs w:val="1"/>
          <w:color w:val="auto"/>
        </w:rPr>
        <w:t>‎</w:t>
      </w:r>
      <w:r>
        <w:rPr>
          <w:rFonts w:ascii="Arial" w:cs="Arial" w:eastAsia="Arial" w:hAnsi="Arial"/>
          <w:sz w:val="16"/>
          <w:szCs w:val="16"/>
          <w:color w:val="auto"/>
        </w:rPr>
        <w:t>6, the Company shall provide the Holder with copies of the same notices and other information given to the stockholders of the Company generally, contemporaneously with the giving thereof to the stockholders.</w:t>
      </w:r>
    </w:p>
    <w:p>
      <w:pPr>
        <w:spacing w:after="0" w:line="161" w:lineRule="exact"/>
        <w:rPr>
          <w:rFonts w:ascii="Arial" w:cs="Arial" w:eastAsia="Arial" w:hAnsi="Arial"/>
          <w:sz w:val="16"/>
          <w:szCs w:val="16"/>
          <w:color w:val="auto"/>
        </w:rPr>
      </w:pPr>
    </w:p>
    <w:p>
      <w:pPr>
        <w:ind w:left="1480" w:hanging="176"/>
        <w:spacing w:after="0"/>
        <w:tabs>
          <w:tab w:leader="none" w:pos="1480" w:val="left"/>
        </w:tabs>
        <w:numPr>
          <w:ilvl w:val="0"/>
          <w:numId w:val="362"/>
        </w:numPr>
        <w:rPr>
          <w:rFonts w:ascii="Arial" w:cs="Arial" w:eastAsia="Arial" w:hAnsi="Arial"/>
          <w:sz w:val="18"/>
          <w:szCs w:val="18"/>
          <w:color w:val="auto"/>
        </w:rPr>
      </w:pPr>
      <w:r>
        <w:rPr>
          <w:rFonts w:ascii="Arial" w:cs="Arial" w:eastAsia="Arial" w:hAnsi="Arial"/>
          <w:sz w:val="18"/>
          <w:szCs w:val="18"/>
          <w:u w:val="single" w:color="auto"/>
          <w:color w:val="auto"/>
        </w:rPr>
        <w:t>REISSUANCE OF WARRANTS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952"/>
        <w:spacing w:after="0" w:line="250" w:lineRule="auto"/>
        <w:tabs>
          <w:tab w:leader="none" w:pos="2188" w:val="left"/>
        </w:tabs>
        <w:numPr>
          <w:ilvl w:val="1"/>
          <w:numId w:val="362"/>
        </w:numPr>
        <w:rPr>
          <w:rFonts w:ascii="Arial" w:cs="Arial" w:eastAsia="Arial" w:hAnsi="Arial"/>
          <w:sz w:val="18"/>
          <w:szCs w:val="18"/>
          <w:color w:val="auto"/>
        </w:rPr>
      </w:pPr>
      <w:r>
        <w:rPr>
          <w:rFonts w:ascii="Arial" w:cs="Arial" w:eastAsia="Arial" w:hAnsi="Arial"/>
          <w:sz w:val="18"/>
          <w:szCs w:val="18"/>
          <w:u w:val="single" w:color="auto"/>
          <w:color w:val="auto"/>
        </w:rPr>
        <w:t>Transfer of Warrant</w:t>
      </w:r>
      <w:r>
        <w:rPr>
          <w:rFonts w:ascii="Arial" w:cs="Arial" w:eastAsia="Arial" w:hAnsi="Arial"/>
          <w:sz w:val="18"/>
          <w:szCs w:val="18"/>
          <w:color w:val="auto"/>
        </w:rPr>
        <w:t xml:space="preserve">. If this Warrant is to be transferred and reissued to the transferee, the Holder shall surrender this Warrant to the Company together with a written assignment of this Warrant substantially in the form attached hereto duly executed by the Holder or its agent or attorney and funds sufficient to pay any transfer taxes payable upon the making of such transfer, whereupon the Company will forthwith issue and deliver upon the order of the Holder a new Warrant (in accordance with Section </w:t>
      </w:r>
      <w:r>
        <w:rPr>
          <w:rFonts w:ascii="Arial" w:cs="Arial" w:eastAsia="Arial" w:hAnsi="Arial"/>
          <w:sz w:val="21"/>
          <w:szCs w:val="21"/>
          <w:b w:val="1"/>
          <w:bCs w:val="1"/>
          <w:color w:val="auto"/>
        </w:rPr>
        <w:t>‎</w:t>
      </w:r>
      <w:r>
        <w:rPr>
          <w:rFonts w:ascii="Arial" w:cs="Arial" w:eastAsia="Arial" w:hAnsi="Arial"/>
          <w:sz w:val="18"/>
          <w:szCs w:val="18"/>
          <w:color w:val="auto"/>
        </w:rPr>
        <w:t xml:space="preserve">7(d)), registered as the Holder may request, representing the right to purchase the number of Warrant Shares being transferred by the Holder and, if less than the total number of Warrant Shares then underlying this Warrant is being transferred, a new Warrant (in accordance with Section </w:t>
      </w:r>
      <w:r>
        <w:rPr>
          <w:rFonts w:ascii="Arial" w:cs="Arial" w:eastAsia="Arial" w:hAnsi="Arial"/>
          <w:sz w:val="21"/>
          <w:szCs w:val="21"/>
          <w:b w:val="1"/>
          <w:bCs w:val="1"/>
          <w:color w:val="auto"/>
        </w:rPr>
        <w:t>‎</w:t>
      </w:r>
      <w:r>
        <w:rPr>
          <w:rFonts w:ascii="Arial" w:cs="Arial" w:eastAsia="Arial" w:hAnsi="Arial"/>
          <w:sz w:val="18"/>
          <w:szCs w:val="18"/>
          <w:color w:val="auto"/>
        </w:rPr>
        <w:t xml:space="preserve">7(d)) to the Holder representing the right to purchase the number of Warrant Shares not being transferred. For the avoidance of doubt, this Section </w:t>
      </w:r>
      <w:r>
        <w:rPr>
          <w:rFonts w:ascii="Arial" w:cs="Arial" w:eastAsia="Arial" w:hAnsi="Arial"/>
          <w:sz w:val="21"/>
          <w:szCs w:val="21"/>
          <w:b w:val="1"/>
          <w:bCs w:val="1"/>
          <w:color w:val="auto"/>
        </w:rPr>
        <w:t>‎</w:t>
      </w:r>
      <w:r>
        <w:rPr>
          <w:rFonts w:ascii="Arial" w:cs="Arial" w:eastAsia="Arial" w:hAnsi="Arial"/>
          <w:sz w:val="18"/>
          <w:szCs w:val="18"/>
          <w:color w:val="auto"/>
        </w:rPr>
        <w:t>7(a) will not apply to a sale, transfer, pledge or assignment of this Warrant that does not involve a reissuance of this Warrant.</w:t>
      </w:r>
    </w:p>
    <w:p>
      <w:pPr>
        <w:spacing w:after="0" w:line="192" w:lineRule="exact"/>
        <w:rPr>
          <w:rFonts w:ascii="Arial" w:cs="Arial" w:eastAsia="Arial" w:hAnsi="Arial"/>
          <w:sz w:val="18"/>
          <w:szCs w:val="18"/>
          <w:color w:val="auto"/>
        </w:rPr>
      </w:pPr>
    </w:p>
    <w:p>
      <w:pPr>
        <w:jc w:val="both"/>
        <w:ind w:firstLine="1952"/>
        <w:spacing w:after="0" w:line="275" w:lineRule="auto"/>
        <w:tabs>
          <w:tab w:leader="none" w:pos="2199" w:val="left"/>
        </w:tabs>
        <w:numPr>
          <w:ilvl w:val="1"/>
          <w:numId w:val="362"/>
        </w:numPr>
        <w:rPr>
          <w:rFonts w:ascii="Arial" w:cs="Arial" w:eastAsia="Arial" w:hAnsi="Arial"/>
          <w:sz w:val="17"/>
          <w:szCs w:val="17"/>
          <w:color w:val="auto"/>
        </w:rPr>
      </w:pPr>
      <w:r>
        <w:rPr>
          <w:rFonts w:ascii="Arial" w:cs="Arial" w:eastAsia="Arial" w:hAnsi="Arial"/>
          <w:sz w:val="17"/>
          <w:szCs w:val="17"/>
          <w:u w:val="single" w:color="auto"/>
          <w:color w:val="auto"/>
        </w:rPr>
        <w:t>Lost, Stolen or Mutilated Warrant</w:t>
      </w:r>
      <w:r>
        <w:rPr>
          <w:rFonts w:ascii="Arial" w:cs="Arial" w:eastAsia="Arial" w:hAnsi="Arial"/>
          <w:sz w:val="17"/>
          <w:szCs w:val="17"/>
          <w:color w:val="auto"/>
        </w:rPr>
        <w:t xml:space="preserve">. Upon receipt by the Company of evidence reasonably satisfactory to the Company of the loss, theft, destruction or mutilation of this Warrant (as to which a written certification and the indemnification contemplated below shall suffice as such evidence), and, in the case of loss, theft or destruction, of any indemnification undertaking by the Holder to the Company in customary and reasonable form and, in the case of mutilation, upon surrender and cancellation of this Warrant, the Company shall execute and deliver to the Holder a new Warrant (in accordance with Section </w:t>
      </w:r>
      <w:r>
        <w:rPr>
          <w:rFonts w:ascii="Arial" w:cs="Arial" w:eastAsia="Arial" w:hAnsi="Arial"/>
          <w:sz w:val="20"/>
          <w:szCs w:val="20"/>
          <w:b w:val="1"/>
          <w:bCs w:val="1"/>
          <w:color w:val="auto"/>
        </w:rPr>
        <w:t>‎</w:t>
      </w:r>
      <w:r>
        <w:rPr>
          <w:rFonts w:ascii="Arial" w:cs="Arial" w:eastAsia="Arial" w:hAnsi="Arial"/>
          <w:sz w:val="17"/>
          <w:szCs w:val="17"/>
          <w:color w:val="auto"/>
        </w:rPr>
        <w:t>7(d)) representing the right to purchase the Warrant Shares then underlying this Warrant.</w:t>
      </w:r>
    </w:p>
    <w:p>
      <w:pPr>
        <w:spacing w:after="0" w:line="163" w:lineRule="exact"/>
        <w:rPr>
          <w:rFonts w:ascii="Arial" w:cs="Arial" w:eastAsia="Arial" w:hAnsi="Arial"/>
          <w:sz w:val="17"/>
          <w:szCs w:val="17"/>
          <w:color w:val="auto"/>
        </w:rPr>
      </w:pPr>
    </w:p>
    <w:p>
      <w:pPr>
        <w:jc w:val="both"/>
        <w:ind w:firstLine="1952"/>
        <w:spacing w:after="0" w:line="295" w:lineRule="auto"/>
        <w:tabs>
          <w:tab w:leader="none" w:pos="2188" w:val="left"/>
        </w:tabs>
        <w:numPr>
          <w:ilvl w:val="1"/>
          <w:numId w:val="362"/>
        </w:numPr>
        <w:rPr>
          <w:rFonts w:ascii="Arial" w:cs="Arial" w:eastAsia="Arial" w:hAnsi="Arial"/>
          <w:sz w:val="16"/>
          <w:szCs w:val="16"/>
          <w:color w:val="auto"/>
        </w:rPr>
      </w:pPr>
      <w:r>
        <w:rPr>
          <w:rFonts w:ascii="Arial" w:cs="Arial" w:eastAsia="Arial" w:hAnsi="Arial"/>
          <w:sz w:val="16"/>
          <w:szCs w:val="16"/>
          <w:u w:val="single" w:color="auto"/>
          <w:color w:val="auto"/>
        </w:rPr>
        <w:t>Exchangeable for Multiple Warrants</w:t>
      </w:r>
      <w:r>
        <w:rPr>
          <w:rFonts w:ascii="Arial" w:cs="Arial" w:eastAsia="Arial" w:hAnsi="Arial"/>
          <w:sz w:val="16"/>
          <w:szCs w:val="16"/>
          <w:color w:val="auto"/>
        </w:rPr>
        <w:t xml:space="preserve">. This Warrant is exchangeable, upon the surrender hereof by the Holder at the principal office of the Company, for a new Warrant or Warrants (in accordance with Section </w:t>
      </w:r>
      <w:r>
        <w:rPr>
          <w:rFonts w:ascii="Arial" w:cs="Arial" w:eastAsia="Arial" w:hAnsi="Arial"/>
          <w:sz w:val="19"/>
          <w:szCs w:val="19"/>
          <w:b w:val="1"/>
          <w:bCs w:val="1"/>
          <w:color w:val="auto"/>
        </w:rPr>
        <w:t>‎</w:t>
      </w:r>
      <w:r>
        <w:rPr>
          <w:rFonts w:ascii="Arial" w:cs="Arial" w:eastAsia="Arial" w:hAnsi="Arial"/>
          <w:sz w:val="16"/>
          <w:szCs w:val="16"/>
          <w:color w:val="auto"/>
        </w:rPr>
        <w:t xml:space="preserve">7(d)) representing in the aggregate the right to purchase the number of Warrant Shares then underlying this Warrant, and each such new Warrant will represent the right to purchase such portion of such Warrant Shares as is designated by the Holder at the time of such surrender;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warrants for fractional shares of Common Stock shall be given.</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45" w:name="page346"/>
    <w:bookmarkEnd w:id="345"/>
    <w:p>
      <w:pPr>
        <w:jc w:val="both"/>
        <w:ind w:firstLine="1952"/>
        <w:spacing w:after="0" w:line="290" w:lineRule="auto"/>
        <w:tabs>
          <w:tab w:leader="none" w:pos="2199" w:val="left"/>
        </w:tabs>
        <w:numPr>
          <w:ilvl w:val="1"/>
          <w:numId w:val="363"/>
        </w:numPr>
        <w:rPr>
          <w:rFonts w:ascii="Arial" w:cs="Arial" w:eastAsia="Arial" w:hAnsi="Arial"/>
          <w:sz w:val="16"/>
          <w:szCs w:val="16"/>
          <w:color w:val="auto"/>
        </w:rPr>
      </w:pPr>
      <w:r>
        <w:rPr>
          <w:rFonts w:ascii="Arial" w:cs="Arial" w:eastAsia="Arial" w:hAnsi="Arial"/>
          <w:sz w:val="16"/>
          <w:szCs w:val="16"/>
          <w:u w:val="single" w:color="auto"/>
          <w:color w:val="auto"/>
        </w:rPr>
        <w:t>Issuance of New Warrants</w:t>
      </w:r>
      <w:r>
        <w:rPr>
          <w:rFonts w:ascii="Arial" w:cs="Arial" w:eastAsia="Arial" w:hAnsi="Arial"/>
          <w:sz w:val="16"/>
          <w:szCs w:val="16"/>
          <w:color w:val="auto"/>
        </w:rPr>
        <w:t xml:space="preserve">. Whenever the Company is required to issue a new Warrant pursuant to the terms of this Warrant, such new Warrant (i) shall be of like tenor with this Warrant, (ii) shall represent, as indicated on the face of such new Warrant, the right to purchase the Warrant Shares then underlying this Warrant (or in the case of a new Warrant being issued pursuant to Section </w:t>
      </w:r>
      <w:r>
        <w:rPr>
          <w:rFonts w:ascii="Arial" w:cs="Arial" w:eastAsia="Arial" w:hAnsi="Arial"/>
          <w:sz w:val="19"/>
          <w:szCs w:val="19"/>
          <w:b w:val="1"/>
          <w:bCs w:val="1"/>
          <w:color w:val="auto"/>
        </w:rPr>
        <w:t>‎</w:t>
      </w:r>
      <w:r>
        <w:rPr>
          <w:rFonts w:ascii="Arial" w:cs="Arial" w:eastAsia="Arial" w:hAnsi="Arial"/>
          <w:sz w:val="16"/>
          <w:szCs w:val="16"/>
          <w:color w:val="auto"/>
        </w:rPr>
        <w:t xml:space="preserve">7(a) or Section </w:t>
      </w:r>
      <w:r>
        <w:rPr>
          <w:rFonts w:ascii="Arial" w:cs="Arial" w:eastAsia="Arial" w:hAnsi="Arial"/>
          <w:sz w:val="19"/>
          <w:szCs w:val="19"/>
          <w:b w:val="1"/>
          <w:bCs w:val="1"/>
          <w:color w:val="auto"/>
        </w:rPr>
        <w:t>‎</w:t>
      </w:r>
      <w:r>
        <w:rPr>
          <w:rFonts w:ascii="Arial" w:cs="Arial" w:eastAsia="Arial" w:hAnsi="Arial"/>
          <w:sz w:val="16"/>
          <w:szCs w:val="16"/>
          <w:color w:val="auto"/>
        </w:rPr>
        <w:t>7(c), the Warrant Shares designated by the Holder which, when added to the number of shares of Common Stock underlying the other new Warrants issued in connection with such issuance, does not exceed the number of Warrant Shares then underlying this Warrant), (iii) shall have an issuance date, as indicated on the face of such new Warrant which is the same as the Issuance Date, and (iv) shall have the same rights and conditions as this Warrant.</w:t>
      </w:r>
    </w:p>
    <w:p>
      <w:pPr>
        <w:spacing w:after="0" w:line="163" w:lineRule="exact"/>
        <w:rPr>
          <w:rFonts w:ascii="Arial" w:cs="Arial" w:eastAsia="Arial" w:hAnsi="Arial"/>
          <w:sz w:val="16"/>
          <w:szCs w:val="16"/>
          <w:color w:val="auto"/>
        </w:rPr>
      </w:pPr>
    </w:p>
    <w:p>
      <w:pPr>
        <w:jc w:val="both"/>
        <w:ind w:firstLine="1304"/>
        <w:spacing w:after="0" w:line="296" w:lineRule="auto"/>
        <w:tabs>
          <w:tab w:leader="none" w:pos="1489" w:val="left"/>
        </w:tabs>
        <w:numPr>
          <w:ilvl w:val="0"/>
          <w:numId w:val="364"/>
        </w:numPr>
        <w:rPr>
          <w:rFonts w:ascii="Arial" w:cs="Arial" w:eastAsia="Arial" w:hAnsi="Arial"/>
          <w:sz w:val="16"/>
          <w:szCs w:val="16"/>
          <w:color w:val="auto"/>
        </w:rPr>
      </w:pPr>
      <w:r>
        <w:rPr>
          <w:rFonts w:ascii="Arial" w:cs="Arial" w:eastAsia="Arial" w:hAnsi="Arial"/>
          <w:sz w:val="16"/>
          <w:szCs w:val="16"/>
          <w:u w:val="single" w:color="auto"/>
          <w:color w:val="auto"/>
        </w:rPr>
        <w:t>NOTICES OF CHANGES IN WARRANT</w:t>
      </w:r>
      <w:r>
        <w:rPr>
          <w:rFonts w:ascii="Arial" w:cs="Arial" w:eastAsia="Arial" w:hAnsi="Arial"/>
          <w:sz w:val="16"/>
          <w:szCs w:val="16"/>
          <w:color w:val="auto"/>
        </w:rPr>
        <w:t>. Whenever notice is required to be given under this Warrant, unless otherwise provided herein, such notice shall be given in accordance with Section 8.2 of the Credit Agreement. Upon every adjustment of the Exercise Price or the number of shares of Common Stock issuable upon exercise of a Warrant, the Company shall give written notice thereof to the Holders, which notice shall state the Exercise Price resulting from such adjustment and the increase or decrease, if any, in the number of Warrant Shares purchasable at such price upon the exercise of a Warrant, setting forth in reasonable detail the method of calculation and the facts upon which such calculation is based.</w:t>
      </w:r>
    </w:p>
    <w:p>
      <w:pPr>
        <w:spacing w:after="0" w:line="161" w:lineRule="exact"/>
        <w:rPr>
          <w:rFonts w:ascii="Arial" w:cs="Arial" w:eastAsia="Arial" w:hAnsi="Arial"/>
          <w:sz w:val="16"/>
          <w:szCs w:val="16"/>
          <w:color w:val="auto"/>
        </w:rPr>
      </w:pPr>
    </w:p>
    <w:p>
      <w:pPr>
        <w:jc w:val="both"/>
        <w:ind w:firstLine="1304"/>
        <w:spacing w:after="0" w:line="301" w:lineRule="auto"/>
        <w:tabs>
          <w:tab w:leader="none" w:pos="1476" w:val="left"/>
        </w:tabs>
        <w:numPr>
          <w:ilvl w:val="0"/>
          <w:numId w:val="364"/>
        </w:numPr>
        <w:rPr>
          <w:rFonts w:ascii="Arial" w:cs="Arial" w:eastAsia="Arial" w:hAnsi="Arial"/>
          <w:sz w:val="16"/>
          <w:szCs w:val="16"/>
          <w:color w:val="auto"/>
        </w:rPr>
      </w:pPr>
      <w:r>
        <w:rPr>
          <w:rFonts w:ascii="Arial" w:cs="Arial" w:eastAsia="Arial" w:hAnsi="Arial"/>
          <w:sz w:val="16"/>
          <w:szCs w:val="16"/>
          <w:u w:val="single" w:color="auto"/>
          <w:color w:val="auto"/>
        </w:rPr>
        <w:t>AMENDMENT AND WAIVER</w:t>
      </w:r>
      <w:r>
        <w:rPr>
          <w:rFonts w:ascii="Arial" w:cs="Arial" w:eastAsia="Arial" w:hAnsi="Arial"/>
          <w:sz w:val="16"/>
          <w:szCs w:val="16"/>
          <w:color w:val="auto"/>
        </w:rPr>
        <w:t>. Except as otherwise provided herein, the provisions of this Warrant may be amended or waived and the Company may take any action herein prohibited, or omit to perform any act herein required to be performed by it, only if the Company has obtained the written consent of (i) the Holder, if there is one Holder, or (ii) the Holder or Holders of the Warrant or Warrants representing the majority of Warrant Shares if there is more than one Holder, and with respect to any amendment, the amendment is in writing and signed by the Company and the Holder.</w:t>
      </w:r>
    </w:p>
    <w:p>
      <w:pPr>
        <w:spacing w:after="0" w:line="157" w:lineRule="exact"/>
        <w:rPr>
          <w:rFonts w:ascii="Arial" w:cs="Arial" w:eastAsia="Arial" w:hAnsi="Arial"/>
          <w:sz w:val="16"/>
          <w:szCs w:val="16"/>
          <w:color w:val="auto"/>
        </w:rPr>
      </w:pPr>
    </w:p>
    <w:p>
      <w:pPr>
        <w:jc w:val="both"/>
        <w:ind w:firstLine="1304"/>
        <w:spacing w:after="0" w:line="283" w:lineRule="auto"/>
        <w:tabs>
          <w:tab w:leader="none" w:pos="1566" w:val="left"/>
        </w:tabs>
        <w:numPr>
          <w:ilvl w:val="0"/>
          <w:numId w:val="364"/>
        </w:numPr>
        <w:rPr>
          <w:rFonts w:ascii="Arial" w:cs="Arial" w:eastAsia="Arial" w:hAnsi="Arial"/>
          <w:sz w:val="16"/>
          <w:szCs w:val="16"/>
          <w:color w:val="auto"/>
        </w:rPr>
      </w:pPr>
      <w:r>
        <w:rPr>
          <w:rFonts w:ascii="Arial" w:cs="Arial" w:eastAsia="Arial" w:hAnsi="Arial"/>
          <w:sz w:val="16"/>
          <w:szCs w:val="16"/>
          <w:u w:val="single" w:color="auto"/>
          <w:color w:val="auto"/>
        </w:rPr>
        <w:t>GOVERNING LAW; JURISDICTION; JURY TRIAL</w:t>
      </w:r>
      <w:r>
        <w:rPr>
          <w:rFonts w:ascii="Arial" w:cs="Arial" w:eastAsia="Arial" w:hAnsi="Arial"/>
          <w:sz w:val="16"/>
          <w:szCs w:val="16"/>
          <w:color w:val="auto"/>
        </w:rPr>
        <w:t xml:space="preserve">. This Warrant shall be governed by and construed and enforced in accordance with, and all questions concerning the construction, validity, interpretation and performance of this Warrant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The Company and the Holder each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The Company and the Holder each hereby irrevocably waives personal service of process and consents to process being served in any such suit, action or proceeding by mailing a copy thereof to the Company or such Holder, as applicable at the address set forth in Section 8.2 of the Credit Agreement and agrees that such service shall constitute good and sufficient service of process and notice thereof. Nothing contained herein shall be deemed to limit in any way any right to serve process in any manner permitted by law. Nothing contained herein shall be deemed or operate to preclude the Holder from bringing suit or taking other legal action against the Company in any other jurisdiction to collect on the Company’s obligations to the Holder, to realize on any collateral or any other security for such obligations, or to enforce a judgment or other court ruling in favor of the Holder. </w:t>
      </w:r>
      <w:r>
        <w:rPr>
          <w:rFonts w:ascii="Arial" w:cs="Arial" w:eastAsia="Arial" w:hAnsi="Arial"/>
          <w:sz w:val="16"/>
          <w:szCs w:val="16"/>
          <w:b w:val="1"/>
          <w:bCs w:val="1"/>
          <w:color w:val="auto"/>
        </w:rPr>
        <w:t>THE COMPANY HEREBY AND THE HOLDER EACH</w:t>
      </w:r>
    </w:p>
    <w:p>
      <w:pPr>
        <w:spacing w:after="0" w:line="1" w:lineRule="exact"/>
        <w:rPr>
          <w:rFonts w:ascii="Arial" w:cs="Arial" w:eastAsia="Arial" w:hAnsi="Arial"/>
          <w:sz w:val="16"/>
          <w:szCs w:val="16"/>
          <w:color w:val="auto"/>
        </w:rPr>
      </w:pPr>
    </w:p>
    <w:p>
      <w:pPr>
        <w:jc w:val="both"/>
        <w:spacing w:after="0" w:line="255" w:lineRule="auto"/>
        <w:rPr>
          <w:rFonts w:ascii="Arial" w:cs="Arial" w:eastAsia="Arial" w:hAnsi="Arial"/>
          <w:sz w:val="16"/>
          <w:szCs w:val="16"/>
          <w:color w:val="auto"/>
        </w:rPr>
      </w:pPr>
      <w:r>
        <w:rPr>
          <w:rFonts w:ascii="Arial" w:cs="Arial" w:eastAsia="Arial" w:hAnsi="Arial"/>
          <w:sz w:val="18"/>
          <w:szCs w:val="18"/>
          <w:b w:val="1"/>
          <w:bCs w:val="1"/>
          <w:color w:val="auto"/>
        </w:rPr>
        <w:t>IRREVOCABLY WAIVES ANY RIGHT IT MAY HAVE, AND AGREES NOT TO REQUEST, A JURY TRIAL FOR THE ADJUDICATION OF ANY DISPUTE HEREUNDER OR IN CONNECTION WITH OR ARISING OUT OF THIS WARRANT OR ANY TRANSACTION CONTEMPLATED HEREBY.</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46" w:name="page347"/>
    <w:bookmarkEnd w:id="346"/>
    <w:p>
      <w:pPr>
        <w:jc w:val="both"/>
        <w:ind w:firstLine="1304"/>
        <w:spacing w:after="0" w:line="301" w:lineRule="auto"/>
        <w:tabs>
          <w:tab w:leader="none" w:pos="1573" w:val="left"/>
        </w:tabs>
        <w:numPr>
          <w:ilvl w:val="0"/>
          <w:numId w:val="365"/>
        </w:numPr>
        <w:rPr>
          <w:rFonts w:ascii="Arial" w:cs="Arial" w:eastAsia="Arial" w:hAnsi="Arial"/>
          <w:sz w:val="16"/>
          <w:szCs w:val="16"/>
          <w:color w:val="auto"/>
        </w:rPr>
      </w:pPr>
      <w:r>
        <w:rPr>
          <w:rFonts w:ascii="Arial" w:cs="Arial" w:eastAsia="Arial" w:hAnsi="Arial"/>
          <w:sz w:val="16"/>
          <w:szCs w:val="16"/>
          <w:u w:val="single" w:color="auto"/>
          <w:color w:val="auto"/>
        </w:rPr>
        <w:t>CONSTRUCTION; HEADINGS; BUSINESS DAYS</w:t>
      </w:r>
      <w:r>
        <w:rPr>
          <w:rFonts w:ascii="Arial" w:cs="Arial" w:eastAsia="Arial" w:hAnsi="Arial"/>
          <w:sz w:val="16"/>
          <w:szCs w:val="16"/>
          <w:color w:val="auto"/>
        </w:rPr>
        <w:t>. This Warrant shall be deemed to be jointly drafted by the Company and the Holder and shall not be construed against any Person as the drafter hereof. The headings of this Warrant are for convenience of reference and shall not form part of, or affect the interpretation of, this Warrant.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57" w:lineRule="exact"/>
        <w:rPr>
          <w:rFonts w:ascii="Arial" w:cs="Arial" w:eastAsia="Arial" w:hAnsi="Arial"/>
          <w:sz w:val="16"/>
          <w:szCs w:val="16"/>
          <w:color w:val="auto"/>
        </w:rPr>
      </w:pPr>
    </w:p>
    <w:p>
      <w:pPr>
        <w:jc w:val="both"/>
        <w:ind w:firstLine="1304"/>
        <w:spacing w:after="0" w:line="268" w:lineRule="auto"/>
        <w:tabs>
          <w:tab w:leader="none" w:pos="1566" w:val="left"/>
        </w:tabs>
        <w:numPr>
          <w:ilvl w:val="0"/>
          <w:numId w:val="365"/>
        </w:numPr>
        <w:rPr>
          <w:rFonts w:ascii="Arial" w:cs="Arial" w:eastAsia="Arial" w:hAnsi="Arial"/>
          <w:sz w:val="17"/>
          <w:szCs w:val="17"/>
          <w:color w:val="auto"/>
        </w:rPr>
      </w:pPr>
      <w:r>
        <w:rPr>
          <w:rFonts w:ascii="Arial" w:cs="Arial" w:eastAsia="Arial" w:hAnsi="Arial"/>
          <w:sz w:val="17"/>
          <w:szCs w:val="17"/>
          <w:u w:val="single" w:color="auto"/>
          <w:color w:val="auto"/>
        </w:rPr>
        <w:t>DISPUTE RESOLUTION</w:t>
      </w:r>
      <w:r>
        <w:rPr>
          <w:rFonts w:ascii="Arial" w:cs="Arial" w:eastAsia="Arial" w:hAnsi="Arial"/>
          <w:sz w:val="17"/>
          <w:szCs w:val="17"/>
          <w:color w:val="auto"/>
        </w:rPr>
        <w:t xml:space="preserve">. In the case of a dispute as to the determination of the Exercise Price or the arithmetic calculation of the Warrant Shares, the Company shall submit the disputed determinations or arithmetic calculations via facsimile or electronic mail within two (2) Business Days of receipt of the Exercise Notice giving rise to such dispute, as the case may be, to the Holder. If the Holder and the Company are unable to agree upon such determination or calculation of the Exercise Price or the Warrant Shares within three (3) Business Days of such disputed determination or arithmetic calculation being submitted to the Holder, then the Company shall, within two (2) Business Days submit via facsimile or electronic mail the dispute to a nationally recognized accounting firm selected by the Holder and reasonably satisfactory to the Company. If the Company does not object in writing to the selection of the accounting firm within two (2) Business Days of notice of the Holder’s selection, the Company will have deemed to have consented to such selection. If the Company does object, the Company shall provide the Holder its rationale for such rejection and five (5) acceptable alternative firms. The Company shall cause at its expense the accepted accounting firm to perform the determinations or calculations and notify the Company and the Holder of the results no later than three (3) Business Days from the time it receives the disputed determinations or calculations. Such accounting firm’s determination or calculation, as the case may be, shall be binding upon all parties absent demonstrable error. In the event that the accounting firm resolves the dispute in the Holder’s favor, a Delivery Failure will be deemed to have occurred and the Buy-In and other remedies available to the Holder under Section </w:t>
      </w:r>
      <w:r>
        <w:rPr>
          <w:rFonts w:ascii="Arial" w:cs="Arial" w:eastAsia="Arial" w:hAnsi="Arial"/>
          <w:sz w:val="20"/>
          <w:szCs w:val="20"/>
          <w:b w:val="1"/>
          <w:bCs w:val="1"/>
          <w:color w:val="auto"/>
        </w:rPr>
        <w:t>‎</w:t>
      </w:r>
      <w:r>
        <w:rPr>
          <w:rFonts w:ascii="Arial" w:cs="Arial" w:eastAsia="Arial" w:hAnsi="Arial"/>
          <w:sz w:val="17"/>
          <w:szCs w:val="17"/>
          <w:color w:val="auto"/>
        </w:rPr>
        <w:t>1(c) will apply.</w:t>
      </w:r>
    </w:p>
    <w:p>
      <w:pPr>
        <w:spacing w:after="0" w:line="174" w:lineRule="exact"/>
        <w:rPr>
          <w:rFonts w:ascii="Arial" w:cs="Arial" w:eastAsia="Arial" w:hAnsi="Arial"/>
          <w:sz w:val="17"/>
          <w:szCs w:val="17"/>
          <w:color w:val="auto"/>
        </w:rPr>
      </w:pPr>
    </w:p>
    <w:p>
      <w:pPr>
        <w:jc w:val="both"/>
        <w:ind w:firstLine="1304"/>
        <w:spacing w:after="0" w:line="272" w:lineRule="auto"/>
        <w:tabs>
          <w:tab w:leader="none" w:pos="1566" w:val="left"/>
        </w:tabs>
        <w:numPr>
          <w:ilvl w:val="0"/>
          <w:numId w:val="365"/>
        </w:numPr>
        <w:rPr>
          <w:rFonts w:ascii="Arial" w:cs="Arial" w:eastAsia="Arial" w:hAnsi="Arial"/>
          <w:sz w:val="17"/>
          <w:szCs w:val="17"/>
          <w:color w:val="auto"/>
        </w:rPr>
      </w:pPr>
      <w:r>
        <w:rPr>
          <w:rFonts w:ascii="Arial" w:cs="Arial" w:eastAsia="Arial" w:hAnsi="Arial"/>
          <w:sz w:val="17"/>
          <w:szCs w:val="17"/>
          <w:u w:val="single" w:color="auto"/>
          <w:color w:val="auto"/>
        </w:rPr>
        <w:t>REMEDIES, OTHER OBLIGATIONS, BREACHES AND INJUNCTIVE RELIEF</w:t>
      </w:r>
      <w:r>
        <w:rPr>
          <w:rFonts w:ascii="Arial" w:cs="Arial" w:eastAsia="Arial" w:hAnsi="Arial"/>
          <w:sz w:val="17"/>
          <w:szCs w:val="17"/>
          <w:color w:val="auto"/>
        </w:rPr>
        <w:t>. The remedies provided in this Warrant shall be cumulative and in addition to all other remedies available under this Warrant and the other Loan Documents, at law or in equity (including a decree of specific performance and/or other injunctive relief), and nothing herein shall limit the right of the Holder to pursue actual damages for any failure by the Company to comply with the terms of this Warrant.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shall be entitled, in addition to all other available remedies, to an injunction restraining any breach, without the necessity of showing economic loss and without any bond or other security being required.</w:t>
      </w:r>
    </w:p>
    <w:p>
      <w:pPr>
        <w:spacing w:after="0" w:line="177" w:lineRule="exact"/>
        <w:rPr>
          <w:rFonts w:ascii="Arial" w:cs="Arial" w:eastAsia="Arial" w:hAnsi="Arial"/>
          <w:sz w:val="17"/>
          <w:szCs w:val="17"/>
          <w:color w:val="auto"/>
        </w:rPr>
      </w:pPr>
    </w:p>
    <w:p>
      <w:pPr>
        <w:jc w:val="both"/>
        <w:ind w:firstLine="1304"/>
        <w:spacing w:after="0" w:line="259" w:lineRule="auto"/>
        <w:tabs>
          <w:tab w:leader="none" w:pos="1566" w:val="left"/>
        </w:tabs>
        <w:numPr>
          <w:ilvl w:val="0"/>
          <w:numId w:val="365"/>
        </w:numPr>
        <w:rPr>
          <w:rFonts w:ascii="Arial" w:cs="Arial" w:eastAsia="Arial" w:hAnsi="Arial"/>
          <w:sz w:val="18"/>
          <w:szCs w:val="18"/>
          <w:color w:val="auto"/>
        </w:rPr>
      </w:pPr>
      <w:r>
        <w:rPr>
          <w:rFonts w:ascii="Arial" w:cs="Arial" w:eastAsia="Arial" w:hAnsi="Arial"/>
          <w:sz w:val="18"/>
          <w:szCs w:val="18"/>
          <w:u w:val="single" w:color="auto"/>
          <w:color w:val="auto"/>
        </w:rPr>
        <w:t>TRANSFER</w:t>
      </w:r>
      <w:r>
        <w:rPr>
          <w:rFonts w:ascii="Arial" w:cs="Arial" w:eastAsia="Arial" w:hAnsi="Arial"/>
          <w:sz w:val="18"/>
          <w:szCs w:val="18"/>
          <w:color w:val="auto"/>
        </w:rPr>
        <w:t>. This Warrant and the Warrant Shares may be offered for sale, sold, transferred, pledged or assigned without the consent of the Company, subject to compliance with applicable state and federal securities laws. The Holder acknowledges that the Warrant Shares acquired upon the exercise of this Warrant, if not registered, and the Holder does not utilize cashless exercise, will have restrictions upon resale imposed by state and federal securities laws.</w:t>
      </w:r>
    </w:p>
    <w:p>
      <w:pPr>
        <w:spacing w:after="0" w:line="186" w:lineRule="exact"/>
        <w:rPr>
          <w:rFonts w:ascii="Arial" w:cs="Arial" w:eastAsia="Arial" w:hAnsi="Arial"/>
          <w:sz w:val="18"/>
          <w:szCs w:val="18"/>
          <w:color w:val="auto"/>
        </w:rPr>
      </w:pPr>
    </w:p>
    <w:p>
      <w:pPr>
        <w:jc w:val="both"/>
        <w:ind w:firstLine="1304"/>
        <w:spacing w:after="0" w:line="271" w:lineRule="auto"/>
        <w:tabs>
          <w:tab w:leader="none" w:pos="1566" w:val="left"/>
        </w:tabs>
        <w:numPr>
          <w:ilvl w:val="0"/>
          <w:numId w:val="365"/>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of this Warrant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Warrant so long as this Warrant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47" w:name="page348"/>
    <w:bookmarkEnd w:id="347"/>
    <w:p>
      <w:pPr>
        <w:ind w:firstLine="1304"/>
        <w:spacing w:after="0" w:line="277" w:lineRule="auto"/>
        <w:tabs>
          <w:tab w:leader="none" w:pos="1566" w:val="left"/>
        </w:tabs>
        <w:numPr>
          <w:ilvl w:val="0"/>
          <w:numId w:val="366"/>
        </w:numPr>
        <w:rPr>
          <w:rFonts w:ascii="Arial" w:cs="Arial" w:eastAsia="Arial" w:hAnsi="Arial"/>
          <w:sz w:val="18"/>
          <w:szCs w:val="18"/>
          <w:color w:val="auto"/>
        </w:rPr>
      </w:pPr>
      <w:r>
        <w:rPr>
          <w:rFonts w:ascii="Arial" w:cs="Arial" w:eastAsia="Arial" w:hAnsi="Arial"/>
          <w:sz w:val="18"/>
          <w:szCs w:val="18"/>
          <w:u w:val="single" w:color="auto"/>
          <w:color w:val="auto"/>
        </w:rPr>
        <w:t>NO DISCLOSURE</w:t>
      </w:r>
      <w:r>
        <w:rPr>
          <w:rFonts w:ascii="Arial" w:cs="Arial" w:eastAsia="Arial" w:hAnsi="Arial"/>
          <w:sz w:val="18"/>
          <w:szCs w:val="18"/>
          <w:color w:val="auto"/>
        </w:rPr>
        <w:t>. The Company shall not provide material, non-public information or confidential or proprietary information to the Holder without such Holder’s written consent.</w:t>
      </w:r>
    </w:p>
    <w:p>
      <w:pPr>
        <w:spacing w:after="0" w:line="170" w:lineRule="exact"/>
        <w:rPr>
          <w:rFonts w:ascii="Arial" w:cs="Arial" w:eastAsia="Arial" w:hAnsi="Arial"/>
          <w:sz w:val="18"/>
          <w:szCs w:val="18"/>
          <w:color w:val="auto"/>
        </w:rPr>
      </w:pPr>
    </w:p>
    <w:p>
      <w:pPr>
        <w:ind w:left="1580" w:hanging="276"/>
        <w:spacing w:after="0"/>
        <w:tabs>
          <w:tab w:leader="none" w:pos="1580" w:val="left"/>
        </w:tabs>
        <w:numPr>
          <w:ilvl w:val="0"/>
          <w:numId w:val="366"/>
        </w:numPr>
        <w:rPr>
          <w:rFonts w:ascii="Arial" w:cs="Arial" w:eastAsia="Arial" w:hAnsi="Arial"/>
          <w:sz w:val="18"/>
          <w:szCs w:val="18"/>
          <w:color w:val="auto"/>
        </w:rPr>
      </w:pPr>
      <w:r>
        <w:rPr>
          <w:rFonts w:ascii="Arial" w:cs="Arial" w:eastAsia="Arial" w:hAnsi="Arial"/>
          <w:sz w:val="18"/>
          <w:szCs w:val="18"/>
          <w:u w:val="single" w:color="auto"/>
          <w:color w:val="auto"/>
        </w:rPr>
        <w:t>REPRESENTATIONS OF HOLDERS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952"/>
        <w:spacing w:after="0" w:line="263" w:lineRule="auto"/>
        <w:tabs>
          <w:tab w:leader="none" w:pos="2188" w:val="left"/>
        </w:tabs>
        <w:numPr>
          <w:ilvl w:val="1"/>
          <w:numId w:val="366"/>
        </w:numPr>
        <w:rPr>
          <w:rFonts w:ascii="Arial" w:cs="Arial" w:eastAsia="Arial" w:hAnsi="Arial"/>
          <w:sz w:val="18"/>
          <w:szCs w:val="18"/>
          <w:color w:val="auto"/>
        </w:rPr>
      </w:pPr>
      <w:r>
        <w:rPr>
          <w:rFonts w:ascii="Arial" w:cs="Arial" w:eastAsia="Arial" w:hAnsi="Arial"/>
          <w:sz w:val="18"/>
          <w:szCs w:val="18"/>
          <w:u w:val="single" w:color="auto"/>
          <w:color w:val="auto"/>
        </w:rPr>
        <w:t>Investment Intent</w:t>
      </w:r>
      <w:r>
        <w:rPr>
          <w:rFonts w:ascii="Arial" w:cs="Arial" w:eastAsia="Arial" w:hAnsi="Arial"/>
          <w:sz w:val="18"/>
          <w:szCs w:val="18"/>
          <w:color w:val="auto"/>
        </w:rPr>
        <w:t>. Each Holder represents and warrants that it is acquiring this Warrant and the Warrant Shares (collectively, the “</w:t>
      </w:r>
      <w:r>
        <w:rPr>
          <w:rFonts w:ascii="Arial" w:cs="Arial" w:eastAsia="Arial" w:hAnsi="Arial"/>
          <w:sz w:val="18"/>
          <w:szCs w:val="18"/>
          <w:b w:val="1"/>
          <w:bCs w:val="1"/>
          <w:color w:val="auto"/>
        </w:rPr>
        <w:t>Securities</w:t>
      </w:r>
      <w:r>
        <w:rPr>
          <w:rFonts w:ascii="Arial" w:cs="Arial" w:eastAsia="Arial" w:hAnsi="Arial"/>
          <w:sz w:val="18"/>
          <w:szCs w:val="18"/>
          <w:color w:val="auto"/>
        </w:rPr>
        <w:t>”), solely for its beneficial account, for investment purposes, and not with a view to, or for resale in connection with, any distribution of the Securities in violation of applicable securities laws.</w:t>
      </w:r>
    </w:p>
    <w:p>
      <w:pPr>
        <w:spacing w:after="0" w:line="183" w:lineRule="exact"/>
        <w:rPr>
          <w:rFonts w:ascii="Arial" w:cs="Arial" w:eastAsia="Arial" w:hAnsi="Arial"/>
          <w:sz w:val="18"/>
          <w:szCs w:val="18"/>
          <w:color w:val="auto"/>
        </w:rPr>
      </w:pPr>
    </w:p>
    <w:p>
      <w:pPr>
        <w:jc w:val="both"/>
        <w:ind w:firstLine="1952"/>
        <w:spacing w:after="0" w:line="286" w:lineRule="auto"/>
        <w:tabs>
          <w:tab w:leader="none" w:pos="2199" w:val="left"/>
        </w:tabs>
        <w:numPr>
          <w:ilvl w:val="1"/>
          <w:numId w:val="366"/>
        </w:numPr>
        <w:rPr>
          <w:rFonts w:ascii="Arial" w:cs="Arial" w:eastAsia="Arial" w:hAnsi="Arial"/>
          <w:sz w:val="17"/>
          <w:szCs w:val="17"/>
          <w:color w:val="auto"/>
        </w:rPr>
      </w:pPr>
      <w:r>
        <w:rPr>
          <w:rFonts w:ascii="Arial" w:cs="Arial" w:eastAsia="Arial" w:hAnsi="Arial"/>
          <w:sz w:val="17"/>
          <w:szCs w:val="17"/>
          <w:u w:val="single" w:color="auto"/>
          <w:color w:val="auto"/>
        </w:rPr>
        <w:t>Unregistered Securities</w:t>
      </w:r>
      <w:r>
        <w:rPr>
          <w:rFonts w:ascii="Arial" w:cs="Arial" w:eastAsia="Arial" w:hAnsi="Arial"/>
          <w:sz w:val="17"/>
          <w:szCs w:val="17"/>
          <w:color w:val="auto"/>
        </w:rPr>
        <w:t>. Each Holder represents and warrants that it understands that the Securities have not been registered under the Securities Act or any state securities laws by reason of specific exemptions under the provisions thereof, the availability of which depend in part upon the bona fide nature of its investment intent and upon the accuracy of its representations made herein.</w:t>
      </w:r>
    </w:p>
    <w:p>
      <w:pPr>
        <w:spacing w:after="0" w:line="165" w:lineRule="exact"/>
        <w:rPr>
          <w:rFonts w:ascii="Arial" w:cs="Arial" w:eastAsia="Arial" w:hAnsi="Arial"/>
          <w:sz w:val="17"/>
          <w:szCs w:val="17"/>
          <w:color w:val="auto"/>
        </w:rPr>
      </w:pPr>
    </w:p>
    <w:p>
      <w:pPr>
        <w:jc w:val="both"/>
        <w:ind w:firstLine="1952"/>
        <w:spacing w:after="0" w:line="263" w:lineRule="auto"/>
        <w:tabs>
          <w:tab w:leader="none" w:pos="2242" w:val="left"/>
        </w:tabs>
        <w:numPr>
          <w:ilvl w:val="1"/>
          <w:numId w:val="366"/>
        </w:numPr>
        <w:rPr>
          <w:rFonts w:ascii="Arial" w:cs="Arial" w:eastAsia="Arial" w:hAnsi="Arial"/>
          <w:sz w:val="18"/>
          <w:szCs w:val="18"/>
          <w:color w:val="auto"/>
        </w:rPr>
      </w:pPr>
      <w:r>
        <w:rPr>
          <w:rFonts w:ascii="Arial" w:cs="Arial" w:eastAsia="Arial" w:hAnsi="Arial"/>
          <w:sz w:val="18"/>
          <w:szCs w:val="18"/>
          <w:u w:val="single" w:color="auto"/>
          <w:color w:val="auto"/>
        </w:rPr>
        <w:t>Reliance</w:t>
      </w:r>
      <w:r>
        <w:rPr>
          <w:rFonts w:ascii="Arial" w:cs="Arial" w:eastAsia="Arial" w:hAnsi="Arial"/>
          <w:sz w:val="18"/>
          <w:szCs w:val="18"/>
          <w:color w:val="auto"/>
        </w:rPr>
        <w:t>. Each Holder represents and warrants that it understands that the Company is relying in part upon the representations and agreements of the Holders contained herein for the purpose of determining whether the offer, sale and issuance of the Securities meet the requirements for such exemptions described in Section 17(b).</w:t>
      </w:r>
    </w:p>
    <w:p>
      <w:pPr>
        <w:spacing w:after="0" w:line="183" w:lineRule="exact"/>
        <w:rPr>
          <w:rFonts w:ascii="Arial" w:cs="Arial" w:eastAsia="Arial" w:hAnsi="Arial"/>
          <w:sz w:val="18"/>
          <w:szCs w:val="18"/>
          <w:color w:val="auto"/>
        </w:rPr>
      </w:pPr>
    </w:p>
    <w:p>
      <w:pPr>
        <w:ind w:left="2200" w:hanging="248"/>
        <w:spacing w:after="0"/>
        <w:tabs>
          <w:tab w:leader="none" w:pos="2200" w:val="left"/>
        </w:tabs>
        <w:numPr>
          <w:ilvl w:val="1"/>
          <w:numId w:val="366"/>
        </w:numPr>
        <w:rPr>
          <w:rFonts w:ascii="Arial" w:cs="Arial" w:eastAsia="Arial" w:hAnsi="Arial"/>
          <w:sz w:val="16"/>
          <w:szCs w:val="16"/>
          <w:color w:val="auto"/>
        </w:rPr>
      </w:pPr>
      <w:r>
        <w:rPr>
          <w:rFonts w:ascii="Arial" w:cs="Arial" w:eastAsia="Arial" w:hAnsi="Arial"/>
          <w:sz w:val="16"/>
          <w:szCs w:val="16"/>
          <w:u w:val="single" w:color="auto"/>
          <w:color w:val="auto"/>
        </w:rPr>
        <w:t>Accredited Investor</w:t>
      </w:r>
      <w:r>
        <w:rPr>
          <w:rFonts w:ascii="Arial" w:cs="Arial" w:eastAsia="Arial" w:hAnsi="Arial"/>
          <w:sz w:val="16"/>
          <w:szCs w:val="16"/>
          <w:color w:val="auto"/>
        </w:rPr>
        <w:t>. Each Holder represents and warrants that it is an “accredited investor” as defined in Rule 501(a) under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Securities Act.</w:t>
      </w:r>
    </w:p>
    <w:p>
      <w:pPr>
        <w:spacing w:after="0" w:line="210" w:lineRule="exact"/>
        <w:rPr>
          <w:rFonts w:ascii="Arial" w:cs="Arial" w:eastAsia="Arial" w:hAnsi="Arial"/>
          <w:sz w:val="16"/>
          <w:szCs w:val="16"/>
          <w:color w:val="auto"/>
        </w:rPr>
      </w:pPr>
    </w:p>
    <w:p>
      <w:pPr>
        <w:jc w:val="both"/>
        <w:ind w:right="20" w:firstLine="1952"/>
        <w:spacing w:after="0" w:line="263" w:lineRule="auto"/>
        <w:tabs>
          <w:tab w:leader="none" w:pos="2202" w:val="left"/>
        </w:tabs>
        <w:numPr>
          <w:ilvl w:val="1"/>
          <w:numId w:val="366"/>
        </w:numPr>
        <w:rPr>
          <w:rFonts w:ascii="Arial" w:cs="Arial" w:eastAsia="Arial" w:hAnsi="Arial"/>
          <w:sz w:val="18"/>
          <w:szCs w:val="18"/>
          <w:color w:val="auto"/>
        </w:rPr>
      </w:pPr>
      <w:r>
        <w:rPr>
          <w:rFonts w:ascii="Arial" w:cs="Arial" w:eastAsia="Arial" w:hAnsi="Arial"/>
          <w:sz w:val="18"/>
          <w:szCs w:val="18"/>
          <w:u w:val="single" w:color="auto"/>
          <w:color w:val="auto"/>
        </w:rPr>
        <w:t>Sophisticated Investor</w:t>
      </w:r>
      <w:r>
        <w:rPr>
          <w:rFonts w:ascii="Arial" w:cs="Arial" w:eastAsia="Arial" w:hAnsi="Arial"/>
          <w:sz w:val="18"/>
          <w:szCs w:val="18"/>
          <w:color w:val="auto"/>
        </w:rPr>
        <w:t>. Each Holder represents and warrants that it has such knowledge, skill and experience in business, financial and investment matters that it is capable of evaluating the merits and risks of an investment in the Securities, including experience in and knowledge of the industry in which the Company operates.</w:t>
      </w:r>
    </w:p>
    <w:p>
      <w:pPr>
        <w:spacing w:after="0" w:line="183" w:lineRule="exact"/>
        <w:rPr>
          <w:rFonts w:ascii="Arial" w:cs="Arial" w:eastAsia="Arial" w:hAnsi="Arial"/>
          <w:sz w:val="18"/>
          <w:szCs w:val="18"/>
          <w:color w:val="auto"/>
        </w:rPr>
      </w:pPr>
    </w:p>
    <w:p>
      <w:pPr>
        <w:jc w:val="both"/>
        <w:ind w:firstLine="1952"/>
        <w:spacing w:after="0" w:line="263" w:lineRule="auto"/>
        <w:tabs>
          <w:tab w:leader="none" w:pos="2169" w:val="left"/>
        </w:tabs>
        <w:numPr>
          <w:ilvl w:val="1"/>
          <w:numId w:val="366"/>
        </w:numPr>
        <w:rPr>
          <w:rFonts w:ascii="Arial" w:cs="Arial" w:eastAsia="Arial" w:hAnsi="Arial"/>
          <w:sz w:val="18"/>
          <w:szCs w:val="18"/>
          <w:color w:val="auto"/>
        </w:rPr>
      </w:pPr>
      <w:r>
        <w:rPr>
          <w:rFonts w:ascii="Arial" w:cs="Arial" w:eastAsia="Arial" w:hAnsi="Arial"/>
          <w:sz w:val="18"/>
          <w:szCs w:val="18"/>
          <w:u w:val="single" w:color="auto"/>
          <w:color w:val="auto"/>
        </w:rPr>
        <w:t>Restricted Securities</w:t>
      </w:r>
      <w:r>
        <w:rPr>
          <w:rFonts w:ascii="Arial" w:cs="Arial" w:eastAsia="Arial" w:hAnsi="Arial"/>
          <w:sz w:val="18"/>
          <w:szCs w:val="18"/>
          <w:color w:val="auto"/>
        </w:rPr>
        <w:t>. Each Holder represents and warrants that it understand that the Securities will be “restricted securities” under applicable federal securities laws and that the Securities Act and the rules of the SEC provide in substance that it may dispose of the Securities only pursuant to an effective registration statement under the Securities Act or an exemption therefrom.</w:t>
      </w:r>
    </w:p>
    <w:p>
      <w:pPr>
        <w:spacing w:after="0" w:line="183" w:lineRule="exact"/>
        <w:rPr>
          <w:rFonts w:ascii="Arial" w:cs="Arial" w:eastAsia="Arial" w:hAnsi="Arial"/>
          <w:sz w:val="18"/>
          <w:szCs w:val="18"/>
          <w:color w:val="auto"/>
        </w:rPr>
      </w:pPr>
    </w:p>
    <w:p>
      <w:pPr>
        <w:jc w:val="both"/>
        <w:ind w:firstLine="1952"/>
        <w:spacing w:after="0" w:line="270" w:lineRule="auto"/>
        <w:tabs>
          <w:tab w:leader="none" w:pos="2212" w:val="left"/>
        </w:tabs>
        <w:numPr>
          <w:ilvl w:val="1"/>
          <w:numId w:val="366"/>
        </w:numPr>
        <w:rPr>
          <w:rFonts w:ascii="Arial" w:cs="Arial" w:eastAsia="Arial" w:hAnsi="Arial"/>
          <w:sz w:val="17"/>
          <w:szCs w:val="17"/>
          <w:color w:val="auto"/>
        </w:rPr>
      </w:pPr>
      <w:r>
        <w:rPr>
          <w:rFonts w:ascii="Arial" w:cs="Arial" w:eastAsia="Arial" w:hAnsi="Arial"/>
          <w:sz w:val="17"/>
          <w:szCs w:val="17"/>
          <w:u w:val="single" w:color="auto"/>
          <w:color w:val="auto"/>
        </w:rPr>
        <w:t>Information</w:t>
      </w:r>
      <w:r>
        <w:rPr>
          <w:rFonts w:ascii="Arial" w:cs="Arial" w:eastAsia="Arial" w:hAnsi="Arial"/>
          <w:sz w:val="17"/>
          <w:szCs w:val="17"/>
          <w:color w:val="auto"/>
        </w:rPr>
        <w:t>. Each Holder represents and warrants that it has been furnished by the Company all information (or provided access to all information) regarding the business and financial condition of the Company, the attributes of the Securities, and the merits and risks of an investment in such Securities which it has requested or otherwise needs to evaluate the investment in such Securities; that in making the proposed investment decision, such Holder is relying solely on such information, the representations, warranties and agreements of the Company and the other Loan Parties contained herein and in the other Loan Documents and on investigations made by it and its representatives; that the offer to sell the Securities hereunder was communicated to such Holder in such a manner that it was able to ask questions of and receive answers from the management of the Company concerning the terms and conditions of the proposed transaction and that at no time was it presented with or solicited by or through any leaflet, public promotional meeting, television advertisement or any other form of general or public advertising or solicitation; and such Holder recognizes that an investment in the Securities involves risks and can result in a total loss of all funds invested.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48" w:name="page349"/>
    <w:bookmarkEnd w:id="348"/>
    <w:p>
      <w:pPr>
        <w:jc w:val="both"/>
        <w:ind w:firstLine="1952"/>
        <w:spacing w:after="0" w:line="287" w:lineRule="auto"/>
        <w:tabs>
          <w:tab w:leader="none" w:pos="2199" w:val="left"/>
        </w:tabs>
        <w:numPr>
          <w:ilvl w:val="2"/>
          <w:numId w:val="367"/>
        </w:numPr>
        <w:rPr>
          <w:rFonts w:ascii="Arial" w:cs="Arial" w:eastAsia="Arial" w:hAnsi="Arial"/>
          <w:sz w:val="16"/>
          <w:szCs w:val="16"/>
          <w:color w:val="auto"/>
        </w:rPr>
      </w:pPr>
      <w:r>
        <w:rPr>
          <w:rFonts w:ascii="Arial" w:cs="Arial" w:eastAsia="Arial" w:hAnsi="Arial"/>
          <w:sz w:val="16"/>
          <w:szCs w:val="16"/>
          <w:u w:val="single" w:color="auto"/>
          <w:color w:val="auto"/>
        </w:rPr>
        <w:t>Non-Reliance</w:t>
      </w:r>
      <w:r>
        <w:rPr>
          <w:rFonts w:ascii="Arial" w:cs="Arial" w:eastAsia="Arial" w:hAnsi="Arial"/>
          <w:sz w:val="16"/>
          <w:szCs w:val="16"/>
          <w:color w:val="auto"/>
        </w:rPr>
        <w:t xml:space="preserve">. Notwithstanding anything in this Warrant to the contrary, each Holder hereby acknowledges, with respect to itself, that the Company may possess material non-public information with respect to the Company and/or its securities not known to each Holder as of the date hereof or at a time when each Holder exercises its right to purchase Warrant Shares pursuant to this Warrant and that any such information may impact the value of the Warrant and the Warrant Shares. Each Holder with respect to itself irrevocably waives any claim, or potential claim, that it may have based on the failure of the Company or its Affiliates, officers, directors, employees, agents or other representatives to disclose such information in connection with the execution and delivery of this Warrant or the purchase of Warrant Shares hereunder;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notwithstanding anything in this Section 17(h) or otherwise to the contrary, each Holder does not and shall not be deemed to have waived or otherwise compromised any rights or claims based upon or arising out of (i) the Company’s disclosure obligations under the federal securities laws with respect to any untrue statement of a material fact or omission to state a material fact necessary in order to make the statements made, in the light of the circumstances under which they were made, not misleading in any public statement or filing made by the Company pursuant to the Exchange Act, or (ii) any breach or inaccuracy of any representation or warranty of the Company or any other Loan Party in the Credit Agreement or any other Loan Document. Each Holder with respect to itself acknowledges that the Company would not enter into this Warrant in the absence of the agreements set forth in this Section 17.</w:t>
      </w:r>
    </w:p>
    <w:p>
      <w:pPr>
        <w:spacing w:after="0" w:line="167" w:lineRule="exact"/>
        <w:rPr>
          <w:rFonts w:ascii="Arial" w:cs="Arial" w:eastAsia="Arial" w:hAnsi="Arial"/>
          <w:sz w:val="16"/>
          <w:szCs w:val="16"/>
          <w:color w:val="auto"/>
        </w:rPr>
      </w:pPr>
    </w:p>
    <w:p>
      <w:pPr>
        <w:ind w:left="1580" w:hanging="276"/>
        <w:spacing w:after="0"/>
        <w:tabs>
          <w:tab w:leader="none" w:pos="1580" w:val="left"/>
        </w:tabs>
        <w:numPr>
          <w:ilvl w:val="1"/>
          <w:numId w:val="368"/>
        </w:numPr>
        <w:rPr>
          <w:rFonts w:ascii="Arial" w:cs="Arial" w:eastAsia="Arial" w:hAnsi="Arial"/>
          <w:sz w:val="18"/>
          <w:szCs w:val="18"/>
          <w:color w:val="auto"/>
        </w:rPr>
      </w:pPr>
      <w:r>
        <w:rPr>
          <w:rFonts w:ascii="Arial" w:cs="Arial" w:eastAsia="Arial" w:hAnsi="Arial"/>
          <w:sz w:val="18"/>
          <w:szCs w:val="18"/>
          <w:u w:val="single" w:color="auto"/>
          <w:color w:val="auto"/>
        </w:rPr>
        <w:t>REPRESENTATIONS OF THE COMPANY</w:t>
      </w:r>
      <w:r>
        <w:rPr>
          <w:rFonts w:ascii="Arial" w:cs="Arial" w:eastAsia="Arial" w:hAnsi="Arial"/>
          <w:sz w:val="18"/>
          <w:szCs w:val="18"/>
          <w:color w:val="auto"/>
        </w:rPr>
        <w:t>. The Company represents and warrants to the Holder that:</w:t>
      </w:r>
    </w:p>
    <w:p>
      <w:pPr>
        <w:spacing w:after="0" w:line="225" w:lineRule="exact"/>
        <w:rPr>
          <w:rFonts w:ascii="Arial" w:cs="Arial" w:eastAsia="Arial" w:hAnsi="Arial"/>
          <w:sz w:val="18"/>
          <w:szCs w:val="18"/>
          <w:color w:val="auto"/>
        </w:rPr>
      </w:pPr>
    </w:p>
    <w:p>
      <w:pPr>
        <w:ind w:left="2200" w:hanging="248"/>
        <w:spacing w:after="0"/>
        <w:tabs>
          <w:tab w:leader="none" w:pos="2200" w:val="left"/>
        </w:tabs>
        <w:numPr>
          <w:ilvl w:val="2"/>
          <w:numId w:val="368"/>
        </w:numPr>
        <w:rPr>
          <w:rFonts w:ascii="Arial" w:cs="Arial" w:eastAsia="Arial" w:hAnsi="Arial"/>
          <w:sz w:val="16"/>
          <w:szCs w:val="16"/>
          <w:color w:val="auto"/>
        </w:rPr>
      </w:pPr>
      <w:r>
        <w:rPr>
          <w:rFonts w:ascii="Arial" w:cs="Arial" w:eastAsia="Arial" w:hAnsi="Arial"/>
          <w:sz w:val="16"/>
          <w:szCs w:val="16"/>
          <w:color w:val="auto"/>
        </w:rPr>
        <w:t>The Company (i) is duly organized, validly existing and in good standing under the laws of its jurisdiction of incorporation;</w:t>
      </w:r>
    </w:p>
    <w:p>
      <w:pPr>
        <w:spacing w:after="0" w:line="46" w:lineRule="exact"/>
        <w:rPr>
          <w:rFonts w:ascii="Arial" w:cs="Arial" w:eastAsia="Arial" w:hAnsi="Arial"/>
          <w:sz w:val="16"/>
          <w:szCs w:val="16"/>
          <w:color w:val="auto"/>
        </w:rPr>
      </w:pPr>
    </w:p>
    <w:p>
      <w:pPr>
        <w:jc w:val="both"/>
        <w:ind w:firstLine="8"/>
        <w:spacing w:after="0" w:line="286" w:lineRule="auto"/>
        <w:tabs>
          <w:tab w:leader="none" w:pos="277" w:val="left"/>
        </w:tabs>
        <w:numPr>
          <w:ilvl w:val="0"/>
          <w:numId w:val="369"/>
        </w:numPr>
        <w:rPr>
          <w:rFonts w:ascii="Arial" w:cs="Arial" w:eastAsia="Arial" w:hAnsi="Arial"/>
          <w:sz w:val="16"/>
          <w:szCs w:val="16"/>
          <w:color w:val="auto"/>
        </w:rPr>
      </w:pPr>
      <w:r>
        <w:rPr>
          <w:rFonts w:ascii="Arial" w:cs="Arial" w:eastAsia="Arial" w:hAnsi="Arial"/>
          <w:sz w:val="16"/>
          <w:szCs w:val="16"/>
          <w:color w:val="auto"/>
        </w:rPr>
        <w:t>has the requisite power and authority to own, lease and operate its properties, to carry on its business as it is now being conducted and to enter into, deliver and perform its obligations under this Warrant; and (iii) is duly licensed or qualified to conduct its business and, if applicable, is in good standing under the laws of each jurisdiction (other than its jurisdiction of incorporation) in which the conduct of its business or the ownership of its properties or assets requires such license or qualification, except, with respect to the foregoing clause (iii), where the failure to be in good standing would not reasonably be expected to have a Company Material Adverse Effect. For purposes of this Warrant, a “</w:t>
      </w:r>
      <w:r>
        <w:rPr>
          <w:rFonts w:ascii="Arial" w:cs="Arial" w:eastAsia="Arial" w:hAnsi="Arial"/>
          <w:sz w:val="16"/>
          <w:szCs w:val="16"/>
          <w:b w:val="1"/>
          <w:bCs w:val="1"/>
          <w:color w:val="auto"/>
        </w:rPr>
        <w:t>Company Material Adverse Effect</w:t>
      </w:r>
      <w:r>
        <w:rPr>
          <w:rFonts w:ascii="Arial" w:cs="Arial" w:eastAsia="Arial" w:hAnsi="Arial"/>
          <w:sz w:val="16"/>
          <w:szCs w:val="16"/>
          <w:color w:val="auto"/>
        </w:rPr>
        <w:t>” means an event, change, development, occurrence, condition or effect with respect to the Company and its subsidiaries, taken together as a whole (on a consolidated basis), that, individually or in the aggregate, (A) would reasonably be expected to have a material adverse effect on the business, financial condition or results of operations of the Company and its subsidiaries, taken together as a whole (on a consolidated basis) or (B) would prevent, materially delay or materially impede the performance by the Company or its subsidiaries of their respective obligations under this Warrant or the other Loan Documents.</w:t>
      </w:r>
    </w:p>
    <w:p>
      <w:pPr>
        <w:spacing w:after="0" w:line="172" w:lineRule="exact"/>
        <w:rPr>
          <w:rFonts w:ascii="Arial" w:cs="Arial" w:eastAsia="Arial" w:hAnsi="Arial"/>
          <w:sz w:val="16"/>
          <w:szCs w:val="16"/>
          <w:color w:val="auto"/>
        </w:rPr>
      </w:pPr>
    </w:p>
    <w:p>
      <w:pPr>
        <w:jc w:val="both"/>
        <w:ind w:firstLine="1952"/>
        <w:spacing w:after="0" w:line="301" w:lineRule="auto"/>
        <w:tabs>
          <w:tab w:leader="none" w:pos="2239" w:val="left"/>
        </w:tabs>
        <w:numPr>
          <w:ilvl w:val="2"/>
          <w:numId w:val="369"/>
        </w:numPr>
        <w:rPr>
          <w:rFonts w:ascii="Arial" w:cs="Arial" w:eastAsia="Arial" w:hAnsi="Arial"/>
          <w:sz w:val="16"/>
          <w:szCs w:val="16"/>
          <w:color w:val="auto"/>
        </w:rPr>
      </w:pPr>
      <w:r>
        <w:rPr>
          <w:rFonts w:ascii="Arial" w:cs="Arial" w:eastAsia="Arial" w:hAnsi="Arial"/>
          <w:sz w:val="16"/>
          <w:szCs w:val="16"/>
          <w:color w:val="auto"/>
        </w:rPr>
        <w:t>This Warrant is duly authorized, validly issued and constitutes legal, valid and binding obligations of the Company, enforceable against the Company in accordance with its terms, except that the enforcement thereof may be subject to applicable bankruptcy, insolvency or similar laws affecting creditors’ rights generally or by equitable principles relating to enforceability (collectively, the “</w:t>
      </w:r>
      <w:r>
        <w:rPr>
          <w:rFonts w:ascii="Arial" w:cs="Arial" w:eastAsia="Arial" w:hAnsi="Arial"/>
          <w:sz w:val="16"/>
          <w:szCs w:val="16"/>
          <w:b w:val="1"/>
          <w:bCs w:val="1"/>
          <w:color w:val="auto"/>
        </w:rPr>
        <w:t>Enforceability Exceptions</w:t>
      </w:r>
      <w:r>
        <w:rPr>
          <w:rFonts w:ascii="Arial" w:cs="Arial" w:eastAsia="Arial" w:hAnsi="Arial"/>
          <w:sz w:val="16"/>
          <w:szCs w:val="16"/>
          <w:color w:val="auto"/>
        </w:rPr>
        <w:t>”), and has not been issued in violation of any preemptive rights created under the Company’s organizational documents or the laws of the State of Delaware.</w:t>
      </w:r>
    </w:p>
    <w:p>
      <w:pPr>
        <w:spacing w:after="0" w:line="157" w:lineRule="exact"/>
        <w:rPr>
          <w:rFonts w:ascii="Arial" w:cs="Arial" w:eastAsia="Arial" w:hAnsi="Arial"/>
          <w:sz w:val="16"/>
          <w:szCs w:val="16"/>
          <w:color w:val="auto"/>
        </w:rPr>
      </w:pPr>
    </w:p>
    <w:p>
      <w:pPr>
        <w:jc w:val="both"/>
        <w:ind w:firstLine="1952"/>
        <w:spacing w:after="0" w:line="263" w:lineRule="auto"/>
        <w:tabs>
          <w:tab w:leader="none" w:pos="2215" w:val="left"/>
        </w:tabs>
        <w:numPr>
          <w:ilvl w:val="2"/>
          <w:numId w:val="369"/>
        </w:numPr>
        <w:rPr>
          <w:rFonts w:ascii="Arial" w:cs="Arial" w:eastAsia="Arial" w:hAnsi="Arial"/>
          <w:sz w:val="18"/>
          <w:szCs w:val="18"/>
          <w:color w:val="auto"/>
        </w:rPr>
      </w:pPr>
      <w:r>
        <w:rPr>
          <w:rFonts w:ascii="Arial" w:cs="Arial" w:eastAsia="Arial" w:hAnsi="Arial"/>
          <w:sz w:val="18"/>
          <w:szCs w:val="18"/>
          <w:color w:val="auto"/>
        </w:rPr>
        <w:t>The Warrant Shares have been duly authorized and, when issued and delivered to the Holder upon conversion of this Warrant, will be validly issued, fully paid and nonassessable and will not have been issued in violation of any preemptive rights created under the Company’s organizational documents or the laws of the State of Delaware.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49" w:name="page350"/>
    <w:bookmarkEnd w:id="349"/>
    <w:p>
      <w:pPr>
        <w:jc w:val="both"/>
        <w:ind w:firstLine="1952"/>
        <w:spacing w:after="0" w:line="270" w:lineRule="auto"/>
        <w:tabs>
          <w:tab w:leader="none" w:pos="2212" w:val="left"/>
        </w:tabs>
        <w:numPr>
          <w:ilvl w:val="1"/>
          <w:numId w:val="370"/>
        </w:numPr>
        <w:rPr>
          <w:rFonts w:ascii="Arial" w:cs="Arial" w:eastAsia="Arial" w:hAnsi="Arial"/>
          <w:sz w:val="17"/>
          <w:szCs w:val="17"/>
          <w:color w:val="auto"/>
        </w:rPr>
      </w:pPr>
      <w:r>
        <w:rPr>
          <w:rFonts w:ascii="Arial" w:cs="Arial" w:eastAsia="Arial" w:hAnsi="Arial"/>
          <w:sz w:val="17"/>
          <w:szCs w:val="17"/>
          <w:color w:val="auto"/>
        </w:rPr>
        <w:t>The execution and delivery of this Warrant, the issuance and delivery of the Warrant Shares in accordance with the terms hereof and the compliance by the Company with all of the provisions of this Warrant and the consummation of the transactions contemplated herein will not conflict with or result in a breach or violation of any of the terms or provisions of, or constitute a default under, or result in the creation or imposition of any lien, charge or encumbrance upon any of the property or assets of the Company pursuant to the terms of (i) any indenture, mortgage, deed of trust, loan agreement, lease, license or other agreement or instrument to which the Company is a party or by which the Company is bound or to which any of the property or assets of the Company is subject; (ii) the organizational documents of the Company; or (iii) any statute or any judgment, order, rule or regulation of any court or governmental agency or body, domestic or foreign, having jurisdiction over the Company or any of its properties that, in the case of clauses (i) and (iii), would reasonably be expected to have a Company Material Adverse Effect or have a material adverse effect on the Company’s ability to consummate the transactions contemplated hereby.</w:t>
      </w:r>
    </w:p>
    <w:p>
      <w:pPr>
        <w:spacing w:after="0" w:line="180" w:lineRule="exact"/>
        <w:rPr>
          <w:rFonts w:ascii="Arial" w:cs="Arial" w:eastAsia="Arial" w:hAnsi="Arial"/>
          <w:sz w:val="17"/>
          <w:szCs w:val="17"/>
          <w:color w:val="auto"/>
        </w:rPr>
      </w:pPr>
    </w:p>
    <w:p>
      <w:pPr>
        <w:jc w:val="both"/>
        <w:ind w:firstLine="1952"/>
        <w:spacing w:after="0" w:line="285" w:lineRule="auto"/>
        <w:tabs>
          <w:tab w:leader="none" w:pos="2215" w:val="left"/>
        </w:tabs>
        <w:numPr>
          <w:ilvl w:val="1"/>
          <w:numId w:val="370"/>
        </w:numPr>
        <w:rPr>
          <w:rFonts w:ascii="Arial" w:cs="Arial" w:eastAsia="Arial" w:hAnsi="Arial"/>
          <w:sz w:val="16"/>
          <w:szCs w:val="16"/>
          <w:color w:val="auto"/>
        </w:rPr>
      </w:pPr>
      <w:r>
        <w:rPr>
          <w:rFonts w:ascii="Arial" w:cs="Arial" w:eastAsia="Arial" w:hAnsi="Arial"/>
          <w:sz w:val="16"/>
          <w:szCs w:val="16"/>
          <w:color w:val="auto"/>
        </w:rPr>
        <w:t>Assuming the accuracy of the representations and warranties of the Holder, the Company is not required to obtain any consent, waiver, authorization or order of, give any notice to, or make any filing or registration with, any court or other federal, state, local or other governmental authority, self-regulatory organization (including the Nasdaq Stock Market) or other person in connection with the execution, delivery and performance of this Warrant, other than (i) filings required by applicable state securities laws, (ii) the filing of the registration statement pursuant to the First Amendment Registration Rights Agreement, (iii) the filing of a Notice of Exempt Offering of Securities on Form D with the SEC, if applicable and</w:t>
      </w:r>
    </w:p>
    <w:p>
      <w:pPr>
        <w:spacing w:after="0" w:line="1" w:lineRule="exact"/>
        <w:rPr>
          <w:rFonts w:ascii="Arial" w:cs="Arial" w:eastAsia="Arial" w:hAnsi="Arial"/>
          <w:sz w:val="16"/>
          <w:szCs w:val="16"/>
          <w:color w:val="auto"/>
        </w:rPr>
      </w:pPr>
    </w:p>
    <w:p>
      <w:pPr>
        <w:ind w:firstLine="8"/>
        <w:spacing w:after="0" w:line="260" w:lineRule="auto"/>
        <w:tabs>
          <w:tab w:leader="none" w:pos="307" w:val="left"/>
        </w:tabs>
        <w:numPr>
          <w:ilvl w:val="0"/>
          <w:numId w:val="371"/>
        </w:numPr>
        <w:rPr>
          <w:rFonts w:ascii="Arial" w:cs="Arial" w:eastAsia="Arial" w:hAnsi="Arial"/>
          <w:sz w:val="18"/>
          <w:szCs w:val="18"/>
          <w:color w:val="auto"/>
        </w:rPr>
      </w:pPr>
      <w:r>
        <w:rPr>
          <w:rFonts w:ascii="Arial" w:cs="Arial" w:eastAsia="Arial" w:hAnsi="Arial"/>
          <w:sz w:val="18"/>
          <w:szCs w:val="18"/>
          <w:color w:val="auto"/>
        </w:rPr>
        <w:t>those the failure of which to obtain would not be reasonably likely to have a Company Material Adverse Effect or have a material adverse effect on the Company’s ability to consummate the transactions contemplated hereby.</w:t>
      </w:r>
    </w:p>
    <w:p>
      <w:pPr>
        <w:spacing w:after="0" w:line="185" w:lineRule="exact"/>
        <w:rPr>
          <w:rFonts w:ascii="Arial" w:cs="Arial" w:eastAsia="Arial" w:hAnsi="Arial"/>
          <w:sz w:val="18"/>
          <w:szCs w:val="18"/>
          <w:color w:val="auto"/>
        </w:rPr>
      </w:pPr>
    </w:p>
    <w:p>
      <w:pPr>
        <w:jc w:val="both"/>
        <w:ind w:firstLine="1952"/>
        <w:spacing w:after="0" w:line="291" w:lineRule="auto"/>
        <w:tabs>
          <w:tab w:leader="none" w:pos="2169" w:val="left"/>
        </w:tabs>
        <w:numPr>
          <w:ilvl w:val="1"/>
          <w:numId w:val="371"/>
        </w:numPr>
        <w:rPr>
          <w:rFonts w:ascii="Arial" w:cs="Arial" w:eastAsia="Arial" w:hAnsi="Arial"/>
          <w:sz w:val="16"/>
          <w:szCs w:val="16"/>
          <w:color w:val="auto"/>
        </w:rPr>
      </w:pPr>
      <w:r>
        <w:rPr>
          <w:rFonts w:ascii="Arial" w:cs="Arial" w:eastAsia="Arial" w:hAnsi="Arial"/>
          <w:sz w:val="16"/>
          <w:szCs w:val="16"/>
          <w:color w:val="auto"/>
        </w:rPr>
        <w:t>As of their respective dates, all reports required to be filed by the Company with the SEC (the “</w:t>
      </w:r>
      <w:r>
        <w:rPr>
          <w:rFonts w:ascii="Arial" w:cs="Arial" w:eastAsia="Arial" w:hAnsi="Arial"/>
          <w:sz w:val="16"/>
          <w:szCs w:val="16"/>
          <w:b w:val="1"/>
          <w:bCs w:val="1"/>
          <w:i w:val="1"/>
          <w:iCs w:val="1"/>
          <w:color w:val="auto"/>
        </w:rPr>
        <w:t>SEC Reports</w:t>
      </w:r>
      <w:r>
        <w:rPr>
          <w:rFonts w:ascii="Arial" w:cs="Arial" w:eastAsia="Arial" w:hAnsi="Arial"/>
          <w:sz w:val="16"/>
          <w:szCs w:val="16"/>
          <w:color w:val="auto"/>
        </w:rPr>
        <w:t>”) complied in all material respects with the requirements of the Exchange Act, and the rules and regulations of the SEC promulgated thereunder,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financial statements of the Company included in the SEC Reports comply in all material respects with applicable accounting requirements and the rules and regulations of the SEC with respect thereto as in effect at the time of filing and fairly present in all material respects the financial position of the Company as of and for the dates thereof and the results of operations and cash flows for the periods then ended, subject, in the case of unaudited statements, to normal, year-end audit adjustments.</w:t>
      </w:r>
    </w:p>
    <w:p>
      <w:pPr>
        <w:spacing w:after="0" w:line="166" w:lineRule="exact"/>
        <w:rPr>
          <w:rFonts w:ascii="Arial" w:cs="Arial" w:eastAsia="Arial" w:hAnsi="Arial"/>
          <w:sz w:val="16"/>
          <w:szCs w:val="16"/>
          <w:color w:val="auto"/>
        </w:rPr>
      </w:pPr>
    </w:p>
    <w:p>
      <w:pPr>
        <w:jc w:val="both"/>
        <w:ind w:firstLine="1952"/>
        <w:spacing w:after="0" w:line="275" w:lineRule="auto"/>
        <w:tabs>
          <w:tab w:leader="none" w:pos="2199" w:val="left"/>
        </w:tabs>
        <w:numPr>
          <w:ilvl w:val="1"/>
          <w:numId w:val="371"/>
        </w:numPr>
        <w:rPr>
          <w:rFonts w:ascii="Arial" w:cs="Arial" w:eastAsia="Arial" w:hAnsi="Arial"/>
          <w:sz w:val="17"/>
          <w:szCs w:val="17"/>
          <w:color w:val="auto"/>
        </w:rPr>
      </w:pPr>
      <w:r>
        <w:rPr>
          <w:rFonts w:ascii="Arial" w:cs="Arial" w:eastAsia="Arial" w:hAnsi="Arial"/>
          <w:sz w:val="17"/>
          <w:szCs w:val="17"/>
          <w:color w:val="auto"/>
        </w:rPr>
        <w:t>Except for such matters as have not had and would not be reasonably likely to have a Company Material Adverse Effect or have a material adverse effect on the Company’s ability to consummate the transactions contemplated hereby, there is no (i) suit, action, investigation, proceeding or arbitration before a governmental authority or arbitrator pending, or, to the knowledge of the Company, threatened in writing against the Company or any of its directors or officers in their capacities as such or (ii) judgment, decree, injunction, ruling or order of any governmental authority or arbitrator outstanding against the Company or any of its directors or officers in their capacities as such.</w:t>
      </w:r>
    </w:p>
    <w:p>
      <w:pPr>
        <w:spacing w:after="0" w:line="176" w:lineRule="exact"/>
        <w:rPr>
          <w:rFonts w:ascii="Arial" w:cs="Arial" w:eastAsia="Arial" w:hAnsi="Arial"/>
          <w:sz w:val="17"/>
          <w:szCs w:val="17"/>
          <w:color w:val="auto"/>
        </w:rPr>
      </w:pPr>
    </w:p>
    <w:p>
      <w:pPr>
        <w:jc w:val="both"/>
        <w:ind w:firstLine="1952"/>
        <w:spacing w:after="0" w:line="255" w:lineRule="auto"/>
        <w:tabs>
          <w:tab w:leader="none" w:pos="2199" w:val="left"/>
        </w:tabs>
        <w:numPr>
          <w:ilvl w:val="1"/>
          <w:numId w:val="371"/>
        </w:numPr>
        <w:rPr>
          <w:rFonts w:ascii="Arial" w:cs="Arial" w:eastAsia="Arial" w:hAnsi="Arial"/>
          <w:sz w:val="18"/>
          <w:szCs w:val="18"/>
          <w:color w:val="auto"/>
        </w:rPr>
      </w:pPr>
      <w:r>
        <w:rPr>
          <w:rFonts w:ascii="Arial" w:cs="Arial" w:eastAsia="Arial" w:hAnsi="Arial"/>
          <w:sz w:val="18"/>
          <w:szCs w:val="18"/>
          <w:color w:val="auto"/>
        </w:rPr>
        <w:t>Except for such matters as have not had and would not be reasonably likely to have a Company Material Adverse Effect or have a material adverse effect on the Company’s ability to consummate the transactions contemplated hereby, the Company is, and has been since its inception, in compliance with all laws applicable to the conduct of the business of the Company. The Company has not received any written, or to its knowledge, other communication from a governmental entity that alleges that the Company is not in compliance with or is in default or violation of any applicable law, except where such noncompliance, default or violation would not be reasonably expected to have, individually or in the aggregate, a Company Material Adverse Effect.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50" w:name="page351"/>
    <w:bookmarkEnd w:id="350"/>
    <w:p>
      <w:pPr>
        <w:jc w:val="both"/>
        <w:ind w:firstLine="1952"/>
        <w:spacing w:after="0" w:line="263" w:lineRule="auto"/>
        <w:tabs>
          <w:tab w:leader="none" w:pos="2159" w:val="left"/>
        </w:tabs>
        <w:numPr>
          <w:ilvl w:val="1"/>
          <w:numId w:val="372"/>
        </w:numPr>
        <w:rPr>
          <w:rFonts w:ascii="Arial" w:cs="Arial" w:eastAsia="Arial" w:hAnsi="Arial"/>
          <w:sz w:val="18"/>
          <w:szCs w:val="18"/>
          <w:color w:val="auto"/>
        </w:rPr>
      </w:pPr>
      <w:r>
        <w:rPr>
          <w:rFonts w:ascii="Arial" w:cs="Arial" w:eastAsia="Arial" w:hAnsi="Arial"/>
          <w:sz w:val="18"/>
          <w:szCs w:val="18"/>
          <w:color w:val="auto"/>
        </w:rPr>
        <w:t>The Company has all franchises, permits, licenses and any similar authority necessary for the conduct of its business as now being conducted by it, the lack of which would have a material adverse effect, and to the Company’s knowledge, the Company is not in default in any material respect under any of such franchises, permits, licenses or other authority.</w:t>
      </w:r>
    </w:p>
    <w:p>
      <w:pPr>
        <w:spacing w:after="0" w:line="183" w:lineRule="exact"/>
        <w:rPr>
          <w:rFonts w:ascii="Arial" w:cs="Arial" w:eastAsia="Arial" w:hAnsi="Arial"/>
          <w:sz w:val="18"/>
          <w:szCs w:val="18"/>
          <w:color w:val="auto"/>
        </w:rPr>
      </w:pPr>
    </w:p>
    <w:p>
      <w:pPr>
        <w:jc w:val="both"/>
        <w:ind w:firstLine="1952"/>
        <w:spacing w:after="0" w:line="259" w:lineRule="auto"/>
        <w:tabs>
          <w:tab w:leader="none" w:pos="2159" w:val="left"/>
        </w:tabs>
        <w:numPr>
          <w:ilvl w:val="1"/>
          <w:numId w:val="372"/>
        </w:numPr>
        <w:rPr>
          <w:rFonts w:ascii="Arial" w:cs="Arial" w:eastAsia="Arial" w:hAnsi="Arial"/>
          <w:sz w:val="18"/>
          <w:szCs w:val="18"/>
          <w:color w:val="auto"/>
        </w:rPr>
      </w:pPr>
      <w:r>
        <w:rPr>
          <w:rFonts w:ascii="Arial" w:cs="Arial" w:eastAsia="Arial" w:hAnsi="Arial"/>
          <w:sz w:val="18"/>
          <w:szCs w:val="18"/>
          <w:color w:val="auto"/>
        </w:rPr>
        <w:t>There is no action, suit, proceeding or investigation pending or, to the Company’s knowledge, currently threatened in writing against the Company that questions the validity of this Warrant or the right of the Company to enter into this Warrant, or to consummate the transactions contemplated hereby, or that might result, if determined adversely to the Company, in a material adverse effect, or in any material change in the current equity ownership of the Company.</w:t>
      </w:r>
    </w:p>
    <w:p>
      <w:pPr>
        <w:spacing w:after="0" w:line="186" w:lineRule="exact"/>
        <w:rPr>
          <w:rFonts w:ascii="Arial" w:cs="Arial" w:eastAsia="Arial" w:hAnsi="Arial"/>
          <w:sz w:val="18"/>
          <w:szCs w:val="18"/>
          <w:color w:val="auto"/>
        </w:rPr>
      </w:pPr>
    </w:p>
    <w:p>
      <w:pPr>
        <w:jc w:val="both"/>
        <w:ind w:firstLine="1952"/>
        <w:spacing w:after="0" w:line="291" w:lineRule="auto"/>
        <w:tabs>
          <w:tab w:leader="none" w:pos="2212" w:val="left"/>
        </w:tabs>
        <w:numPr>
          <w:ilvl w:val="1"/>
          <w:numId w:val="372"/>
        </w:numPr>
        <w:rPr>
          <w:rFonts w:ascii="Arial" w:cs="Arial" w:eastAsia="Arial" w:hAnsi="Arial"/>
          <w:sz w:val="16"/>
          <w:szCs w:val="16"/>
          <w:color w:val="auto"/>
        </w:rPr>
      </w:pPr>
      <w:r>
        <w:rPr>
          <w:rFonts w:ascii="Arial" w:cs="Arial" w:eastAsia="Arial" w:hAnsi="Arial"/>
          <w:sz w:val="16"/>
          <w:szCs w:val="16"/>
          <w:color w:val="auto"/>
        </w:rPr>
        <w:t>To the Company’s knowledge, the Company owns or possesses sufficient legal rights to all (a) patents, patent applications and inventions; (b) trademarks, service marks, trade names, trade dress, logos, domain names or corporate names and registrations and applications for registration thereof, together with all of the goodwill associated therewith; (c) copyrights (registered or unregistered) and copyrightable works and registrations and applications for registrations thereof; (d) computer software, data, and databases and documentation thereof; (e) trade secrets and other confidential information; and (f) licenses, information and proprietary rights and processes necessary for its business as now conducted. The Company has not received any written communications alleging that the Company has violated or, by conducting its business as proposed, would violate any of the patents, trademarks, service marks, trade names, copyrights or trade secrets or other proprietary rights of any other person or entity.</w:t>
      </w:r>
    </w:p>
    <w:p>
      <w:pPr>
        <w:spacing w:after="0" w:line="166" w:lineRule="exact"/>
        <w:rPr>
          <w:rFonts w:ascii="Arial" w:cs="Arial" w:eastAsia="Arial" w:hAnsi="Arial"/>
          <w:sz w:val="16"/>
          <w:szCs w:val="16"/>
          <w:color w:val="auto"/>
        </w:rPr>
      </w:pPr>
    </w:p>
    <w:p>
      <w:pPr>
        <w:ind w:left="1580" w:hanging="276"/>
        <w:spacing w:after="0"/>
        <w:tabs>
          <w:tab w:leader="none" w:pos="1580" w:val="left"/>
        </w:tabs>
        <w:numPr>
          <w:ilvl w:val="0"/>
          <w:numId w:val="373"/>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Warrant, the following terms shall have the following meanings:</w:t>
      </w:r>
    </w:p>
    <w:p>
      <w:pPr>
        <w:spacing w:after="0" w:line="221" w:lineRule="exact"/>
        <w:rPr>
          <w:rFonts w:ascii="Arial" w:cs="Arial" w:eastAsia="Arial" w:hAnsi="Arial"/>
          <w:sz w:val="18"/>
          <w:szCs w:val="18"/>
          <w:color w:val="auto"/>
        </w:rPr>
      </w:pPr>
    </w:p>
    <w:p>
      <w:pPr>
        <w:ind w:firstLine="1952"/>
        <w:spacing w:after="0" w:line="282" w:lineRule="auto"/>
        <w:tabs>
          <w:tab w:leader="none" w:pos="2188" w:val="left"/>
        </w:tabs>
        <w:numPr>
          <w:ilvl w:val="1"/>
          <w:numId w:val="3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61" w:lineRule="exact"/>
        <w:rPr>
          <w:rFonts w:ascii="Arial" w:cs="Arial" w:eastAsia="Arial" w:hAnsi="Arial"/>
          <w:sz w:val="18"/>
          <w:szCs w:val="18"/>
          <w:color w:val="auto"/>
        </w:rPr>
      </w:pPr>
    </w:p>
    <w:p>
      <w:pPr>
        <w:jc w:val="both"/>
        <w:ind w:firstLine="1952"/>
        <w:spacing w:after="0" w:line="294" w:lineRule="auto"/>
        <w:tabs>
          <w:tab w:leader="none" w:pos="2212" w:val="left"/>
        </w:tabs>
        <w:numPr>
          <w:ilvl w:val="1"/>
          <w:numId w:val="37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Attribution Parties</w:t>
      </w:r>
      <w:r>
        <w:rPr>
          <w:rFonts w:ascii="Arial" w:cs="Arial" w:eastAsia="Arial" w:hAnsi="Arial"/>
          <w:sz w:val="16"/>
          <w:szCs w:val="16"/>
          <w:color w:val="auto"/>
        </w:rPr>
        <w:t>” means, collectively, the following Persons and entities: (i) any investment vehicle, including, any funds, feeder funds or managed accounts, currently, or from time to time after the Issuance Date, directly or indirectly managed or advised by the Holder’s investment manager or any of its Affiliates or principals, (ii) any direct or indirect Affiliates of the Holder or any of the foregoing, (iii) any Person acting or who could be deemed to be acting as a Group together with the Holder or any of the foregoing and (iv) any other Persons whose beneficial ownership of the Company’s Common Stock would or could be aggregated with the Holder’s and the other Attribution Parties for purposes of Section 13(d) of the Exchange Act. For clarity, the purpose of the foregoing is to subject collectively the Holder and all other Attribution Parties to the Maximum Percentage.</w:t>
      </w:r>
    </w:p>
    <w:p>
      <w:pPr>
        <w:spacing w:after="0" w:line="159" w:lineRule="exact"/>
        <w:rPr>
          <w:rFonts w:ascii="Arial" w:cs="Arial" w:eastAsia="Arial" w:hAnsi="Arial"/>
          <w:sz w:val="16"/>
          <w:szCs w:val="16"/>
          <w:color w:val="auto"/>
        </w:rPr>
      </w:pPr>
    </w:p>
    <w:p>
      <w:pPr>
        <w:jc w:val="both"/>
        <w:ind w:firstLine="1952"/>
        <w:spacing w:after="0" w:line="267" w:lineRule="auto"/>
        <w:tabs>
          <w:tab w:leader="none" w:pos="2188" w:val="left"/>
        </w:tabs>
        <w:numPr>
          <w:ilvl w:val="1"/>
          <w:numId w:val="37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Black Scholes Going Private Value</w:t>
      </w:r>
      <w:r>
        <w:rPr>
          <w:rFonts w:ascii="Arial" w:cs="Arial" w:eastAsia="Arial" w:hAnsi="Arial"/>
          <w:sz w:val="17"/>
          <w:szCs w:val="17"/>
          <w:color w:val="auto"/>
        </w:rPr>
        <w:t xml:space="preserve">” means the value of the unexercised portion of this Warrant remaining on the date of the consummation of the Fundamental Transaction referred to in Section </w:t>
      </w:r>
      <w:r>
        <w:rPr>
          <w:rFonts w:ascii="Arial" w:cs="Arial" w:eastAsia="Arial" w:hAnsi="Arial"/>
          <w:sz w:val="20"/>
          <w:szCs w:val="20"/>
          <w:b w:val="1"/>
          <w:bCs w:val="1"/>
          <w:color w:val="auto"/>
        </w:rPr>
        <w:t>‎</w:t>
      </w:r>
      <w:r>
        <w:rPr>
          <w:rFonts w:ascii="Arial" w:cs="Arial" w:eastAsia="Arial" w:hAnsi="Arial"/>
          <w:sz w:val="17"/>
          <w:szCs w:val="17"/>
          <w:color w:val="auto"/>
        </w:rPr>
        <w:t>4(b)(i), which value is calculated using the Black Scholes Option Pricing Model obtained from the “OV” function on Bloomberg utilizing (i) an underlying price per share equal to the greater of (1) the highest Closing Sale Price of the Common Stock during the period beginning on the Trading Day immediately preceding the announcement of the applicable Fundamental Transaction (or the consummation of the applicable Fundamental Transaction, if earlier) and ending on the date of consummation of the applicable Fundamental Transaction and (2) the sum of the price per share being offered in cash in the applicable Fundamental Transaction (if any) plus the value of the non-cash consideration being offered in the applicable Fundamental Transaction (if any), (ii) a strike price equal to the Exercise Price in effect on the date of consummation of the applicable Fundamental Transaction, (iii) a risk-free interest rate corresponding to the U.S. Treasury rate for a period equal to the greater of (1) the remaining term of this Warrant as of the date of consummation of the applicable Fundamental Transaction and (2) the remaining term of this Warrant as of the date of consummation of the applicable Fundamental Transaction, (iv) a zero cost of borrow and (v) an expected volatility equal to the greater of 100% and the 60 day volatility obtained from the “HVT” function on Bloomberg (determined utilizing a 365 day annualization factor) as of the Trading Day immediately following the earliest to occur of (A) the public disclosure of the applicable Fundamental Transaction, and (B) the consummation of the applicable Fundamental Transaction.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51" w:name="page352"/>
    <w:bookmarkEnd w:id="351"/>
    <w:p>
      <w:pPr>
        <w:jc w:val="both"/>
        <w:ind w:firstLine="1952"/>
        <w:spacing w:after="0" w:line="267" w:lineRule="auto"/>
        <w:tabs>
          <w:tab w:leader="none" w:pos="2212" w:val="left"/>
        </w:tabs>
        <w:numPr>
          <w:ilvl w:val="0"/>
          <w:numId w:val="37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Black Scholes Value</w:t>
      </w:r>
      <w:r>
        <w:rPr>
          <w:rFonts w:ascii="Arial" w:cs="Arial" w:eastAsia="Arial" w:hAnsi="Arial"/>
          <w:sz w:val="17"/>
          <w:szCs w:val="17"/>
          <w:color w:val="auto"/>
        </w:rPr>
        <w:t xml:space="preserve">” means the value of the unexercised portion of this Warrant remaining on the date of the Holder’s request pursuant to Section </w:t>
      </w:r>
      <w:r>
        <w:rPr>
          <w:rFonts w:ascii="Arial" w:cs="Arial" w:eastAsia="Arial" w:hAnsi="Arial"/>
          <w:sz w:val="20"/>
          <w:szCs w:val="20"/>
          <w:b w:val="1"/>
          <w:bCs w:val="1"/>
          <w:color w:val="auto"/>
        </w:rPr>
        <w:t>‎</w:t>
      </w:r>
      <w:r>
        <w:rPr>
          <w:rFonts w:ascii="Arial" w:cs="Arial" w:eastAsia="Arial" w:hAnsi="Arial"/>
          <w:sz w:val="17"/>
          <w:szCs w:val="17"/>
          <w:color w:val="auto"/>
        </w:rPr>
        <w:t xml:space="preserve">4(c), which value is calculated using the Black Scholes Option Pricing Model obtained from the “OV” function on Bloomberg utilizing (i) an underlying price per share equal to the greater of (1) the highest Closing Sale Price of the Common Stock during the period beginning on the Trading Day immediately preceding the announcement of the applicable Fundamental Transaction (or the consummation of the applicable Fundamental Transaction, if earlier) and ending on the Trading Day of the Holder’s request pursuant to Section </w:t>
      </w:r>
      <w:r>
        <w:rPr>
          <w:rFonts w:ascii="Arial" w:cs="Arial" w:eastAsia="Arial" w:hAnsi="Arial"/>
          <w:sz w:val="20"/>
          <w:szCs w:val="20"/>
          <w:b w:val="1"/>
          <w:bCs w:val="1"/>
          <w:color w:val="auto"/>
        </w:rPr>
        <w:t>‎</w:t>
      </w:r>
      <w:r>
        <w:rPr>
          <w:rFonts w:ascii="Arial" w:cs="Arial" w:eastAsia="Arial" w:hAnsi="Arial"/>
          <w:sz w:val="17"/>
          <w:szCs w:val="17"/>
          <w:color w:val="auto"/>
        </w:rPr>
        <w:t xml:space="preserve">4(c) and (2) the sum of the price per share being offered in cash in the applicable Fundamental Transaction (if any) plus the value of the non-cash consideration being offered in the applicable Fundamental Transaction (if any), (ii) a strike price equal to the Exercise Price in effect on the date of the Holder’s request pursuant to Section 4(c), (iii) a risk-free interest rate corresponding to the U.S. Treasury rate for a period equal to the greater of (1) the remaining term of this Warrant as of the date of the Holder’s request pursuant to Section </w:t>
      </w:r>
      <w:r>
        <w:rPr>
          <w:rFonts w:ascii="Arial" w:cs="Arial" w:eastAsia="Arial" w:hAnsi="Arial"/>
          <w:sz w:val="20"/>
          <w:szCs w:val="20"/>
          <w:b w:val="1"/>
          <w:bCs w:val="1"/>
          <w:color w:val="auto"/>
        </w:rPr>
        <w:t>‎</w:t>
      </w:r>
      <w:r>
        <w:rPr>
          <w:rFonts w:ascii="Arial" w:cs="Arial" w:eastAsia="Arial" w:hAnsi="Arial"/>
          <w:sz w:val="17"/>
          <w:szCs w:val="17"/>
          <w:color w:val="auto"/>
        </w:rPr>
        <w:t xml:space="preserve">4(c) and (2) the remaining term of this Warrant as of the date of consummation of the applicable Fundamental Transaction or as of the date of the Holder’s request pursuant to Section </w:t>
      </w:r>
      <w:r>
        <w:rPr>
          <w:rFonts w:ascii="Arial" w:cs="Arial" w:eastAsia="Arial" w:hAnsi="Arial"/>
          <w:sz w:val="20"/>
          <w:szCs w:val="20"/>
          <w:b w:val="1"/>
          <w:bCs w:val="1"/>
          <w:color w:val="auto"/>
        </w:rPr>
        <w:t>‎</w:t>
      </w:r>
      <w:r>
        <w:rPr>
          <w:rFonts w:ascii="Arial" w:cs="Arial" w:eastAsia="Arial" w:hAnsi="Arial"/>
          <w:sz w:val="17"/>
          <w:szCs w:val="17"/>
          <w:color w:val="auto"/>
        </w:rPr>
        <w:t>4(c) if such request is prior to the date of the consummation of the applicable Fundamental Transaction, (iv) a zero cost of borrow and (v) an expected volatility equal to the greater of 100% and the 60 day volatility obtained from the “HVT” function on Bloomberg (determined utilizing a 365 day annualization factor) as of the Trading Day immediately following the earliest to occur of (A) the public disclosure of the applicable Fundamental Transaction, (B) the consummation of the applicable Fundamental Transaction and (C) the date on which the Holder first became aware of the applicable Fundamental Transaction.</w:t>
      </w:r>
    </w:p>
    <w:p>
      <w:pPr>
        <w:spacing w:after="0" w:line="176" w:lineRule="exact"/>
        <w:rPr>
          <w:rFonts w:ascii="Arial" w:cs="Arial" w:eastAsia="Arial" w:hAnsi="Arial"/>
          <w:sz w:val="17"/>
          <w:szCs w:val="17"/>
          <w:color w:val="auto"/>
        </w:rPr>
      </w:pPr>
    </w:p>
    <w:p>
      <w:pPr>
        <w:ind w:left="2200" w:hanging="248"/>
        <w:spacing w:after="0"/>
        <w:tabs>
          <w:tab w:leader="none" w:pos="220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Bloomberg</w:t>
      </w:r>
      <w:r>
        <w:rPr>
          <w:rFonts w:ascii="Arial" w:cs="Arial" w:eastAsia="Arial" w:hAnsi="Arial"/>
          <w:sz w:val="18"/>
          <w:szCs w:val="18"/>
          <w:color w:val="auto"/>
        </w:rPr>
        <w:t>” means Bloomberg, L.P.</w:t>
      </w:r>
    </w:p>
    <w:p>
      <w:pPr>
        <w:spacing w:after="0" w:line="225" w:lineRule="exact"/>
        <w:rPr>
          <w:rFonts w:ascii="Arial" w:cs="Arial" w:eastAsia="Arial" w:hAnsi="Arial"/>
          <w:sz w:val="18"/>
          <w:szCs w:val="18"/>
          <w:color w:val="auto"/>
        </w:rPr>
      </w:pPr>
    </w:p>
    <w:p>
      <w:pPr>
        <w:ind w:firstLine="1952"/>
        <w:spacing w:after="0" w:line="347" w:lineRule="auto"/>
        <w:tabs>
          <w:tab w:leader="none" w:pos="2182" w:val="left"/>
        </w:tabs>
        <w:numPr>
          <w:ilvl w:val="0"/>
          <w:numId w:val="37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Business Day</w:t>
      </w:r>
      <w:r>
        <w:rPr>
          <w:rFonts w:ascii="Arial" w:cs="Arial" w:eastAsia="Arial" w:hAnsi="Arial"/>
          <w:sz w:val="16"/>
          <w:szCs w:val="16"/>
          <w:color w:val="auto"/>
        </w:rPr>
        <w:t>” means any day except any Saturday, any Sunday, any day which is a federal legal holiday in the United States or any day on which banking institutions in the State of New York are authorized or required by law or other governmental action to close.</w:t>
      </w:r>
    </w:p>
    <w:p>
      <w:pPr>
        <w:spacing w:after="0" w:line="115" w:lineRule="exact"/>
        <w:rPr>
          <w:rFonts w:ascii="Arial" w:cs="Arial" w:eastAsia="Arial" w:hAnsi="Arial"/>
          <w:sz w:val="16"/>
          <w:szCs w:val="16"/>
          <w:color w:val="auto"/>
        </w:rPr>
      </w:pPr>
    </w:p>
    <w:p>
      <w:pPr>
        <w:jc w:val="both"/>
        <w:ind w:firstLine="1952"/>
        <w:spacing w:after="0" w:line="268" w:lineRule="auto"/>
        <w:tabs>
          <w:tab w:leader="none" w:pos="2212" w:val="left"/>
        </w:tabs>
        <w:numPr>
          <w:ilvl w:val="0"/>
          <w:numId w:val="37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Closing Bid Price</w:t>
      </w:r>
      <w:r>
        <w:rPr>
          <w:rFonts w:ascii="Arial" w:cs="Arial" w:eastAsia="Arial" w:hAnsi="Arial"/>
          <w:sz w:val="17"/>
          <w:szCs w:val="17"/>
          <w:color w:val="auto"/>
        </w:rPr>
        <w:t>” and “</w:t>
      </w:r>
      <w:r>
        <w:rPr>
          <w:rFonts w:ascii="Arial" w:cs="Arial" w:eastAsia="Arial" w:hAnsi="Arial"/>
          <w:sz w:val="17"/>
          <w:szCs w:val="17"/>
          <w:b w:val="1"/>
          <w:bCs w:val="1"/>
          <w:color w:val="auto"/>
        </w:rPr>
        <w:t>Closing Sale Price</w:t>
      </w:r>
      <w:r>
        <w:rPr>
          <w:rFonts w:ascii="Arial" w:cs="Arial" w:eastAsia="Arial" w:hAnsi="Arial"/>
          <w:sz w:val="17"/>
          <w:szCs w:val="17"/>
          <w:color w:val="auto"/>
        </w:rPr>
        <w:t xml:space="preserve">” means, for any security as of any date, the last closing bid price and last closing trade price, respectively, for such security on the Principal Market, as reported by Bloomberg, or, if the Principal Market begins to operate on an extended hours basis and does not designate the closing bid price or the closing trade price, as the case may be, then the last bid price or the last trade price, respectively, of such security prior to 4:00:00 p.m., New York time, as reported by Bloomberg, or, if the Principal Market is not the principal securities exchange or trading market for such security, the last closing bid price or last trade price, respectively, of such security on the principal securities exchange or trading market where such security is listed or traded as reported by Bloomberg, or if the foregoing do not apply, the last closing bid price or last trade price, respectively, of such security in the over-the-counter market on the electronic bulletin board for such security as reported by Bloomberg, or, if no closing bid price or last trade price, respectively, is reported for such security by Bloomberg, the average of the bid prices, or the ask prices, respectively, of any market makers for such security as reported in the OTC Link or “pink sheets” by OTC Markets Group Inc. (formerly Pink OTC Markets Inc.). If the Closing Bid Price or the Closing Sale Price cannot be calculated for a security on a particular date on any of the foregoing bases, the Closing Bid Price or the Closing Sale Price, as the case may be, of such security on such date shall be the fair market value as mutually determined by the Company and the Holder. If the Company and the Holder are unable to agree upon the fair market value of such security, then such dispute shall be resolved pursuant to Section </w:t>
      </w:r>
      <w:r>
        <w:rPr>
          <w:rFonts w:ascii="Arial" w:cs="Arial" w:eastAsia="Arial" w:hAnsi="Arial"/>
          <w:sz w:val="20"/>
          <w:szCs w:val="20"/>
          <w:b w:val="1"/>
          <w:bCs w:val="1"/>
          <w:color w:val="auto"/>
        </w:rPr>
        <w:t>‎</w:t>
      </w:r>
      <w:r>
        <w:rPr>
          <w:rFonts w:ascii="Arial" w:cs="Arial" w:eastAsia="Arial" w:hAnsi="Arial"/>
          <w:sz w:val="17"/>
          <w:szCs w:val="17"/>
          <w:color w:val="auto"/>
        </w:rPr>
        <w:t>12. All such determinations to be appropriately adjusted for any stock dividend, stock split, stock combination, reclassification or other similar transaction during the applicable calculation period.</w:t>
      </w:r>
    </w:p>
    <w:p>
      <w:pPr>
        <w:spacing w:after="0" w:line="172" w:lineRule="exact"/>
        <w:rPr>
          <w:rFonts w:ascii="Arial" w:cs="Arial" w:eastAsia="Arial" w:hAnsi="Arial"/>
          <w:sz w:val="17"/>
          <w:szCs w:val="17"/>
          <w:color w:val="auto"/>
        </w:rPr>
      </w:pPr>
    </w:p>
    <w:p>
      <w:pPr>
        <w:ind w:firstLine="1952"/>
        <w:spacing w:after="0" w:line="312" w:lineRule="auto"/>
        <w:tabs>
          <w:tab w:leader="none" w:pos="2199" w:val="left"/>
        </w:tabs>
        <w:numPr>
          <w:ilvl w:val="0"/>
          <w:numId w:val="37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Common Stock</w:t>
      </w:r>
      <w:r>
        <w:rPr>
          <w:rFonts w:ascii="Arial" w:cs="Arial" w:eastAsia="Arial" w:hAnsi="Arial"/>
          <w:sz w:val="17"/>
          <w:szCs w:val="17"/>
          <w:color w:val="auto"/>
        </w:rPr>
        <w:t>” means (i) the Company’s shares of common stock, par value $0.0001 per share, and (ii) any share capital into which such common stock shall have been changed or any share capital resulting from a reclassification of such common stock.</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2" w:name="page353"/>
    <w:bookmarkEnd w:id="352"/>
    <w:p>
      <w:pPr>
        <w:ind w:firstLine="1952"/>
        <w:spacing w:after="0" w:line="282" w:lineRule="auto"/>
        <w:tabs>
          <w:tab w:leader="none" w:pos="2199" w:val="left"/>
        </w:tabs>
        <w:numPr>
          <w:ilvl w:val="0"/>
          <w:numId w:val="3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Convertible Securities</w:t>
      </w:r>
      <w:r>
        <w:rPr>
          <w:rFonts w:ascii="Arial" w:cs="Arial" w:eastAsia="Arial" w:hAnsi="Arial"/>
          <w:sz w:val="18"/>
          <w:szCs w:val="18"/>
          <w:color w:val="auto"/>
        </w:rPr>
        <w:t>” means any stock or securities (other than Options) directly or indirectly convertible into or exercisable or exchangeable for shares of Common Stock.</w:t>
      </w:r>
    </w:p>
    <w:p>
      <w:pPr>
        <w:spacing w:after="0" w:line="161" w:lineRule="exact"/>
        <w:rPr>
          <w:rFonts w:ascii="Arial" w:cs="Arial" w:eastAsia="Arial" w:hAnsi="Arial"/>
          <w:sz w:val="18"/>
          <w:szCs w:val="18"/>
          <w:color w:val="auto"/>
        </w:rPr>
      </w:pPr>
    </w:p>
    <w:p>
      <w:pPr>
        <w:ind w:right="20" w:firstLine="1952"/>
        <w:spacing w:after="0" w:line="282" w:lineRule="auto"/>
        <w:tabs>
          <w:tab w:leader="none" w:pos="2172" w:val="left"/>
        </w:tabs>
        <w:numPr>
          <w:ilvl w:val="0"/>
          <w:numId w:val="3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Market</w:t>
      </w:r>
      <w:r>
        <w:rPr>
          <w:rFonts w:ascii="Arial" w:cs="Arial" w:eastAsia="Arial" w:hAnsi="Arial"/>
          <w:sz w:val="18"/>
          <w:szCs w:val="18"/>
          <w:color w:val="auto"/>
        </w:rPr>
        <w:t>” means The Nasdaq Capital Market, The Nasdaq Global Select Market, The Nasdaq Global Market, the NYSE American, or The New York Stock Exchange.</w:t>
      </w:r>
    </w:p>
    <w:p>
      <w:pPr>
        <w:spacing w:after="0" w:line="161" w:lineRule="exact"/>
        <w:rPr>
          <w:rFonts w:ascii="Arial" w:cs="Arial" w:eastAsia="Arial" w:hAnsi="Arial"/>
          <w:sz w:val="18"/>
          <w:szCs w:val="18"/>
          <w:color w:val="auto"/>
        </w:rPr>
      </w:pPr>
    </w:p>
    <w:p>
      <w:pPr>
        <w:ind w:firstLine="1952"/>
        <w:spacing w:after="0" w:line="312" w:lineRule="auto"/>
        <w:tabs>
          <w:tab w:leader="none" w:pos="2212" w:val="left"/>
        </w:tabs>
        <w:numPr>
          <w:ilvl w:val="0"/>
          <w:numId w:val="37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Expiration Date</w:t>
      </w:r>
      <w:r>
        <w:rPr>
          <w:rFonts w:ascii="Arial" w:cs="Arial" w:eastAsia="Arial" w:hAnsi="Arial"/>
          <w:sz w:val="17"/>
          <w:szCs w:val="17"/>
          <w:color w:val="auto"/>
        </w:rPr>
        <w:t>” means the date that is the five (5) year anniversary of the Issuance Date or, if such date falls on a day other than a Trading Day or on which trading does not take place on the Principal Market (a “</w:t>
      </w:r>
      <w:r>
        <w:rPr>
          <w:rFonts w:ascii="Arial" w:cs="Arial" w:eastAsia="Arial" w:hAnsi="Arial"/>
          <w:sz w:val="17"/>
          <w:szCs w:val="17"/>
          <w:b w:val="1"/>
          <w:bCs w:val="1"/>
          <w:color w:val="auto"/>
        </w:rPr>
        <w:t>Holiday</w:t>
      </w:r>
      <w:r>
        <w:rPr>
          <w:rFonts w:ascii="Arial" w:cs="Arial" w:eastAsia="Arial" w:hAnsi="Arial"/>
          <w:sz w:val="17"/>
          <w:szCs w:val="17"/>
          <w:color w:val="auto"/>
        </w:rPr>
        <w:t>”), the next date that is not a Holiday.</w:t>
      </w:r>
    </w:p>
    <w:p>
      <w:pPr>
        <w:spacing w:after="0" w:line="139" w:lineRule="exact"/>
        <w:rPr>
          <w:rFonts w:ascii="Arial" w:cs="Arial" w:eastAsia="Arial" w:hAnsi="Arial"/>
          <w:sz w:val="17"/>
          <w:szCs w:val="17"/>
          <w:color w:val="auto"/>
        </w:rPr>
      </w:pPr>
    </w:p>
    <w:p>
      <w:pPr>
        <w:jc w:val="both"/>
        <w:ind w:firstLine="1952"/>
        <w:spacing w:after="0" w:line="284" w:lineRule="auto"/>
        <w:tabs>
          <w:tab w:leader="none" w:pos="2186" w:val="left"/>
        </w:tabs>
        <w:numPr>
          <w:ilvl w:val="0"/>
          <w:numId w:val="37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Fundamental Transaction</w:t>
      </w:r>
      <w:r>
        <w:rPr>
          <w:rFonts w:ascii="Arial" w:cs="Arial" w:eastAsia="Arial" w:hAnsi="Arial"/>
          <w:sz w:val="16"/>
          <w:szCs w:val="16"/>
          <w:color w:val="auto"/>
        </w:rPr>
        <w:t>” means (A) that the Company shall, directly or indirectly, including through subsidiaries, Affiliates or otherwise, in one or more related transactions, (i) consolidate or merge with or into (whether or not the Company is the surviving corporation) another Subject Entity, or (ii) sell, assign, transfer, convey or otherwise dispose of all or substantially all of the properties or assets of the Company or any of its “significant subsidiaries” (as defined in Rule 1-02 of Regulation S-X) to one or more Subject Entities, or (iii) make, or allow one or more Subject Entities to make, or allow the Company to be subject to or have its Common Stock be subject to or party to one or more Subject Entities making, a purchase, tender or exchange offer that is accepted by the holders of at least either (x) 50% of the outstanding shares of Common Stock, (y) 50% of the outstanding shares of Common Stock calculated as if any shares of Common Stock held by all Subject Entities making or party to, or Affiliated with any Subject Entities making or party to, such purchase, tender or exchange offer were not outstanding; or (z) such number of shares of Common Stock such that all Subject Entities making or party to, or Affiliated with any Subject Entity making or party to, such purchase, tender or exchange offer, become collectively the beneficial owners (as defined in Rule 13d-3 under the Exchange Act) of at least 50% of the outstanding shares of Common Stock, or (iv) consummate a stock purchase agreement or other business combination (including, without limitation, a reorganization, recapitalization, spin-off or scheme of arrangement) with one or more Subject Entities whereby all such Subject Entities, individually or in the aggregate, acquire, either (x) at least 50% of the outstanding shares of Common Stock, (y) at least 50% of the outstanding shares of Common Stock calculated as if any shares of Common Stock held by all the Subject Entities making or party to, or Affiliated with any Subject Entity making or party to, such stock purchase agreement or other business combination were not outstanding; or (z) such number of shares of Common Stock such that the Subject Entities become collectively the beneficial owners (as defined in Rule 13d-3 under the Exchange Act) of at least 50% of the outstanding shares of Common Stock, or (v) reorganize, recapitalize or reclassify its Common Stock, (B) that the Company shall, directly or indirectly, including through subsidiaries, Affiliates or otherwise, in one or more related transactions, allow any Subject Entity individually or the Subject Entities in the aggregate to be or become the “beneficial owner” (as defined in Rule 13d-3 under the Exchange Act), directly or indirectly, whether through acquisition, purchase, assignment, conveyance, tender, tender offer, exchange, reduction in outstanding shares of Common Stock, merger, consolidation, business combination, reorganization, recapitalization, spin-off, scheme of arrangement, reorganization, recapitalization or reclassification or otherwise in any manner whatsoever, of either (x) at least 50% of the aggregate ordinary voting power represented by issued and outstanding Common Stock, (y) at least 50% of the aggregate ordinary voting power represented by issued and outstanding Common Stock not held by all such Subject Entities as of the date of this Warrant calculated as if any shares of Common Stock held by all such Subject Entities were not outstanding, or (z) a percentage of the aggregate ordinary voting power represented by issued and outstanding shares of Common Stock or other equity securities of the Company sufficient to allow such Subject Entities to effect a statutory short form merger or other transaction requiring other stockholders of the Company to surrender their shares of Common Stock without approval of the stockholders of the Company or (C) directly or indirectly, including through subsidiaries, Affiliates or otherwise, in one or more related transactions, the issuance of or the entering into any other instrument or transaction structured in a manner to circumvent, or that circumvents, the intent of this definition in which case this definition shall be construed and implemented in a manner otherwise than in strict conformity with the terms of this definition to the extent necessary to correct this definition or any portion of this definition which may be defective or inconsistent with the intended treatment of such instrument or transaction.</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3" w:name="page354"/>
    <w:bookmarkEnd w:id="353"/>
    <w:p>
      <w:pPr>
        <w:ind w:left="1960"/>
        <w:spacing w:after="0"/>
        <w:rPr>
          <w:sz w:val="20"/>
          <w:szCs w:val="20"/>
          <w:color w:val="auto"/>
        </w:rPr>
      </w:pPr>
      <w:r>
        <w:rPr>
          <w:rFonts w:ascii="Arial" w:cs="Arial" w:eastAsia="Arial" w:hAnsi="Arial"/>
          <w:sz w:val="17"/>
          <w:szCs w:val="17"/>
          <w:color w:val="auto"/>
        </w:rPr>
        <w:t>(m) “</w:t>
      </w:r>
      <w:r>
        <w:rPr>
          <w:rFonts w:ascii="Arial" w:cs="Arial" w:eastAsia="Arial" w:hAnsi="Arial"/>
          <w:sz w:val="17"/>
          <w:szCs w:val="17"/>
          <w:b w:val="1"/>
          <w:bCs w:val="1"/>
          <w:color w:val="auto"/>
        </w:rPr>
        <w:t>Group</w:t>
      </w:r>
      <w:r>
        <w:rPr>
          <w:rFonts w:ascii="Arial" w:cs="Arial" w:eastAsia="Arial" w:hAnsi="Arial"/>
          <w:sz w:val="17"/>
          <w:szCs w:val="17"/>
          <w:color w:val="auto"/>
        </w:rPr>
        <w:t>” means a “group” as that term is used in Section 13(d) of the Exchange Act and as defined in Rule 13d-5</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thereunder.</w:t>
      </w:r>
    </w:p>
    <w:p>
      <w:pPr>
        <w:spacing w:after="0" w:line="207"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(n) “</w:t>
      </w:r>
      <w:r>
        <w:rPr>
          <w:rFonts w:ascii="Arial" w:cs="Arial" w:eastAsia="Arial" w:hAnsi="Arial"/>
          <w:sz w:val="17"/>
          <w:szCs w:val="17"/>
          <w:b w:val="1"/>
          <w:bCs w:val="1"/>
          <w:color w:val="auto"/>
        </w:rPr>
        <w:t>Options</w:t>
      </w:r>
      <w:r>
        <w:rPr>
          <w:rFonts w:ascii="Arial" w:cs="Arial" w:eastAsia="Arial" w:hAnsi="Arial"/>
          <w:sz w:val="17"/>
          <w:szCs w:val="17"/>
          <w:color w:val="auto"/>
        </w:rPr>
        <w:t>” means any rights, warrants or options to subscribe for or purchase shares of Common Stock or Convertible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Securities.</w:t>
      </w:r>
    </w:p>
    <w:p>
      <w:pPr>
        <w:spacing w:after="0" w:line="207" w:lineRule="exact"/>
        <w:rPr>
          <w:sz w:val="20"/>
          <w:szCs w:val="20"/>
          <w:color w:val="auto"/>
        </w:rPr>
      </w:pPr>
    </w:p>
    <w:p>
      <w:pPr>
        <w:jc w:val="both"/>
        <w:ind w:firstLine="1952"/>
        <w:spacing w:after="0" w:line="258" w:lineRule="auto"/>
        <w:tabs>
          <w:tab w:leader="none" w:pos="2199" w:val="left"/>
        </w:tabs>
        <w:numPr>
          <w:ilvl w:val="0"/>
          <w:numId w:val="3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Entity</w:t>
      </w:r>
      <w:r>
        <w:rPr>
          <w:rFonts w:ascii="Arial" w:cs="Arial" w:eastAsia="Arial" w:hAnsi="Arial"/>
          <w:sz w:val="18"/>
          <w:szCs w:val="18"/>
          <w:color w:val="auto"/>
        </w:rPr>
        <w:t>” of a Person means an entity that, directly or indirectly, controls the applicable Person, including such entity whose common shares or common stock or equivalent equity security is quoted or listed on an Eligible Market (or, if so elected by the Holder, any other market, exchange or quotation system), or, if there is more than one such Person or such entity, the Person or such entity designated by the Holder or in the absence of such designation, such Person or entity with the largest public market capitalization as of the date of consummation of the Fundamental Transaction.</w:t>
      </w:r>
    </w:p>
    <w:p>
      <w:pPr>
        <w:spacing w:after="0" w:line="183" w:lineRule="exact"/>
        <w:rPr>
          <w:rFonts w:ascii="Arial" w:cs="Arial" w:eastAsia="Arial" w:hAnsi="Arial"/>
          <w:sz w:val="18"/>
          <w:szCs w:val="18"/>
          <w:color w:val="auto"/>
        </w:rPr>
      </w:pPr>
    </w:p>
    <w:p>
      <w:pPr>
        <w:ind w:firstLine="1952"/>
        <w:spacing w:after="0" w:line="282" w:lineRule="auto"/>
        <w:tabs>
          <w:tab w:leader="none" w:pos="2212" w:val="left"/>
        </w:tabs>
        <w:numPr>
          <w:ilvl w:val="0"/>
          <w:numId w:val="3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61" w:lineRule="exact"/>
        <w:rPr>
          <w:rFonts w:ascii="Arial" w:cs="Arial" w:eastAsia="Arial" w:hAnsi="Arial"/>
          <w:sz w:val="18"/>
          <w:szCs w:val="18"/>
          <w:color w:val="auto"/>
        </w:rPr>
      </w:pPr>
    </w:p>
    <w:p>
      <w:pPr>
        <w:ind w:firstLine="1952"/>
        <w:spacing w:after="0" w:line="282" w:lineRule="auto"/>
        <w:tabs>
          <w:tab w:leader="none" w:pos="2226" w:val="left"/>
        </w:tabs>
        <w:numPr>
          <w:ilvl w:val="0"/>
          <w:numId w:val="3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Principal Market</w:t>
      </w:r>
      <w:r>
        <w:rPr>
          <w:rFonts w:ascii="Arial" w:cs="Arial" w:eastAsia="Arial" w:hAnsi="Arial"/>
          <w:sz w:val="18"/>
          <w:szCs w:val="18"/>
          <w:color w:val="auto"/>
        </w:rPr>
        <w:t>” means the OTC Bulletin Board or any other Eligible Market, or any national securities exchange, market or trading or quotation facility on which the Common Stock is then listed or quoted.</w:t>
      </w:r>
    </w:p>
    <w:p>
      <w:pPr>
        <w:spacing w:after="0" w:line="161" w:lineRule="exact"/>
        <w:rPr>
          <w:rFonts w:ascii="Arial" w:cs="Arial" w:eastAsia="Arial" w:hAnsi="Arial"/>
          <w:sz w:val="18"/>
          <w:szCs w:val="18"/>
          <w:color w:val="auto"/>
        </w:rPr>
      </w:pPr>
    </w:p>
    <w:p>
      <w:pPr>
        <w:ind w:left="2180" w:hanging="228"/>
        <w:spacing w:after="0"/>
        <w:tabs>
          <w:tab w:leader="none" w:pos="218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w:t>
      </w:r>
    </w:p>
    <w:p>
      <w:pPr>
        <w:spacing w:after="0" w:line="225" w:lineRule="exact"/>
        <w:rPr>
          <w:rFonts w:ascii="Arial" w:cs="Arial" w:eastAsia="Arial" w:hAnsi="Arial"/>
          <w:sz w:val="18"/>
          <w:szCs w:val="18"/>
          <w:color w:val="auto"/>
        </w:rPr>
      </w:pPr>
    </w:p>
    <w:p>
      <w:pPr>
        <w:ind w:left="2180" w:hanging="228"/>
        <w:spacing w:after="0"/>
        <w:tabs>
          <w:tab w:leader="none" w:pos="2180" w:val="left"/>
        </w:tabs>
        <w:numPr>
          <w:ilvl w:val="0"/>
          <w:numId w:val="37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Subject Entity</w:t>
      </w:r>
      <w:r>
        <w:rPr>
          <w:rFonts w:ascii="Arial" w:cs="Arial" w:eastAsia="Arial" w:hAnsi="Arial"/>
          <w:sz w:val="16"/>
          <w:szCs w:val="16"/>
          <w:color w:val="auto"/>
        </w:rPr>
        <w:t>” means any Person, Persons or Group or any Affiliate or associate of any such Person, Persons or Group.</w:t>
      </w:r>
    </w:p>
    <w:p>
      <w:pPr>
        <w:spacing w:after="0" w:line="248" w:lineRule="exact"/>
        <w:rPr>
          <w:rFonts w:ascii="Arial" w:cs="Arial" w:eastAsia="Arial" w:hAnsi="Arial"/>
          <w:sz w:val="16"/>
          <w:szCs w:val="16"/>
          <w:color w:val="auto"/>
        </w:rPr>
      </w:pPr>
    </w:p>
    <w:p>
      <w:pPr>
        <w:jc w:val="both"/>
        <w:ind w:firstLine="1952"/>
        <w:spacing w:after="0" w:line="266" w:lineRule="auto"/>
        <w:tabs>
          <w:tab w:leader="none" w:pos="2172" w:val="left"/>
        </w:tabs>
        <w:numPr>
          <w:ilvl w:val="0"/>
          <w:numId w:val="3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Successor Entity</w:t>
      </w:r>
      <w:r>
        <w:rPr>
          <w:rFonts w:ascii="Arial" w:cs="Arial" w:eastAsia="Arial" w:hAnsi="Arial"/>
          <w:sz w:val="18"/>
          <w:szCs w:val="18"/>
          <w:color w:val="auto"/>
        </w:rPr>
        <w:t>” means one or more Person or Persons (or, if so elected by the Holder, the Company or Parent Entity) formed by, resulting from or surviving any Fundamental Transaction or one or more Person or Persons (or, if so elected by the Holder, the Company or the Parent Entity) with which such Fundamental Transaction shall have been entered into.</w:t>
      </w:r>
    </w:p>
    <w:p>
      <w:pPr>
        <w:spacing w:after="0" w:line="175" w:lineRule="exact"/>
        <w:rPr>
          <w:rFonts w:ascii="Arial" w:cs="Arial" w:eastAsia="Arial" w:hAnsi="Arial"/>
          <w:sz w:val="18"/>
          <w:szCs w:val="18"/>
          <w:color w:val="auto"/>
        </w:rPr>
      </w:pPr>
    </w:p>
    <w:p>
      <w:pPr>
        <w:jc w:val="both"/>
        <w:ind w:firstLine="1952"/>
        <w:spacing w:after="0" w:line="298" w:lineRule="auto"/>
        <w:tabs>
          <w:tab w:leader="none" w:pos="2199" w:val="left"/>
        </w:tabs>
        <w:numPr>
          <w:ilvl w:val="0"/>
          <w:numId w:val="37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Trading Day</w:t>
      </w:r>
      <w:r>
        <w:rPr>
          <w:rFonts w:ascii="Arial" w:cs="Arial" w:eastAsia="Arial" w:hAnsi="Arial"/>
          <w:sz w:val="16"/>
          <w:szCs w:val="16"/>
          <w:color w:val="auto"/>
        </w:rPr>
        <w:t xml:space="preserve">” means any day on which the Common Stock is traded on the Principal Market, or, if the Principal Market is not the principal trading market for the Common Stock, then on the principal securities exchange or securities market on which the Common Stock is then traded;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time).</w:t>
      </w:r>
    </w:p>
    <w:p>
      <w:pPr>
        <w:spacing w:after="0" w:line="153" w:lineRule="exact"/>
        <w:rPr>
          <w:rFonts w:ascii="Arial" w:cs="Arial" w:eastAsia="Arial" w:hAnsi="Arial"/>
          <w:sz w:val="16"/>
          <w:szCs w:val="16"/>
          <w:color w:val="auto"/>
        </w:rPr>
      </w:pPr>
    </w:p>
    <w:p>
      <w:pPr>
        <w:jc w:val="both"/>
        <w:ind w:firstLine="1952"/>
        <w:spacing w:after="0" w:line="267" w:lineRule="auto"/>
        <w:tabs>
          <w:tab w:leader="none" w:pos="2199" w:val="left"/>
        </w:tabs>
        <w:numPr>
          <w:ilvl w:val="0"/>
          <w:numId w:val="37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VWAP</w:t>
      </w:r>
      <w:r>
        <w:rPr>
          <w:rFonts w:ascii="Arial" w:cs="Arial" w:eastAsia="Arial" w:hAnsi="Arial"/>
          <w:sz w:val="17"/>
          <w:szCs w:val="17"/>
          <w:color w:val="auto"/>
        </w:rPr>
        <w:t xml:space="preserve">” means, for any security as of any date, the dollar volume-weighted average price for such security on the Principal Market during the period beginning at 9:30:01 a.m., New York time (or such other time as the Principal Market publicly announces is the official open of trading), and ending at 4:00:00 p.m., New York time (or such other time as the Principal Market publicly announces is the official close of trading), as reported by Bloomberg through its “Volume at Price” function or, if the foregoing does not apply, the dollar volume-weighted average price of such security in the over-the-counter market on the electronic bulletin board for such security during the period beginning at 9:30:01 a.m., New York time (or such other time as such market publicly announces is the official open of trading), and ending at 4:00:00 p.m., New York time (or such other time as such market publicly announces is the official close of trading), as reported by Bloomberg, or, if no dollar volume-weighted average price is reported for such security by Bloomberg for such hours, the average of the highest Closing Bid Price and the lowest closing ask price of any of the market makers for such security as reported in the OTC Link or “pink sheets” by OTC Markets Group Inc. (formerly Pink OTC Markets Inc.). If the VWAP cannot be calculated for a security on a particular date on any of the foregoing bases, the VWAP of such security on such date shall be the fair market value as mutually determined by the Company and the Holder. If the Company and the Holder are unable to agree upon the fair market value of such security, then such dispute shall be resolved pursuant to Section </w:t>
      </w:r>
      <w:r>
        <w:rPr>
          <w:rFonts w:ascii="Arial" w:cs="Arial" w:eastAsia="Arial" w:hAnsi="Arial"/>
          <w:sz w:val="20"/>
          <w:szCs w:val="20"/>
          <w:b w:val="1"/>
          <w:bCs w:val="1"/>
          <w:color w:val="auto"/>
        </w:rPr>
        <w:t>‎</w:t>
      </w:r>
      <w:r>
        <w:rPr>
          <w:rFonts w:ascii="Arial" w:cs="Arial" w:eastAsia="Arial" w:hAnsi="Arial"/>
          <w:sz w:val="17"/>
          <w:szCs w:val="17"/>
          <w:color w:val="auto"/>
        </w:rPr>
        <w:t>12 with the term “VWAP” being substituted for the term “Exercise Price.” All such determinations shall be appropriately adjusted for any stock dividend, stock split, stock combination, reclassification or other similar transaction during the applicable calculation period.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 Follows]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4" w:name="page355"/>
    <w:bookmarkEnd w:id="354"/>
    <w:p>
      <w:pPr>
        <w:ind w:left="660"/>
        <w:spacing w:after="0"/>
        <w:rPr>
          <w:sz w:val="20"/>
          <w:szCs w:val="20"/>
          <w:color w:val="auto"/>
        </w:rPr>
      </w:pPr>
      <w:r>
        <w:rPr>
          <w:rFonts w:ascii="Arial" w:cs="Arial" w:eastAsia="Arial" w:hAnsi="Arial"/>
          <w:sz w:val="16"/>
          <w:szCs w:val="16"/>
          <w:b w:val="1"/>
          <w:bCs w:val="1"/>
          <w:color w:val="auto"/>
        </w:rPr>
        <w:t xml:space="preserve">IN WITNESS WHEREOF, </w:t>
      </w:r>
      <w:r>
        <w:rPr>
          <w:rFonts w:ascii="Arial" w:cs="Arial" w:eastAsia="Arial" w:hAnsi="Arial"/>
          <w:sz w:val="16"/>
          <w:szCs w:val="16"/>
          <w:color w:val="auto"/>
        </w:rPr>
        <w:t>the Company has caused this Warrant to Purchase Common Stock to be duly executed as of the Issuance Date set out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07"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PRESTO AUTOMATION INC.</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Xavier Casanova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Xavier Casanova</w:t>
      </w:r>
    </w:p>
    <w:p>
      <w:pPr>
        <w:spacing w:after="0" w:line="36"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55" w:name="page356"/>
    <w:bookmarkEnd w:id="355"/>
    <w:p>
      <w:pPr>
        <w:jc w:val="right"/>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EXERCISE NOTICE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EXECUTED BY THE REGISTERED HOLDER TO EXERCISE THIS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TO PURCHASE COMMON STOCK</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PRESTO AUTOMATION INC.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undersigned holder hereby exercises the right to purchase _________________ of the shares of Common Stock (“</w:t>
      </w:r>
      <w:r>
        <w:rPr>
          <w:rFonts w:ascii="Arial" w:cs="Arial" w:eastAsia="Arial" w:hAnsi="Arial"/>
          <w:sz w:val="17"/>
          <w:szCs w:val="17"/>
          <w:b w:val="1"/>
          <w:bCs w:val="1"/>
          <w:color w:val="auto"/>
        </w:rPr>
        <w:t>Warrant Shares</w:t>
      </w:r>
      <w:r>
        <w:rPr>
          <w:rFonts w:ascii="Arial" w:cs="Arial" w:eastAsia="Arial" w:hAnsi="Arial"/>
          <w:sz w:val="17"/>
          <w:szCs w:val="17"/>
          <w:color w:val="auto"/>
        </w:rPr>
        <w:t>”) of</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Presto Automation Inc.,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evidenced by the attached Warrant to Purchase Common Stock (the “</w:t>
      </w:r>
      <w:r>
        <w:rPr>
          <w:rFonts w:ascii="Arial" w:cs="Arial" w:eastAsia="Arial" w:hAnsi="Arial"/>
          <w:sz w:val="17"/>
          <w:szCs w:val="17"/>
          <w:b w:val="1"/>
          <w:bCs w:val="1"/>
          <w:color w:val="auto"/>
        </w:rPr>
        <w:t>Warrant</w:t>
      </w:r>
      <w:r>
        <w:rPr>
          <w:rFonts w:ascii="Arial" w:cs="Arial" w:eastAsia="Arial" w:hAnsi="Arial"/>
          <w:sz w:val="17"/>
          <w:szCs w:val="17"/>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used herein and not otherwise defined shall have the respective meanings set forth in the Warrant.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Form of Exercise Price. The Holder intends that payment of the Exercise Price shall be made as:</w:t>
      </w:r>
    </w:p>
    <w:p>
      <w:pPr>
        <w:spacing w:after="0" w:line="225"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____________</w:t>
        <w:tab/>
        <w:t>a “</w:t>
      </w:r>
      <w:r>
        <w:rPr>
          <w:rFonts w:ascii="Arial" w:cs="Arial" w:eastAsia="Arial" w:hAnsi="Arial"/>
          <w:sz w:val="18"/>
          <w:szCs w:val="18"/>
          <w:u w:val="single" w:color="auto"/>
          <w:color w:val="auto"/>
        </w:rPr>
        <w:t>Cash Exercise</w:t>
      </w:r>
      <w:r>
        <w:rPr>
          <w:rFonts w:ascii="Arial" w:cs="Arial" w:eastAsia="Arial" w:hAnsi="Arial"/>
          <w:sz w:val="18"/>
          <w:szCs w:val="18"/>
          <w:color w:val="auto"/>
        </w:rPr>
        <w:t>” with respect to _________________ Warrant Shares; and/or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____________ a “</w:t>
      </w:r>
      <w:r>
        <w:rPr>
          <w:rFonts w:ascii="Arial" w:cs="Arial" w:eastAsia="Arial" w:hAnsi="Arial"/>
          <w:sz w:val="18"/>
          <w:szCs w:val="18"/>
          <w:u w:val="single" w:color="auto"/>
          <w:color w:val="auto"/>
        </w:rPr>
        <w:t>Cashless Exercise</w:t>
      </w:r>
      <w:r>
        <w:rPr>
          <w:rFonts w:ascii="Arial" w:cs="Arial" w:eastAsia="Arial" w:hAnsi="Arial"/>
          <w:sz w:val="18"/>
          <w:szCs w:val="18"/>
          <w:color w:val="auto"/>
        </w:rPr>
        <w:t>” with respect to _______________ Warrant Shares.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the event that the Holder has elected a Cashless Exercise with respect to some or all of the Warrant Shares to be issued pursuant hereto, the Holder hereby represents and warrants that this Exercise Notice was executed by the Holder at [a.m.][p.m.] on the date set forth below.</w:t>
      </w:r>
    </w:p>
    <w:p>
      <w:pPr>
        <w:spacing w:after="0" w:line="170" w:lineRule="exact"/>
        <w:rPr>
          <w:sz w:val="20"/>
          <w:szCs w:val="20"/>
          <w:color w:val="auto"/>
        </w:rPr>
      </w:pPr>
    </w:p>
    <w:p>
      <w:pPr>
        <w:jc w:val="both"/>
        <w:ind w:firstLine="656"/>
        <w:spacing w:after="0" w:line="263" w:lineRule="auto"/>
        <w:tabs>
          <w:tab w:leader="none" w:pos="846" w:val="left"/>
        </w:tabs>
        <w:numPr>
          <w:ilvl w:val="0"/>
          <w:numId w:val="377"/>
        </w:numPr>
        <w:rPr>
          <w:rFonts w:ascii="Arial" w:cs="Arial" w:eastAsia="Arial" w:hAnsi="Arial"/>
          <w:sz w:val="18"/>
          <w:szCs w:val="18"/>
          <w:color w:val="auto"/>
        </w:rPr>
      </w:pPr>
      <w:r>
        <w:rPr>
          <w:rFonts w:ascii="Arial" w:cs="Arial" w:eastAsia="Arial" w:hAnsi="Arial"/>
          <w:sz w:val="18"/>
          <w:szCs w:val="18"/>
          <w:color w:val="auto"/>
        </w:rPr>
        <w:t>Payment of Exercise Price. In the event that the holder has elected a Cash Exercise with respect to some or all of the Warrant Shares to be issued pursuant hereto, the holder shall pay the Aggregate Exercise Price in the sum of $___________________ to the Company in accordance with the terms of the Warrant.</w:t>
      </w:r>
    </w:p>
    <w:p>
      <w:pPr>
        <w:spacing w:after="0" w:line="183" w:lineRule="exact"/>
        <w:rPr>
          <w:rFonts w:ascii="Arial" w:cs="Arial" w:eastAsia="Arial" w:hAnsi="Arial"/>
          <w:sz w:val="18"/>
          <w:szCs w:val="18"/>
          <w:color w:val="auto"/>
        </w:rPr>
      </w:pPr>
    </w:p>
    <w:p>
      <w:pPr>
        <w:ind w:left="840" w:hanging="184"/>
        <w:spacing w:after="0"/>
        <w:tabs>
          <w:tab w:leader="none" w:pos="840" w:val="left"/>
        </w:tabs>
        <w:numPr>
          <w:ilvl w:val="0"/>
          <w:numId w:val="377"/>
        </w:numPr>
        <w:rPr>
          <w:rFonts w:ascii="Arial" w:cs="Arial" w:eastAsia="Arial" w:hAnsi="Arial"/>
          <w:sz w:val="16"/>
          <w:szCs w:val="16"/>
          <w:color w:val="auto"/>
        </w:rPr>
      </w:pPr>
      <w:r>
        <w:rPr>
          <w:rFonts w:ascii="Arial" w:cs="Arial" w:eastAsia="Arial" w:hAnsi="Arial"/>
          <w:sz w:val="16"/>
          <w:szCs w:val="16"/>
          <w:color w:val="auto"/>
        </w:rPr>
        <w:t>Delivery of Warrant Shares. The Company shall deliver to the holder __________ Warrant Shares in accordance with the terms of the Warrant.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520" w:type="dxa"/>
            <w:vAlign w:val="bottom"/>
            <w:gridSpan w:val="2"/>
          </w:tcPr>
          <w:p>
            <w:pPr>
              <w:spacing w:after="0"/>
              <w:rPr>
                <w:sz w:val="20"/>
                <w:szCs w:val="20"/>
                <w:color w:val="auto"/>
              </w:rPr>
            </w:pPr>
            <w:r>
              <w:rPr>
                <w:rFonts w:ascii="Arial" w:cs="Arial" w:eastAsia="Arial" w:hAnsi="Arial"/>
                <w:sz w:val="18"/>
                <w:szCs w:val="18"/>
                <w:color w:val="auto"/>
              </w:rPr>
              <w:t>_______ Electronic Delivery</w:t>
            </w:r>
          </w:p>
        </w:tc>
        <w:tc>
          <w:tcPr>
            <w:tcW w:w="6720" w:type="dxa"/>
            <w:vAlign w:val="bottom"/>
            <w:gridSpan w:val="2"/>
          </w:tcPr>
          <w:p>
            <w:pPr>
              <w:ind w:left="1680"/>
              <w:spacing w:after="0"/>
              <w:rPr>
                <w:sz w:val="20"/>
                <w:szCs w:val="20"/>
                <w:color w:val="auto"/>
              </w:rPr>
            </w:pPr>
            <w:r>
              <w:rPr>
                <w:rFonts w:ascii="Arial" w:cs="Arial" w:eastAsia="Arial" w:hAnsi="Arial"/>
                <w:sz w:val="18"/>
                <w:szCs w:val="18"/>
                <w:color w:val="auto"/>
              </w:rPr>
              <w:t>DTC Participant:</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3360" w:type="dxa"/>
            <w:vAlign w:val="bottom"/>
          </w:tcPr>
          <w:p>
            <w:pPr>
              <w:ind w:left="1680"/>
              <w:spacing w:after="0" w:line="203" w:lineRule="exact"/>
              <w:rPr>
                <w:sz w:val="20"/>
                <w:szCs w:val="20"/>
                <w:color w:val="auto"/>
              </w:rPr>
            </w:pPr>
            <w:r>
              <w:rPr>
                <w:rFonts w:ascii="Arial" w:cs="Arial" w:eastAsia="Arial" w:hAnsi="Arial"/>
                <w:sz w:val="18"/>
                <w:szCs w:val="18"/>
                <w:color w:val="auto"/>
              </w:rPr>
              <w:t>DTC Number:</w:t>
            </w:r>
          </w:p>
        </w:tc>
        <w:tc>
          <w:tcPr>
            <w:tcW w:w="336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3360" w:type="dxa"/>
            <w:vAlign w:val="bottom"/>
          </w:tcPr>
          <w:p>
            <w:pPr>
              <w:ind w:left="1680"/>
              <w:spacing w:after="0" w:line="202" w:lineRule="exact"/>
              <w:rPr>
                <w:sz w:val="20"/>
                <w:szCs w:val="20"/>
                <w:color w:val="auto"/>
              </w:rPr>
            </w:pPr>
            <w:r>
              <w:rPr>
                <w:rFonts w:ascii="Arial" w:cs="Arial" w:eastAsia="Arial" w:hAnsi="Arial"/>
                <w:sz w:val="18"/>
                <w:szCs w:val="18"/>
                <w:color w:val="auto"/>
              </w:rPr>
              <w:t>Account Name:</w:t>
            </w:r>
          </w:p>
        </w:tc>
        <w:tc>
          <w:tcPr>
            <w:tcW w:w="33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3360" w:type="dxa"/>
            <w:vAlign w:val="bottom"/>
          </w:tcPr>
          <w:p>
            <w:pPr>
              <w:ind w:left="1680"/>
              <w:spacing w:after="0" w:line="202" w:lineRule="exact"/>
              <w:rPr>
                <w:sz w:val="20"/>
                <w:szCs w:val="20"/>
                <w:color w:val="auto"/>
              </w:rPr>
            </w:pPr>
            <w:r>
              <w:rPr>
                <w:rFonts w:ascii="Arial" w:cs="Arial" w:eastAsia="Arial" w:hAnsi="Arial"/>
                <w:sz w:val="18"/>
                <w:szCs w:val="18"/>
                <w:color w:val="auto"/>
              </w:rPr>
              <w:t>Account Number:</w:t>
            </w:r>
          </w:p>
        </w:tc>
        <w:tc>
          <w:tcPr>
            <w:tcW w:w="33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4520" w:type="dxa"/>
            <w:vAlign w:val="bottom"/>
            <w:gridSpan w:val="2"/>
          </w:tcPr>
          <w:p>
            <w:pPr>
              <w:spacing w:after="0"/>
              <w:rPr>
                <w:sz w:val="20"/>
                <w:szCs w:val="20"/>
                <w:color w:val="auto"/>
              </w:rPr>
            </w:pPr>
            <w:r>
              <w:rPr>
                <w:rFonts w:ascii="Arial" w:cs="Arial" w:eastAsia="Arial" w:hAnsi="Arial"/>
                <w:sz w:val="18"/>
                <w:szCs w:val="18"/>
                <w:color w:val="auto"/>
              </w:rPr>
              <w:t>_______ Physical Delivery</w:t>
            </w:r>
          </w:p>
        </w:tc>
        <w:tc>
          <w:tcPr>
            <w:tcW w:w="6720" w:type="dxa"/>
            <w:vAlign w:val="bottom"/>
            <w:gridSpan w:val="2"/>
          </w:tcPr>
          <w:p>
            <w:pPr>
              <w:ind w:left="1680"/>
              <w:spacing w:after="0"/>
              <w:rPr>
                <w:sz w:val="20"/>
                <w:szCs w:val="20"/>
                <w:color w:val="auto"/>
              </w:rPr>
            </w:pPr>
            <w:r>
              <w:rPr>
                <w:rFonts w:ascii="Arial" w:cs="Arial" w:eastAsia="Arial" w:hAnsi="Arial"/>
                <w:sz w:val="18"/>
                <w:szCs w:val="18"/>
                <w:color w:val="auto"/>
              </w:rPr>
              <w:t>Address:</w:t>
            </w:r>
          </w:p>
        </w:tc>
        <w:tc>
          <w:tcPr>
            <w:tcW w:w="0" w:type="dxa"/>
            <w:vAlign w:val="bottom"/>
          </w:tcPr>
          <w:p>
            <w:pPr>
              <w:spacing w:after="0"/>
              <w:rPr>
                <w:sz w:val="1"/>
                <w:szCs w:val="1"/>
                <w:color w:val="auto"/>
              </w:rPr>
            </w:pPr>
          </w:p>
        </w:tc>
      </w:tr>
      <w:tr>
        <w:trPr>
          <w:trHeight w:val="223"/>
        </w:trPr>
        <w:tc>
          <w:tcPr>
            <w:tcW w:w="4520" w:type="dxa"/>
            <w:vAlign w:val="bottom"/>
            <w:gridSpan w:val="2"/>
            <w:vMerge w:val="restart"/>
          </w:tcPr>
          <w:p>
            <w:pPr>
              <w:spacing w:after="0"/>
              <w:rPr>
                <w:sz w:val="20"/>
                <w:szCs w:val="20"/>
                <w:color w:val="auto"/>
              </w:rPr>
            </w:pPr>
            <w:r>
              <w:rPr>
                <w:rFonts w:ascii="Arial" w:cs="Arial" w:eastAsia="Arial" w:hAnsi="Arial"/>
                <w:sz w:val="18"/>
                <w:szCs w:val="18"/>
                <w:color w:val="auto"/>
              </w:rPr>
              <w:t>Date: _______________ __, ______</w:t>
            </w:r>
          </w:p>
        </w:tc>
        <w:tc>
          <w:tcPr>
            <w:tcW w:w="3360" w:type="dxa"/>
            <w:vAlign w:val="bottom"/>
          </w:tcPr>
          <w:p>
            <w:pPr>
              <w:spacing w:after="0"/>
              <w:rPr>
                <w:sz w:val="19"/>
                <w:szCs w:val="19"/>
                <w:color w:val="auto"/>
              </w:rPr>
            </w:pPr>
          </w:p>
        </w:tc>
        <w:tc>
          <w:tcPr>
            <w:tcW w:w="336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20" w:type="dxa"/>
            <w:vAlign w:val="bottom"/>
            <w:gridSpan w:val="2"/>
            <w:vMerge w:val="continue"/>
          </w:tcPr>
          <w:p>
            <w:pPr>
              <w:spacing w:after="0"/>
              <w:rPr>
                <w:sz w:val="19"/>
                <w:szCs w:val="19"/>
                <w:color w:val="auto"/>
              </w:rPr>
            </w:pPr>
          </w:p>
        </w:tc>
        <w:tc>
          <w:tcPr>
            <w:tcW w:w="3360" w:type="dxa"/>
            <w:vAlign w:val="bottom"/>
          </w:tcPr>
          <w:p>
            <w:pPr>
              <w:spacing w:after="0"/>
              <w:rPr>
                <w:sz w:val="19"/>
                <w:szCs w:val="19"/>
                <w:color w:val="auto"/>
              </w:rPr>
            </w:pPr>
          </w:p>
        </w:tc>
        <w:tc>
          <w:tcPr>
            <w:tcW w:w="33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4520" w:type="dxa"/>
            <w:vAlign w:val="bottom"/>
            <w:gridSpan w:val="2"/>
            <w:vMerge w:val="continue"/>
          </w:tcPr>
          <w:p>
            <w:pPr>
              <w:spacing w:after="0"/>
              <w:rPr>
                <w:sz w:val="24"/>
                <w:szCs w:val="24"/>
                <w:color w:val="auto"/>
              </w:rPr>
            </w:pPr>
          </w:p>
        </w:tc>
        <w:tc>
          <w:tcPr>
            <w:tcW w:w="33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520" w:type="dxa"/>
            <w:vAlign w:val="bottom"/>
            <w:tcBorders>
              <w:bottom w:val="single" w:sz="8" w:color="auto"/>
            </w:tcBorders>
            <w:gridSpan w:val="2"/>
          </w:tcPr>
          <w:p>
            <w:pPr>
              <w:spacing w:after="0"/>
              <w:rPr>
                <w:sz w:val="24"/>
                <w:szCs w:val="24"/>
                <w:color w:val="auto"/>
              </w:rPr>
            </w:pPr>
          </w:p>
        </w:tc>
        <w:tc>
          <w:tcPr>
            <w:tcW w:w="33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rPr>
              <w:t>Name of Registered Holder</w:t>
            </w:r>
          </w:p>
        </w:tc>
        <w:tc>
          <w:tcPr>
            <w:tcW w:w="336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520" w:type="dxa"/>
            <w:vAlign w:val="bottom"/>
            <w:gridSpan w:val="2"/>
          </w:tcPr>
          <w:p>
            <w:pPr>
              <w:spacing w:after="0"/>
              <w:rPr>
                <w:sz w:val="20"/>
                <w:szCs w:val="20"/>
                <w:color w:val="auto"/>
              </w:rPr>
            </w:pPr>
            <w:r>
              <w:rPr>
                <w:rFonts w:ascii="Arial" w:cs="Arial" w:eastAsia="Arial" w:hAnsi="Arial"/>
                <w:sz w:val="18"/>
                <w:szCs w:val="18"/>
                <w:color w:val="auto"/>
              </w:rPr>
              <w:t>By:</w:t>
            </w:r>
          </w:p>
        </w:tc>
        <w:tc>
          <w:tcPr>
            <w:tcW w:w="33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60" w:type="dxa"/>
            <w:vAlign w:val="bottom"/>
          </w:tcPr>
          <w:p>
            <w:pPr>
              <w:spacing w:after="0"/>
              <w:rPr>
                <w:sz w:val="17"/>
                <w:szCs w:val="17"/>
                <w:color w:val="auto"/>
              </w:rPr>
            </w:pPr>
          </w:p>
        </w:tc>
        <w:tc>
          <w:tcPr>
            <w:tcW w:w="40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Name:</w:t>
            </w:r>
          </w:p>
        </w:tc>
        <w:tc>
          <w:tcPr>
            <w:tcW w:w="336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Title:</w:t>
            </w:r>
          </w:p>
        </w:tc>
        <w:tc>
          <w:tcPr>
            <w:tcW w:w="336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2"/>
        </w:trPr>
        <w:tc>
          <w:tcPr>
            <w:tcW w:w="46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356" w:name="page357"/>
    <w:bookmarkEnd w:id="356"/>
    <w:p>
      <w:pPr>
        <w:jc w:val="center"/>
        <w:spacing w:after="0"/>
        <w:rPr>
          <w:sz w:val="20"/>
          <w:szCs w:val="20"/>
          <w:color w:val="auto"/>
        </w:rPr>
      </w:pPr>
      <w:r>
        <w:rPr>
          <w:rFonts w:ascii="Arial" w:cs="Arial" w:eastAsia="Arial" w:hAnsi="Arial"/>
          <w:sz w:val="18"/>
          <w:szCs w:val="18"/>
          <w:b w:val="1"/>
          <w:bCs w:val="1"/>
          <w:color w:val="auto"/>
        </w:rPr>
        <w:t>ACKNOWLEDGMENT</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hereby acknowledges this Exercise Notice and hereby directs [TRANSFER AGENT] to issue the above indicated number of shares of Common Stock in accordance with the Transfer Agent Instructions dated _________________ from the Company and acknowledged and agreed to by [TRANSFER AGENT].</w:t>
      </w:r>
    </w:p>
    <w:p>
      <w:pPr>
        <w:spacing w:after="0" w:line="180"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PRESTO AUTOMATION INC.</w:t>
      </w:r>
    </w:p>
    <w:p>
      <w:pPr>
        <w:spacing w:after="0" w:line="2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14605</wp:posOffset>
            </wp:positionV>
            <wp:extent cx="2417445" cy="171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8">
                      <a:extLst>
                        <a:ext uri="{28A0092B-C50C-407E-A947-70E740481C1C}"/>
                      </a:extLst>
                    </a:blip>
                    <a:srcRect/>
                    <a:stretch>
                      <a:fillRect/>
                    </a:stretch>
                  </pic:blipFill>
                  <pic:spPr bwMode="auto">
                    <a:xfrm>
                      <a:off x="0" y="0"/>
                      <a:ext cx="2417445" cy="1714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7" w:name="page358"/>
    <w:bookmarkEnd w:id="357"/>
    <w:p>
      <w:pPr>
        <w:jc w:val="center"/>
        <w:ind w:right="-19"/>
        <w:spacing w:after="0"/>
        <w:rPr>
          <w:sz w:val="20"/>
          <w:szCs w:val="20"/>
          <w:color w:val="auto"/>
        </w:rPr>
      </w:pPr>
      <w:r>
        <w:rPr>
          <w:rFonts w:ascii="Arial" w:cs="Arial" w:eastAsia="Arial" w:hAnsi="Arial"/>
          <w:sz w:val="18"/>
          <w:szCs w:val="18"/>
          <w:b w:val="1"/>
          <w:bCs w:val="1"/>
          <w:color w:val="auto"/>
        </w:rPr>
        <w:t>ASSIGNMENT FORM</w:t>
      </w:r>
    </w:p>
    <w:p>
      <w:pPr>
        <w:spacing w:after="0" w:line="229"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(To assign the foregoing warrant, execute</w:t>
      </w:r>
    </w:p>
    <w:p>
      <w:pPr>
        <w:spacing w:after="0" w:line="23"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this form and supply required information.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 not use this form to exercise the warrant.)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VALUE RECEIVED, all of or shares of the foregoing Warrant and all rights evidenced thereby are hereby assigned to</w:t>
      </w:r>
    </w:p>
    <w:p>
      <w:pPr>
        <w:spacing w:after="0" w:line="225" w:lineRule="exact"/>
        <w:rPr>
          <w:sz w:val="20"/>
          <w:szCs w:val="20"/>
          <w:color w:val="auto"/>
        </w:rPr>
      </w:pPr>
    </w:p>
    <w:p>
      <w:pPr>
        <w:ind w:left="9340"/>
        <w:spacing w:after="0"/>
        <w:rPr>
          <w:sz w:val="20"/>
          <w:szCs w:val="20"/>
          <w:color w:val="auto"/>
        </w:rPr>
      </w:pPr>
      <w:r>
        <w:rPr>
          <w:rFonts w:ascii="Arial" w:cs="Arial" w:eastAsia="Arial" w:hAnsi="Arial"/>
          <w:sz w:val="18"/>
          <w:szCs w:val="18"/>
          <w:color w:val="auto"/>
        </w:rPr>
        <w:t>whose address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5709285" cy="171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0">
                      <a:extLst>
                        <a:ext uri="{28A0092B-C50C-407E-A947-70E740481C1C}"/>
                      </a:extLst>
                    </a:blip>
                    <a:srcRect/>
                    <a:stretch>
                      <a:fillRect/>
                    </a:stretch>
                  </pic:blipFill>
                  <pic:spPr bwMode="auto">
                    <a:xfrm>
                      <a:off x="0" y="0"/>
                      <a:ext cx="570928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5709285" cy="171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1">
                      <a:extLst>
                        <a:ext uri="{28A0092B-C50C-407E-A947-70E740481C1C}"/>
                      </a:extLst>
                    </a:blip>
                    <a:srcRect/>
                    <a:stretch>
                      <a:fillRect/>
                    </a:stretch>
                  </pic:blipFill>
                  <pic:spPr bwMode="auto">
                    <a:xfrm>
                      <a:off x="0" y="0"/>
                      <a:ext cx="570928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5709285" cy="171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2">
                      <a:extLst>
                        <a:ext uri="{28A0092B-C50C-407E-A947-70E740481C1C}"/>
                      </a:extLst>
                    </a:blip>
                    <a:srcRect/>
                    <a:stretch>
                      <a:fillRect/>
                    </a:stretch>
                  </pic:blipFill>
                  <pic:spPr bwMode="auto">
                    <a:xfrm>
                      <a:off x="0" y="0"/>
                      <a:ext cx="570928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Dated: __________________, ____</w:t>
      </w:r>
    </w:p>
    <w:p>
      <w:pPr>
        <w:spacing w:after="0" w:line="225"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Holder’s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14605</wp:posOffset>
            </wp:positionV>
            <wp:extent cx="2134235" cy="171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3">
                      <a:extLst>
                        <a:ext uri="{28A0092B-C50C-407E-A947-70E740481C1C}"/>
                      </a:extLst>
                    </a:blip>
                    <a:srcRect/>
                    <a:stretch>
                      <a:fillRect/>
                    </a:stretch>
                  </pic:blipFill>
                  <pic:spPr bwMode="auto">
                    <a:xfrm>
                      <a:off x="0" y="0"/>
                      <a:ext cx="2134235" cy="17145"/>
                    </a:xfrm>
                    <a:prstGeom prst="rect">
                      <a:avLst/>
                    </a:prstGeom>
                    <a:noFill/>
                  </pic:spPr>
                </pic:pic>
              </a:graphicData>
            </a:graphic>
          </wp:anchor>
        </w:drawing>
      </w:r>
    </w:p>
    <w:p>
      <w:pPr>
        <w:spacing w:after="0" w:line="3"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Holder’s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177165</wp:posOffset>
            </wp:positionV>
            <wp:extent cx="2134235" cy="171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4">
                      <a:extLst>
                        <a:ext uri="{28A0092B-C50C-407E-A947-70E740481C1C}"/>
                      </a:extLst>
                    </a:blip>
                    <a:srcRect/>
                    <a:stretch>
                      <a:fillRect/>
                    </a:stretch>
                  </pic:blipFill>
                  <pic:spPr bwMode="auto">
                    <a:xfrm>
                      <a:off x="0" y="0"/>
                      <a:ext cx="2134235" cy="1714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22860</wp:posOffset>
            </wp:positionV>
            <wp:extent cx="2134235" cy="171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5">
                      <a:extLst>
                        <a:ext uri="{28A0092B-C50C-407E-A947-70E740481C1C}"/>
                      </a:extLst>
                    </a:blip>
                    <a:srcRect/>
                    <a:stretch>
                      <a:fillRect/>
                    </a:stretch>
                  </pic:blipFill>
                  <pic:spPr bwMode="auto">
                    <a:xfrm>
                      <a:off x="0" y="0"/>
                      <a:ext cx="2134235" cy="171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NOTE: The signature to this Assignment Form must correspond with the name as it appears on the face of the Warrant, without alteration or enlargement or any change whatsoever.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8" w:name="page359"/>
    <w:bookmarkEnd w:id="358"/>
    <w:p>
      <w:pPr>
        <w:jc w:val="right"/>
        <w:spacing w:after="0"/>
        <w:rPr>
          <w:sz w:val="20"/>
          <w:szCs w:val="20"/>
          <w:color w:val="auto"/>
        </w:rPr>
      </w:pPr>
      <w:r>
        <w:rPr>
          <w:rFonts w:ascii="Arial" w:cs="Arial" w:eastAsia="Arial" w:hAnsi="Arial"/>
          <w:sz w:val="22"/>
          <w:szCs w:val="22"/>
          <w:b w:val="1"/>
          <w:bCs w:val="1"/>
          <w:color w:val="auto"/>
        </w:rPr>
        <w:t>Exhibit 10.11</w:t>
      </w:r>
    </w:p>
    <w:p>
      <w:pPr>
        <w:spacing w:after="0" w:line="247" w:lineRule="exact"/>
        <w:rPr>
          <w:sz w:val="20"/>
          <w:szCs w:val="20"/>
          <w:color w:val="auto"/>
        </w:rPr>
      </w:pPr>
    </w:p>
    <w:p>
      <w:pPr>
        <w:ind w:left="9880"/>
        <w:spacing w:after="0"/>
        <w:rPr>
          <w:sz w:val="20"/>
          <w:szCs w:val="20"/>
          <w:color w:val="auto"/>
        </w:rPr>
      </w:pPr>
      <w:r>
        <w:rPr>
          <w:rFonts w:ascii="Arial" w:cs="Arial" w:eastAsia="Arial" w:hAnsi="Arial"/>
          <w:sz w:val="15"/>
          <w:szCs w:val="15"/>
          <w:b w:val="1"/>
          <w:bCs w:val="1"/>
          <w:i w:val="1"/>
          <w:iCs w:val="1"/>
          <w:color w:val="auto"/>
        </w:rPr>
        <w:t>Execution Version</w:t>
      </w:r>
    </w:p>
    <w:p>
      <w:pPr>
        <w:spacing w:after="0" w:line="28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NEITHER THIS WARRANT, NOR THE SECURITIES ISSUABLE UPON EXERCISE OF THIS WARRANT (COLLECTIVELY, THE “SECURITIES”), HAVE BEEN REGISTERED UNDER THE SECURITIES ACT OF 1933, AS AMENDED (THE “SECURITIES ACT”), OR UNDER ANY STATE SECURITIES OR BLUE SKY LAWS. THE SECURITIES ARE SUBJECT TO RESTRICTIONS ON TRANSFERABILITY AND RESALE AND MAY NOT BE OFFERED, FOR SALE, SOLD, PLEDGED, HYPOTHECATED OR OTHERWISE TRANSFERRED OR ASSIGNED EXCEPT AS PERMITTED UNDER THE SECURITIES ACT AND APPLICABLE STATE SECURITIES OR BLUE SKY LAWS, PURSUANT TO REGISTRATION OR QUALIFICATION OR EXEMPTION THEREFROM. INVESTORS SHOULD BE AWARE THAT THEY MAY BE REQUIRED TO BEAR THE FINANCIAL RISKS OF THIS INVESTMENT FOR AN INDEFINITE PERIOD OF TIME. THE COMPANY MAY REQUIRE AN OPINION OF COUNSEL IN FORM AND SUBSTANCE REASONABLY SATISFACTORY TO THE COMPANY TO THE EFFECT THAT ANY PROPOSED TRANSFER IS IN COMPLIANCE WITH THE SECURITIES ACT AND ANY APPLICABLE STATE SECURITIES OR BLUE SKY LAWS.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PRESTO AUTOMATION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2"/>
          <w:szCs w:val="12"/>
          <w:b w:val="1"/>
          <w:bCs w:val="1"/>
          <w:color w:val="auto"/>
        </w:rPr>
        <w:t>arrant</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o</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urchase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ommon</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Warrant No.: 2023-16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of Common Stock: 3,182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of Issuance: October 10, 2023 (“</w:t>
      </w:r>
      <w:r>
        <w:rPr>
          <w:rFonts w:ascii="Arial" w:cs="Arial" w:eastAsia="Arial" w:hAnsi="Arial"/>
          <w:sz w:val="18"/>
          <w:szCs w:val="18"/>
          <w:b w:val="1"/>
          <w:bCs w:val="1"/>
          <w:color w:val="auto"/>
        </w:rPr>
        <w:t>Issuance Date</w:t>
      </w:r>
      <w:r>
        <w:rPr>
          <w:rFonts w:ascii="Arial" w:cs="Arial" w:eastAsia="Arial" w:hAnsi="Arial"/>
          <w:sz w:val="18"/>
          <w:szCs w:val="18"/>
          <w:color w:val="auto"/>
        </w:rPr>
        <w:t>”)</w:t>
      </w:r>
    </w:p>
    <w:p>
      <w:pPr>
        <w:spacing w:after="0" w:line="207"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Presto Automation Inc.,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hereby certifies that, for good and valuable consideration, the receipt and sufficiency of which are hereby acknowledged, CEOF Holdings LP, the registered holder hereof or its permitted assigns (the “</w:t>
      </w:r>
      <w:r>
        <w:rPr>
          <w:rFonts w:ascii="Arial" w:cs="Arial" w:eastAsia="Arial" w:hAnsi="Arial"/>
          <w:sz w:val="17"/>
          <w:szCs w:val="17"/>
          <w:b w:val="1"/>
          <w:bCs w:val="1"/>
          <w:color w:val="auto"/>
        </w:rPr>
        <w:t>Holder</w:t>
      </w:r>
      <w:r>
        <w:rPr>
          <w:rFonts w:ascii="Arial" w:cs="Arial" w:eastAsia="Arial" w:hAnsi="Arial"/>
          <w:sz w:val="17"/>
          <w:szCs w:val="17"/>
          <w:color w:val="auto"/>
        </w:rPr>
        <w:t>”), is entitled, subject to the terms set forth below, to purchase from the Company, at the Exercise Price (as defined below) then in effect, at any time or times on or after the Issuance Date, but not after 11:59 p.m., New York time, on the Expiration Date, (as defined below), 3,182 duly authorized, validly issued, fully paid, nonassessable shares of Common Stock, subject to adjustment as provided herein (the “</w:t>
      </w:r>
      <w:r>
        <w:rPr>
          <w:rFonts w:ascii="Arial" w:cs="Arial" w:eastAsia="Arial" w:hAnsi="Arial"/>
          <w:sz w:val="17"/>
          <w:szCs w:val="17"/>
          <w:b w:val="1"/>
          <w:bCs w:val="1"/>
          <w:color w:val="auto"/>
        </w:rPr>
        <w:t>Warrant Shares</w:t>
      </w:r>
      <w:r>
        <w:rPr>
          <w:rFonts w:ascii="Arial" w:cs="Arial" w:eastAsia="Arial" w:hAnsi="Arial"/>
          <w:sz w:val="17"/>
          <w:szCs w:val="17"/>
          <w:color w:val="auto"/>
        </w:rPr>
        <w:t>”). Except as otherwise defined herein, capitalized terms in this Warrant to Purchase Common Stock (including any Warrants to Purchase Common Stock issued in exchange, transfer or replacement hereof, this “</w:t>
      </w:r>
      <w:r>
        <w:rPr>
          <w:rFonts w:ascii="Arial" w:cs="Arial" w:eastAsia="Arial" w:hAnsi="Arial"/>
          <w:sz w:val="17"/>
          <w:szCs w:val="17"/>
          <w:b w:val="1"/>
          <w:bCs w:val="1"/>
          <w:color w:val="auto"/>
        </w:rPr>
        <w:t>Warrant</w:t>
      </w:r>
      <w:r>
        <w:rPr>
          <w:rFonts w:ascii="Arial" w:cs="Arial" w:eastAsia="Arial" w:hAnsi="Arial"/>
          <w:sz w:val="17"/>
          <w:szCs w:val="17"/>
          <w:color w:val="auto"/>
        </w:rPr>
        <w:t>”) shall have the meanings set forth in Section 17‎. This Warrant is being issued pursuant to Section 4 of that certain Third Amendment to Credit Agreement, dated October 10, 2023, among E La Carte, LLC, the Company and Metropolitan Partners Group Administration, LLC, as agent (the “</w:t>
      </w:r>
      <w:r>
        <w:rPr>
          <w:rFonts w:ascii="Arial" w:cs="Arial" w:eastAsia="Arial" w:hAnsi="Arial"/>
          <w:sz w:val="17"/>
          <w:szCs w:val="17"/>
          <w:b w:val="1"/>
          <w:bCs w:val="1"/>
          <w:color w:val="auto"/>
        </w:rPr>
        <w:t>Third Amendment</w:t>
      </w:r>
      <w:r>
        <w:rPr>
          <w:rFonts w:ascii="Arial" w:cs="Arial" w:eastAsia="Arial" w:hAnsi="Arial"/>
          <w:sz w:val="17"/>
          <w:szCs w:val="17"/>
          <w:color w:val="auto"/>
        </w:rPr>
        <w:t>”), and to Section 7 of that certain Third Amended and Restated Fee Letter, dated October 10, 2023, among E La Carte, LLC, the Company and Metropolitan Partners Group Administration (the “</w:t>
      </w:r>
      <w:r>
        <w:rPr>
          <w:rFonts w:ascii="Arial" w:cs="Arial" w:eastAsia="Arial" w:hAnsi="Arial"/>
          <w:sz w:val="17"/>
          <w:szCs w:val="17"/>
          <w:b w:val="1"/>
          <w:bCs w:val="1"/>
          <w:color w:val="auto"/>
        </w:rPr>
        <w:t>Fee Letter</w:t>
      </w:r>
      <w:r>
        <w:rPr>
          <w:rFonts w:ascii="Arial" w:cs="Arial" w:eastAsia="Arial" w:hAnsi="Arial"/>
          <w:sz w:val="17"/>
          <w:szCs w:val="17"/>
          <w:color w:val="auto"/>
        </w:rPr>
        <w:t>”). Capitalized terms used herein and not otherwise defined shall have the definitions ascribed to such terms in the Credit Agreement (as defined in the Fee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171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59" w:name="page360"/>
    <w:bookmarkEnd w:id="359"/>
    <w:p>
      <w:pPr>
        <w:ind w:left="1480" w:hanging="176"/>
        <w:spacing w:after="0"/>
        <w:tabs>
          <w:tab w:leader="none" w:pos="1480" w:val="left"/>
        </w:tabs>
        <w:numPr>
          <w:ilvl w:val="0"/>
          <w:numId w:val="378"/>
        </w:numPr>
        <w:rPr>
          <w:rFonts w:ascii="Arial" w:cs="Arial" w:eastAsia="Arial" w:hAnsi="Arial"/>
          <w:sz w:val="18"/>
          <w:szCs w:val="18"/>
          <w:color w:val="auto"/>
        </w:rPr>
      </w:pPr>
      <w:r>
        <w:rPr>
          <w:rFonts w:ascii="Arial" w:cs="Arial" w:eastAsia="Arial" w:hAnsi="Arial"/>
          <w:sz w:val="18"/>
          <w:szCs w:val="18"/>
          <w:color w:val="auto"/>
        </w:rPr>
        <w:t>EXERCISE OF WARRANT.</w:t>
      </w:r>
    </w:p>
    <w:p>
      <w:pPr>
        <w:spacing w:after="0" w:line="225" w:lineRule="exact"/>
        <w:rPr>
          <w:rFonts w:ascii="Arial" w:cs="Arial" w:eastAsia="Arial" w:hAnsi="Arial"/>
          <w:sz w:val="18"/>
          <w:szCs w:val="18"/>
          <w:color w:val="auto"/>
        </w:rPr>
      </w:pPr>
    </w:p>
    <w:p>
      <w:pPr>
        <w:jc w:val="both"/>
        <w:ind w:firstLine="1952"/>
        <w:spacing w:after="0" w:line="282" w:lineRule="auto"/>
        <w:tabs>
          <w:tab w:leader="none" w:pos="2188" w:val="left"/>
        </w:tabs>
        <w:numPr>
          <w:ilvl w:val="1"/>
          <w:numId w:val="378"/>
        </w:numPr>
        <w:rPr>
          <w:rFonts w:ascii="Arial" w:cs="Arial" w:eastAsia="Arial" w:hAnsi="Arial"/>
          <w:sz w:val="16"/>
          <w:szCs w:val="16"/>
          <w:color w:val="auto"/>
        </w:rPr>
      </w:pPr>
      <w:r>
        <w:rPr>
          <w:rFonts w:ascii="Arial" w:cs="Arial" w:eastAsia="Arial" w:hAnsi="Arial"/>
          <w:sz w:val="16"/>
          <w:szCs w:val="16"/>
          <w:u w:val="single" w:color="auto"/>
          <w:color w:val="auto"/>
        </w:rPr>
        <w:t>Mechanics of Exercise</w:t>
      </w:r>
      <w:r>
        <w:rPr>
          <w:rFonts w:ascii="Arial" w:cs="Arial" w:eastAsia="Arial" w:hAnsi="Arial"/>
          <w:sz w:val="16"/>
          <w:szCs w:val="16"/>
          <w:color w:val="auto"/>
        </w:rPr>
        <w:t xml:space="preserve">. Subject to the terms and conditions hereof (including, without limitation, the limitations set forth in Section </w:t>
      </w:r>
      <w:r>
        <w:rPr>
          <w:rFonts w:ascii="Arial" w:cs="Arial" w:eastAsia="Arial" w:hAnsi="Arial"/>
          <w:sz w:val="19"/>
          <w:szCs w:val="19"/>
          <w:b w:val="1"/>
          <w:bCs w:val="1"/>
          <w:color w:val="auto"/>
        </w:rPr>
        <w:t>‎</w:t>
      </w:r>
      <w:r>
        <w:rPr>
          <w:rFonts w:ascii="Arial" w:cs="Arial" w:eastAsia="Arial" w:hAnsi="Arial"/>
          <w:sz w:val="16"/>
          <w:szCs w:val="16"/>
          <w:color w:val="auto"/>
        </w:rPr>
        <w:t xml:space="preserve">1(f)), this Warrant may be exercised by the Holder at any time or times on or after the Issuance Date, in whole or in part, by (i) delivery (whether via facsimile or otherwise) of a written notice, in the form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(the “</w:t>
      </w:r>
      <w:r>
        <w:rPr>
          <w:rFonts w:ascii="Arial" w:cs="Arial" w:eastAsia="Arial" w:hAnsi="Arial"/>
          <w:sz w:val="16"/>
          <w:szCs w:val="16"/>
          <w:b w:val="1"/>
          <w:bCs w:val="1"/>
          <w:color w:val="auto"/>
        </w:rPr>
        <w:t>Exercise Notice</w:t>
      </w:r>
      <w:r>
        <w:rPr>
          <w:rFonts w:ascii="Arial" w:cs="Arial" w:eastAsia="Arial" w:hAnsi="Arial"/>
          <w:sz w:val="16"/>
          <w:szCs w:val="16"/>
          <w:color w:val="auto"/>
        </w:rPr>
        <w:t>”), of the Holder’s election to exercise this Warrant and (ii) (A) payment to the Company of an amount equal to the applicable Exercise Price multiplied by the number of Warrant Shares as to which this Warrant is being exercised (the “</w:t>
      </w:r>
      <w:r>
        <w:rPr>
          <w:rFonts w:ascii="Arial" w:cs="Arial" w:eastAsia="Arial" w:hAnsi="Arial"/>
          <w:sz w:val="16"/>
          <w:szCs w:val="16"/>
          <w:b w:val="1"/>
          <w:bCs w:val="1"/>
          <w:color w:val="auto"/>
        </w:rPr>
        <w:t>Aggregate Exercise Price</w:t>
      </w:r>
      <w:r>
        <w:rPr>
          <w:rFonts w:ascii="Arial" w:cs="Arial" w:eastAsia="Arial" w:hAnsi="Arial"/>
          <w:sz w:val="16"/>
          <w:szCs w:val="16"/>
          <w:color w:val="auto"/>
        </w:rPr>
        <w:t xml:space="preserve">”) in cash by wire transfer of immediately available funds or (B) if the provisions of Section 1(d) are applicable, by notifying the Company that this Warrant is being exercised pursuant to a Cashless Exercise.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after the date the Warrant Shares which are the subject of the Exercise Notice being delivered to the Holder.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w:t>
      </w:r>
      <w:r>
        <w:rPr>
          <w:rFonts w:ascii="Arial" w:cs="Arial" w:eastAsia="Arial" w:hAnsi="Arial"/>
          <w:sz w:val="16"/>
          <w:szCs w:val="16"/>
          <w:b w:val="1"/>
          <w:bCs w:val="1"/>
          <w:color w:val="auto"/>
        </w:rPr>
        <w:t>The Holder and any assignee, by acceptance of this Warrant, acknowledge and</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agree that, by reason of the provisions of this paragraph, following the purchase of a portion of the Warrant Shares hereunder, the number of Warrant Shares available for purchase hereunder at any given time may be less than the amount stated on the face hereof. </w:t>
      </w:r>
      <w:r>
        <w:rPr>
          <w:rFonts w:ascii="Arial" w:cs="Arial" w:eastAsia="Arial" w:hAnsi="Arial"/>
          <w:sz w:val="16"/>
          <w:szCs w:val="16"/>
          <w:color w:val="auto"/>
        </w:rPr>
        <w:t>On or before the third</w:t>
      </w:r>
      <w:r>
        <w:rPr>
          <w:rFonts w:ascii="Arial" w:cs="Arial" w:eastAsia="Arial" w:hAnsi="Arial"/>
          <w:sz w:val="16"/>
          <w:szCs w:val="16"/>
          <w:b w:val="1"/>
          <w:bCs w:val="1"/>
          <w:color w:val="auto"/>
        </w:rPr>
        <w:t xml:space="preserve"> </w:t>
      </w:r>
      <w:r>
        <w:rPr>
          <w:rFonts w:ascii="Arial" w:cs="Arial" w:eastAsia="Arial" w:hAnsi="Arial"/>
          <w:sz w:val="16"/>
          <w:szCs w:val="16"/>
          <w:color w:val="auto"/>
        </w:rPr>
        <w:t>(3rd) Trading Day following the date on which the Company has received the Exercise Notice (the “</w:t>
      </w:r>
      <w:r>
        <w:rPr>
          <w:rFonts w:ascii="Arial" w:cs="Arial" w:eastAsia="Arial" w:hAnsi="Arial"/>
          <w:sz w:val="16"/>
          <w:szCs w:val="16"/>
          <w:b w:val="1"/>
          <w:bCs w:val="1"/>
          <w:color w:val="auto"/>
        </w:rPr>
        <w:t>Share Delivery Date</w:t>
      </w:r>
      <w:r>
        <w:rPr>
          <w:rFonts w:ascii="Arial" w:cs="Arial" w:eastAsia="Arial" w:hAnsi="Arial"/>
          <w:sz w:val="16"/>
          <w:szCs w:val="16"/>
          <w:color w:val="auto"/>
        </w:rPr>
        <w:t>”), so long as the Holder delivers the Aggregate Exercise Price (or notice of a Cashless Exercise) on or prior to the second (2nd) Trading Day following the date on which the Company has received the Exercise Notice (provided that if the Aggregate Exercise Price (or notice of a Cashless Exercise) has not been delivered by such date, the Share Delivery Date shall be extended one (1) Trading Day after the Aggregate Exercise Price (or notice of a Cashless Exercise) is delivered), the Company shall (X) provided that the Company’s transfer agent (“</w:t>
      </w:r>
      <w:r>
        <w:rPr>
          <w:rFonts w:ascii="Arial" w:cs="Arial" w:eastAsia="Arial" w:hAnsi="Arial"/>
          <w:sz w:val="16"/>
          <w:szCs w:val="16"/>
          <w:b w:val="1"/>
          <w:bCs w:val="1"/>
          <w:color w:val="auto"/>
        </w:rPr>
        <w:t>Transfer Agent</w:t>
      </w:r>
      <w:r>
        <w:rPr>
          <w:rFonts w:ascii="Arial" w:cs="Arial" w:eastAsia="Arial" w:hAnsi="Arial"/>
          <w:sz w:val="16"/>
          <w:szCs w:val="16"/>
          <w:color w:val="auto"/>
        </w:rPr>
        <w:t>”) is participating in The Depository Trust Company (“</w:t>
      </w:r>
      <w:r>
        <w:rPr>
          <w:rFonts w:ascii="Arial" w:cs="Arial" w:eastAsia="Arial" w:hAnsi="Arial"/>
          <w:sz w:val="16"/>
          <w:szCs w:val="16"/>
          <w:b w:val="1"/>
          <w:bCs w:val="1"/>
          <w:color w:val="auto"/>
        </w:rPr>
        <w:t>DTC</w:t>
      </w:r>
      <w:r>
        <w:rPr>
          <w:rFonts w:ascii="Arial" w:cs="Arial" w:eastAsia="Arial" w:hAnsi="Arial"/>
          <w:sz w:val="16"/>
          <w:szCs w:val="16"/>
          <w:color w:val="auto"/>
        </w:rPr>
        <w:t>”) Fast Automated Securities Transfer Program (“</w:t>
      </w:r>
      <w:r>
        <w:rPr>
          <w:rFonts w:ascii="Arial" w:cs="Arial" w:eastAsia="Arial" w:hAnsi="Arial"/>
          <w:sz w:val="16"/>
          <w:szCs w:val="16"/>
          <w:b w:val="1"/>
          <w:bCs w:val="1"/>
          <w:color w:val="auto"/>
        </w:rPr>
        <w:t>FAST</w:t>
      </w:r>
      <w:r>
        <w:rPr>
          <w:rFonts w:ascii="Arial" w:cs="Arial" w:eastAsia="Arial" w:hAnsi="Arial"/>
          <w:sz w:val="16"/>
          <w:szCs w:val="16"/>
          <w:color w:val="auto"/>
        </w:rPr>
        <w:t xml:space="preserve">”) and the Warrant Shares are eligible to be issued without a restrictive legend, credit such aggregate number of Warrant Shares to which the Holder is entitled pursuant to such exercise to the Holder’s or its designee’s balance account with DTC through its Deposit/Withdrawal At Custodian system, or (Y) if the Transfer Agent is not participating in FAST or the Warrant Shares are not eligible to be issued without a restrictive legend, issue and dispatch by overnight courier to the address as specified in the Exercise Notice, a certificate, registered in the Company’s share register in the name of the Holder or its designee, for the number of Warrant Shares to which the Holder is entitled pursuant to such exercise. The Company shall be responsible for all fees and expenses of the Transfer Agent and all fees and expenses with respect to the issuance of Warrant Shares via DTC, if any. Upon delivery of the Exercise Notice and the Aggregate Exercise Price (or notice of a Cashless Exercise), the Holder shall be deemed for all corporate purposes to have become the holder of record of the Warrant Shares with respect to which this Warrant has been exercised, irrespective of the date such Warrant Shares are credited to the Holder’s DTC account or the date of delivery of the certificates evidencing such Warrant Shares, as the case may be. If this Warrant is submitted in connection with any exercise pursuant to this Section </w:t>
      </w:r>
      <w:r>
        <w:rPr>
          <w:rFonts w:ascii="Arial" w:cs="Arial" w:eastAsia="Arial" w:hAnsi="Arial"/>
          <w:sz w:val="19"/>
          <w:szCs w:val="19"/>
          <w:b w:val="1"/>
          <w:bCs w:val="1"/>
          <w:color w:val="auto"/>
        </w:rPr>
        <w:t>‎</w:t>
      </w:r>
      <w:r>
        <w:rPr>
          <w:rFonts w:ascii="Arial" w:cs="Arial" w:eastAsia="Arial" w:hAnsi="Arial"/>
          <w:sz w:val="16"/>
          <w:szCs w:val="16"/>
          <w:color w:val="auto"/>
        </w:rPr>
        <w:t xml:space="preserve">1(a) and the number of Warrant Shares represented by this Warrant submitted for exercise is greater than the number of Warrant Shares being acquired upon an exercise, then the Company shall as soon as reasonably practicable and in no event later than three (3) Trading Days after any exercise and at its own expense, issue a new Warrant (in accordance with Section </w:t>
      </w:r>
      <w:r>
        <w:rPr>
          <w:rFonts w:ascii="Arial" w:cs="Arial" w:eastAsia="Arial" w:hAnsi="Arial"/>
          <w:sz w:val="19"/>
          <w:szCs w:val="19"/>
          <w:b w:val="1"/>
          <w:bCs w:val="1"/>
          <w:color w:val="auto"/>
        </w:rPr>
        <w:t>‎</w:t>
      </w:r>
      <w:r>
        <w:rPr>
          <w:rFonts w:ascii="Arial" w:cs="Arial" w:eastAsia="Arial" w:hAnsi="Arial"/>
          <w:sz w:val="16"/>
          <w:szCs w:val="16"/>
          <w:color w:val="auto"/>
        </w:rPr>
        <w:t>1(d)) representing the right to purchase the number of Warrant Shares issuable immediately prior to such exercise under this Warrant, less the number of Warrant Shares with respect to which this Warrant is exercised upon surrender of the Warrant so exercised. No fractional Warrant Shares are to be issued upon the exercise of this Warrant, but rather the number of Warrant Shares to be issued shall be rounded down to the nearest whole number. The Company shall pay any and all transfer, stamp, issuance and similar taxes (but not any United States federal, state or local income taxes) that may be payable with respect to the issuance and delivery of Warrant Shares upon exercise of this Warrant. The Company’s obligations to issue and deliver Warrant Shares in accordance with the terms and subject to the conditions hereof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60" w:name="page361"/>
    <w:bookmarkEnd w:id="360"/>
    <w:p>
      <w:pPr>
        <w:ind w:left="2200" w:hanging="248"/>
        <w:spacing w:after="0"/>
        <w:tabs>
          <w:tab w:leader="none" w:pos="2200" w:val="left"/>
        </w:tabs>
        <w:numPr>
          <w:ilvl w:val="0"/>
          <w:numId w:val="379"/>
        </w:numPr>
        <w:rPr>
          <w:rFonts w:ascii="Arial" w:cs="Arial" w:eastAsia="Arial" w:hAnsi="Arial"/>
          <w:sz w:val="17"/>
          <w:szCs w:val="17"/>
          <w:color w:val="auto"/>
        </w:rPr>
      </w:pPr>
      <w:r>
        <w:rPr>
          <w:rFonts w:ascii="Arial" w:cs="Arial" w:eastAsia="Arial" w:hAnsi="Arial"/>
          <w:sz w:val="17"/>
          <w:szCs w:val="17"/>
          <w:u w:val="single" w:color="auto"/>
          <w:color w:val="auto"/>
        </w:rPr>
        <w:t>Exercise Price</w:t>
      </w:r>
      <w:r>
        <w:rPr>
          <w:rFonts w:ascii="Arial" w:cs="Arial" w:eastAsia="Arial" w:hAnsi="Arial"/>
          <w:sz w:val="17"/>
          <w:szCs w:val="17"/>
          <w:color w:val="auto"/>
        </w:rPr>
        <w:t>. For purposes of this Warrant, “</w:t>
      </w:r>
      <w:r>
        <w:rPr>
          <w:rFonts w:ascii="Arial" w:cs="Arial" w:eastAsia="Arial" w:hAnsi="Arial"/>
          <w:sz w:val="17"/>
          <w:szCs w:val="17"/>
          <w:b w:val="1"/>
          <w:bCs w:val="1"/>
          <w:color w:val="auto"/>
        </w:rPr>
        <w:t>Exercise Price</w:t>
      </w:r>
      <w:r>
        <w:rPr>
          <w:rFonts w:ascii="Arial" w:cs="Arial" w:eastAsia="Arial" w:hAnsi="Arial"/>
          <w:sz w:val="17"/>
          <w:szCs w:val="17"/>
          <w:color w:val="auto"/>
        </w:rPr>
        <w:t>” means $0.01, subject to adjustment as provided herein.</w:t>
      </w:r>
    </w:p>
    <w:p>
      <w:pPr>
        <w:spacing w:after="0" w:line="240" w:lineRule="exact"/>
        <w:rPr>
          <w:rFonts w:ascii="Arial" w:cs="Arial" w:eastAsia="Arial" w:hAnsi="Arial"/>
          <w:sz w:val="17"/>
          <w:szCs w:val="17"/>
          <w:color w:val="auto"/>
        </w:rPr>
      </w:pPr>
    </w:p>
    <w:p>
      <w:pPr>
        <w:jc w:val="both"/>
        <w:ind w:firstLine="1952"/>
        <w:spacing w:after="0" w:line="283" w:lineRule="auto"/>
        <w:tabs>
          <w:tab w:leader="none" w:pos="2188" w:val="left"/>
        </w:tabs>
        <w:numPr>
          <w:ilvl w:val="0"/>
          <w:numId w:val="379"/>
        </w:numPr>
        <w:rPr>
          <w:rFonts w:ascii="Arial" w:cs="Arial" w:eastAsia="Arial" w:hAnsi="Arial"/>
          <w:sz w:val="16"/>
          <w:szCs w:val="16"/>
          <w:color w:val="auto"/>
        </w:rPr>
      </w:pPr>
      <w:r>
        <w:rPr>
          <w:rFonts w:ascii="Arial" w:cs="Arial" w:eastAsia="Arial" w:hAnsi="Arial"/>
          <w:sz w:val="16"/>
          <w:szCs w:val="16"/>
          <w:u w:val="single" w:color="auto"/>
          <w:color w:val="auto"/>
        </w:rPr>
        <w:t>Company’s Failure to Timely Deliver Securities</w:t>
      </w:r>
      <w:r>
        <w:rPr>
          <w:rFonts w:ascii="Arial" w:cs="Arial" w:eastAsia="Arial" w:hAnsi="Arial"/>
          <w:sz w:val="16"/>
          <w:szCs w:val="16"/>
          <w:color w:val="auto"/>
        </w:rPr>
        <w:t>. If the Company shall fail, for any reason or for no reason, on or prior to the Share Delivery Date, if the Transfer Agent is not participating in FAST or such shares of Common Stock may not be issued without legends under the Securities Act, to issue and deliver to the Holder (or its designee) a certificate for the number of Warrant Shares to which the Holder is entitled and register such Warrant Shares on the Company’s share register or, if the Transfer Agent is participating in FAST and such shares of Common Stock may not be issued without legends under the Securities Act, to credit the balance account of the Holder or the Holder’s designee with DTC for such number of Warrant Shares to which the Holder is entitled upon the Holder’s exercise of this Warrant (as the case may be) (a “</w:t>
      </w:r>
      <w:r>
        <w:rPr>
          <w:rFonts w:ascii="Arial" w:cs="Arial" w:eastAsia="Arial" w:hAnsi="Arial"/>
          <w:sz w:val="16"/>
          <w:szCs w:val="16"/>
          <w:b w:val="1"/>
          <w:bCs w:val="1"/>
          <w:color w:val="auto"/>
        </w:rPr>
        <w:t>Delivery Failure</w:t>
      </w:r>
      <w:r>
        <w:rPr>
          <w:rFonts w:ascii="Arial" w:cs="Arial" w:eastAsia="Arial" w:hAnsi="Arial"/>
          <w:sz w:val="16"/>
          <w:szCs w:val="16"/>
          <w:color w:val="auto"/>
        </w:rPr>
        <w:t xml:space="preserve">”), then, in addition to all other remedies available to the Holder, (X) the Company shall pay in cash to the Holder on each day after the Share Delivery Date and during such Delivery Failure an amount in cash, as liquidated damages and not as a penalty, equal to 2.0% of the product of (A) the sum of the number of shares of Common Stock not issued to the Holder on or prior to the Share Delivery Date and to which the Holder is entitled, and (B) any trading price of the Common Stock selected by the Holder in writing as in effect at any time during the period beginning on the applicable exercise date and ending on the applicable Share Delivery Date, and (Y) the Holder, upon written notice to the Company, may void its Exercise Notice with respect to, and retain or have returned, as the case may be, any portion of this Warrant that has not been exercised pursuant to such Exercise Notice; provided that the voiding of an Exercise Notice shall not affect the Company’s obligations to make any payments which have accrued prior to the date of such notice pursuant to this Section </w:t>
      </w:r>
      <w:r>
        <w:rPr>
          <w:rFonts w:ascii="Arial" w:cs="Arial" w:eastAsia="Arial" w:hAnsi="Arial"/>
          <w:sz w:val="19"/>
          <w:szCs w:val="19"/>
          <w:b w:val="1"/>
          <w:bCs w:val="1"/>
          <w:color w:val="auto"/>
        </w:rPr>
        <w:t>‎</w:t>
      </w:r>
      <w:r>
        <w:rPr>
          <w:rFonts w:ascii="Arial" w:cs="Arial" w:eastAsia="Arial" w:hAnsi="Arial"/>
          <w:sz w:val="16"/>
          <w:szCs w:val="16"/>
          <w:color w:val="auto"/>
        </w:rPr>
        <w:t>1(c) or otherwise. In addition to the foregoing, if on or after such Share Delivery Date the Holder purchases (in an open market transaction or otherwise) shares of Common Stock to deliver in satisfaction of a sale by the Holder of all or any portion of the number of shares of Common Stock issuable upon such exercise that the Holder is entitled to receive from the Company (a “</w:t>
      </w:r>
      <w:r>
        <w:rPr>
          <w:rFonts w:ascii="Arial" w:cs="Arial" w:eastAsia="Arial" w:hAnsi="Arial"/>
          <w:sz w:val="16"/>
          <w:szCs w:val="16"/>
          <w:b w:val="1"/>
          <w:bCs w:val="1"/>
          <w:color w:val="auto"/>
        </w:rPr>
        <w:t>Buy-In</w:t>
      </w:r>
      <w:r>
        <w:rPr>
          <w:rFonts w:ascii="Arial" w:cs="Arial" w:eastAsia="Arial" w:hAnsi="Arial"/>
          <w:sz w:val="16"/>
          <w:szCs w:val="16"/>
          <w:color w:val="auto"/>
        </w:rPr>
        <w:t>”), then, in addition to all other remedies available to the Holder, the Company shall, within three (3) Business Days after the Holder’s request and in the Holder’s discretion, either (i) pay cash to the Holder in an amount equal to the Holder’s total purchase price (including brokerage commissions and other out-of-pocket expenses, if any) for the shares of Common Stock so purchased (including, without limitation, by any other Person in respect, or on behalf, of the Holder) (the “</w:t>
      </w:r>
      <w:r>
        <w:rPr>
          <w:rFonts w:ascii="Arial" w:cs="Arial" w:eastAsia="Arial" w:hAnsi="Arial"/>
          <w:sz w:val="16"/>
          <w:szCs w:val="16"/>
          <w:b w:val="1"/>
          <w:bCs w:val="1"/>
          <w:color w:val="auto"/>
        </w:rPr>
        <w:t>Buy-In Price</w:t>
      </w:r>
      <w:r>
        <w:rPr>
          <w:rFonts w:ascii="Arial" w:cs="Arial" w:eastAsia="Arial" w:hAnsi="Arial"/>
          <w:sz w:val="16"/>
          <w:szCs w:val="16"/>
          <w:color w:val="auto"/>
        </w:rPr>
        <w:t>”), at which point the Company’s obligation to so issue and deliver such certificate (and to issue such shares of Common Stock) or credit the balance account of such Holder or such Holder’s designee, as applicable, with DTC for the number of Warrant Shares to which the Holder is entitled upon the Holder’s exercise hereunder (as the case may be) (and to issue such Warrant Shares) shall terminate, or (ii) promptly honor its obligation to so issue and deliver to the Holder a certificate or certificates representing such Warrant Shares or credit the balance account of such Holder or such Holder’s designee, as applicable, with DTC for the number of Warrant Shares to which the Holder is entitled upon the Holder’s exercise hereunder (as the case may be) and pay cash to the Holder in an amount equal to the excess (if any) of the Buy-In Price over the product of (A) such number of Warrant Shares multiplied by (B) the Closing Sale Price of the Common Stock on the Share Delivery Date with respect to the related Exercise Notice (the “</w:t>
      </w:r>
      <w:r>
        <w:rPr>
          <w:rFonts w:ascii="Arial" w:cs="Arial" w:eastAsia="Arial" w:hAnsi="Arial"/>
          <w:sz w:val="16"/>
          <w:szCs w:val="16"/>
          <w:b w:val="1"/>
          <w:bCs w:val="1"/>
          <w:color w:val="auto"/>
        </w:rPr>
        <w:t>Buy-In Payment Amount</w:t>
      </w:r>
      <w:r>
        <w:rPr>
          <w:rFonts w:ascii="Arial" w:cs="Arial" w:eastAsia="Arial" w:hAnsi="Arial"/>
          <w:sz w:val="16"/>
          <w:szCs w:val="16"/>
          <w:color w:val="auto"/>
        </w:rPr>
        <w:t>”). The Holder shall provide the Company written notice indicating the amounts payable to the Holder in respect of the Buy-In and, upon request of the Company, evidence of the amount of such loss. Nothing shall limit the Holder’s right to pursue any other remedies available to it hereunder, at law or in equity, including, without limitation, a decree of specific performance and/or injunctive relief with respect to the Company’s failure to timely deliver certificates representing shares of Common Stock (or to electronically deliver such shares of Common Stock) upon the exercise of this Warrant as required pursuant to the terms hereof.</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1" w:name="page362"/>
    <w:bookmarkEnd w:id="361"/>
    <w:p>
      <w:pPr>
        <w:jc w:val="both"/>
        <w:ind w:firstLine="1952"/>
        <w:spacing w:after="0" w:line="255" w:lineRule="auto"/>
        <w:tabs>
          <w:tab w:leader="none" w:pos="2212" w:val="left"/>
        </w:tabs>
        <w:numPr>
          <w:ilvl w:val="0"/>
          <w:numId w:val="380"/>
        </w:numPr>
        <w:rPr>
          <w:rFonts w:ascii="Arial" w:cs="Arial" w:eastAsia="Arial" w:hAnsi="Arial"/>
          <w:sz w:val="18"/>
          <w:szCs w:val="18"/>
          <w:color w:val="auto"/>
        </w:rPr>
      </w:pPr>
      <w:r>
        <w:rPr>
          <w:rFonts w:ascii="Arial" w:cs="Arial" w:eastAsia="Arial" w:hAnsi="Arial"/>
          <w:sz w:val="18"/>
          <w:szCs w:val="18"/>
          <w:u w:val="single" w:color="auto"/>
          <w:color w:val="auto"/>
        </w:rPr>
        <w:t>Cashless Exercise</w:t>
      </w:r>
      <w:r>
        <w:rPr>
          <w:rFonts w:ascii="Arial" w:cs="Arial" w:eastAsia="Arial" w:hAnsi="Arial"/>
          <w:sz w:val="18"/>
          <w:szCs w:val="18"/>
          <w:color w:val="auto"/>
        </w:rPr>
        <w:t xml:space="preserve">. Notwithstanding anything contained herein to the contrary (other than Section </w:t>
      </w:r>
      <w:r>
        <w:rPr>
          <w:rFonts w:ascii="Arial" w:cs="Arial" w:eastAsia="Arial" w:hAnsi="Arial"/>
          <w:sz w:val="21"/>
          <w:szCs w:val="21"/>
          <w:b w:val="1"/>
          <w:bCs w:val="1"/>
          <w:color w:val="auto"/>
        </w:rPr>
        <w:t>‎</w:t>
      </w:r>
      <w:r>
        <w:rPr>
          <w:rFonts w:ascii="Arial" w:cs="Arial" w:eastAsia="Arial" w:hAnsi="Arial"/>
          <w:sz w:val="18"/>
          <w:szCs w:val="18"/>
          <w:color w:val="auto"/>
        </w:rPr>
        <w:t xml:space="preserve">1(f) below), the Holder may, in its sole discretion (and without limiting the Holder’s rights and remedies contained herein), exercise this Warrant in whole or in part and, subject to the provisions of Section </w:t>
      </w:r>
      <w:r>
        <w:rPr>
          <w:rFonts w:ascii="Arial" w:cs="Arial" w:eastAsia="Arial" w:hAnsi="Arial"/>
          <w:sz w:val="21"/>
          <w:szCs w:val="21"/>
          <w:b w:val="1"/>
          <w:bCs w:val="1"/>
          <w:color w:val="auto"/>
        </w:rPr>
        <w:t>‎</w:t>
      </w:r>
      <w:r>
        <w:rPr>
          <w:rFonts w:ascii="Arial" w:cs="Arial" w:eastAsia="Arial" w:hAnsi="Arial"/>
          <w:sz w:val="18"/>
          <w:szCs w:val="18"/>
          <w:color w:val="auto"/>
        </w:rPr>
        <w:t>1(a), in lieu of making the cash payment otherwise contemplated to be made to the Company upon such exercise in payment of the Aggregate Exercise Price, elect instead to receive upon such exercise the “Net Number” of Warrant Shares determined according to the following formula:</w:t>
      </w:r>
    </w:p>
    <w:p>
      <w:pPr>
        <w:spacing w:after="0" w:line="19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Net Number = </w:t>
      </w:r>
      <w:r>
        <w:rPr>
          <w:rFonts w:ascii="Arial" w:cs="Arial" w:eastAsia="Arial" w:hAnsi="Arial"/>
          <w:sz w:val="18"/>
          <w:szCs w:val="18"/>
          <w:u w:val="single" w:color="auto"/>
          <w:color w:val="auto"/>
        </w:rPr>
        <w:t>(A x B) - (A x C)</w:t>
      </w:r>
    </w:p>
    <w:p>
      <w:pPr>
        <w:spacing w:after="0" w:line="23"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B</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For purposes of the foregoing formula: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 = the total number of shares with respect to which this Warrant is then being exercised.</w:t>
      </w:r>
    </w:p>
    <w:p>
      <w:pPr>
        <w:spacing w:after="0" w:line="225" w:lineRule="exact"/>
        <w:rPr>
          <w:sz w:val="20"/>
          <w:szCs w:val="20"/>
          <w:color w:val="auto"/>
        </w:rPr>
      </w:pPr>
    </w:p>
    <w:p>
      <w:pPr>
        <w:ind w:left="1300" w:right="20"/>
        <w:spacing w:after="0" w:line="342" w:lineRule="auto"/>
        <w:rPr>
          <w:sz w:val="20"/>
          <w:szCs w:val="20"/>
          <w:color w:val="auto"/>
        </w:rPr>
      </w:pPr>
      <w:r>
        <w:rPr>
          <w:rFonts w:ascii="Arial" w:cs="Arial" w:eastAsia="Arial" w:hAnsi="Arial"/>
          <w:sz w:val="16"/>
          <w:szCs w:val="16"/>
          <w:color w:val="auto"/>
        </w:rPr>
        <w:t>B = the quotient of (x) the sum of the VWAP of the Common Stock of each of the five (5) Trading Days ending at the close of business on the Principal Market immediately prior to the time of exercise as set forth in the applicable Exercise Notice, divided by (y) five (5).</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 = the Exercise Price then in effect for the applicable Warrant Shares at the time of such exercise.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purposes of Rule 144(d) promulgated under the Securities Act, as in effect on the date hereof, it is intended that the Warrant Shares issued in a Cashless Exercise shall be deemed to have been acquired by the Holder, and the holding period for the Warrant Shares shall be deemed to have commenced, on the date this Warrant was originally issued pursuant to the Credit Agreement.</w:t>
      </w:r>
    </w:p>
    <w:p>
      <w:pPr>
        <w:spacing w:after="0" w:line="184" w:lineRule="exact"/>
        <w:rPr>
          <w:sz w:val="20"/>
          <w:szCs w:val="20"/>
          <w:color w:val="auto"/>
        </w:rPr>
      </w:pPr>
    </w:p>
    <w:p>
      <w:pPr>
        <w:jc w:val="both"/>
        <w:ind w:firstLine="1952"/>
        <w:spacing w:after="0" w:line="263" w:lineRule="auto"/>
        <w:tabs>
          <w:tab w:leader="none" w:pos="2188" w:val="left"/>
        </w:tabs>
        <w:numPr>
          <w:ilvl w:val="0"/>
          <w:numId w:val="381"/>
        </w:numPr>
        <w:rPr>
          <w:rFonts w:ascii="Arial" w:cs="Arial" w:eastAsia="Arial" w:hAnsi="Arial"/>
          <w:sz w:val="18"/>
          <w:szCs w:val="18"/>
          <w:color w:val="auto"/>
        </w:rPr>
      </w:pPr>
      <w:r>
        <w:rPr>
          <w:rFonts w:ascii="Arial" w:cs="Arial" w:eastAsia="Arial" w:hAnsi="Arial"/>
          <w:sz w:val="18"/>
          <w:szCs w:val="18"/>
          <w:u w:val="single" w:color="auto"/>
          <w:color w:val="auto"/>
        </w:rPr>
        <w:t>Disputes</w:t>
      </w:r>
      <w:r>
        <w:rPr>
          <w:rFonts w:ascii="Arial" w:cs="Arial" w:eastAsia="Arial" w:hAnsi="Arial"/>
          <w:sz w:val="18"/>
          <w:szCs w:val="18"/>
          <w:color w:val="auto"/>
        </w:rPr>
        <w:t xml:space="preserve">. In the case of a dispute as to the determination of the Exercise Price or the arithmetic calculation of the number of Warrant Shares to be issued pursuant to the terms hereof, the Company shall promptly issue to the Holder the number of Warrant Shares that are not disputed and resolve such dispute in accordance with Section </w:t>
      </w:r>
      <w:r>
        <w:rPr>
          <w:rFonts w:ascii="Arial" w:cs="Arial" w:eastAsia="Arial" w:hAnsi="Arial"/>
          <w:sz w:val="21"/>
          <w:szCs w:val="21"/>
          <w:b w:val="1"/>
          <w:bCs w:val="1"/>
          <w:color w:val="auto"/>
        </w:rPr>
        <w:t>‎</w:t>
      </w:r>
      <w:r>
        <w:rPr>
          <w:rFonts w:ascii="Arial" w:cs="Arial" w:eastAsia="Arial" w:hAnsi="Arial"/>
          <w:sz w:val="18"/>
          <w:szCs w:val="18"/>
          <w:color w:val="auto"/>
        </w:rPr>
        <w:t>12.</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62" w:name="page363"/>
    <w:bookmarkEnd w:id="362"/>
    <w:p>
      <w:pPr>
        <w:jc w:val="both"/>
        <w:ind w:firstLine="1952"/>
        <w:spacing w:after="0" w:line="281" w:lineRule="auto"/>
        <w:tabs>
          <w:tab w:leader="none" w:pos="2196" w:val="left"/>
        </w:tabs>
        <w:numPr>
          <w:ilvl w:val="1"/>
          <w:numId w:val="382"/>
        </w:numPr>
        <w:rPr>
          <w:rFonts w:ascii="Arial" w:cs="Arial" w:eastAsia="Arial" w:hAnsi="Arial"/>
          <w:sz w:val="16"/>
          <w:szCs w:val="16"/>
          <w:color w:val="auto"/>
        </w:rPr>
      </w:pPr>
      <w:r>
        <w:rPr>
          <w:rFonts w:ascii="Arial" w:cs="Arial" w:eastAsia="Arial" w:hAnsi="Arial"/>
          <w:sz w:val="16"/>
          <w:szCs w:val="16"/>
          <w:u w:val="single" w:color="auto"/>
          <w:color w:val="auto"/>
        </w:rPr>
        <w:t>Limitations on Exercises</w:t>
      </w:r>
      <w:r>
        <w:rPr>
          <w:rFonts w:ascii="Arial" w:cs="Arial" w:eastAsia="Arial" w:hAnsi="Arial"/>
          <w:sz w:val="16"/>
          <w:szCs w:val="16"/>
          <w:color w:val="auto"/>
        </w:rPr>
        <w:t>. Notwithstanding anything to the contrary contained herein, the Company shall not effect the exercise of any portion of this Warrant, and the Holder shall not have the right to exercise any portion of this Warrant, pursuant to the terms and conditions of this Warrant and any such exercise shall be null and void and treated as if never made, to the extent that after giving effect to such exercise, the Holder together with the other Attribution Parties collectively would beneficially own in excess of 4.99% (the “</w:t>
      </w:r>
      <w:r>
        <w:rPr>
          <w:rFonts w:ascii="Arial" w:cs="Arial" w:eastAsia="Arial" w:hAnsi="Arial"/>
          <w:sz w:val="16"/>
          <w:szCs w:val="16"/>
          <w:b w:val="1"/>
          <w:bCs w:val="1"/>
          <w:color w:val="auto"/>
        </w:rPr>
        <w:t>Maximum Percentage</w:t>
      </w:r>
      <w:r>
        <w:rPr>
          <w:rFonts w:ascii="Arial" w:cs="Arial" w:eastAsia="Arial" w:hAnsi="Arial"/>
          <w:sz w:val="16"/>
          <w:szCs w:val="16"/>
          <w:color w:val="auto"/>
        </w:rPr>
        <w:t xml:space="preserve">”) of the number of shares of Common Stock outstanding immediately after giving effect to such exercise. For purposes of the foregoing sentence, the aggregate number of shares of Common Stock beneficially owned by the Holder and the other Attribution Parties shall include the number of shares of Common Stock held by the Holder and all other Attribution Parties plus the number of shares of Common Stock issuable upon exercise of this Warrant with respect to which the determination of such sentence is being made, but shall exclude the number of shares of Common Stock which would be issuable upon (A) exercise of the remaining, unexercised portion of this Warrant beneficially owned by the Holder or any of the other Attribution Parties and (B) exercise or conversion of the unexercised or unconverted portion of any other securities of the Company (including, without limitation, any convertible notes or convertible preferred stock or warrants) beneficially owned by the Holder or any other Attribution Party subject to a limitation on conversion or exercise analogous to the limitation contained in this Section </w:t>
      </w:r>
      <w:r>
        <w:rPr>
          <w:rFonts w:ascii="Arial" w:cs="Arial" w:eastAsia="Arial" w:hAnsi="Arial"/>
          <w:sz w:val="19"/>
          <w:szCs w:val="19"/>
          <w:b w:val="1"/>
          <w:bCs w:val="1"/>
          <w:color w:val="auto"/>
        </w:rPr>
        <w:t>‎</w:t>
      </w:r>
      <w:r>
        <w:rPr>
          <w:rFonts w:ascii="Arial" w:cs="Arial" w:eastAsia="Arial" w:hAnsi="Arial"/>
          <w:sz w:val="16"/>
          <w:szCs w:val="16"/>
          <w:color w:val="auto"/>
        </w:rPr>
        <w:t xml:space="preserve">1(f). For purposes of this Section </w:t>
      </w:r>
      <w:r>
        <w:rPr>
          <w:rFonts w:ascii="Arial" w:cs="Arial" w:eastAsia="Arial" w:hAnsi="Arial"/>
          <w:sz w:val="19"/>
          <w:szCs w:val="19"/>
          <w:b w:val="1"/>
          <w:bCs w:val="1"/>
          <w:color w:val="auto"/>
        </w:rPr>
        <w:t>‎</w:t>
      </w:r>
      <w:r>
        <w:rPr>
          <w:rFonts w:ascii="Arial" w:cs="Arial" w:eastAsia="Arial" w:hAnsi="Arial"/>
          <w:sz w:val="16"/>
          <w:szCs w:val="16"/>
          <w:color w:val="auto"/>
        </w:rPr>
        <w:t>1(f), beneficial ownership shall be calculated in accordance with Section 13(d) of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For purposes of this Warrant, in determining the number of outstanding shares of Common Stock the Holder may acquire upon the exercise of this Warrant without exceeding the Maximum Percentage, the Holder may rely on the number of outstanding shares of Common Stock as reflected in (x) the Company’s most recent Annual Report on Form 10-K, Quarterly Report on Form 10-Q, Current Report on Form 8-K or other public filing with the Securities and Exchange Commission (the “</w:t>
      </w:r>
      <w:r>
        <w:rPr>
          <w:rFonts w:ascii="Arial" w:cs="Arial" w:eastAsia="Arial" w:hAnsi="Arial"/>
          <w:sz w:val="16"/>
          <w:szCs w:val="16"/>
          <w:b w:val="1"/>
          <w:bCs w:val="1"/>
          <w:color w:val="auto"/>
        </w:rPr>
        <w:t>SEC</w:t>
      </w:r>
      <w:r>
        <w:rPr>
          <w:rFonts w:ascii="Arial" w:cs="Arial" w:eastAsia="Arial" w:hAnsi="Arial"/>
          <w:sz w:val="16"/>
          <w:szCs w:val="16"/>
          <w:color w:val="auto"/>
        </w:rPr>
        <w:t>”), as the case may be, (y) a more recent public announcement by the Company or (z) any other written notice by the Company or the Transfer Agent, if any, setting forth the number of shares of Common Stock outstanding (the “</w:t>
      </w:r>
      <w:r>
        <w:rPr>
          <w:rFonts w:ascii="Arial" w:cs="Arial" w:eastAsia="Arial" w:hAnsi="Arial"/>
          <w:sz w:val="16"/>
          <w:szCs w:val="16"/>
          <w:b w:val="1"/>
          <w:bCs w:val="1"/>
          <w:color w:val="auto"/>
        </w:rPr>
        <w:t>Reported Outstanding Share Number</w:t>
      </w:r>
      <w:r>
        <w:rPr>
          <w:rFonts w:ascii="Arial" w:cs="Arial" w:eastAsia="Arial" w:hAnsi="Arial"/>
          <w:sz w:val="16"/>
          <w:szCs w:val="16"/>
          <w:color w:val="auto"/>
        </w:rPr>
        <w:t xml:space="preserve">”). If the Company receives an Exercise Notice from the Holder at a time when the actual number of outstanding shares of Common Stock is less than the Reported Outstanding Share Number, the Company shall (i) notify the Holder in writing of the number of shares of Common Stock then outstanding and, to the extent that such Exercise Notice would otherwise cause the Holder’s beneficial ownership, as determined pursuant to this Section </w:t>
      </w:r>
      <w:r>
        <w:rPr>
          <w:rFonts w:ascii="Arial" w:cs="Arial" w:eastAsia="Arial" w:hAnsi="Arial"/>
          <w:sz w:val="19"/>
          <w:szCs w:val="19"/>
          <w:b w:val="1"/>
          <w:bCs w:val="1"/>
          <w:color w:val="auto"/>
        </w:rPr>
        <w:t>‎</w:t>
      </w:r>
      <w:r>
        <w:rPr>
          <w:rFonts w:ascii="Arial" w:cs="Arial" w:eastAsia="Arial" w:hAnsi="Arial"/>
          <w:sz w:val="16"/>
          <w:szCs w:val="16"/>
          <w:color w:val="auto"/>
        </w:rPr>
        <w:t>1(f), to exceed the Maximum Percentage, the Holder must notify the Company of a reduced number of Warrant Shares to be purchased pursuant to such Exercise Notice (the number of shares by which such purchase is reduced, the “</w:t>
      </w:r>
      <w:r>
        <w:rPr>
          <w:rFonts w:ascii="Arial" w:cs="Arial" w:eastAsia="Arial" w:hAnsi="Arial"/>
          <w:sz w:val="16"/>
          <w:szCs w:val="16"/>
          <w:b w:val="1"/>
          <w:bCs w:val="1"/>
          <w:color w:val="auto"/>
        </w:rPr>
        <w:t>Reduction Shares</w:t>
      </w:r>
      <w:r>
        <w:rPr>
          <w:rFonts w:ascii="Arial" w:cs="Arial" w:eastAsia="Arial" w:hAnsi="Arial"/>
          <w:sz w:val="16"/>
          <w:szCs w:val="16"/>
          <w:color w:val="auto"/>
        </w:rPr>
        <w:t>”) and</w:t>
      </w:r>
    </w:p>
    <w:p>
      <w:pPr>
        <w:jc w:val="both"/>
        <w:ind w:firstLine="8"/>
        <w:spacing w:after="0" w:line="282" w:lineRule="auto"/>
        <w:tabs>
          <w:tab w:leader="none" w:pos="283" w:val="left"/>
        </w:tabs>
        <w:numPr>
          <w:ilvl w:val="0"/>
          <w:numId w:val="383"/>
        </w:numPr>
        <w:rPr>
          <w:rFonts w:ascii="Arial" w:cs="Arial" w:eastAsia="Arial" w:hAnsi="Arial"/>
          <w:sz w:val="16"/>
          <w:szCs w:val="16"/>
          <w:color w:val="auto"/>
        </w:rPr>
      </w:pPr>
      <w:r>
        <w:rPr>
          <w:rFonts w:ascii="Arial" w:cs="Arial" w:eastAsia="Arial" w:hAnsi="Arial"/>
          <w:sz w:val="16"/>
          <w:szCs w:val="16"/>
          <w:color w:val="auto"/>
        </w:rPr>
        <w:t>as soon as reasonably practicable, the Company shall return to the Holder any exercise price paid by the Holder for the Reduction Shares. For any reason at any time, upon the written or oral request of the Holder, the Company shall within one (1) Business Day confirm orally and in writing or by electronic mail to the Holder the number of shares of Common Stock then outstanding. In any case, the number of outstanding shares of Common Stock shall be determined after giving effect to the conversion or exercise of securities of the Company, including this Warrant, by the Holder and any other Attribution Party since the date as of which the Reported Outstanding Share Number was reported. In the event that the issuance of shares of Common Stock to the Holder upon exercise of this Warrant results in the Holder and the other Attribution Parties being deemed to beneficially own, in the aggregate, more than the Maximum Percentage of the number of outstanding shares of Common Stock (as determined under Section 13(d) of the Exchange Act), the number of shares so issued by which the Holder’s and the other Attribution Parties’ aggregate beneficial ownership exceeds the Maximum Percentage (the “</w:t>
      </w:r>
      <w:r>
        <w:rPr>
          <w:rFonts w:ascii="Arial" w:cs="Arial" w:eastAsia="Arial" w:hAnsi="Arial"/>
          <w:sz w:val="16"/>
          <w:szCs w:val="16"/>
          <w:b w:val="1"/>
          <w:bCs w:val="1"/>
          <w:color w:val="auto"/>
        </w:rPr>
        <w:t>Excess Shares</w:t>
      </w:r>
      <w:r>
        <w:rPr>
          <w:rFonts w:ascii="Arial" w:cs="Arial" w:eastAsia="Arial" w:hAnsi="Arial"/>
          <w:sz w:val="16"/>
          <w:szCs w:val="16"/>
          <w:color w:val="auto"/>
        </w:rPr>
        <w:t xml:space="preserve">”) shall be deemed null and void and shall be cancelled ab initio, and the Holder shall not have the power to vote or to transfer the Excess Shares. As soon as reasonably practicable after the issuance of the Excess Shares has been deemed null and void, the Company shall return to the Holder the exercise price paid by the Holder for the Excess Shares. Upon delivery of a written notice to the Company, the Holder may from time to time increase (with such increase not effective until the sixty-first (61st) day after delivery of such notice) or decrease the Maximum Percentage to any other percentage not in excess of 9.99% as specified in such notice; provided that (i) any such increase in the Maximum Percentage will not be effective until the sixty-first (61st) day after such notice is delivered to the Company and (ii) any such increase or decrease will apply only to the Holder and the other Attribution Parties and not to any other holder that is not an Attribution Party of the Holder. For purposes of clarity, the shares of Common Stock issuable pursuant to the terms of this Warrant in excess of the Maximum Percentage shall not be deemed to be beneficially owned by the Holder for any purpose including for purposes of Section 13(d) or Rule 16a-1(a)(1) of the Exchange Act. No prior inability to exercise this Warrant pursuant to this paragraph shall have any effect on the applicability of the provisions of this paragraph with respect to any subsequent determination of exercisability. The provisions of this paragraph shall be construed and implemented in a manner otherwise than in strict conformity with the terms of this Section </w:t>
      </w:r>
      <w:r>
        <w:rPr>
          <w:rFonts w:ascii="Arial" w:cs="Arial" w:eastAsia="Arial" w:hAnsi="Arial"/>
          <w:sz w:val="19"/>
          <w:szCs w:val="19"/>
          <w:b w:val="1"/>
          <w:bCs w:val="1"/>
          <w:color w:val="auto"/>
        </w:rPr>
        <w:t>‎</w:t>
      </w:r>
      <w:r>
        <w:rPr>
          <w:rFonts w:ascii="Arial" w:cs="Arial" w:eastAsia="Arial" w:hAnsi="Arial"/>
          <w:sz w:val="16"/>
          <w:szCs w:val="16"/>
          <w:color w:val="auto"/>
        </w:rPr>
        <w:t xml:space="preserve">1(f) to the extent necessary to correct this paragraph or any portion of this paragraph which may be defective or inconsistent with the intended beneficial ownership limitation contained in this Section </w:t>
      </w:r>
      <w:r>
        <w:rPr>
          <w:rFonts w:ascii="Arial" w:cs="Arial" w:eastAsia="Arial" w:hAnsi="Arial"/>
          <w:sz w:val="19"/>
          <w:szCs w:val="19"/>
          <w:b w:val="1"/>
          <w:bCs w:val="1"/>
          <w:color w:val="auto"/>
        </w:rPr>
        <w:t>‎</w:t>
      </w:r>
      <w:r>
        <w:rPr>
          <w:rFonts w:ascii="Arial" w:cs="Arial" w:eastAsia="Arial" w:hAnsi="Arial"/>
          <w:sz w:val="16"/>
          <w:szCs w:val="16"/>
          <w:color w:val="auto"/>
        </w:rPr>
        <w:t>1(f) or to make changes or supplements necessary or desirable to properly give effect to such limitation. The limitation contained in this paragraph may not be waived and shall apply to a successor holder of this Warrant.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63" w:name="page364"/>
    <w:bookmarkEnd w:id="363"/>
    <w:p>
      <w:pPr>
        <w:jc w:val="both"/>
        <w:ind w:firstLine="1952"/>
        <w:spacing w:after="0" w:line="285" w:lineRule="auto"/>
        <w:tabs>
          <w:tab w:leader="none" w:pos="2199" w:val="left"/>
        </w:tabs>
        <w:numPr>
          <w:ilvl w:val="1"/>
          <w:numId w:val="384"/>
        </w:numPr>
        <w:rPr>
          <w:rFonts w:ascii="Arial" w:cs="Arial" w:eastAsia="Arial" w:hAnsi="Arial"/>
          <w:sz w:val="16"/>
          <w:szCs w:val="16"/>
          <w:color w:val="auto"/>
        </w:rPr>
      </w:pPr>
      <w:r>
        <w:rPr>
          <w:rFonts w:ascii="Arial" w:cs="Arial" w:eastAsia="Arial" w:hAnsi="Arial"/>
          <w:sz w:val="16"/>
          <w:szCs w:val="16"/>
          <w:u w:val="single" w:color="auto"/>
          <w:color w:val="auto"/>
        </w:rPr>
        <w:t>Insufficient Authorized Shares</w:t>
      </w:r>
      <w:r>
        <w:rPr>
          <w:rFonts w:ascii="Arial" w:cs="Arial" w:eastAsia="Arial" w:hAnsi="Arial"/>
          <w:sz w:val="16"/>
          <w:szCs w:val="16"/>
          <w:color w:val="auto"/>
        </w:rPr>
        <w:t>. If at any time while this Warrant remains outstanding the Company does not have a sufficient number of authorized and unreserved shares of Common Stock to satisfy its obligation to reserve for issuance upon exercise of this Warrant at least a number of shares of Common Stock equal to the number of shares of Common Stock as shall from time to time be necessary to effect the exercise of all of this Warrant then outstanding (the “</w:t>
      </w:r>
      <w:r>
        <w:rPr>
          <w:rFonts w:ascii="Arial" w:cs="Arial" w:eastAsia="Arial" w:hAnsi="Arial"/>
          <w:sz w:val="16"/>
          <w:szCs w:val="16"/>
          <w:b w:val="1"/>
          <w:bCs w:val="1"/>
          <w:color w:val="auto"/>
        </w:rPr>
        <w:t>Required Reserve Amount</w:t>
      </w:r>
      <w:r>
        <w:rPr>
          <w:rFonts w:ascii="Arial" w:cs="Arial" w:eastAsia="Arial" w:hAnsi="Arial"/>
          <w:sz w:val="16"/>
          <w:szCs w:val="16"/>
          <w:color w:val="auto"/>
        </w:rPr>
        <w:t>” and the failure to have such sufficient number of authorized and unreserved shares of Common Stock, an “</w:t>
      </w:r>
      <w:r>
        <w:rPr>
          <w:rFonts w:ascii="Arial" w:cs="Arial" w:eastAsia="Arial" w:hAnsi="Arial"/>
          <w:sz w:val="16"/>
          <w:szCs w:val="16"/>
          <w:b w:val="1"/>
          <w:bCs w:val="1"/>
          <w:color w:val="auto"/>
        </w:rPr>
        <w:t>Authorized Share Failure</w:t>
      </w:r>
      <w:r>
        <w:rPr>
          <w:rFonts w:ascii="Arial" w:cs="Arial" w:eastAsia="Arial" w:hAnsi="Arial"/>
          <w:sz w:val="16"/>
          <w:szCs w:val="16"/>
          <w:color w:val="auto"/>
        </w:rPr>
        <w:t>”), then the Company shall as soon as reasonably practicable take all action necessary to increase the Company’s authorized shares of Common Stock to an amount sufficient to allow the Company to reserve the Required Reserve Amount for this Warrant then outstanding. Without limiting the generality of the foregoing sentence, as soon as reasonably practicable after the date of the occurrence of an Authorized Share Failure, but in no event later than seventy-five (75) days after the occurrence of such Authorized Share Failure, the Company shall hold a meeting of its stockholders for the approval of an increase in the number of authorized shares of Common Stock. In connection with such meeting, the Company shall provide each stockholder with a proxy statement and shall use its reasonable best efforts to solicit its stockholders’ approval of such increase in authorized shares of Common Stock and to cause its board of directors to recommend to the stockholders that they approve such proposal. In the event that the Company is prohibited from issuing shares of Common Stock upon an exercise of this Warrant due to the failure by the Company to have sufficient shares of Common Stock available out of the authorized but unissued shares of Common Stock (such unavailable number of shares of Common Stock, the “</w:t>
      </w:r>
      <w:r>
        <w:rPr>
          <w:rFonts w:ascii="Arial" w:cs="Arial" w:eastAsia="Arial" w:hAnsi="Arial"/>
          <w:sz w:val="16"/>
          <w:szCs w:val="16"/>
          <w:b w:val="1"/>
          <w:bCs w:val="1"/>
          <w:color w:val="auto"/>
        </w:rPr>
        <w:t>Authorization Failure Shares</w:t>
      </w:r>
      <w:r>
        <w:rPr>
          <w:rFonts w:ascii="Arial" w:cs="Arial" w:eastAsia="Arial" w:hAnsi="Arial"/>
          <w:sz w:val="16"/>
          <w:szCs w:val="16"/>
          <w:color w:val="auto"/>
        </w:rPr>
        <w:t xml:space="preserve">”), in lieu of delivering such Authorization Failure Shares to the Holder, the Company shall pay cash in exchange for the cancellation of such portion of this Warrant exercisable into such Authorization Failure Shares at a price equal to the sum of (i) the product of (x) such number of Authorization Failure Shares and (y) the Closing Sale Price of the Common Stock on the date the Holder delivers the applicable Exercise Notice with respect to such Authorization Failure Shares to the Company; and (ii) to the extent the Holder purchases (in an open market transaction or otherwise) shares of Common Stock to deliver in satisfaction of a sale by the Holder of Authorization Failure Shares, any Buy-In Payment Amount, brokerage commissions and other out-of-pocket expenses, if any, of the Holder incurred in connection therewith. Nothing contained in this Section </w:t>
      </w:r>
      <w:r>
        <w:rPr>
          <w:rFonts w:ascii="Arial" w:cs="Arial" w:eastAsia="Arial" w:hAnsi="Arial"/>
          <w:sz w:val="19"/>
          <w:szCs w:val="19"/>
          <w:b w:val="1"/>
          <w:bCs w:val="1"/>
          <w:color w:val="auto"/>
        </w:rPr>
        <w:t>‎</w:t>
      </w:r>
      <w:r>
        <w:rPr>
          <w:rFonts w:ascii="Arial" w:cs="Arial" w:eastAsia="Arial" w:hAnsi="Arial"/>
          <w:sz w:val="16"/>
          <w:szCs w:val="16"/>
          <w:color w:val="auto"/>
        </w:rPr>
        <w:t>1(g) shall limit any obligations of the Company under any provision of the Credit Agreement.</w:t>
      </w:r>
    </w:p>
    <w:p>
      <w:pPr>
        <w:spacing w:after="0" w:line="152" w:lineRule="exact"/>
        <w:rPr>
          <w:rFonts w:ascii="Arial" w:cs="Arial" w:eastAsia="Arial" w:hAnsi="Arial"/>
          <w:sz w:val="16"/>
          <w:szCs w:val="16"/>
          <w:color w:val="auto"/>
        </w:rPr>
      </w:pPr>
    </w:p>
    <w:p>
      <w:pPr>
        <w:ind w:firstLine="1304"/>
        <w:spacing w:after="0" w:line="277" w:lineRule="auto"/>
        <w:tabs>
          <w:tab w:leader="none" w:pos="1476" w:val="left"/>
        </w:tabs>
        <w:numPr>
          <w:ilvl w:val="0"/>
          <w:numId w:val="385"/>
        </w:numPr>
        <w:rPr>
          <w:rFonts w:ascii="Arial" w:cs="Arial" w:eastAsia="Arial" w:hAnsi="Arial"/>
          <w:sz w:val="18"/>
          <w:szCs w:val="18"/>
          <w:color w:val="auto"/>
        </w:rPr>
      </w:pPr>
      <w:r>
        <w:rPr>
          <w:rFonts w:ascii="Arial" w:cs="Arial" w:eastAsia="Arial" w:hAnsi="Arial"/>
          <w:sz w:val="18"/>
          <w:szCs w:val="18"/>
          <w:u w:val="single" w:color="auto"/>
          <w:color w:val="auto"/>
        </w:rPr>
        <w:t>ADJUSTMENT OF EXERCISE PRICE AND NUMBER OF WARRANT SHARES</w:t>
      </w:r>
      <w:r>
        <w:rPr>
          <w:rFonts w:ascii="Arial" w:cs="Arial" w:eastAsia="Arial" w:hAnsi="Arial"/>
          <w:sz w:val="18"/>
          <w:szCs w:val="18"/>
          <w:color w:val="auto"/>
        </w:rPr>
        <w:t>. The Exercise Price and the number of Warrant Shares issuable upon exercise of this Warrant are subject to adjustments from time to time as set forth in this Section 2.</w:t>
      </w:r>
    </w:p>
    <w:p>
      <w:pPr>
        <w:spacing w:after="0" w:line="170" w:lineRule="exact"/>
        <w:rPr>
          <w:rFonts w:ascii="Arial" w:cs="Arial" w:eastAsia="Arial" w:hAnsi="Arial"/>
          <w:sz w:val="18"/>
          <w:szCs w:val="18"/>
          <w:color w:val="auto"/>
        </w:rPr>
      </w:pPr>
    </w:p>
    <w:p>
      <w:pPr>
        <w:jc w:val="both"/>
        <w:ind w:firstLine="1952"/>
        <w:spacing w:after="0" w:line="272" w:lineRule="auto"/>
        <w:tabs>
          <w:tab w:leader="none" w:pos="2202" w:val="left"/>
        </w:tabs>
        <w:numPr>
          <w:ilvl w:val="1"/>
          <w:numId w:val="385"/>
        </w:numPr>
        <w:rPr>
          <w:rFonts w:ascii="Arial" w:cs="Arial" w:eastAsia="Arial" w:hAnsi="Arial"/>
          <w:sz w:val="17"/>
          <w:szCs w:val="17"/>
          <w:color w:val="auto"/>
        </w:rPr>
      </w:pPr>
      <w:r>
        <w:rPr>
          <w:rFonts w:ascii="Arial" w:cs="Arial" w:eastAsia="Arial" w:hAnsi="Arial"/>
          <w:sz w:val="17"/>
          <w:szCs w:val="17"/>
          <w:u w:val="single" w:color="auto"/>
          <w:color w:val="auto"/>
        </w:rPr>
        <w:t>Adjustment Upon Subdivision or Combination of Shares of Common Stock</w:t>
      </w:r>
      <w:r>
        <w:rPr>
          <w:rFonts w:ascii="Arial" w:cs="Arial" w:eastAsia="Arial" w:hAnsi="Arial"/>
          <w:sz w:val="17"/>
          <w:szCs w:val="17"/>
          <w:color w:val="auto"/>
        </w:rPr>
        <w:t>. If the Company at any time on or after the Issuance Date subdivides (by any stock split, stock dividend, recapitalization or otherwise) one or more classes of its outstanding shares of Common Stock into a greater number of shares, the Exercise Price in effect immediately prior to such subdivision will be proportionately reduced and the number of Warrant Shares will be proportionately increased. If the Company at any time on or after the Issuance Date combines (by combination, reverse stock split or otherwise) one or more classes of its outstanding shares of Common Stock into a smaller number of shares, the Exercise Price in effect immediately prior to such combination will be proportionately increased and the number of Warrant Shares will be proportionately decreased. Any adjustment under this Section 2(a) shall become effective at the close of business on the date the subdivision or combination becomes effective.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64" w:name="page365"/>
    <w:bookmarkEnd w:id="364"/>
    <w:p>
      <w:pPr>
        <w:jc w:val="both"/>
        <w:ind w:firstLine="1952"/>
        <w:spacing w:after="0" w:line="279" w:lineRule="auto"/>
        <w:tabs>
          <w:tab w:leader="none" w:pos="2199" w:val="left"/>
        </w:tabs>
        <w:numPr>
          <w:ilvl w:val="1"/>
          <w:numId w:val="386"/>
        </w:numPr>
        <w:rPr>
          <w:rFonts w:ascii="Arial" w:cs="Arial" w:eastAsia="Arial" w:hAnsi="Arial"/>
          <w:sz w:val="17"/>
          <w:szCs w:val="17"/>
          <w:color w:val="auto"/>
        </w:rPr>
      </w:pPr>
      <w:r>
        <w:rPr>
          <w:rFonts w:ascii="Arial" w:cs="Arial" w:eastAsia="Arial" w:hAnsi="Arial"/>
          <w:sz w:val="17"/>
          <w:szCs w:val="17"/>
          <w:u w:val="single" w:color="auto"/>
          <w:color w:val="auto"/>
        </w:rPr>
        <w:t>Adjustment to Number of Warrant Shares.</w:t>
      </w:r>
      <w:r>
        <w:rPr>
          <w:rFonts w:ascii="Arial" w:cs="Arial" w:eastAsia="Arial" w:hAnsi="Arial"/>
          <w:sz w:val="17"/>
          <w:szCs w:val="17"/>
          <w:color w:val="auto"/>
        </w:rPr>
        <w:t xml:space="preserve"> Simultaneously with any adjustment to the Exercise Price pursuant to Section </w:t>
      </w:r>
      <w:r>
        <w:rPr>
          <w:rFonts w:ascii="Arial" w:cs="Arial" w:eastAsia="Arial" w:hAnsi="Arial"/>
          <w:sz w:val="20"/>
          <w:szCs w:val="20"/>
          <w:b w:val="1"/>
          <w:bCs w:val="1"/>
          <w:color w:val="auto"/>
        </w:rPr>
        <w:t>‎</w:t>
      </w:r>
      <w:r>
        <w:rPr>
          <w:rFonts w:ascii="Arial" w:cs="Arial" w:eastAsia="Arial" w:hAnsi="Arial"/>
          <w:sz w:val="17"/>
          <w:szCs w:val="17"/>
          <w:color w:val="auto"/>
        </w:rPr>
        <w:t>2, the number of Warrant Shares that may be purchased upon exercise of this Warrant shall be increased or decreased proportionately, so that after such adjustment the aggregate Exercise Price payable hereunder for the adjusted number of Warrant Shares shall be the same as the aggregate Exercise Price in effect immediately prior to such adjustment (without regard to any limitations on exercise contained herein).</w:t>
      </w:r>
    </w:p>
    <w:p>
      <w:pPr>
        <w:spacing w:after="0" w:line="171" w:lineRule="exact"/>
        <w:rPr>
          <w:rFonts w:ascii="Arial" w:cs="Arial" w:eastAsia="Arial" w:hAnsi="Arial"/>
          <w:sz w:val="17"/>
          <w:szCs w:val="17"/>
          <w:color w:val="auto"/>
        </w:rPr>
      </w:pPr>
    </w:p>
    <w:p>
      <w:pPr>
        <w:ind w:firstLine="1952"/>
        <w:spacing w:after="0" w:line="277" w:lineRule="auto"/>
        <w:tabs>
          <w:tab w:leader="none" w:pos="2188" w:val="left"/>
        </w:tabs>
        <w:numPr>
          <w:ilvl w:val="1"/>
          <w:numId w:val="386"/>
        </w:numPr>
        <w:rPr>
          <w:rFonts w:ascii="Arial" w:cs="Arial" w:eastAsia="Arial" w:hAnsi="Arial"/>
          <w:sz w:val="18"/>
          <w:szCs w:val="18"/>
          <w:color w:val="auto"/>
        </w:rPr>
      </w:pPr>
      <w:r>
        <w:rPr>
          <w:rFonts w:ascii="Arial" w:cs="Arial" w:eastAsia="Arial" w:hAnsi="Arial"/>
          <w:sz w:val="18"/>
          <w:szCs w:val="18"/>
          <w:u w:val="single" w:color="auto"/>
          <w:color w:val="auto"/>
        </w:rPr>
        <w:t>Par Value</w:t>
      </w:r>
      <w:r>
        <w:rPr>
          <w:rFonts w:ascii="Arial" w:cs="Arial" w:eastAsia="Arial" w:hAnsi="Arial"/>
          <w:sz w:val="18"/>
          <w:szCs w:val="18"/>
          <w:color w:val="auto"/>
        </w:rPr>
        <w:t>. Notwithstanding anything to the contrary in this Warrant, in no event shall the Exercise Price be reduced below the par value of the Company’s Common Stock.</w:t>
      </w:r>
    </w:p>
    <w:p>
      <w:pPr>
        <w:spacing w:after="0" w:line="170" w:lineRule="exact"/>
        <w:rPr>
          <w:rFonts w:ascii="Arial" w:cs="Arial" w:eastAsia="Arial" w:hAnsi="Arial"/>
          <w:sz w:val="18"/>
          <w:szCs w:val="18"/>
          <w:color w:val="auto"/>
        </w:rPr>
      </w:pPr>
    </w:p>
    <w:p>
      <w:pPr>
        <w:jc w:val="both"/>
        <w:ind w:firstLine="1952"/>
        <w:spacing w:after="0" w:line="263" w:lineRule="auto"/>
        <w:tabs>
          <w:tab w:leader="none" w:pos="2199" w:val="left"/>
        </w:tabs>
        <w:numPr>
          <w:ilvl w:val="1"/>
          <w:numId w:val="386"/>
        </w:numPr>
        <w:rPr>
          <w:rFonts w:ascii="Arial" w:cs="Arial" w:eastAsia="Arial" w:hAnsi="Arial"/>
          <w:sz w:val="18"/>
          <w:szCs w:val="18"/>
          <w:color w:val="auto"/>
        </w:rPr>
      </w:pPr>
      <w:r>
        <w:rPr>
          <w:rFonts w:ascii="Arial" w:cs="Arial" w:eastAsia="Arial" w:hAnsi="Arial"/>
          <w:sz w:val="18"/>
          <w:szCs w:val="18"/>
          <w:u w:val="single" w:color="auto"/>
          <w:color w:val="auto"/>
        </w:rPr>
        <w:t>Voluntary Adjustment by Company</w:t>
      </w:r>
      <w:r>
        <w:rPr>
          <w:rFonts w:ascii="Arial" w:cs="Arial" w:eastAsia="Arial" w:hAnsi="Arial"/>
          <w:sz w:val="18"/>
          <w:szCs w:val="18"/>
          <w:color w:val="auto"/>
        </w:rPr>
        <w:t>. Subject to Section 2(c), the Company may at any time during the term of this Warrant, with prior written notice to the Holder, reduce the then current Exercise Price to any amount and for any period of time deemed appropriate by the board of directors of the Company.</w:t>
      </w:r>
    </w:p>
    <w:p>
      <w:pPr>
        <w:spacing w:after="0" w:line="170" w:lineRule="exact"/>
        <w:rPr>
          <w:rFonts w:ascii="Arial" w:cs="Arial" w:eastAsia="Arial" w:hAnsi="Arial"/>
          <w:sz w:val="18"/>
          <w:szCs w:val="18"/>
          <w:color w:val="auto"/>
        </w:rPr>
      </w:pPr>
    </w:p>
    <w:p>
      <w:pPr>
        <w:jc w:val="both"/>
        <w:ind w:firstLine="1304"/>
        <w:spacing w:after="0" w:line="268" w:lineRule="auto"/>
        <w:tabs>
          <w:tab w:leader="none" w:pos="1489" w:val="left"/>
        </w:tabs>
        <w:numPr>
          <w:ilvl w:val="0"/>
          <w:numId w:val="387"/>
        </w:numPr>
        <w:rPr>
          <w:rFonts w:ascii="Arial" w:cs="Arial" w:eastAsia="Arial" w:hAnsi="Arial"/>
          <w:sz w:val="17"/>
          <w:szCs w:val="17"/>
          <w:color w:val="auto"/>
        </w:rPr>
      </w:pPr>
      <w:r>
        <w:rPr>
          <w:rFonts w:ascii="Arial" w:cs="Arial" w:eastAsia="Arial" w:hAnsi="Arial"/>
          <w:sz w:val="17"/>
          <w:szCs w:val="17"/>
          <w:u w:val="single" w:color="auto"/>
          <w:color w:val="auto"/>
        </w:rPr>
        <w:t>RIGHTS UPON DISTRIBUTION OF ASSETS</w:t>
      </w:r>
      <w:r>
        <w:rPr>
          <w:rFonts w:ascii="Arial" w:cs="Arial" w:eastAsia="Arial" w:hAnsi="Arial"/>
          <w:sz w:val="17"/>
          <w:szCs w:val="17"/>
          <w:color w:val="auto"/>
        </w:rPr>
        <w:t xml:space="preserve">. In addition to any adjustments pursuant to Section </w:t>
      </w:r>
      <w:r>
        <w:rPr>
          <w:rFonts w:ascii="Arial" w:cs="Arial" w:eastAsia="Arial" w:hAnsi="Arial"/>
          <w:sz w:val="20"/>
          <w:szCs w:val="20"/>
          <w:b w:val="1"/>
          <w:bCs w:val="1"/>
          <w:color w:val="auto"/>
        </w:rPr>
        <w:t>‎</w:t>
      </w:r>
      <w:r>
        <w:rPr>
          <w:rFonts w:ascii="Arial" w:cs="Arial" w:eastAsia="Arial" w:hAnsi="Arial"/>
          <w:sz w:val="17"/>
          <w:szCs w:val="17"/>
          <w:color w:val="auto"/>
        </w:rPr>
        <w:t>2 above,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(a “</w:t>
      </w:r>
      <w:r>
        <w:rPr>
          <w:rFonts w:ascii="Arial" w:cs="Arial" w:eastAsia="Arial" w:hAnsi="Arial"/>
          <w:sz w:val="17"/>
          <w:szCs w:val="17"/>
          <w:b w:val="1"/>
          <w:bCs w:val="1"/>
          <w:color w:val="auto"/>
        </w:rPr>
        <w:t>Distribution</w:t>
      </w:r>
      <w:r>
        <w:rPr>
          <w:rFonts w:ascii="Arial" w:cs="Arial" w:eastAsia="Arial" w:hAnsi="Arial"/>
          <w:sz w:val="17"/>
          <w:szCs w:val="17"/>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such Distribution, or, if no such record is taken, the date as of which the record holders of shares of Common Stock are to be determined for the participation in such Distribution (provided, however, that to the extent that the Holder’s right to participate in any such Distribution would result in the Holder and the other Attribution Parties exceeding the Maximum Percentage, then the Holder shall not be entitled to participate in such Distribution to the extent of the Maximum Percentage (and shall not be entitled to beneficial ownership of such shares of Common Stock as a result of such Distribution (and beneficial ownership) to the extent of any such excess) and the portion of such Distribution shall be held in abeyance for the benefit of the Holder until such time or times, if ever,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held similarly in abeyance) to the same extent as if there had been no such limitation).</w:t>
      </w:r>
    </w:p>
    <w:p>
      <w:pPr>
        <w:spacing w:after="0" w:line="181" w:lineRule="exact"/>
        <w:rPr>
          <w:rFonts w:ascii="Arial" w:cs="Arial" w:eastAsia="Arial" w:hAnsi="Arial"/>
          <w:sz w:val="17"/>
          <w:szCs w:val="17"/>
          <w:color w:val="auto"/>
        </w:rPr>
      </w:pPr>
    </w:p>
    <w:p>
      <w:pPr>
        <w:ind w:left="1480" w:hanging="176"/>
        <w:spacing w:after="0"/>
        <w:tabs>
          <w:tab w:leader="none" w:pos="1480" w:val="left"/>
        </w:tabs>
        <w:numPr>
          <w:ilvl w:val="0"/>
          <w:numId w:val="387"/>
        </w:numPr>
        <w:rPr>
          <w:rFonts w:ascii="Arial" w:cs="Arial" w:eastAsia="Arial" w:hAnsi="Arial"/>
          <w:sz w:val="18"/>
          <w:szCs w:val="18"/>
          <w:color w:val="auto"/>
        </w:rPr>
      </w:pPr>
      <w:r>
        <w:rPr>
          <w:rFonts w:ascii="Arial" w:cs="Arial" w:eastAsia="Arial" w:hAnsi="Arial"/>
          <w:sz w:val="18"/>
          <w:szCs w:val="18"/>
          <w:u w:val="single" w:color="auto"/>
          <w:color w:val="auto"/>
        </w:rPr>
        <w:t>PURCHASE RIGHTS; FUNDAMENTAL TRANSACTIONS</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jc w:val="both"/>
        <w:ind w:firstLine="1952"/>
        <w:spacing w:after="0" w:line="268" w:lineRule="auto"/>
        <w:tabs>
          <w:tab w:leader="none" w:pos="2202" w:val="left"/>
        </w:tabs>
        <w:numPr>
          <w:ilvl w:val="1"/>
          <w:numId w:val="387"/>
        </w:numPr>
        <w:rPr>
          <w:rFonts w:ascii="Arial" w:cs="Arial" w:eastAsia="Arial" w:hAnsi="Arial"/>
          <w:sz w:val="17"/>
          <w:szCs w:val="17"/>
          <w:color w:val="auto"/>
        </w:rPr>
      </w:pPr>
      <w:r>
        <w:rPr>
          <w:rFonts w:ascii="Arial" w:cs="Arial" w:eastAsia="Arial" w:hAnsi="Arial"/>
          <w:sz w:val="17"/>
          <w:szCs w:val="17"/>
          <w:u w:val="single" w:color="auto"/>
          <w:color w:val="auto"/>
        </w:rPr>
        <w:t>Purchase Rights</w:t>
      </w:r>
      <w:r>
        <w:rPr>
          <w:rFonts w:ascii="Arial" w:cs="Arial" w:eastAsia="Arial" w:hAnsi="Arial"/>
          <w:sz w:val="17"/>
          <w:szCs w:val="17"/>
          <w:color w:val="auto"/>
        </w:rPr>
        <w:t xml:space="preserve">. In addition to any adjustments pursuant to Section </w:t>
      </w:r>
      <w:r>
        <w:rPr>
          <w:rFonts w:ascii="Arial" w:cs="Arial" w:eastAsia="Arial" w:hAnsi="Arial"/>
          <w:sz w:val="20"/>
          <w:szCs w:val="20"/>
          <w:b w:val="1"/>
          <w:bCs w:val="1"/>
          <w:color w:val="auto"/>
        </w:rPr>
        <w:t>‎</w:t>
      </w:r>
      <w:r>
        <w:rPr>
          <w:rFonts w:ascii="Arial" w:cs="Arial" w:eastAsia="Arial" w:hAnsi="Arial"/>
          <w:sz w:val="17"/>
          <w:szCs w:val="17"/>
          <w:color w:val="auto"/>
        </w:rPr>
        <w:t>2 above, if at any time the Company grants, issues or sells any Options, Convertible Securities or rights to purchase stock, warrants, securities or other property pro rata to the record holders of any class of Common Stock (the “</w:t>
      </w:r>
      <w:r>
        <w:rPr>
          <w:rFonts w:ascii="Arial" w:cs="Arial" w:eastAsia="Arial" w:hAnsi="Arial"/>
          <w:sz w:val="17"/>
          <w:szCs w:val="17"/>
          <w:b w:val="1"/>
          <w:bCs w:val="1"/>
          <w:color w:val="auto"/>
        </w:rPr>
        <w:t>Purchase Rights</w:t>
      </w:r>
      <w:r>
        <w:rPr>
          <w:rFonts w:ascii="Arial" w:cs="Arial" w:eastAsia="Arial" w:hAnsi="Arial"/>
          <w:sz w:val="17"/>
          <w:szCs w:val="17"/>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the grant, issuance or sale of such Purchase Rights, or, if no such record is taken, the date as of which the record holders of shares of Common Stock are to be determined for the grant, issuance or sale of such Purchase Rights (provided, however, that to the extent that the Holder’s right to participate in any such Purchase Right would result in the Holder and the other Attribution Parties exceeding the Maximum Percentage, then the Holder shall not be entitled to participate in such Purchase Right to the extent of the Maximum Percentage (and shall not be entitled to beneficial ownership of such shares of Common Stock as a result of such Purchase Right (and beneficial ownership) to the extent of any such excess) and such Purchase Right to such extent shall be held in abeyance for the benefit of the Holder until such time or times, if ever,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held similarly in abeyance) to the same extent as if there had been no such limitation).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65" w:name="page366"/>
    <w:bookmarkEnd w:id="365"/>
    <w:p>
      <w:pPr>
        <w:ind w:left="2200" w:hanging="248"/>
        <w:spacing w:after="0"/>
        <w:tabs>
          <w:tab w:leader="none" w:pos="2200" w:val="left"/>
        </w:tabs>
        <w:numPr>
          <w:ilvl w:val="0"/>
          <w:numId w:val="388"/>
        </w:numPr>
        <w:rPr>
          <w:rFonts w:ascii="Arial" w:cs="Arial" w:eastAsia="Arial" w:hAnsi="Arial"/>
          <w:sz w:val="18"/>
          <w:szCs w:val="18"/>
          <w:color w:val="auto"/>
        </w:rPr>
      </w:pPr>
      <w:r>
        <w:rPr>
          <w:rFonts w:ascii="Arial" w:cs="Arial" w:eastAsia="Arial" w:hAnsi="Arial"/>
          <w:sz w:val="18"/>
          <w:szCs w:val="18"/>
          <w:u w:val="single" w:color="auto"/>
          <w:color w:val="auto"/>
        </w:rPr>
        <w:t>Fundamental Transactions</w:t>
      </w:r>
      <w:r>
        <w:rPr>
          <w:rFonts w:ascii="Arial" w:cs="Arial" w:eastAsia="Arial" w:hAnsi="Arial"/>
          <w:sz w:val="18"/>
          <w:szCs w:val="18"/>
          <w:color w:val="auto"/>
        </w:rPr>
        <w:t>. The Company shall not enter into or be party to a Fundamental Transaction unless:</w:t>
      </w:r>
    </w:p>
    <w:p>
      <w:pPr>
        <w:spacing w:after="0" w:line="225" w:lineRule="exact"/>
        <w:rPr>
          <w:rFonts w:ascii="Arial" w:cs="Arial" w:eastAsia="Arial" w:hAnsi="Arial"/>
          <w:sz w:val="18"/>
          <w:szCs w:val="18"/>
          <w:color w:val="auto"/>
        </w:rPr>
      </w:pPr>
    </w:p>
    <w:p>
      <w:pPr>
        <w:jc w:val="both"/>
        <w:ind w:firstLine="2600"/>
        <w:spacing w:after="0" w:line="273" w:lineRule="auto"/>
        <w:tabs>
          <w:tab w:leader="none" w:pos="2807" w:val="left"/>
        </w:tabs>
        <w:numPr>
          <w:ilvl w:val="1"/>
          <w:numId w:val="388"/>
        </w:numPr>
        <w:rPr>
          <w:rFonts w:ascii="Arial" w:cs="Arial" w:eastAsia="Arial" w:hAnsi="Arial"/>
          <w:sz w:val="17"/>
          <w:szCs w:val="17"/>
          <w:color w:val="auto"/>
        </w:rPr>
      </w:pPr>
      <w:r>
        <w:rPr>
          <w:rFonts w:ascii="Arial" w:cs="Arial" w:eastAsia="Arial" w:hAnsi="Arial"/>
          <w:sz w:val="17"/>
          <w:szCs w:val="17"/>
          <w:color w:val="auto"/>
        </w:rPr>
        <w:t>in the event that the Successor Entity (including its Parent Entity) is not a publicly traded entity with common equity quoted on or listed for trading on an Eligible Market and registered under the Exchange Act, the Company or the Successor Entity, as applicable, shall, on or prior to the date of consummation of such Fundamental Transaction, purchase this Warrant from the Holder by paying to the Holder cash in an amount equal to the Black Scholes Going Private Value (without regard to the limitation set forth in Section 1(f))</w:t>
      </w:r>
      <w:r>
        <w:rPr>
          <w:rFonts w:ascii="Arial" w:cs="Arial" w:eastAsia="Arial" w:hAnsi="Arial"/>
          <w:sz w:val="17"/>
          <w:szCs w:val="17"/>
          <w:b w:val="1"/>
          <w:bCs w:val="1"/>
          <w:color w:val="auto"/>
        </w:rPr>
        <w:t>‎</w:t>
      </w:r>
      <w:r>
        <w:rPr>
          <w:rFonts w:ascii="Arial" w:cs="Arial" w:eastAsia="Arial" w:hAnsi="Arial"/>
          <w:sz w:val="17"/>
          <w:szCs w:val="17"/>
          <w:color w:val="auto"/>
        </w:rPr>
        <w:t xml:space="preserve"> whereupon the Successor Entity shall have no obligation to assume the obligations of the Company under this Warrant and the other Loan Documents, including any obligation to deliver to the Holder in exchange for this Warrant any security of the Successor Entity, and</w:t>
      </w:r>
    </w:p>
    <w:p>
      <w:pPr>
        <w:spacing w:after="0" w:line="177" w:lineRule="exact"/>
        <w:rPr>
          <w:rFonts w:ascii="Arial" w:cs="Arial" w:eastAsia="Arial" w:hAnsi="Arial"/>
          <w:sz w:val="17"/>
          <w:szCs w:val="17"/>
          <w:color w:val="auto"/>
        </w:rPr>
      </w:pPr>
    </w:p>
    <w:p>
      <w:pPr>
        <w:jc w:val="both"/>
        <w:ind w:firstLine="2600"/>
        <w:spacing w:after="0" w:line="291" w:lineRule="auto"/>
        <w:tabs>
          <w:tab w:leader="none" w:pos="2857" w:val="left"/>
        </w:tabs>
        <w:numPr>
          <w:ilvl w:val="1"/>
          <w:numId w:val="388"/>
        </w:numPr>
        <w:rPr>
          <w:rFonts w:ascii="Arial" w:cs="Arial" w:eastAsia="Arial" w:hAnsi="Arial"/>
          <w:sz w:val="16"/>
          <w:szCs w:val="16"/>
          <w:color w:val="auto"/>
        </w:rPr>
      </w:pPr>
      <w:r>
        <w:rPr>
          <w:rFonts w:ascii="Arial" w:cs="Arial" w:eastAsia="Arial" w:hAnsi="Arial"/>
          <w:sz w:val="16"/>
          <w:szCs w:val="16"/>
          <w:color w:val="auto"/>
        </w:rPr>
        <w:t>in the event that the Successor Entity (including its Parent Entity) is a publicly traded entity with common equity quoted on or listed for trading on an Eligible Market and registered under the Exchange Act, the Successor Entity assumes in writing all of the obligations</w:t>
      </w:r>
    </w:p>
    <w:p>
      <w:pPr>
        <w:jc w:val="both"/>
        <w:spacing w:after="0" w:line="281" w:lineRule="auto"/>
        <w:rPr>
          <w:rFonts w:ascii="Arial" w:cs="Arial" w:eastAsia="Arial" w:hAnsi="Arial"/>
          <w:sz w:val="16"/>
          <w:szCs w:val="16"/>
          <w:color w:val="auto"/>
        </w:rPr>
      </w:pPr>
      <w:r>
        <w:rPr>
          <w:rFonts w:ascii="Arial" w:cs="Arial" w:eastAsia="Arial" w:hAnsi="Arial"/>
          <w:sz w:val="16"/>
          <w:szCs w:val="16"/>
          <w:color w:val="auto"/>
        </w:rPr>
        <w:t>of the Company under this Warrant and the other Loan Documents in accordance with the provisions of this Section 4(b)(ii)</w:t>
      </w:r>
      <w:r>
        <w:rPr>
          <w:rFonts w:ascii="Arial" w:cs="Arial" w:eastAsia="Arial" w:hAnsi="Arial"/>
          <w:sz w:val="16"/>
          <w:szCs w:val="16"/>
          <w:b w:val="1"/>
          <w:bCs w:val="1"/>
          <w:color w:val="auto"/>
        </w:rPr>
        <w:t>‎</w:t>
      </w:r>
      <w:r>
        <w:rPr>
          <w:rFonts w:ascii="Arial" w:cs="Arial" w:eastAsia="Arial" w:hAnsi="Arial"/>
          <w:sz w:val="16"/>
          <w:szCs w:val="16"/>
          <w:color w:val="auto"/>
        </w:rPr>
        <w:t xml:space="preserve"> pursuant to written agreements in form and substance satisfactory to the Holder and approved by the Holder prior to such Fundamental Transaction, including agreements to deliver to the Holder in exchange for this Warrant a security of the Successor Entity evidenced by a written instrument substantially similar in form and substance to this Warrant, including, without limitation, which is exercisable for a corresponding number of shares of capital stock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adjustments to the number of shares of capital stock and such exercise price being for the purpose of protecting the economic value of this Warrant immediately prior to the</w:t>
      </w:r>
    </w:p>
    <w:p>
      <w:pPr>
        <w:spacing w:after="0" w:line="4" w:lineRule="exact"/>
        <w:rPr>
          <w:rFonts w:ascii="Arial" w:cs="Arial" w:eastAsia="Arial" w:hAnsi="Arial"/>
          <w:sz w:val="16"/>
          <w:szCs w:val="16"/>
          <w:color w:val="auto"/>
        </w:rPr>
      </w:pPr>
    </w:p>
    <w:p>
      <w:pPr>
        <w:jc w:val="both"/>
        <w:spacing w:after="0" w:line="281" w:lineRule="auto"/>
        <w:rPr>
          <w:rFonts w:ascii="Arial" w:cs="Arial" w:eastAsia="Arial" w:hAnsi="Arial"/>
          <w:sz w:val="16"/>
          <w:szCs w:val="16"/>
          <w:color w:val="auto"/>
        </w:rPr>
      </w:pPr>
      <w:r>
        <w:rPr>
          <w:rFonts w:ascii="Arial" w:cs="Arial" w:eastAsia="Arial" w:hAnsi="Arial"/>
          <w:sz w:val="16"/>
          <w:szCs w:val="16"/>
          <w:color w:val="auto"/>
        </w:rPr>
        <w:t>consummation of such Fundamental Transaction). Upon the consummation of each Fundamental Transaction described in this Section 4(b)(ii)</w:t>
      </w:r>
      <w:r>
        <w:rPr>
          <w:rFonts w:ascii="Arial" w:cs="Arial" w:eastAsia="Arial" w:hAnsi="Arial"/>
          <w:sz w:val="16"/>
          <w:szCs w:val="16"/>
          <w:b w:val="1"/>
          <w:bCs w:val="1"/>
          <w:color w:val="auto"/>
        </w:rPr>
        <w:t>‎</w:t>
      </w:r>
      <w:r>
        <w:rPr>
          <w:rFonts w:ascii="Arial" w:cs="Arial" w:eastAsia="Arial" w:hAnsi="Arial"/>
          <w:sz w:val="16"/>
          <w:szCs w:val="16"/>
          <w:color w:val="auto"/>
        </w:rPr>
        <w:t xml:space="preserve"> (each such Fundamental Transaction, a “</w:t>
      </w:r>
      <w:r>
        <w:rPr>
          <w:rFonts w:ascii="Arial" w:cs="Arial" w:eastAsia="Arial" w:hAnsi="Arial"/>
          <w:sz w:val="16"/>
          <w:szCs w:val="16"/>
          <w:b w:val="1"/>
          <w:bCs w:val="1"/>
          <w:color w:val="auto"/>
        </w:rPr>
        <w:t>Public Fundamental Transaction</w:t>
      </w:r>
      <w:r>
        <w:rPr>
          <w:rFonts w:ascii="Arial" w:cs="Arial" w:eastAsia="Arial" w:hAnsi="Arial"/>
          <w:sz w:val="16"/>
          <w:szCs w:val="16"/>
          <w:color w:val="auto"/>
        </w:rPr>
        <w:t>”), the Successor Entity shall (x) succeed to, and be substituted for (so that from and after the date of the applicable Public Fundamental Transaction, the provisions of this Warrant and the other Loan Documents referring to the “Company” or the “Borrower” shall refer instead to the Successor Entity), and may exercise every right and power of the Company and shall assume all of the obligations of the Company under this Warrant and the other Loan Documents with the same effect as if such Successor Entity had been named as the Company herein or therein, and (y) deliver to the Holder confirmation that there shall be issued upon exercise of this Warrant at any time after the consummation of the applicable Public Fundamental Transaction, in lieu of the shares of Common Stock (or other securities, cash, assets or other property (except such items still issuable under Sections 3</w:t>
      </w:r>
      <w:r>
        <w:rPr>
          <w:rFonts w:ascii="Arial" w:cs="Arial" w:eastAsia="Arial" w:hAnsi="Arial"/>
          <w:sz w:val="16"/>
          <w:szCs w:val="16"/>
          <w:b w:val="1"/>
          <w:bCs w:val="1"/>
          <w:color w:val="auto"/>
        </w:rPr>
        <w:t>‎</w:t>
      </w:r>
      <w:r>
        <w:rPr>
          <w:rFonts w:ascii="Arial" w:cs="Arial" w:eastAsia="Arial" w:hAnsi="Arial"/>
          <w:sz w:val="16"/>
          <w:szCs w:val="16"/>
          <w:color w:val="auto"/>
        </w:rPr>
        <w:t xml:space="preserve"> and 4(a)</w:t>
      </w:r>
      <w:r>
        <w:rPr>
          <w:rFonts w:ascii="Arial" w:cs="Arial" w:eastAsia="Arial" w:hAnsi="Arial"/>
          <w:sz w:val="16"/>
          <w:szCs w:val="16"/>
          <w:b w:val="1"/>
          <w:bCs w:val="1"/>
          <w:color w:val="auto"/>
        </w:rPr>
        <w:t>‎</w:t>
      </w:r>
      <w:r>
        <w:rPr>
          <w:rFonts w:ascii="Arial" w:cs="Arial" w:eastAsia="Arial" w:hAnsi="Arial"/>
          <w:sz w:val="16"/>
          <w:szCs w:val="16"/>
          <w:color w:val="auto"/>
        </w:rPr>
        <w:t xml:space="preserve"> above, which shall continue to be receivable thereafter)) issuable upon the exercise of this Warrant prior to the applicable Public Fundamental Transaction, such shares of publicly traded common stock (or its equivalent) of the Successor Entity (including its Parent Entity) which the Holder would have been entitled to receive upon the happening of the applicable Public Fundamental Transaction had this Warrant been exercised immediately prior to the applicable Public Fundamental Transaction (without regard to any limitations on the exercise of this Warrant), as adjusted in accordance with the provisions of this Warrant. Notwithstanding the foregoing, and without limiting Section 1(f)</w:t>
      </w:r>
      <w:r>
        <w:rPr>
          <w:rFonts w:ascii="Arial" w:cs="Arial" w:eastAsia="Arial" w:hAnsi="Arial"/>
          <w:sz w:val="16"/>
          <w:szCs w:val="16"/>
          <w:b w:val="1"/>
          <w:bCs w:val="1"/>
          <w:color w:val="auto"/>
        </w:rPr>
        <w:t>‎</w:t>
      </w:r>
      <w:r>
        <w:rPr>
          <w:rFonts w:ascii="Arial" w:cs="Arial" w:eastAsia="Arial" w:hAnsi="Arial"/>
          <w:sz w:val="16"/>
          <w:szCs w:val="16"/>
          <w:color w:val="auto"/>
        </w:rPr>
        <w:t xml:space="preserve"> hereof, the Holder may elect,</w:t>
      </w:r>
    </w:p>
    <w:p>
      <w:pPr>
        <w:spacing w:after="0" w:line="7" w:lineRule="exact"/>
        <w:rPr>
          <w:rFonts w:ascii="Arial" w:cs="Arial" w:eastAsia="Arial" w:hAnsi="Arial"/>
          <w:sz w:val="16"/>
          <w:szCs w:val="16"/>
          <w:color w:val="auto"/>
        </w:rPr>
      </w:pPr>
    </w:p>
    <w:p>
      <w:pPr>
        <w:spacing w:after="0" w:line="260" w:lineRule="auto"/>
        <w:rPr>
          <w:rFonts w:ascii="Arial" w:cs="Arial" w:eastAsia="Arial" w:hAnsi="Arial"/>
          <w:sz w:val="16"/>
          <w:szCs w:val="16"/>
          <w:color w:val="auto"/>
        </w:rPr>
      </w:pPr>
      <w:r>
        <w:rPr>
          <w:rFonts w:ascii="Arial" w:cs="Arial" w:eastAsia="Arial" w:hAnsi="Arial"/>
          <w:sz w:val="18"/>
          <w:szCs w:val="18"/>
          <w:color w:val="auto"/>
        </w:rPr>
        <w:t>at its sole option, by delivery of written notice to the Company to waive this Section 4(b)(ii)</w:t>
      </w:r>
      <w:r>
        <w:rPr>
          <w:rFonts w:ascii="Arial" w:cs="Arial" w:eastAsia="Arial" w:hAnsi="Arial"/>
          <w:sz w:val="18"/>
          <w:szCs w:val="18"/>
          <w:b w:val="1"/>
          <w:bCs w:val="1"/>
          <w:color w:val="auto"/>
        </w:rPr>
        <w:t>‎</w:t>
      </w:r>
      <w:r>
        <w:rPr>
          <w:rFonts w:ascii="Arial" w:cs="Arial" w:eastAsia="Arial" w:hAnsi="Arial"/>
          <w:sz w:val="18"/>
          <w:szCs w:val="18"/>
          <w:color w:val="auto"/>
        </w:rPr>
        <w:t xml:space="preserve"> to permit the Public Fundamental Transaction without the assumption of this Warrant.</w:t>
      </w:r>
    </w:p>
    <w:p>
      <w:pPr>
        <w:spacing w:after="0" w:line="18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to and not in substitution for any other rights hereunder, prior to the consummation of each Fundamental Transaction pursuant to which holders of shares of Common Stock are entitled to receive securities or other assets with respect to or in exchange for shares of Common Stock (a “</w:t>
      </w:r>
      <w:r>
        <w:rPr>
          <w:rFonts w:ascii="Arial" w:cs="Arial" w:eastAsia="Arial" w:hAnsi="Arial"/>
          <w:sz w:val="17"/>
          <w:szCs w:val="17"/>
          <w:b w:val="1"/>
          <w:bCs w:val="1"/>
          <w:color w:val="auto"/>
        </w:rPr>
        <w:t>Corporate</w:t>
      </w:r>
      <w:r>
        <w:rPr>
          <w:rFonts w:ascii="Arial" w:cs="Arial" w:eastAsia="Arial" w:hAnsi="Arial"/>
          <w:sz w:val="17"/>
          <w:szCs w:val="17"/>
          <w:color w:val="auto"/>
        </w:rPr>
        <w:t xml:space="preserve"> </w:t>
      </w:r>
      <w:r>
        <w:rPr>
          <w:rFonts w:ascii="Arial" w:cs="Arial" w:eastAsia="Arial" w:hAnsi="Arial"/>
          <w:sz w:val="17"/>
          <w:szCs w:val="17"/>
          <w:b w:val="1"/>
          <w:bCs w:val="1"/>
          <w:color w:val="auto"/>
        </w:rPr>
        <w:t>Event</w:t>
      </w:r>
      <w:r>
        <w:rPr>
          <w:rFonts w:ascii="Arial" w:cs="Arial" w:eastAsia="Arial" w:hAnsi="Arial"/>
          <w:sz w:val="17"/>
          <w:szCs w:val="17"/>
          <w:color w:val="auto"/>
        </w:rPr>
        <w:t>”), the Company shall make appropriate provision to insure that the Holder will thereafter have the right to receive upon an exercise of this Warrant</w:t>
      </w:r>
      <w:r>
        <w:rPr>
          <w:rFonts w:ascii="Arial" w:cs="Arial" w:eastAsia="Arial" w:hAnsi="Arial"/>
          <w:sz w:val="17"/>
          <w:szCs w:val="17"/>
          <w:b w:val="1"/>
          <w:bCs w:val="1"/>
          <w:color w:val="auto"/>
        </w:rPr>
        <w:t xml:space="preserve"> </w:t>
      </w:r>
      <w:r>
        <w:rPr>
          <w:rFonts w:ascii="Arial" w:cs="Arial" w:eastAsia="Arial" w:hAnsi="Arial"/>
          <w:sz w:val="17"/>
          <w:szCs w:val="17"/>
          <w:color w:val="auto"/>
        </w:rPr>
        <w:t>at any time after the consummation of the applicable Fundamental Transaction but prior to the Expiration Date, in lieu of the shares of the Common Stock (or other securities, cash, assets or other property (except such items still issuable under Sections 3‎ and 4(a)‎ above, which shall continue to be receivable thereafter)) issuable upon the exercise of the Warrant prior to such Fundamental Transaction, such shares of stock, securities, cash, assets or any other property whatsoever (including warrants or other purchase or subscription rights) which the Holder would have been entitled to receive upon the happening of the applicable Fundamental Transaction had this Warrant been exercised immediately prior to the applicable Fundamental Transaction (without regard to any limitations on the exercise of this Warrant). Provision made pursuant to the preceding sentence shall be in a form and substance reasonably satisfactory to the Holder.</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66" w:name="page367"/>
    <w:bookmarkEnd w:id="366"/>
    <w:p>
      <w:pPr>
        <w:jc w:val="both"/>
        <w:ind w:firstLine="1952"/>
        <w:spacing w:after="0" w:line="271" w:lineRule="auto"/>
        <w:tabs>
          <w:tab w:leader="none" w:pos="2188" w:val="left"/>
        </w:tabs>
        <w:numPr>
          <w:ilvl w:val="1"/>
          <w:numId w:val="389"/>
        </w:numPr>
        <w:rPr>
          <w:rFonts w:ascii="Arial" w:cs="Arial" w:eastAsia="Arial" w:hAnsi="Arial"/>
          <w:sz w:val="17"/>
          <w:szCs w:val="17"/>
          <w:color w:val="auto"/>
        </w:rPr>
      </w:pPr>
      <w:r>
        <w:rPr>
          <w:rFonts w:ascii="Arial" w:cs="Arial" w:eastAsia="Arial" w:hAnsi="Arial"/>
          <w:sz w:val="17"/>
          <w:szCs w:val="17"/>
          <w:u w:val="single" w:color="auto"/>
          <w:color w:val="auto"/>
        </w:rPr>
        <w:t>Holder Optional Redemptions</w:t>
      </w:r>
      <w:r>
        <w:rPr>
          <w:rFonts w:ascii="Arial" w:cs="Arial" w:eastAsia="Arial" w:hAnsi="Arial"/>
          <w:sz w:val="17"/>
          <w:szCs w:val="17"/>
          <w:color w:val="auto"/>
        </w:rPr>
        <w:t xml:space="preserve">. Notwithstanding the foregoing and the provisions of Section </w:t>
      </w:r>
      <w:r>
        <w:rPr>
          <w:rFonts w:ascii="Arial" w:cs="Arial" w:eastAsia="Arial" w:hAnsi="Arial"/>
          <w:sz w:val="20"/>
          <w:szCs w:val="20"/>
          <w:b w:val="1"/>
          <w:bCs w:val="1"/>
          <w:color w:val="auto"/>
        </w:rPr>
        <w:t>‎</w:t>
      </w:r>
      <w:r>
        <w:rPr>
          <w:rFonts w:ascii="Arial" w:cs="Arial" w:eastAsia="Arial" w:hAnsi="Arial"/>
          <w:sz w:val="17"/>
          <w:szCs w:val="17"/>
          <w:color w:val="auto"/>
        </w:rPr>
        <w:t>4(b)(ii) above, at the request of the Holder delivered at any time commencing on the earliest to occur of (x) the public disclosure of any Public Fundamental Transaction, (y) the consummation of any Public Fundamental Transaction and (z) the Holder first becoming aware of any Public Fundamental Transaction through the date that is ninety (90) days after the public disclosure of the consummation of such Public Fundamental Transaction by the Company pursuant to a Current Report on Form 8-K filed with the SEC, the Company or the Successor Entity (as the case may be) shall purchase this Warrant from the Holder on the date of such request by paying to the Holder cash in an amount equal to the Black Scholes Value. Payment of such amounts shall be made by the Company (or at the Company’s direction) to the Holder on or prior to the later of (x) the second (2nd) Trading Day after the date of such request and (y) the date of consummation of such Public Fundamental Transaction.</w:t>
      </w:r>
    </w:p>
    <w:p>
      <w:pPr>
        <w:spacing w:after="0" w:line="166" w:lineRule="exact"/>
        <w:rPr>
          <w:rFonts w:ascii="Arial" w:cs="Arial" w:eastAsia="Arial" w:hAnsi="Arial"/>
          <w:sz w:val="17"/>
          <w:szCs w:val="17"/>
          <w:color w:val="auto"/>
        </w:rPr>
      </w:pPr>
    </w:p>
    <w:p>
      <w:pPr>
        <w:jc w:val="both"/>
        <w:ind w:firstLine="1952"/>
        <w:spacing w:after="0" w:line="300" w:lineRule="auto"/>
        <w:tabs>
          <w:tab w:leader="none" w:pos="2199" w:val="left"/>
        </w:tabs>
        <w:numPr>
          <w:ilvl w:val="1"/>
          <w:numId w:val="389"/>
        </w:numPr>
        <w:rPr>
          <w:rFonts w:ascii="Arial" w:cs="Arial" w:eastAsia="Arial" w:hAnsi="Arial"/>
          <w:sz w:val="16"/>
          <w:szCs w:val="16"/>
          <w:color w:val="auto"/>
        </w:rPr>
      </w:pPr>
      <w:r>
        <w:rPr>
          <w:rFonts w:ascii="Arial" w:cs="Arial" w:eastAsia="Arial" w:hAnsi="Arial"/>
          <w:sz w:val="16"/>
          <w:szCs w:val="16"/>
          <w:u w:val="single" w:color="auto"/>
          <w:color w:val="auto"/>
        </w:rPr>
        <w:t>Application</w:t>
      </w:r>
      <w:r>
        <w:rPr>
          <w:rFonts w:ascii="Arial" w:cs="Arial" w:eastAsia="Arial" w:hAnsi="Arial"/>
          <w:sz w:val="16"/>
          <w:szCs w:val="16"/>
          <w:color w:val="auto"/>
        </w:rPr>
        <w:t xml:space="preserve">. The provisions of this Section </w:t>
      </w:r>
      <w:r>
        <w:rPr>
          <w:rFonts w:ascii="Arial" w:cs="Arial" w:eastAsia="Arial" w:hAnsi="Arial"/>
          <w:sz w:val="19"/>
          <w:szCs w:val="19"/>
          <w:b w:val="1"/>
          <w:bCs w:val="1"/>
          <w:color w:val="auto"/>
        </w:rPr>
        <w:t>‎</w:t>
      </w:r>
      <w:r>
        <w:rPr>
          <w:rFonts w:ascii="Arial" w:cs="Arial" w:eastAsia="Arial" w:hAnsi="Arial"/>
          <w:sz w:val="16"/>
          <w:szCs w:val="16"/>
          <w:color w:val="auto"/>
        </w:rPr>
        <w:t>4 shall apply similarly and equally to successive Fundamental Transactions and Corporate Events and shall be applied as if this Warrant (and any such subsequent warrants) were fully exercisable and without regard to any limitations on the exercise of this Warrant (provided that the Holder shall continue to be entitled to the benefit of the Maximum Percentage, applied however with respect to shares of capital stock registered under the Exchange Act and thereafter receivable upon exercise of this Warrant (or any such other warrant)).</w:t>
      </w:r>
    </w:p>
    <w:p>
      <w:pPr>
        <w:spacing w:after="0" w:line="157" w:lineRule="exact"/>
        <w:rPr>
          <w:rFonts w:ascii="Arial" w:cs="Arial" w:eastAsia="Arial" w:hAnsi="Arial"/>
          <w:sz w:val="16"/>
          <w:szCs w:val="16"/>
          <w:color w:val="auto"/>
        </w:rPr>
      </w:pPr>
    </w:p>
    <w:p>
      <w:pPr>
        <w:jc w:val="both"/>
        <w:ind w:firstLine="1304"/>
        <w:spacing w:after="0" w:line="268" w:lineRule="auto"/>
        <w:tabs>
          <w:tab w:leader="none" w:pos="1476" w:val="left"/>
        </w:tabs>
        <w:numPr>
          <w:ilvl w:val="0"/>
          <w:numId w:val="390"/>
        </w:numPr>
        <w:rPr>
          <w:rFonts w:ascii="Arial" w:cs="Arial" w:eastAsia="Arial" w:hAnsi="Arial"/>
          <w:sz w:val="17"/>
          <w:szCs w:val="17"/>
          <w:color w:val="auto"/>
        </w:rPr>
      </w:pPr>
      <w:r>
        <w:rPr>
          <w:rFonts w:ascii="Arial" w:cs="Arial" w:eastAsia="Arial" w:hAnsi="Arial"/>
          <w:sz w:val="17"/>
          <w:szCs w:val="17"/>
          <w:u w:val="single" w:color="auto"/>
          <w:color w:val="auto"/>
        </w:rPr>
        <w:t>NONCIRCUMVENTION</w:t>
      </w:r>
      <w:r>
        <w:rPr>
          <w:rFonts w:ascii="Arial" w:cs="Arial" w:eastAsia="Arial" w:hAnsi="Arial"/>
          <w:sz w:val="17"/>
          <w:szCs w:val="17"/>
          <w:color w:val="auto"/>
        </w:rPr>
        <w:t>. The Company hereby covenants and agrees that the Company will not, by amendment of its Certificate of Incorporation or Bylaws, or through any reorganization, transfer of assets, consolidation, merger, scheme of arrangement, dissolution, issuance or sale of securities, or any other voluntary action, avoid or seek to avoid the observance or performance of any of the terms of this Warrant, and will at all times in good faith carry out all of the provisions of this Warrant and take all action as may be required to protect the rights of the Holder. Without limiting the generality of the foregoing, the Company (i) shall not increase the par value of any shares of Common Stock receivable upon the exercise of this Warrant above the Exercise Price then in effect, (ii) shall take all such actions as may be necessary or appropriate in order that the Company may validly and legally issue fully paid and nonassessable shares of Common Stock upon the proper exercise of this Warrant by the Holder, and (iii) shall, so long as this Warrant is outstanding, take all action necessary to reserve and keep available out of its authorized and unissued shares of Common Stock, solely for the purpose of effecting the exercise of this Warrant, the number of shares of Common Stock as shall from time to time be necessary to effect the exercise of this Warrant (without regard to any limitations on exercise). Notwithstanding anything herein to the contrary, if after the sixty (60) calendar day anniversary of the Issuance Date, the Holder is not permitted to exercise this Warrant in full for any reason (other than pursuant to restrictions set forth in Section 1(f) hereof), the Company shall use its reasonable best efforts to promptly remedy such failure, including, without limitation, obtaining such consents or approvals as necessary to permit such exercise into shares of Common Stock.</w:t>
      </w:r>
    </w:p>
    <w:p>
      <w:pPr>
        <w:spacing w:after="0" w:line="186" w:lineRule="exact"/>
        <w:rPr>
          <w:rFonts w:ascii="Arial" w:cs="Arial" w:eastAsia="Arial" w:hAnsi="Arial"/>
          <w:sz w:val="17"/>
          <w:szCs w:val="17"/>
          <w:color w:val="auto"/>
        </w:rPr>
      </w:pPr>
    </w:p>
    <w:p>
      <w:pPr>
        <w:jc w:val="both"/>
        <w:ind w:firstLine="1304"/>
        <w:spacing w:after="0" w:line="287" w:lineRule="auto"/>
        <w:tabs>
          <w:tab w:leader="none" w:pos="1476" w:val="left"/>
        </w:tabs>
        <w:numPr>
          <w:ilvl w:val="0"/>
          <w:numId w:val="390"/>
        </w:numPr>
        <w:rPr>
          <w:rFonts w:ascii="Arial" w:cs="Arial" w:eastAsia="Arial" w:hAnsi="Arial"/>
          <w:sz w:val="16"/>
          <w:szCs w:val="16"/>
          <w:color w:val="auto"/>
        </w:rPr>
      </w:pPr>
      <w:r>
        <w:rPr>
          <w:rFonts w:ascii="Arial" w:cs="Arial" w:eastAsia="Arial" w:hAnsi="Arial"/>
          <w:sz w:val="16"/>
          <w:szCs w:val="16"/>
          <w:u w:val="single" w:color="auto"/>
          <w:color w:val="auto"/>
        </w:rPr>
        <w:t>WARRANT HOLDER NOT DEEMED A STOCKHOLDER</w:t>
      </w:r>
      <w:r>
        <w:rPr>
          <w:rFonts w:ascii="Arial" w:cs="Arial" w:eastAsia="Arial" w:hAnsi="Arial"/>
          <w:sz w:val="16"/>
          <w:szCs w:val="16"/>
          <w:color w:val="auto"/>
        </w:rPr>
        <w:t xml:space="preserve">. Except as otherwise specifically provided herein, the Holder, solely in such Person’s capacity as a holder of this Warrant, shall not be entitled to vote or receive dividends or be deemed the holder of share capital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 Notwithstanding this Section </w:t>
      </w:r>
      <w:r>
        <w:rPr>
          <w:rFonts w:ascii="Arial" w:cs="Arial" w:eastAsia="Arial" w:hAnsi="Arial"/>
          <w:sz w:val="19"/>
          <w:szCs w:val="19"/>
          <w:b w:val="1"/>
          <w:bCs w:val="1"/>
          <w:color w:val="auto"/>
        </w:rPr>
        <w:t>‎</w:t>
      </w:r>
      <w:r>
        <w:rPr>
          <w:rFonts w:ascii="Arial" w:cs="Arial" w:eastAsia="Arial" w:hAnsi="Arial"/>
          <w:sz w:val="16"/>
          <w:szCs w:val="16"/>
          <w:color w:val="auto"/>
        </w:rPr>
        <w:t>6, the Company shall provide the Holder with copies of the same notices and other information given to the stockholders of the Company generally, contemporaneously with the giving thereof to the stockholders.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67" w:name="page368"/>
    <w:bookmarkEnd w:id="367"/>
    <w:p>
      <w:pPr>
        <w:ind w:left="1480" w:hanging="176"/>
        <w:spacing w:after="0"/>
        <w:tabs>
          <w:tab w:leader="none" w:pos="1480" w:val="left"/>
        </w:tabs>
        <w:numPr>
          <w:ilvl w:val="0"/>
          <w:numId w:val="391"/>
        </w:numPr>
        <w:rPr>
          <w:rFonts w:ascii="Arial" w:cs="Arial" w:eastAsia="Arial" w:hAnsi="Arial"/>
          <w:sz w:val="18"/>
          <w:szCs w:val="18"/>
          <w:color w:val="auto"/>
        </w:rPr>
      </w:pPr>
      <w:r>
        <w:rPr>
          <w:rFonts w:ascii="Arial" w:cs="Arial" w:eastAsia="Arial" w:hAnsi="Arial"/>
          <w:sz w:val="18"/>
          <w:szCs w:val="18"/>
          <w:u w:val="single" w:color="auto"/>
          <w:color w:val="auto"/>
        </w:rPr>
        <w:t>REISSUANCE OF WARRANTS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952"/>
        <w:spacing w:after="0" w:line="250" w:lineRule="auto"/>
        <w:tabs>
          <w:tab w:leader="none" w:pos="2188" w:val="left"/>
        </w:tabs>
        <w:numPr>
          <w:ilvl w:val="1"/>
          <w:numId w:val="391"/>
        </w:numPr>
        <w:rPr>
          <w:rFonts w:ascii="Arial" w:cs="Arial" w:eastAsia="Arial" w:hAnsi="Arial"/>
          <w:sz w:val="18"/>
          <w:szCs w:val="18"/>
          <w:color w:val="auto"/>
        </w:rPr>
      </w:pPr>
      <w:r>
        <w:rPr>
          <w:rFonts w:ascii="Arial" w:cs="Arial" w:eastAsia="Arial" w:hAnsi="Arial"/>
          <w:sz w:val="18"/>
          <w:szCs w:val="18"/>
          <w:u w:val="single" w:color="auto"/>
          <w:color w:val="auto"/>
        </w:rPr>
        <w:t>Transfer of Warrant</w:t>
      </w:r>
      <w:r>
        <w:rPr>
          <w:rFonts w:ascii="Arial" w:cs="Arial" w:eastAsia="Arial" w:hAnsi="Arial"/>
          <w:sz w:val="18"/>
          <w:szCs w:val="18"/>
          <w:color w:val="auto"/>
        </w:rPr>
        <w:t xml:space="preserve">. If this Warrant is to be transferred and reissued to the transferee, the Holder shall surrender this Warrant to the Company together with a written assignment of this Warrant substantially in the form attached hereto duly executed by the Holder or its agent or attorney and funds sufficient to pay any transfer taxes payable upon the making of such transfer, whereupon the Company will forthwith issue and deliver upon the order of the Holder a new Warrant (in accordance with Section </w:t>
      </w:r>
      <w:r>
        <w:rPr>
          <w:rFonts w:ascii="Arial" w:cs="Arial" w:eastAsia="Arial" w:hAnsi="Arial"/>
          <w:sz w:val="21"/>
          <w:szCs w:val="21"/>
          <w:b w:val="1"/>
          <w:bCs w:val="1"/>
          <w:color w:val="auto"/>
        </w:rPr>
        <w:t>‎</w:t>
      </w:r>
      <w:r>
        <w:rPr>
          <w:rFonts w:ascii="Arial" w:cs="Arial" w:eastAsia="Arial" w:hAnsi="Arial"/>
          <w:sz w:val="18"/>
          <w:szCs w:val="18"/>
          <w:color w:val="auto"/>
        </w:rPr>
        <w:t xml:space="preserve">7(d)), registered as the Holder may request, representing the right to purchase the number of Warrant Shares being transferred by the Holder and, if less than the total number of Warrant Shares then underlying this Warrant is being transferred, a new Warrant (in accordance with Section </w:t>
      </w:r>
      <w:r>
        <w:rPr>
          <w:rFonts w:ascii="Arial" w:cs="Arial" w:eastAsia="Arial" w:hAnsi="Arial"/>
          <w:sz w:val="21"/>
          <w:szCs w:val="21"/>
          <w:b w:val="1"/>
          <w:bCs w:val="1"/>
          <w:color w:val="auto"/>
        </w:rPr>
        <w:t>‎</w:t>
      </w:r>
      <w:r>
        <w:rPr>
          <w:rFonts w:ascii="Arial" w:cs="Arial" w:eastAsia="Arial" w:hAnsi="Arial"/>
          <w:sz w:val="18"/>
          <w:szCs w:val="18"/>
          <w:color w:val="auto"/>
        </w:rPr>
        <w:t xml:space="preserve">7(d)) to the Holder representing the right to purchase the number of Warrant Shares not being transferred. For the avoidance of doubt, this Section </w:t>
      </w:r>
      <w:r>
        <w:rPr>
          <w:rFonts w:ascii="Arial" w:cs="Arial" w:eastAsia="Arial" w:hAnsi="Arial"/>
          <w:sz w:val="21"/>
          <w:szCs w:val="21"/>
          <w:b w:val="1"/>
          <w:bCs w:val="1"/>
          <w:color w:val="auto"/>
        </w:rPr>
        <w:t>‎</w:t>
      </w:r>
      <w:r>
        <w:rPr>
          <w:rFonts w:ascii="Arial" w:cs="Arial" w:eastAsia="Arial" w:hAnsi="Arial"/>
          <w:sz w:val="18"/>
          <w:szCs w:val="18"/>
          <w:color w:val="auto"/>
        </w:rPr>
        <w:t>7(a) will not apply to a sale, transfer, pledge or assignment of this Warrant that does not involve a reissuance of this Warrant.</w:t>
      </w:r>
    </w:p>
    <w:p>
      <w:pPr>
        <w:spacing w:after="0" w:line="192" w:lineRule="exact"/>
        <w:rPr>
          <w:rFonts w:ascii="Arial" w:cs="Arial" w:eastAsia="Arial" w:hAnsi="Arial"/>
          <w:sz w:val="18"/>
          <w:szCs w:val="18"/>
          <w:color w:val="auto"/>
        </w:rPr>
      </w:pPr>
    </w:p>
    <w:p>
      <w:pPr>
        <w:jc w:val="both"/>
        <w:ind w:firstLine="1952"/>
        <w:spacing w:after="0" w:line="275" w:lineRule="auto"/>
        <w:tabs>
          <w:tab w:leader="none" w:pos="2199" w:val="left"/>
        </w:tabs>
        <w:numPr>
          <w:ilvl w:val="1"/>
          <w:numId w:val="391"/>
        </w:numPr>
        <w:rPr>
          <w:rFonts w:ascii="Arial" w:cs="Arial" w:eastAsia="Arial" w:hAnsi="Arial"/>
          <w:sz w:val="17"/>
          <w:szCs w:val="17"/>
          <w:color w:val="auto"/>
        </w:rPr>
      </w:pPr>
      <w:r>
        <w:rPr>
          <w:rFonts w:ascii="Arial" w:cs="Arial" w:eastAsia="Arial" w:hAnsi="Arial"/>
          <w:sz w:val="17"/>
          <w:szCs w:val="17"/>
          <w:u w:val="single" w:color="auto"/>
          <w:color w:val="auto"/>
        </w:rPr>
        <w:t>Lost, Stolen or Mutilated Warrant</w:t>
      </w:r>
      <w:r>
        <w:rPr>
          <w:rFonts w:ascii="Arial" w:cs="Arial" w:eastAsia="Arial" w:hAnsi="Arial"/>
          <w:sz w:val="17"/>
          <w:szCs w:val="17"/>
          <w:color w:val="auto"/>
        </w:rPr>
        <w:t xml:space="preserve">. Upon receipt by the Company of evidence reasonably satisfactory to the Company of the loss, theft, destruction or mutilation of this Warrant (as to which a written certification and the indemnification contemplated below shall suffice as such evidence), and, in the case of loss, theft or destruction, of any indemnification undertaking by the Holder to the Company in customary and reasonable form and, in the case of mutilation, upon surrender and cancellation of this Warrant, the Company shall execute and deliver to the Holder a new Warrant (in accordance with Section </w:t>
      </w:r>
      <w:r>
        <w:rPr>
          <w:rFonts w:ascii="Arial" w:cs="Arial" w:eastAsia="Arial" w:hAnsi="Arial"/>
          <w:sz w:val="20"/>
          <w:szCs w:val="20"/>
          <w:b w:val="1"/>
          <w:bCs w:val="1"/>
          <w:color w:val="auto"/>
        </w:rPr>
        <w:t>‎</w:t>
      </w:r>
      <w:r>
        <w:rPr>
          <w:rFonts w:ascii="Arial" w:cs="Arial" w:eastAsia="Arial" w:hAnsi="Arial"/>
          <w:sz w:val="17"/>
          <w:szCs w:val="17"/>
          <w:color w:val="auto"/>
        </w:rPr>
        <w:t>7(d)) representing the right to purchase the Warrant Shares then underlying this Warrant.</w:t>
      </w:r>
    </w:p>
    <w:p>
      <w:pPr>
        <w:spacing w:after="0" w:line="163" w:lineRule="exact"/>
        <w:rPr>
          <w:rFonts w:ascii="Arial" w:cs="Arial" w:eastAsia="Arial" w:hAnsi="Arial"/>
          <w:sz w:val="17"/>
          <w:szCs w:val="17"/>
          <w:color w:val="auto"/>
        </w:rPr>
      </w:pPr>
    </w:p>
    <w:p>
      <w:pPr>
        <w:jc w:val="both"/>
        <w:ind w:firstLine="1952"/>
        <w:spacing w:after="0" w:line="295" w:lineRule="auto"/>
        <w:tabs>
          <w:tab w:leader="none" w:pos="2188" w:val="left"/>
        </w:tabs>
        <w:numPr>
          <w:ilvl w:val="1"/>
          <w:numId w:val="391"/>
        </w:numPr>
        <w:rPr>
          <w:rFonts w:ascii="Arial" w:cs="Arial" w:eastAsia="Arial" w:hAnsi="Arial"/>
          <w:sz w:val="16"/>
          <w:szCs w:val="16"/>
          <w:color w:val="auto"/>
        </w:rPr>
      </w:pPr>
      <w:r>
        <w:rPr>
          <w:rFonts w:ascii="Arial" w:cs="Arial" w:eastAsia="Arial" w:hAnsi="Arial"/>
          <w:sz w:val="16"/>
          <w:szCs w:val="16"/>
          <w:u w:val="single" w:color="auto"/>
          <w:color w:val="auto"/>
        </w:rPr>
        <w:t>Exchangeable for Multiple Warrants</w:t>
      </w:r>
      <w:r>
        <w:rPr>
          <w:rFonts w:ascii="Arial" w:cs="Arial" w:eastAsia="Arial" w:hAnsi="Arial"/>
          <w:sz w:val="16"/>
          <w:szCs w:val="16"/>
          <w:color w:val="auto"/>
        </w:rPr>
        <w:t xml:space="preserve">. This Warrant is exchangeable, upon the surrender hereof by the Holder at the principal office of the Company, for a new Warrant or Warrants (in accordance with Section </w:t>
      </w:r>
      <w:r>
        <w:rPr>
          <w:rFonts w:ascii="Arial" w:cs="Arial" w:eastAsia="Arial" w:hAnsi="Arial"/>
          <w:sz w:val="19"/>
          <w:szCs w:val="19"/>
          <w:b w:val="1"/>
          <w:bCs w:val="1"/>
          <w:color w:val="auto"/>
        </w:rPr>
        <w:t>‎</w:t>
      </w:r>
      <w:r>
        <w:rPr>
          <w:rFonts w:ascii="Arial" w:cs="Arial" w:eastAsia="Arial" w:hAnsi="Arial"/>
          <w:sz w:val="16"/>
          <w:szCs w:val="16"/>
          <w:color w:val="auto"/>
        </w:rPr>
        <w:t xml:space="preserve">7(d)) representing in the aggregate the right to purchase the number of Warrant Shares then underlying this Warrant, and each such new Warrant will represent the right to purchase such portion of such Warrant Shares as is designated by the Holder at the time of such surrender;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warrants for fractional shares of Common Stock shall be given.</w:t>
      </w:r>
    </w:p>
    <w:p>
      <w:pPr>
        <w:spacing w:after="0" w:line="159" w:lineRule="exact"/>
        <w:rPr>
          <w:rFonts w:ascii="Arial" w:cs="Arial" w:eastAsia="Arial" w:hAnsi="Arial"/>
          <w:sz w:val="16"/>
          <w:szCs w:val="16"/>
          <w:color w:val="auto"/>
        </w:rPr>
      </w:pPr>
    </w:p>
    <w:p>
      <w:pPr>
        <w:jc w:val="both"/>
        <w:ind w:firstLine="1952"/>
        <w:spacing w:after="0" w:line="290" w:lineRule="auto"/>
        <w:tabs>
          <w:tab w:leader="none" w:pos="2199" w:val="left"/>
        </w:tabs>
        <w:numPr>
          <w:ilvl w:val="1"/>
          <w:numId w:val="391"/>
        </w:numPr>
        <w:rPr>
          <w:rFonts w:ascii="Arial" w:cs="Arial" w:eastAsia="Arial" w:hAnsi="Arial"/>
          <w:sz w:val="16"/>
          <w:szCs w:val="16"/>
          <w:color w:val="auto"/>
        </w:rPr>
      </w:pPr>
      <w:r>
        <w:rPr>
          <w:rFonts w:ascii="Arial" w:cs="Arial" w:eastAsia="Arial" w:hAnsi="Arial"/>
          <w:sz w:val="16"/>
          <w:szCs w:val="16"/>
          <w:u w:val="single" w:color="auto"/>
          <w:color w:val="auto"/>
        </w:rPr>
        <w:t>Issuance of New Warrants</w:t>
      </w:r>
      <w:r>
        <w:rPr>
          <w:rFonts w:ascii="Arial" w:cs="Arial" w:eastAsia="Arial" w:hAnsi="Arial"/>
          <w:sz w:val="16"/>
          <w:szCs w:val="16"/>
          <w:color w:val="auto"/>
        </w:rPr>
        <w:t xml:space="preserve">. Whenever the Company is required to issue a new Warrant pursuant to the terms of this Warrant, such new Warrant (i) shall be of like tenor with this Warrant, (ii) shall represent, as indicated on the face of such new Warrant, the right to purchase the Warrant Shares then underlying this Warrant (or in the case of a new Warrant being issued pursuant to Section </w:t>
      </w:r>
      <w:r>
        <w:rPr>
          <w:rFonts w:ascii="Arial" w:cs="Arial" w:eastAsia="Arial" w:hAnsi="Arial"/>
          <w:sz w:val="19"/>
          <w:szCs w:val="19"/>
          <w:b w:val="1"/>
          <w:bCs w:val="1"/>
          <w:color w:val="auto"/>
        </w:rPr>
        <w:t>‎</w:t>
      </w:r>
      <w:r>
        <w:rPr>
          <w:rFonts w:ascii="Arial" w:cs="Arial" w:eastAsia="Arial" w:hAnsi="Arial"/>
          <w:sz w:val="16"/>
          <w:szCs w:val="16"/>
          <w:color w:val="auto"/>
        </w:rPr>
        <w:t xml:space="preserve">7(a) or Section </w:t>
      </w:r>
      <w:r>
        <w:rPr>
          <w:rFonts w:ascii="Arial" w:cs="Arial" w:eastAsia="Arial" w:hAnsi="Arial"/>
          <w:sz w:val="19"/>
          <w:szCs w:val="19"/>
          <w:b w:val="1"/>
          <w:bCs w:val="1"/>
          <w:color w:val="auto"/>
        </w:rPr>
        <w:t>‎</w:t>
      </w:r>
      <w:r>
        <w:rPr>
          <w:rFonts w:ascii="Arial" w:cs="Arial" w:eastAsia="Arial" w:hAnsi="Arial"/>
          <w:sz w:val="16"/>
          <w:szCs w:val="16"/>
          <w:color w:val="auto"/>
        </w:rPr>
        <w:t>7(c), the Warrant Shares designated by the Holder which, when added to the number of shares of Common Stock underlying the other new Warrants issued in connection with such issuance, does not exceed the number of Warrant Shares then underlying this Warrant), (iii) shall have an issuance date, as indicated on the face of such new Warrant which is the same as the Issuance Date, and (iv) shall have the same rights and conditions as this Warrant.</w:t>
      </w:r>
    </w:p>
    <w:p>
      <w:pPr>
        <w:spacing w:after="0" w:line="163" w:lineRule="exact"/>
        <w:rPr>
          <w:rFonts w:ascii="Arial" w:cs="Arial" w:eastAsia="Arial" w:hAnsi="Arial"/>
          <w:sz w:val="16"/>
          <w:szCs w:val="16"/>
          <w:color w:val="auto"/>
        </w:rPr>
      </w:pPr>
    </w:p>
    <w:p>
      <w:pPr>
        <w:jc w:val="both"/>
        <w:ind w:firstLine="1304"/>
        <w:spacing w:after="0" w:line="296" w:lineRule="auto"/>
        <w:tabs>
          <w:tab w:leader="none" w:pos="1489" w:val="left"/>
        </w:tabs>
        <w:numPr>
          <w:ilvl w:val="0"/>
          <w:numId w:val="391"/>
        </w:numPr>
        <w:rPr>
          <w:rFonts w:ascii="Arial" w:cs="Arial" w:eastAsia="Arial" w:hAnsi="Arial"/>
          <w:sz w:val="16"/>
          <w:szCs w:val="16"/>
          <w:color w:val="auto"/>
        </w:rPr>
      </w:pPr>
      <w:r>
        <w:rPr>
          <w:rFonts w:ascii="Arial" w:cs="Arial" w:eastAsia="Arial" w:hAnsi="Arial"/>
          <w:sz w:val="16"/>
          <w:szCs w:val="16"/>
          <w:u w:val="single" w:color="auto"/>
          <w:color w:val="auto"/>
        </w:rPr>
        <w:t>NOTICES OF CHANGES IN WARRANT</w:t>
      </w:r>
      <w:r>
        <w:rPr>
          <w:rFonts w:ascii="Arial" w:cs="Arial" w:eastAsia="Arial" w:hAnsi="Arial"/>
          <w:sz w:val="16"/>
          <w:szCs w:val="16"/>
          <w:color w:val="auto"/>
        </w:rPr>
        <w:t>. Whenever notice is required to be given under this Warrant, unless otherwise provided herein, such notice shall be given in accordance with Section 8.2 of the Credit Agreement. Upon every adjustment of the Exercise Price or the number of shares of Common Stock issuable upon exercise of a Warrant, the Company shall give written notice thereof to the Holders, which notice shall state the Exercise Price resulting from such adjustment and the increase or decrease, if any, in the number of Warrant Shares purchasable at such price upon the exercise of a Warrant, setting forth in reasonable detail the method of calculation and the facts upon which such calculation is based.</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68" w:name="page369"/>
    <w:bookmarkEnd w:id="368"/>
    <w:p>
      <w:pPr>
        <w:jc w:val="both"/>
        <w:ind w:firstLine="1304"/>
        <w:spacing w:after="0" w:line="301" w:lineRule="auto"/>
        <w:tabs>
          <w:tab w:leader="none" w:pos="1476" w:val="left"/>
        </w:tabs>
        <w:numPr>
          <w:ilvl w:val="0"/>
          <w:numId w:val="392"/>
        </w:numPr>
        <w:rPr>
          <w:rFonts w:ascii="Arial" w:cs="Arial" w:eastAsia="Arial" w:hAnsi="Arial"/>
          <w:sz w:val="16"/>
          <w:szCs w:val="16"/>
          <w:color w:val="auto"/>
        </w:rPr>
      </w:pPr>
      <w:r>
        <w:rPr>
          <w:rFonts w:ascii="Arial" w:cs="Arial" w:eastAsia="Arial" w:hAnsi="Arial"/>
          <w:sz w:val="16"/>
          <w:szCs w:val="16"/>
          <w:u w:val="single" w:color="auto"/>
          <w:color w:val="auto"/>
        </w:rPr>
        <w:t>AMENDMENT AND WAIVER</w:t>
      </w:r>
      <w:r>
        <w:rPr>
          <w:rFonts w:ascii="Arial" w:cs="Arial" w:eastAsia="Arial" w:hAnsi="Arial"/>
          <w:sz w:val="16"/>
          <w:szCs w:val="16"/>
          <w:color w:val="auto"/>
        </w:rPr>
        <w:t>. Except as otherwise provided herein, the provisions of this Warrant may be amended or waived and the Company may take any action herein prohibited, or omit to perform any act herein required to be performed by it, only if the Company has obtained the written consent of (i) the Holder, if there is one Holder, or (ii) the Holder or Holders of the Warrant or Warrants representing the majority of Warrant Shares if there is more than one Holder, and with respect to any amendment, the amendment is in writing and signed by the Company and the Holder.</w:t>
      </w:r>
    </w:p>
    <w:p>
      <w:pPr>
        <w:spacing w:after="0" w:line="157" w:lineRule="exact"/>
        <w:rPr>
          <w:rFonts w:ascii="Arial" w:cs="Arial" w:eastAsia="Arial" w:hAnsi="Arial"/>
          <w:sz w:val="16"/>
          <w:szCs w:val="16"/>
          <w:color w:val="auto"/>
        </w:rPr>
      </w:pPr>
    </w:p>
    <w:p>
      <w:pPr>
        <w:jc w:val="both"/>
        <w:ind w:firstLine="1304"/>
        <w:spacing w:after="0" w:line="283" w:lineRule="auto"/>
        <w:tabs>
          <w:tab w:leader="none" w:pos="1566" w:val="left"/>
        </w:tabs>
        <w:numPr>
          <w:ilvl w:val="0"/>
          <w:numId w:val="392"/>
        </w:numPr>
        <w:rPr>
          <w:rFonts w:ascii="Arial" w:cs="Arial" w:eastAsia="Arial" w:hAnsi="Arial"/>
          <w:sz w:val="16"/>
          <w:szCs w:val="16"/>
          <w:color w:val="auto"/>
        </w:rPr>
      </w:pPr>
      <w:r>
        <w:rPr>
          <w:rFonts w:ascii="Arial" w:cs="Arial" w:eastAsia="Arial" w:hAnsi="Arial"/>
          <w:sz w:val="16"/>
          <w:szCs w:val="16"/>
          <w:u w:val="single" w:color="auto"/>
          <w:color w:val="auto"/>
        </w:rPr>
        <w:t>GOVERNING LAW; JURISDICTION; JURY TRIAL</w:t>
      </w:r>
      <w:r>
        <w:rPr>
          <w:rFonts w:ascii="Arial" w:cs="Arial" w:eastAsia="Arial" w:hAnsi="Arial"/>
          <w:sz w:val="16"/>
          <w:szCs w:val="16"/>
          <w:color w:val="auto"/>
        </w:rPr>
        <w:t xml:space="preserve">. This Warrant shall be governed by and construed and enforced in accordance with, and all questions concerning the construction, validity, interpretation and performance of this Warrant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The Company and the Holder each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The Company and the Holder each hereby irrevocably waives personal service of process and consents to process being served in any such suit, action or proceeding by mailing a copy thereof to the Company or such Holder, as applicable at the address set forth in Section 8.2 of the Credit Agreement and agrees that such service shall constitute good and sufficient service of process and notice thereof. Nothing contained herein shall be deemed to limit in any way any right to serve process in any manner permitted by law. Nothing contained herein shall be deemed or operate to preclude the Holder from bringing suit or taking other legal action against the Company in any other jurisdiction to collect on the Company’s obligations to the Holder, to realize on any collateral or any other security for such obligations, or to enforce a judgment or other court ruling in favor of the Holder. </w:t>
      </w:r>
      <w:r>
        <w:rPr>
          <w:rFonts w:ascii="Arial" w:cs="Arial" w:eastAsia="Arial" w:hAnsi="Arial"/>
          <w:sz w:val="16"/>
          <w:szCs w:val="16"/>
          <w:b w:val="1"/>
          <w:bCs w:val="1"/>
          <w:color w:val="auto"/>
        </w:rPr>
        <w:t>THE COMPANY HEREBY AND THE HOLDER EACH</w:t>
      </w:r>
    </w:p>
    <w:p>
      <w:pPr>
        <w:spacing w:after="0" w:line="1" w:lineRule="exact"/>
        <w:rPr>
          <w:rFonts w:ascii="Arial" w:cs="Arial" w:eastAsia="Arial" w:hAnsi="Arial"/>
          <w:sz w:val="16"/>
          <w:szCs w:val="16"/>
          <w:color w:val="auto"/>
        </w:rPr>
      </w:pPr>
    </w:p>
    <w:p>
      <w:pPr>
        <w:jc w:val="both"/>
        <w:spacing w:after="0" w:line="255" w:lineRule="auto"/>
        <w:rPr>
          <w:rFonts w:ascii="Arial" w:cs="Arial" w:eastAsia="Arial" w:hAnsi="Arial"/>
          <w:sz w:val="16"/>
          <w:szCs w:val="16"/>
          <w:color w:val="auto"/>
        </w:rPr>
      </w:pPr>
      <w:r>
        <w:rPr>
          <w:rFonts w:ascii="Arial" w:cs="Arial" w:eastAsia="Arial" w:hAnsi="Arial"/>
          <w:sz w:val="18"/>
          <w:szCs w:val="18"/>
          <w:b w:val="1"/>
          <w:bCs w:val="1"/>
          <w:color w:val="auto"/>
        </w:rPr>
        <w:t>IRREVOCABLY WAIVES ANY RIGHT IT MAY HAVE, AND AGREES NOT TO REQUEST, A JURY TRIAL FOR THE ADJUDICATION OF ANY DISPUTE HEREUNDER OR IN CONNECTION WITH OR ARISING OUT OF THIS WARRANT OR ANY TRANSACTION CONTEMPLATED HEREBY.</w:t>
      </w:r>
    </w:p>
    <w:p>
      <w:pPr>
        <w:spacing w:after="0" w:line="189" w:lineRule="exact"/>
        <w:rPr>
          <w:rFonts w:ascii="Arial" w:cs="Arial" w:eastAsia="Arial" w:hAnsi="Arial"/>
          <w:sz w:val="16"/>
          <w:szCs w:val="16"/>
          <w:color w:val="auto"/>
        </w:rPr>
      </w:pPr>
    </w:p>
    <w:p>
      <w:pPr>
        <w:jc w:val="both"/>
        <w:ind w:firstLine="1304"/>
        <w:spacing w:after="0" w:line="301" w:lineRule="auto"/>
        <w:tabs>
          <w:tab w:leader="none" w:pos="1573" w:val="left"/>
        </w:tabs>
        <w:numPr>
          <w:ilvl w:val="0"/>
          <w:numId w:val="392"/>
        </w:numPr>
        <w:rPr>
          <w:rFonts w:ascii="Arial" w:cs="Arial" w:eastAsia="Arial" w:hAnsi="Arial"/>
          <w:sz w:val="16"/>
          <w:szCs w:val="16"/>
          <w:color w:val="auto"/>
        </w:rPr>
      </w:pPr>
      <w:r>
        <w:rPr>
          <w:rFonts w:ascii="Arial" w:cs="Arial" w:eastAsia="Arial" w:hAnsi="Arial"/>
          <w:sz w:val="16"/>
          <w:szCs w:val="16"/>
          <w:u w:val="single" w:color="auto"/>
          <w:color w:val="auto"/>
        </w:rPr>
        <w:t>CONSTRUCTION; HEADINGS; BUSINESS DAYS</w:t>
      </w:r>
      <w:r>
        <w:rPr>
          <w:rFonts w:ascii="Arial" w:cs="Arial" w:eastAsia="Arial" w:hAnsi="Arial"/>
          <w:sz w:val="16"/>
          <w:szCs w:val="16"/>
          <w:color w:val="auto"/>
        </w:rPr>
        <w:t>. This Warrant shall be deemed to be jointly drafted by the Company and the Holder and shall not be construed against any Person as the drafter hereof. The headings of this Warrant are for convenience of reference and shall not form part of, or affect the interpretation of, this Warrant.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57" w:lineRule="exact"/>
        <w:rPr>
          <w:rFonts w:ascii="Arial" w:cs="Arial" w:eastAsia="Arial" w:hAnsi="Arial"/>
          <w:sz w:val="16"/>
          <w:szCs w:val="16"/>
          <w:color w:val="auto"/>
        </w:rPr>
      </w:pPr>
    </w:p>
    <w:p>
      <w:pPr>
        <w:jc w:val="both"/>
        <w:ind w:firstLine="1304"/>
        <w:spacing w:after="0" w:line="268" w:lineRule="auto"/>
        <w:tabs>
          <w:tab w:leader="none" w:pos="1566" w:val="left"/>
        </w:tabs>
        <w:numPr>
          <w:ilvl w:val="0"/>
          <w:numId w:val="392"/>
        </w:numPr>
        <w:rPr>
          <w:rFonts w:ascii="Arial" w:cs="Arial" w:eastAsia="Arial" w:hAnsi="Arial"/>
          <w:sz w:val="17"/>
          <w:szCs w:val="17"/>
          <w:color w:val="auto"/>
        </w:rPr>
      </w:pPr>
      <w:r>
        <w:rPr>
          <w:rFonts w:ascii="Arial" w:cs="Arial" w:eastAsia="Arial" w:hAnsi="Arial"/>
          <w:sz w:val="17"/>
          <w:szCs w:val="17"/>
          <w:u w:val="single" w:color="auto"/>
          <w:color w:val="auto"/>
        </w:rPr>
        <w:t>DISPUTE RESOLUTION</w:t>
      </w:r>
      <w:r>
        <w:rPr>
          <w:rFonts w:ascii="Arial" w:cs="Arial" w:eastAsia="Arial" w:hAnsi="Arial"/>
          <w:sz w:val="17"/>
          <w:szCs w:val="17"/>
          <w:color w:val="auto"/>
        </w:rPr>
        <w:t xml:space="preserve">. In the case of a dispute as to the determination of the Exercise Price or the arithmetic calculation of the Warrant Shares, the Company shall submit the disputed determinations or arithmetic calculations via facsimile or electronic mail within two (2) Business Days of receipt of the Exercise Notice giving rise to such dispute, as the case may be, to the Holder. If the Holder and the Company are unable to agree upon such determination or calculation of the Exercise Price or the Warrant Shares within three (3) Business Days of such disputed determination or arithmetic calculation being submitted to the Holder, then the Company shall, within two (2) Business Days submit via facsimile or electronic mail the dispute to a nationally recognized accounting firm selected by the Holder and reasonably satisfactory to the Company. If the Company does not object in writing to the selection of the accounting firm within two (2) Business Days of notice of the Holder’s selection, the Company will have deemed to have consented to such selection. If the Company does object, the Company shall provide the Holder its rationale for such rejection and five (5) acceptable alternative firms. The Company shall cause at its expense the accepted accounting firm to perform the determinations or calculations and notify the Company and the Holder of the results no later than three (3) Business Days from the time it receives the disputed determinations or calculations. Such accounting firm’s determination or calculation, as the case may be, shall be binding upon all parties absent demonstrable error. In the event that the accounting firm resolves the dispute in the Holder’s favor, a Delivery Failure will be deemed to have occurred and the Buy-In and other remedies available to the Holder under Section </w:t>
      </w:r>
      <w:r>
        <w:rPr>
          <w:rFonts w:ascii="Arial" w:cs="Arial" w:eastAsia="Arial" w:hAnsi="Arial"/>
          <w:sz w:val="20"/>
          <w:szCs w:val="20"/>
          <w:b w:val="1"/>
          <w:bCs w:val="1"/>
          <w:color w:val="auto"/>
        </w:rPr>
        <w:t>‎</w:t>
      </w:r>
      <w:r>
        <w:rPr>
          <w:rFonts w:ascii="Arial" w:cs="Arial" w:eastAsia="Arial" w:hAnsi="Arial"/>
          <w:sz w:val="17"/>
          <w:szCs w:val="17"/>
          <w:color w:val="auto"/>
        </w:rPr>
        <w:t>1(c) will apply.</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69" w:name="page370"/>
    <w:bookmarkEnd w:id="369"/>
    <w:p>
      <w:pPr>
        <w:jc w:val="both"/>
        <w:ind w:firstLine="1304"/>
        <w:spacing w:after="0" w:line="272" w:lineRule="auto"/>
        <w:tabs>
          <w:tab w:leader="none" w:pos="1566" w:val="left"/>
        </w:tabs>
        <w:numPr>
          <w:ilvl w:val="0"/>
          <w:numId w:val="393"/>
        </w:numPr>
        <w:rPr>
          <w:rFonts w:ascii="Arial" w:cs="Arial" w:eastAsia="Arial" w:hAnsi="Arial"/>
          <w:sz w:val="17"/>
          <w:szCs w:val="17"/>
          <w:color w:val="auto"/>
        </w:rPr>
      </w:pPr>
      <w:r>
        <w:rPr>
          <w:rFonts w:ascii="Arial" w:cs="Arial" w:eastAsia="Arial" w:hAnsi="Arial"/>
          <w:sz w:val="17"/>
          <w:szCs w:val="17"/>
          <w:u w:val="single" w:color="auto"/>
          <w:color w:val="auto"/>
        </w:rPr>
        <w:t>REMEDIES, OTHER OBLIGATIONS, BREACHES AND INJUNCTIVE RELIEF</w:t>
      </w:r>
      <w:r>
        <w:rPr>
          <w:rFonts w:ascii="Arial" w:cs="Arial" w:eastAsia="Arial" w:hAnsi="Arial"/>
          <w:sz w:val="17"/>
          <w:szCs w:val="17"/>
          <w:color w:val="auto"/>
        </w:rPr>
        <w:t>. The remedies provided in this Warrant shall be cumulative and in addition to all other remedies available under this Warrant and the other Loan Documents, at law or in equity (including a decree of specific performance and/or other injunctive relief), and nothing herein shall limit the right of the Holder to pursue actual damages for any failure by the Company to comply with the terms of this Warrant.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shall be entitled, in addition to all other available remedies, to an injunction restraining any breach, without the necessity of showing economic loss and without any bond or other security being required.</w:t>
      </w:r>
    </w:p>
    <w:p>
      <w:pPr>
        <w:spacing w:after="0" w:line="177" w:lineRule="exact"/>
        <w:rPr>
          <w:rFonts w:ascii="Arial" w:cs="Arial" w:eastAsia="Arial" w:hAnsi="Arial"/>
          <w:sz w:val="17"/>
          <w:szCs w:val="17"/>
          <w:color w:val="auto"/>
        </w:rPr>
      </w:pPr>
    </w:p>
    <w:p>
      <w:pPr>
        <w:jc w:val="both"/>
        <w:ind w:firstLine="1304"/>
        <w:spacing w:after="0" w:line="259" w:lineRule="auto"/>
        <w:tabs>
          <w:tab w:leader="none" w:pos="1566" w:val="left"/>
        </w:tabs>
        <w:numPr>
          <w:ilvl w:val="0"/>
          <w:numId w:val="393"/>
        </w:numPr>
        <w:rPr>
          <w:rFonts w:ascii="Arial" w:cs="Arial" w:eastAsia="Arial" w:hAnsi="Arial"/>
          <w:sz w:val="18"/>
          <w:szCs w:val="18"/>
          <w:color w:val="auto"/>
        </w:rPr>
      </w:pPr>
      <w:r>
        <w:rPr>
          <w:rFonts w:ascii="Arial" w:cs="Arial" w:eastAsia="Arial" w:hAnsi="Arial"/>
          <w:sz w:val="18"/>
          <w:szCs w:val="18"/>
          <w:u w:val="single" w:color="auto"/>
          <w:color w:val="auto"/>
        </w:rPr>
        <w:t>TRANSFER</w:t>
      </w:r>
      <w:r>
        <w:rPr>
          <w:rFonts w:ascii="Arial" w:cs="Arial" w:eastAsia="Arial" w:hAnsi="Arial"/>
          <w:sz w:val="18"/>
          <w:szCs w:val="18"/>
          <w:color w:val="auto"/>
        </w:rPr>
        <w:t>. This Warrant and the Warrant Shares may be offered for sale, sold, transferred, pledged or assigned without the consent of the Company, subject to compliance with applicable state and federal securities laws. The Holder acknowledges that the Warrant Shares acquired upon the exercise of this Warrant, if not registered, and the Holder does not utilize cashless exercise, will have restrictions upon resale imposed by state and federal securities laws.</w:t>
      </w:r>
    </w:p>
    <w:p>
      <w:pPr>
        <w:spacing w:after="0" w:line="186" w:lineRule="exact"/>
        <w:rPr>
          <w:rFonts w:ascii="Arial" w:cs="Arial" w:eastAsia="Arial" w:hAnsi="Arial"/>
          <w:sz w:val="18"/>
          <w:szCs w:val="18"/>
          <w:color w:val="auto"/>
        </w:rPr>
      </w:pPr>
    </w:p>
    <w:p>
      <w:pPr>
        <w:jc w:val="both"/>
        <w:ind w:firstLine="1304"/>
        <w:spacing w:after="0" w:line="271" w:lineRule="auto"/>
        <w:tabs>
          <w:tab w:leader="none" w:pos="1566" w:val="left"/>
        </w:tabs>
        <w:numPr>
          <w:ilvl w:val="0"/>
          <w:numId w:val="393"/>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of this Warrant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Warrant so long as this Warrant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178" w:lineRule="exact"/>
        <w:rPr>
          <w:rFonts w:ascii="Arial" w:cs="Arial" w:eastAsia="Arial" w:hAnsi="Arial"/>
          <w:sz w:val="17"/>
          <w:szCs w:val="17"/>
          <w:color w:val="auto"/>
        </w:rPr>
      </w:pPr>
    </w:p>
    <w:p>
      <w:pPr>
        <w:ind w:firstLine="1304"/>
        <w:spacing w:after="0" w:line="277" w:lineRule="auto"/>
        <w:tabs>
          <w:tab w:leader="none" w:pos="1566" w:val="left"/>
        </w:tabs>
        <w:numPr>
          <w:ilvl w:val="0"/>
          <w:numId w:val="393"/>
        </w:numPr>
        <w:rPr>
          <w:rFonts w:ascii="Arial" w:cs="Arial" w:eastAsia="Arial" w:hAnsi="Arial"/>
          <w:sz w:val="18"/>
          <w:szCs w:val="18"/>
          <w:color w:val="auto"/>
        </w:rPr>
      </w:pPr>
      <w:r>
        <w:rPr>
          <w:rFonts w:ascii="Arial" w:cs="Arial" w:eastAsia="Arial" w:hAnsi="Arial"/>
          <w:sz w:val="18"/>
          <w:szCs w:val="18"/>
          <w:u w:val="single" w:color="auto"/>
          <w:color w:val="auto"/>
        </w:rPr>
        <w:t>NO DISCLOSURE</w:t>
      </w:r>
      <w:r>
        <w:rPr>
          <w:rFonts w:ascii="Arial" w:cs="Arial" w:eastAsia="Arial" w:hAnsi="Arial"/>
          <w:sz w:val="18"/>
          <w:szCs w:val="18"/>
          <w:color w:val="auto"/>
        </w:rPr>
        <w:t>. The Company shall not provide material, non-public information or confidential or proprietary information to the Holder without such Holder’s written consent.</w:t>
      </w:r>
    </w:p>
    <w:p>
      <w:pPr>
        <w:spacing w:after="0" w:line="170" w:lineRule="exact"/>
        <w:rPr>
          <w:rFonts w:ascii="Arial" w:cs="Arial" w:eastAsia="Arial" w:hAnsi="Arial"/>
          <w:sz w:val="18"/>
          <w:szCs w:val="18"/>
          <w:color w:val="auto"/>
        </w:rPr>
      </w:pPr>
    </w:p>
    <w:p>
      <w:pPr>
        <w:ind w:left="1580" w:hanging="276"/>
        <w:spacing w:after="0"/>
        <w:tabs>
          <w:tab w:leader="none" w:pos="1580" w:val="left"/>
        </w:tabs>
        <w:numPr>
          <w:ilvl w:val="0"/>
          <w:numId w:val="393"/>
        </w:numPr>
        <w:rPr>
          <w:rFonts w:ascii="Arial" w:cs="Arial" w:eastAsia="Arial" w:hAnsi="Arial"/>
          <w:sz w:val="18"/>
          <w:szCs w:val="18"/>
          <w:color w:val="auto"/>
        </w:rPr>
      </w:pPr>
      <w:r>
        <w:rPr>
          <w:rFonts w:ascii="Arial" w:cs="Arial" w:eastAsia="Arial" w:hAnsi="Arial"/>
          <w:sz w:val="18"/>
          <w:szCs w:val="18"/>
          <w:u w:val="single" w:color="auto"/>
          <w:color w:val="auto"/>
        </w:rPr>
        <w:t>REPRESENTATIONS OF HOLDERS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952"/>
        <w:spacing w:after="0" w:line="263" w:lineRule="auto"/>
        <w:tabs>
          <w:tab w:leader="none" w:pos="2188" w:val="left"/>
        </w:tabs>
        <w:numPr>
          <w:ilvl w:val="1"/>
          <w:numId w:val="393"/>
        </w:numPr>
        <w:rPr>
          <w:rFonts w:ascii="Arial" w:cs="Arial" w:eastAsia="Arial" w:hAnsi="Arial"/>
          <w:sz w:val="18"/>
          <w:szCs w:val="18"/>
          <w:color w:val="auto"/>
        </w:rPr>
      </w:pPr>
      <w:r>
        <w:rPr>
          <w:rFonts w:ascii="Arial" w:cs="Arial" w:eastAsia="Arial" w:hAnsi="Arial"/>
          <w:sz w:val="18"/>
          <w:szCs w:val="18"/>
          <w:u w:val="single" w:color="auto"/>
          <w:color w:val="auto"/>
        </w:rPr>
        <w:t>Investment Intent</w:t>
      </w:r>
      <w:r>
        <w:rPr>
          <w:rFonts w:ascii="Arial" w:cs="Arial" w:eastAsia="Arial" w:hAnsi="Arial"/>
          <w:sz w:val="18"/>
          <w:szCs w:val="18"/>
          <w:color w:val="auto"/>
        </w:rPr>
        <w:t>. Each Holder represents and warrants that it is acquiring this Warrant and the Warrant Shares (collectively, the “</w:t>
      </w:r>
      <w:r>
        <w:rPr>
          <w:rFonts w:ascii="Arial" w:cs="Arial" w:eastAsia="Arial" w:hAnsi="Arial"/>
          <w:sz w:val="18"/>
          <w:szCs w:val="18"/>
          <w:b w:val="1"/>
          <w:bCs w:val="1"/>
          <w:color w:val="auto"/>
        </w:rPr>
        <w:t>Securities</w:t>
      </w:r>
      <w:r>
        <w:rPr>
          <w:rFonts w:ascii="Arial" w:cs="Arial" w:eastAsia="Arial" w:hAnsi="Arial"/>
          <w:sz w:val="18"/>
          <w:szCs w:val="18"/>
          <w:color w:val="auto"/>
        </w:rPr>
        <w:t>”), solely for its beneficial account, for investment purposes, and not with a view to, or for resale in connection with, any distribution of the Securities in violation of applicable securities laws.</w:t>
      </w:r>
    </w:p>
    <w:p>
      <w:pPr>
        <w:spacing w:after="0" w:line="183" w:lineRule="exact"/>
        <w:rPr>
          <w:rFonts w:ascii="Arial" w:cs="Arial" w:eastAsia="Arial" w:hAnsi="Arial"/>
          <w:sz w:val="18"/>
          <w:szCs w:val="18"/>
          <w:color w:val="auto"/>
        </w:rPr>
      </w:pPr>
    </w:p>
    <w:p>
      <w:pPr>
        <w:jc w:val="both"/>
        <w:ind w:firstLine="1952"/>
        <w:spacing w:after="0" w:line="286" w:lineRule="auto"/>
        <w:tabs>
          <w:tab w:leader="none" w:pos="2199" w:val="left"/>
        </w:tabs>
        <w:numPr>
          <w:ilvl w:val="1"/>
          <w:numId w:val="393"/>
        </w:numPr>
        <w:rPr>
          <w:rFonts w:ascii="Arial" w:cs="Arial" w:eastAsia="Arial" w:hAnsi="Arial"/>
          <w:sz w:val="17"/>
          <w:szCs w:val="17"/>
          <w:color w:val="auto"/>
        </w:rPr>
      </w:pPr>
      <w:r>
        <w:rPr>
          <w:rFonts w:ascii="Arial" w:cs="Arial" w:eastAsia="Arial" w:hAnsi="Arial"/>
          <w:sz w:val="17"/>
          <w:szCs w:val="17"/>
          <w:u w:val="single" w:color="auto"/>
          <w:color w:val="auto"/>
        </w:rPr>
        <w:t>Unregistered Securities</w:t>
      </w:r>
      <w:r>
        <w:rPr>
          <w:rFonts w:ascii="Arial" w:cs="Arial" w:eastAsia="Arial" w:hAnsi="Arial"/>
          <w:sz w:val="17"/>
          <w:szCs w:val="17"/>
          <w:color w:val="auto"/>
        </w:rPr>
        <w:t>. Each Holder represents and warrants that it understands that the Securities have not been registered under the Securities Act or any state securities laws by reason of specific exemptions under the provisions thereof, the availability of which depend in part upon the bona fide nature of its investment intent and upon the accuracy of its representations made herein.</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70" w:name="page371"/>
    <w:bookmarkEnd w:id="370"/>
    <w:p>
      <w:pPr>
        <w:jc w:val="both"/>
        <w:ind w:firstLine="1952"/>
        <w:spacing w:after="0" w:line="263" w:lineRule="auto"/>
        <w:tabs>
          <w:tab w:leader="none" w:pos="2242" w:val="left"/>
        </w:tabs>
        <w:numPr>
          <w:ilvl w:val="0"/>
          <w:numId w:val="394"/>
        </w:numPr>
        <w:rPr>
          <w:rFonts w:ascii="Arial" w:cs="Arial" w:eastAsia="Arial" w:hAnsi="Arial"/>
          <w:sz w:val="18"/>
          <w:szCs w:val="18"/>
          <w:color w:val="auto"/>
        </w:rPr>
      </w:pPr>
      <w:r>
        <w:rPr>
          <w:rFonts w:ascii="Arial" w:cs="Arial" w:eastAsia="Arial" w:hAnsi="Arial"/>
          <w:sz w:val="18"/>
          <w:szCs w:val="18"/>
          <w:u w:val="single" w:color="auto"/>
          <w:color w:val="auto"/>
        </w:rPr>
        <w:t>Reliance</w:t>
      </w:r>
      <w:r>
        <w:rPr>
          <w:rFonts w:ascii="Arial" w:cs="Arial" w:eastAsia="Arial" w:hAnsi="Arial"/>
          <w:sz w:val="18"/>
          <w:szCs w:val="18"/>
          <w:color w:val="auto"/>
        </w:rPr>
        <w:t>. Each Holder represents and warrants that it understands that the Company is relying in part upon the representations and agreements of the Holders contained herein for the purpose of determining whether the offer, sale and issuance of the Securities meet the requirements for such exemptions described in Section 17(b).</w:t>
      </w:r>
    </w:p>
    <w:p>
      <w:pPr>
        <w:spacing w:after="0" w:line="183" w:lineRule="exact"/>
        <w:rPr>
          <w:rFonts w:ascii="Arial" w:cs="Arial" w:eastAsia="Arial" w:hAnsi="Arial"/>
          <w:sz w:val="18"/>
          <w:szCs w:val="18"/>
          <w:color w:val="auto"/>
        </w:rPr>
      </w:pPr>
    </w:p>
    <w:p>
      <w:pPr>
        <w:ind w:left="2200" w:hanging="248"/>
        <w:spacing w:after="0"/>
        <w:tabs>
          <w:tab w:leader="none" w:pos="2200" w:val="left"/>
        </w:tabs>
        <w:numPr>
          <w:ilvl w:val="0"/>
          <w:numId w:val="394"/>
        </w:numPr>
        <w:rPr>
          <w:rFonts w:ascii="Arial" w:cs="Arial" w:eastAsia="Arial" w:hAnsi="Arial"/>
          <w:sz w:val="16"/>
          <w:szCs w:val="16"/>
          <w:color w:val="auto"/>
        </w:rPr>
      </w:pPr>
      <w:r>
        <w:rPr>
          <w:rFonts w:ascii="Arial" w:cs="Arial" w:eastAsia="Arial" w:hAnsi="Arial"/>
          <w:sz w:val="16"/>
          <w:szCs w:val="16"/>
          <w:u w:val="single" w:color="auto"/>
          <w:color w:val="auto"/>
        </w:rPr>
        <w:t>Accredited Investor</w:t>
      </w:r>
      <w:r>
        <w:rPr>
          <w:rFonts w:ascii="Arial" w:cs="Arial" w:eastAsia="Arial" w:hAnsi="Arial"/>
          <w:sz w:val="16"/>
          <w:szCs w:val="16"/>
          <w:color w:val="auto"/>
        </w:rPr>
        <w:t>. Each Holder represents and warrants that it is an “accredited investor” as defined in Rule 501(a) under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Securities Act.</w:t>
      </w:r>
    </w:p>
    <w:p>
      <w:pPr>
        <w:spacing w:after="0" w:line="210" w:lineRule="exact"/>
        <w:rPr>
          <w:rFonts w:ascii="Arial" w:cs="Arial" w:eastAsia="Arial" w:hAnsi="Arial"/>
          <w:sz w:val="16"/>
          <w:szCs w:val="16"/>
          <w:color w:val="auto"/>
        </w:rPr>
      </w:pPr>
    </w:p>
    <w:p>
      <w:pPr>
        <w:jc w:val="both"/>
        <w:ind w:right="20" w:firstLine="1952"/>
        <w:spacing w:after="0" w:line="263" w:lineRule="auto"/>
        <w:tabs>
          <w:tab w:leader="none" w:pos="2202" w:val="left"/>
        </w:tabs>
        <w:numPr>
          <w:ilvl w:val="0"/>
          <w:numId w:val="394"/>
        </w:numPr>
        <w:rPr>
          <w:rFonts w:ascii="Arial" w:cs="Arial" w:eastAsia="Arial" w:hAnsi="Arial"/>
          <w:sz w:val="18"/>
          <w:szCs w:val="18"/>
          <w:color w:val="auto"/>
        </w:rPr>
      </w:pPr>
      <w:r>
        <w:rPr>
          <w:rFonts w:ascii="Arial" w:cs="Arial" w:eastAsia="Arial" w:hAnsi="Arial"/>
          <w:sz w:val="18"/>
          <w:szCs w:val="18"/>
          <w:u w:val="single" w:color="auto"/>
          <w:color w:val="auto"/>
        </w:rPr>
        <w:t>Sophisticated Investor</w:t>
      </w:r>
      <w:r>
        <w:rPr>
          <w:rFonts w:ascii="Arial" w:cs="Arial" w:eastAsia="Arial" w:hAnsi="Arial"/>
          <w:sz w:val="18"/>
          <w:szCs w:val="18"/>
          <w:color w:val="auto"/>
        </w:rPr>
        <w:t>. Each Holder represents and warrants that it has such knowledge, skill and experience in business, financial and investment matters that it is capable of evaluating the merits and risks of an investment in the Securities, including experience in and knowledge of the industry in which the Company operates.</w:t>
      </w:r>
    </w:p>
    <w:p>
      <w:pPr>
        <w:spacing w:after="0" w:line="183" w:lineRule="exact"/>
        <w:rPr>
          <w:rFonts w:ascii="Arial" w:cs="Arial" w:eastAsia="Arial" w:hAnsi="Arial"/>
          <w:sz w:val="18"/>
          <w:szCs w:val="18"/>
          <w:color w:val="auto"/>
        </w:rPr>
      </w:pPr>
    </w:p>
    <w:p>
      <w:pPr>
        <w:jc w:val="both"/>
        <w:ind w:firstLine="1952"/>
        <w:spacing w:after="0" w:line="263" w:lineRule="auto"/>
        <w:tabs>
          <w:tab w:leader="none" w:pos="2169" w:val="left"/>
        </w:tabs>
        <w:numPr>
          <w:ilvl w:val="0"/>
          <w:numId w:val="394"/>
        </w:numPr>
        <w:rPr>
          <w:rFonts w:ascii="Arial" w:cs="Arial" w:eastAsia="Arial" w:hAnsi="Arial"/>
          <w:sz w:val="18"/>
          <w:szCs w:val="18"/>
          <w:color w:val="auto"/>
        </w:rPr>
      </w:pPr>
      <w:r>
        <w:rPr>
          <w:rFonts w:ascii="Arial" w:cs="Arial" w:eastAsia="Arial" w:hAnsi="Arial"/>
          <w:sz w:val="18"/>
          <w:szCs w:val="18"/>
          <w:u w:val="single" w:color="auto"/>
          <w:color w:val="auto"/>
        </w:rPr>
        <w:t>Restricted Securities</w:t>
      </w:r>
      <w:r>
        <w:rPr>
          <w:rFonts w:ascii="Arial" w:cs="Arial" w:eastAsia="Arial" w:hAnsi="Arial"/>
          <w:sz w:val="18"/>
          <w:szCs w:val="18"/>
          <w:color w:val="auto"/>
        </w:rPr>
        <w:t>. Each Holder represents and warrants that it understand that the Securities will be “restricted securities” under applicable federal securities laws and that the Securities Act and the rules of the SEC provide in substance that it may dispose of the Securities only pursuant to an effective registration statement under the Securities Act or an exemption therefrom.</w:t>
      </w:r>
    </w:p>
    <w:p>
      <w:pPr>
        <w:spacing w:after="0" w:line="183" w:lineRule="exact"/>
        <w:rPr>
          <w:rFonts w:ascii="Arial" w:cs="Arial" w:eastAsia="Arial" w:hAnsi="Arial"/>
          <w:sz w:val="18"/>
          <w:szCs w:val="18"/>
          <w:color w:val="auto"/>
        </w:rPr>
      </w:pPr>
    </w:p>
    <w:p>
      <w:pPr>
        <w:jc w:val="both"/>
        <w:ind w:firstLine="1952"/>
        <w:spacing w:after="0" w:line="270" w:lineRule="auto"/>
        <w:tabs>
          <w:tab w:leader="none" w:pos="2212" w:val="left"/>
        </w:tabs>
        <w:numPr>
          <w:ilvl w:val="0"/>
          <w:numId w:val="394"/>
        </w:numPr>
        <w:rPr>
          <w:rFonts w:ascii="Arial" w:cs="Arial" w:eastAsia="Arial" w:hAnsi="Arial"/>
          <w:sz w:val="17"/>
          <w:szCs w:val="17"/>
          <w:color w:val="auto"/>
        </w:rPr>
      </w:pPr>
      <w:r>
        <w:rPr>
          <w:rFonts w:ascii="Arial" w:cs="Arial" w:eastAsia="Arial" w:hAnsi="Arial"/>
          <w:sz w:val="17"/>
          <w:szCs w:val="17"/>
          <w:u w:val="single" w:color="auto"/>
          <w:color w:val="auto"/>
        </w:rPr>
        <w:t>Information</w:t>
      </w:r>
      <w:r>
        <w:rPr>
          <w:rFonts w:ascii="Arial" w:cs="Arial" w:eastAsia="Arial" w:hAnsi="Arial"/>
          <w:sz w:val="17"/>
          <w:szCs w:val="17"/>
          <w:color w:val="auto"/>
        </w:rPr>
        <w:t>. Each Holder represents and warrants that it has been furnished by the Company all information (or provided access to all information) regarding the business and financial condition of the Company, the attributes of the Securities, and the merits and risks of an investment in such Securities which it has requested or otherwise needs to evaluate the investment in such Securities; that in making the proposed investment decision, such Holder is relying solely on such information, the representations, warranties and agreements of the Company and the other Loan Parties contained herein and in the other Loan Documents and on investigations made by it and its representatives; that the offer to sell the Securities hereunder was communicated to such Holder in such a manner that it was able to ask questions of and receive answers from the management of the Company concerning the terms and conditions of the proposed transaction and that at no time was it presented with or solicited by or through any leaflet, public promotional meeting, television advertisement or any other form of general or public advertising or solicitation; and such Holder recognizes that an investment in the Securities involves risks and can result in a total loss of all funds invested.</w:t>
      </w:r>
    </w:p>
    <w:p>
      <w:pPr>
        <w:spacing w:after="0" w:line="180" w:lineRule="exact"/>
        <w:rPr>
          <w:rFonts w:ascii="Arial" w:cs="Arial" w:eastAsia="Arial" w:hAnsi="Arial"/>
          <w:sz w:val="17"/>
          <w:szCs w:val="17"/>
          <w:color w:val="auto"/>
        </w:rPr>
      </w:pPr>
    </w:p>
    <w:p>
      <w:pPr>
        <w:jc w:val="both"/>
        <w:ind w:firstLine="1952"/>
        <w:spacing w:after="0" w:line="287" w:lineRule="auto"/>
        <w:tabs>
          <w:tab w:leader="none" w:pos="2199" w:val="left"/>
        </w:tabs>
        <w:numPr>
          <w:ilvl w:val="0"/>
          <w:numId w:val="394"/>
        </w:numPr>
        <w:rPr>
          <w:rFonts w:ascii="Arial" w:cs="Arial" w:eastAsia="Arial" w:hAnsi="Arial"/>
          <w:sz w:val="16"/>
          <w:szCs w:val="16"/>
          <w:color w:val="auto"/>
        </w:rPr>
      </w:pPr>
      <w:r>
        <w:rPr>
          <w:rFonts w:ascii="Arial" w:cs="Arial" w:eastAsia="Arial" w:hAnsi="Arial"/>
          <w:sz w:val="16"/>
          <w:szCs w:val="16"/>
          <w:u w:val="single" w:color="auto"/>
          <w:color w:val="auto"/>
        </w:rPr>
        <w:t>Non-Reliance</w:t>
      </w:r>
      <w:r>
        <w:rPr>
          <w:rFonts w:ascii="Arial" w:cs="Arial" w:eastAsia="Arial" w:hAnsi="Arial"/>
          <w:sz w:val="16"/>
          <w:szCs w:val="16"/>
          <w:color w:val="auto"/>
        </w:rPr>
        <w:t xml:space="preserve">. Notwithstanding anything in this Warrant to the contrary, each Holder hereby acknowledges, with respect to itself, that the Company may possess material non-public information with respect to the Company and/or its securities not known to each Holder as of the date hereof or at a time when each Holder exercises its right to purchase Warrant Shares pursuant to this Warrant and that any such information may impact the value of the Warrant and the Warrant Shares. Each Holder with respect to itself irrevocably waives any claim, or potential claim, that it may have based on the failure of the Company or its Affiliates, officers, directors, employees, agents or other representatives to disclose such information in connection with the execution and delivery of this Warrant or the purchase of Warrant Shares hereunder;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notwithstanding anything in this Section 17(h) or otherwise to the contrary, each Holder does not and shall not be deemed to have waived or otherwise compromised any rights or claims based upon or arising out of (i) the Company’s disclosure obligations under the federal securities laws with respect to any untrue statement of a material fact or omission to state a material fact necessary in order to make the statements made, in the light of the circumstances under which they were made, not misleading in any public statement or filing made by the Company pursuant to the Exchange Act, or (ii) any breach or inaccuracy of any representation or warranty of the Company or any other Loan Party in the Credit Agreement or any other Loan Document. Each Holder with respect to itself acknowledges that the Company would not enter into this Warrant in the absence of the agreements set forth in this Section 17.</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71" w:name="page372"/>
    <w:bookmarkEnd w:id="371"/>
    <w:p>
      <w:pPr>
        <w:ind w:left="1580" w:hanging="276"/>
        <w:spacing w:after="0"/>
        <w:tabs>
          <w:tab w:leader="none" w:pos="1580" w:val="left"/>
        </w:tabs>
        <w:numPr>
          <w:ilvl w:val="1"/>
          <w:numId w:val="395"/>
        </w:numPr>
        <w:rPr>
          <w:rFonts w:ascii="Arial" w:cs="Arial" w:eastAsia="Arial" w:hAnsi="Arial"/>
          <w:sz w:val="18"/>
          <w:szCs w:val="18"/>
          <w:color w:val="auto"/>
        </w:rPr>
      </w:pPr>
      <w:r>
        <w:rPr>
          <w:rFonts w:ascii="Arial" w:cs="Arial" w:eastAsia="Arial" w:hAnsi="Arial"/>
          <w:sz w:val="18"/>
          <w:szCs w:val="18"/>
          <w:u w:val="single" w:color="auto"/>
          <w:color w:val="auto"/>
        </w:rPr>
        <w:t>REPRESENTATIONS OF THE COMPANY</w:t>
      </w:r>
      <w:r>
        <w:rPr>
          <w:rFonts w:ascii="Arial" w:cs="Arial" w:eastAsia="Arial" w:hAnsi="Arial"/>
          <w:sz w:val="18"/>
          <w:szCs w:val="18"/>
          <w:color w:val="auto"/>
        </w:rPr>
        <w:t>. The Company represents and warrants to the Holder that:</w:t>
      </w:r>
    </w:p>
    <w:p>
      <w:pPr>
        <w:spacing w:after="0" w:line="225" w:lineRule="exact"/>
        <w:rPr>
          <w:rFonts w:ascii="Arial" w:cs="Arial" w:eastAsia="Arial" w:hAnsi="Arial"/>
          <w:sz w:val="18"/>
          <w:szCs w:val="18"/>
          <w:color w:val="auto"/>
        </w:rPr>
      </w:pPr>
    </w:p>
    <w:p>
      <w:pPr>
        <w:ind w:left="2200" w:hanging="248"/>
        <w:spacing w:after="0"/>
        <w:tabs>
          <w:tab w:leader="none" w:pos="2200" w:val="left"/>
        </w:tabs>
        <w:numPr>
          <w:ilvl w:val="2"/>
          <w:numId w:val="395"/>
        </w:numPr>
        <w:rPr>
          <w:rFonts w:ascii="Arial" w:cs="Arial" w:eastAsia="Arial" w:hAnsi="Arial"/>
          <w:sz w:val="16"/>
          <w:szCs w:val="16"/>
          <w:color w:val="auto"/>
        </w:rPr>
      </w:pPr>
      <w:r>
        <w:rPr>
          <w:rFonts w:ascii="Arial" w:cs="Arial" w:eastAsia="Arial" w:hAnsi="Arial"/>
          <w:sz w:val="16"/>
          <w:szCs w:val="16"/>
          <w:color w:val="auto"/>
        </w:rPr>
        <w:t>The Company (i) is duly organized, validly existing and in good standing under the laws of its jurisdiction of incorporation;</w:t>
      </w:r>
    </w:p>
    <w:p>
      <w:pPr>
        <w:spacing w:after="0" w:line="46" w:lineRule="exact"/>
        <w:rPr>
          <w:rFonts w:ascii="Arial" w:cs="Arial" w:eastAsia="Arial" w:hAnsi="Arial"/>
          <w:sz w:val="16"/>
          <w:szCs w:val="16"/>
          <w:color w:val="auto"/>
        </w:rPr>
      </w:pPr>
    </w:p>
    <w:p>
      <w:pPr>
        <w:jc w:val="both"/>
        <w:ind w:firstLine="8"/>
        <w:spacing w:after="0" w:line="286" w:lineRule="auto"/>
        <w:tabs>
          <w:tab w:leader="none" w:pos="277" w:val="left"/>
        </w:tabs>
        <w:numPr>
          <w:ilvl w:val="0"/>
          <w:numId w:val="396"/>
        </w:numPr>
        <w:rPr>
          <w:rFonts w:ascii="Arial" w:cs="Arial" w:eastAsia="Arial" w:hAnsi="Arial"/>
          <w:sz w:val="16"/>
          <w:szCs w:val="16"/>
          <w:color w:val="auto"/>
        </w:rPr>
      </w:pPr>
      <w:r>
        <w:rPr>
          <w:rFonts w:ascii="Arial" w:cs="Arial" w:eastAsia="Arial" w:hAnsi="Arial"/>
          <w:sz w:val="16"/>
          <w:szCs w:val="16"/>
          <w:color w:val="auto"/>
        </w:rPr>
        <w:t>has the requisite power and authority to own, lease and operate its properties, to carry on its business as it is now being conducted and to enter into, deliver and perform its obligations under this Warrant; and (iii) is duly licensed or qualified to conduct its business and, if applicable, is in good standing under the laws of each jurisdiction (other than its jurisdiction of incorporation) in which the conduct of its business or the ownership of its properties or assets requires such license or qualification, except, with respect to the foregoing clause (iii), where the failure to be in good standing would not reasonably be expected to have a Company Material Adverse Effect. For purposes of this Warrant, a “</w:t>
      </w:r>
      <w:r>
        <w:rPr>
          <w:rFonts w:ascii="Arial" w:cs="Arial" w:eastAsia="Arial" w:hAnsi="Arial"/>
          <w:sz w:val="16"/>
          <w:szCs w:val="16"/>
          <w:b w:val="1"/>
          <w:bCs w:val="1"/>
          <w:color w:val="auto"/>
        </w:rPr>
        <w:t>Company Material Adverse Effect</w:t>
      </w:r>
      <w:r>
        <w:rPr>
          <w:rFonts w:ascii="Arial" w:cs="Arial" w:eastAsia="Arial" w:hAnsi="Arial"/>
          <w:sz w:val="16"/>
          <w:szCs w:val="16"/>
          <w:color w:val="auto"/>
        </w:rPr>
        <w:t>” means an event, change, development, occurrence, condition or effect with respect to the Company and its subsidiaries, taken together as a whole (on a consolidated basis), that, individually or in the aggregate, (A) would reasonably be expected to have a material adverse effect on the business, financial condition or results of operations of the Company and its subsidiaries, taken together as a whole (on a consolidated basis) or (B) would prevent, materially delay or materially impede the performance by the Company or its subsidiaries of their respective obligations under this Warrant or the other Loan Documents.</w:t>
      </w:r>
    </w:p>
    <w:p>
      <w:pPr>
        <w:spacing w:after="0" w:line="172" w:lineRule="exact"/>
        <w:rPr>
          <w:rFonts w:ascii="Arial" w:cs="Arial" w:eastAsia="Arial" w:hAnsi="Arial"/>
          <w:sz w:val="16"/>
          <w:szCs w:val="16"/>
          <w:color w:val="auto"/>
        </w:rPr>
      </w:pPr>
    </w:p>
    <w:p>
      <w:pPr>
        <w:jc w:val="both"/>
        <w:ind w:firstLine="1952"/>
        <w:spacing w:after="0" w:line="301" w:lineRule="auto"/>
        <w:tabs>
          <w:tab w:leader="none" w:pos="2239" w:val="left"/>
        </w:tabs>
        <w:numPr>
          <w:ilvl w:val="2"/>
          <w:numId w:val="396"/>
        </w:numPr>
        <w:rPr>
          <w:rFonts w:ascii="Arial" w:cs="Arial" w:eastAsia="Arial" w:hAnsi="Arial"/>
          <w:sz w:val="16"/>
          <w:szCs w:val="16"/>
          <w:color w:val="auto"/>
        </w:rPr>
      </w:pPr>
      <w:r>
        <w:rPr>
          <w:rFonts w:ascii="Arial" w:cs="Arial" w:eastAsia="Arial" w:hAnsi="Arial"/>
          <w:sz w:val="16"/>
          <w:szCs w:val="16"/>
          <w:color w:val="auto"/>
        </w:rPr>
        <w:t>This Warrant is duly authorized, validly issued and constitutes legal, valid and binding obligations of the Company, enforceable against the Company in accordance with its terms, except that the enforcement thereof may be subject to applicable bankruptcy, insolvency or similar laws affecting creditors’ rights generally or by equitable principles relating to enforceability (collectively, the “</w:t>
      </w:r>
      <w:r>
        <w:rPr>
          <w:rFonts w:ascii="Arial" w:cs="Arial" w:eastAsia="Arial" w:hAnsi="Arial"/>
          <w:sz w:val="16"/>
          <w:szCs w:val="16"/>
          <w:b w:val="1"/>
          <w:bCs w:val="1"/>
          <w:color w:val="auto"/>
        </w:rPr>
        <w:t>Enforceability Exceptions</w:t>
      </w:r>
      <w:r>
        <w:rPr>
          <w:rFonts w:ascii="Arial" w:cs="Arial" w:eastAsia="Arial" w:hAnsi="Arial"/>
          <w:sz w:val="16"/>
          <w:szCs w:val="16"/>
          <w:color w:val="auto"/>
        </w:rPr>
        <w:t>”), and has not been issued in violation of any preemptive rights created under the Company’s organizational documents or the laws of the State of Delaware.</w:t>
      </w:r>
    </w:p>
    <w:p>
      <w:pPr>
        <w:spacing w:after="0" w:line="157" w:lineRule="exact"/>
        <w:rPr>
          <w:rFonts w:ascii="Arial" w:cs="Arial" w:eastAsia="Arial" w:hAnsi="Arial"/>
          <w:sz w:val="16"/>
          <w:szCs w:val="16"/>
          <w:color w:val="auto"/>
        </w:rPr>
      </w:pPr>
    </w:p>
    <w:p>
      <w:pPr>
        <w:jc w:val="both"/>
        <w:ind w:firstLine="1952"/>
        <w:spacing w:after="0" w:line="263" w:lineRule="auto"/>
        <w:tabs>
          <w:tab w:leader="none" w:pos="2215" w:val="left"/>
        </w:tabs>
        <w:numPr>
          <w:ilvl w:val="2"/>
          <w:numId w:val="396"/>
        </w:numPr>
        <w:rPr>
          <w:rFonts w:ascii="Arial" w:cs="Arial" w:eastAsia="Arial" w:hAnsi="Arial"/>
          <w:sz w:val="18"/>
          <w:szCs w:val="18"/>
          <w:color w:val="auto"/>
        </w:rPr>
      </w:pPr>
      <w:r>
        <w:rPr>
          <w:rFonts w:ascii="Arial" w:cs="Arial" w:eastAsia="Arial" w:hAnsi="Arial"/>
          <w:sz w:val="18"/>
          <w:szCs w:val="18"/>
          <w:color w:val="auto"/>
        </w:rPr>
        <w:t>The Warrant Shares have been duly authorized and, when issued and delivered to the Holder upon conversion of this Warrant, will be validly issued, fully paid and nonassessable and will not have been issued in violation of any preemptive rights created under the Company’s organizational documents or the laws of the State of Delaware.</w:t>
      </w:r>
    </w:p>
    <w:p>
      <w:pPr>
        <w:spacing w:after="0" w:line="183" w:lineRule="exact"/>
        <w:rPr>
          <w:rFonts w:ascii="Arial" w:cs="Arial" w:eastAsia="Arial" w:hAnsi="Arial"/>
          <w:sz w:val="18"/>
          <w:szCs w:val="18"/>
          <w:color w:val="auto"/>
        </w:rPr>
      </w:pPr>
    </w:p>
    <w:p>
      <w:pPr>
        <w:jc w:val="both"/>
        <w:ind w:firstLine="1952"/>
        <w:spacing w:after="0" w:line="270" w:lineRule="auto"/>
        <w:tabs>
          <w:tab w:leader="none" w:pos="2212" w:val="left"/>
        </w:tabs>
        <w:numPr>
          <w:ilvl w:val="2"/>
          <w:numId w:val="396"/>
        </w:numPr>
        <w:rPr>
          <w:rFonts w:ascii="Arial" w:cs="Arial" w:eastAsia="Arial" w:hAnsi="Arial"/>
          <w:sz w:val="17"/>
          <w:szCs w:val="17"/>
          <w:color w:val="auto"/>
        </w:rPr>
      </w:pPr>
      <w:r>
        <w:rPr>
          <w:rFonts w:ascii="Arial" w:cs="Arial" w:eastAsia="Arial" w:hAnsi="Arial"/>
          <w:sz w:val="17"/>
          <w:szCs w:val="17"/>
          <w:color w:val="auto"/>
        </w:rPr>
        <w:t>The execution and delivery of this Warrant, the issuance and delivery of the Warrant Shares in accordance with the terms hereof and the compliance by the Company with all of the provisions of this Warrant and the consummation of the transactions contemplated herein will not conflict with or result in a breach or violation of any of the terms or provisions of, or constitute a default under, or result in the creation or imposition of any lien, charge or encumbrance upon any of the property or assets of the Company pursuant to the terms of (i) any indenture, mortgage, deed of trust, loan agreement, lease, license or other agreement or instrument to which the Company is a party or by which the Company is bound or to which any of the property or assets of the Company is subject; (ii) the organizational documents of the Company; or (iii) any statute or any judgment, order, rule or regulation of any court or governmental agency or body, domestic or foreign, having jurisdiction over the Company or any of its properties that, in the case of clauses (i) and (iii), would reasonably be expected to have a Company Material Adverse Effect or have a material adverse effect on the Company’s ability to consummate the transactions contemplated hereby.</w:t>
      </w:r>
    </w:p>
    <w:p>
      <w:pPr>
        <w:spacing w:after="0" w:line="180" w:lineRule="exact"/>
        <w:rPr>
          <w:rFonts w:ascii="Arial" w:cs="Arial" w:eastAsia="Arial" w:hAnsi="Arial"/>
          <w:sz w:val="17"/>
          <w:szCs w:val="17"/>
          <w:color w:val="auto"/>
        </w:rPr>
      </w:pPr>
    </w:p>
    <w:p>
      <w:pPr>
        <w:jc w:val="both"/>
        <w:ind w:firstLine="1952"/>
        <w:spacing w:after="0" w:line="272" w:lineRule="auto"/>
        <w:tabs>
          <w:tab w:leader="none" w:pos="2215" w:val="left"/>
        </w:tabs>
        <w:numPr>
          <w:ilvl w:val="2"/>
          <w:numId w:val="396"/>
        </w:numPr>
        <w:rPr>
          <w:rFonts w:ascii="Arial" w:cs="Arial" w:eastAsia="Arial" w:hAnsi="Arial"/>
          <w:sz w:val="17"/>
          <w:szCs w:val="17"/>
          <w:color w:val="auto"/>
        </w:rPr>
      </w:pPr>
      <w:r>
        <w:rPr>
          <w:rFonts w:ascii="Arial" w:cs="Arial" w:eastAsia="Arial" w:hAnsi="Arial"/>
          <w:sz w:val="17"/>
          <w:szCs w:val="17"/>
          <w:color w:val="auto"/>
        </w:rPr>
        <w:t>Assuming the accuracy of the representations and warranties of the Holder, the Company is not required to obtain any consent, waiver, authorization or order of, give any notice to, or make any filing or registration with, any court or other federal, state, local or other governmental authority, self-regulatory organization (including the Nasdaq Stock Market) or other person in connection with the execution, delivery and performance of this Warrant, other than (i) filings required by applicable state securities laws, (ii) the filing of the registration statement pursuant to the First Amendment Registration Rights Agreement, (iii) the filing of a Notice of Exempt Offering of Securities on Form D with the SEC, if applicable and (iv) those the failure of which to obtain would not be reasonably likely to have a Company Material Adverse Effect or have a material adverse effect on the Company’s ability to consummate the transactions contemplated hereby.</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72" w:name="page373"/>
    <w:bookmarkEnd w:id="372"/>
    <w:p>
      <w:pPr>
        <w:jc w:val="both"/>
        <w:ind w:firstLine="1952"/>
        <w:spacing w:after="0" w:line="291" w:lineRule="auto"/>
        <w:tabs>
          <w:tab w:leader="none" w:pos="2169" w:val="left"/>
        </w:tabs>
        <w:numPr>
          <w:ilvl w:val="0"/>
          <w:numId w:val="397"/>
        </w:numPr>
        <w:rPr>
          <w:rFonts w:ascii="Arial" w:cs="Arial" w:eastAsia="Arial" w:hAnsi="Arial"/>
          <w:sz w:val="16"/>
          <w:szCs w:val="16"/>
          <w:color w:val="auto"/>
        </w:rPr>
      </w:pPr>
      <w:r>
        <w:rPr>
          <w:rFonts w:ascii="Arial" w:cs="Arial" w:eastAsia="Arial" w:hAnsi="Arial"/>
          <w:sz w:val="16"/>
          <w:szCs w:val="16"/>
          <w:color w:val="auto"/>
        </w:rPr>
        <w:t>As of their respective dates, all reports required to be filed by the Company with the SEC (the “</w:t>
      </w:r>
      <w:r>
        <w:rPr>
          <w:rFonts w:ascii="Arial" w:cs="Arial" w:eastAsia="Arial" w:hAnsi="Arial"/>
          <w:sz w:val="16"/>
          <w:szCs w:val="16"/>
          <w:b w:val="1"/>
          <w:bCs w:val="1"/>
          <w:i w:val="1"/>
          <w:iCs w:val="1"/>
          <w:color w:val="auto"/>
        </w:rPr>
        <w:t>SEC Reports</w:t>
      </w:r>
      <w:r>
        <w:rPr>
          <w:rFonts w:ascii="Arial" w:cs="Arial" w:eastAsia="Arial" w:hAnsi="Arial"/>
          <w:sz w:val="16"/>
          <w:szCs w:val="16"/>
          <w:color w:val="auto"/>
        </w:rPr>
        <w:t>”) complied in all material respects with the requirements of the Exchange Act, and the rules and regulations of the SEC promulgated thereunder,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financial statements of the Company included in the SEC Reports comply in all material respects with applicable accounting requirements and the rules and regulations of the SEC with respect thereto as in effect at the time of filing and fairly present in all material respects the financial position of the Company as of and for the dates thereof and the results of operations and cash flows for the periods then ended, subject, in the case of unaudited statements, to normal, year-end audit adjustments.</w:t>
      </w:r>
    </w:p>
    <w:p>
      <w:pPr>
        <w:spacing w:after="0" w:line="166" w:lineRule="exact"/>
        <w:rPr>
          <w:rFonts w:ascii="Arial" w:cs="Arial" w:eastAsia="Arial" w:hAnsi="Arial"/>
          <w:sz w:val="16"/>
          <w:szCs w:val="16"/>
          <w:color w:val="auto"/>
        </w:rPr>
      </w:pPr>
    </w:p>
    <w:p>
      <w:pPr>
        <w:jc w:val="both"/>
        <w:ind w:firstLine="1952"/>
        <w:spacing w:after="0" w:line="275" w:lineRule="auto"/>
        <w:tabs>
          <w:tab w:leader="none" w:pos="2199" w:val="left"/>
        </w:tabs>
        <w:numPr>
          <w:ilvl w:val="0"/>
          <w:numId w:val="397"/>
        </w:numPr>
        <w:rPr>
          <w:rFonts w:ascii="Arial" w:cs="Arial" w:eastAsia="Arial" w:hAnsi="Arial"/>
          <w:sz w:val="17"/>
          <w:szCs w:val="17"/>
          <w:color w:val="auto"/>
        </w:rPr>
      </w:pPr>
      <w:r>
        <w:rPr>
          <w:rFonts w:ascii="Arial" w:cs="Arial" w:eastAsia="Arial" w:hAnsi="Arial"/>
          <w:sz w:val="17"/>
          <w:szCs w:val="17"/>
          <w:color w:val="auto"/>
        </w:rPr>
        <w:t>Except for such matters as have not had and would not be reasonably likely to have a Company Material Adverse Effect or have a material adverse effect on the Company’s ability to consummate the transactions contemplated hereby, there is no (i) suit, action, investigation, proceeding or arbitration before a governmental authority or arbitrator pending, or, to the knowledge of the Company, threatened in writing against the Company or any of its directors or officers in their capacities as such or (ii) judgment, decree, injunction, ruling or order of any governmental authority or arbitrator outstanding against the Company or any of its directors or officers in their capacities as such.</w:t>
      </w:r>
    </w:p>
    <w:p>
      <w:pPr>
        <w:spacing w:after="0" w:line="176" w:lineRule="exact"/>
        <w:rPr>
          <w:rFonts w:ascii="Arial" w:cs="Arial" w:eastAsia="Arial" w:hAnsi="Arial"/>
          <w:sz w:val="17"/>
          <w:szCs w:val="17"/>
          <w:color w:val="auto"/>
        </w:rPr>
      </w:pPr>
    </w:p>
    <w:p>
      <w:pPr>
        <w:jc w:val="both"/>
        <w:ind w:firstLine="1952"/>
        <w:spacing w:after="0" w:line="255" w:lineRule="auto"/>
        <w:tabs>
          <w:tab w:leader="none" w:pos="2199" w:val="left"/>
        </w:tabs>
        <w:numPr>
          <w:ilvl w:val="0"/>
          <w:numId w:val="397"/>
        </w:numPr>
        <w:rPr>
          <w:rFonts w:ascii="Arial" w:cs="Arial" w:eastAsia="Arial" w:hAnsi="Arial"/>
          <w:sz w:val="18"/>
          <w:szCs w:val="18"/>
          <w:color w:val="auto"/>
        </w:rPr>
      </w:pPr>
      <w:r>
        <w:rPr>
          <w:rFonts w:ascii="Arial" w:cs="Arial" w:eastAsia="Arial" w:hAnsi="Arial"/>
          <w:sz w:val="18"/>
          <w:szCs w:val="18"/>
          <w:color w:val="auto"/>
        </w:rPr>
        <w:t>Except for such matters as have not had and would not be reasonably likely to have a Company Material Adverse Effect or have a material adverse effect on the Company’s ability to consummate the transactions contemplated hereby, the Company is, and has been since its inception, in compliance with all laws applicable to the conduct of the business of the Company. The Company has not received any written, or to its knowledge, other communication from a governmental entity that alleges that the Company is not in compliance with or is in default or violation of any applicable law, except where such noncompliance, default or violation would not be reasonably expected to have, individually or in the aggregate, a Company Material Adverse Effect.</w:t>
      </w:r>
    </w:p>
    <w:p>
      <w:pPr>
        <w:spacing w:after="0" w:line="192" w:lineRule="exact"/>
        <w:rPr>
          <w:rFonts w:ascii="Arial" w:cs="Arial" w:eastAsia="Arial" w:hAnsi="Arial"/>
          <w:sz w:val="18"/>
          <w:szCs w:val="18"/>
          <w:color w:val="auto"/>
        </w:rPr>
      </w:pPr>
    </w:p>
    <w:p>
      <w:pPr>
        <w:jc w:val="both"/>
        <w:ind w:firstLine="1952"/>
        <w:spacing w:after="0" w:line="263" w:lineRule="auto"/>
        <w:tabs>
          <w:tab w:leader="none" w:pos="2159" w:val="left"/>
        </w:tabs>
        <w:numPr>
          <w:ilvl w:val="0"/>
          <w:numId w:val="397"/>
        </w:numPr>
        <w:rPr>
          <w:rFonts w:ascii="Arial" w:cs="Arial" w:eastAsia="Arial" w:hAnsi="Arial"/>
          <w:sz w:val="18"/>
          <w:szCs w:val="18"/>
          <w:color w:val="auto"/>
        </w:rPr>
      </w:pPr>
      <w:r>
        <w:rPr>
          <w:rFonts w:ascii="Arial" w:cs="Arial" w:eastAsia="Arial" w:hAnsi="Arial"/>
          <w:sz w:val="18"/>
          <w:szCs w:val="18"/>
          <w:color w:val="auto"/>
        </w:rPr>
        <w:t>The Company has all franchises, permits, licenses and any similar authority necessary for the conduct of its business as now being conducted by it, the lack of which would have a material adverse effect, and to the Company’s knowledge, the Company is not in default in any material respect under any of such franchises, permits, licenses or other authority.</w:t>
      </w:r>
    </w:p>
    <w:p>
      <w:pPr>
        <w:spacing w:after="0" w:line="183" w:lineRule="exact"/>
        <w:rPr>
          <w:rFonts w:ascii="Arial" w:cs="Arial" w:eastAsia="Arial" w:hAnsi="Arial"/>
          <w:sz w:val="18"/>
          <w:szCs w:val="18"/>
          <w:color w:val="auto"/>
        </w:rPr>
      </w:pPr>
    </w:p>
    <w:p>
      <w:pPr>
        <w:jc w:val="both"/>
        <w:ind w:firstLine="1952"/>
        <w:spacing w:after="0" w:line="259" w:lineRule="auto"/>
        <w:tabs>
          <w:tab w:leader="none" w:pos="2159" w:val="left"/>
        </w:tabs>
        <w:numPr>
          <w:ilvl w:val="0"/>
          <w:numId w:val="397"/>
        </w:numPr>
        <w:rPr>
          <w:rFonts w:ascii="Arial" w:cs="Arial" w:eastAsia="Arial" w:hAnsi="Arial"/>
          <w:sz w:val="18"/>
          <w:szCs w:val="18"/>
          <w:color w:val="auto"/>
        </w:rPr>
      </w:pPr>
      <w:r>
        <w:rPr>
          <w:rFonts w:ascii="Arial" w:cs="Arial" w:eastAsia="Arial" w:hAnsi="Arial"/>
          <w:sz w:val="18"/>
          <w:szCs w:val="18"/>
          <w:color w:val="auto"/>
        </w:rPr>
        <w:t>There is no action, suit, proceeding or investigation pending or, to the Company’s knowledge, currently threatened in writing against the Company that questions the validity of this Warrant or the right of the Company to enter into this Warrant, or to consummate the transactions contemplated hereby, or that might result, if determined adversely to the Company, in a material adverse effect, or in any material change in the current equity ownership of the Company.</w:t>
      </w:r>
    </w:p>
    <w:p>
      <w:pPr>
        <w:spacing w:after="0" w:line="186" w:lineRule="exact"/>
        <w:rPr>
          <w:rFonts w:ascii="Arial" w:cs="Arial" w:eastAsia="Arial" w:hAnsi="Arial"/>
          <w:sz w:val="18"/>
          <w:szCs w:val="18"/>
          <w:color w:val="auto"/>
        </w:rPr>
      </w:pPr>
    </w:p>
    <w:p>
      <w:pPr>
        <w:jc w:val="both"/>
        <w:ind w:firstLine="1952"/>
        <w:spacing w:after="0" w:line="291" w:lineRule="auto"/>
        <w:tabs>
          <w:tab w:leader="none" w:pos="2212" w:val="left"/>
        </w:tabs>
        <w:numPr>
          <w:ilvl w:val="0"/>
          <w:numId w:val="397"/>
        </w:numPr>
        <w:rPr>
          <w:rFonts w:ascii="Arial" w:cs="Arial" w:eastAsia="Arial" w:hAnsi="Arial"/>
          <w:sz w:val="16"/>
          <w:szCs w:val="16"/>
          <w:color w:val="auto"/>
        </w:rPr>
      </w:pPr>
      <w:r>
        <w:rPr>
          <w:rFonts w:ascii="Arial" w:cs="Arial" w:eastAsia="Arial" w:hAnsi="Arial"/>
          <w:sz w:val="16"/>
          <w:szCs w:val="16"/>
          <w:color w:val="auto"/>
        </w:rPr>
        <w:t>To the Company’s knowledge, the Company owns or possesses sufficient legal rights to all (a) patents, patent applications and inventions; (b) trademarks, service marks, trade names, trade dress, logos, domain names or corporate names and registrations and applications for registration thereof, together with all of the goodwill associated therewith; (c) copyrights (registered or unregistered) and copyrightable works and registrations and applications for registrations thereof; (d) computer software, data, and databases and documentation thereof; (e) trade secrets and other confidential information; and (f) licenses, information and proprietary rights and processes necessary for its business as now conducted. The Company has not received any written communications alleging that the Company has violated or, by conducting its business as proposed, would violate any of the patents, trademarks, service marks, trade names, copyrights or trade secrets or other proprietary rights of any other person or entity.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73" w:name="page374"/>
    <w:bookmarkEnd w:id="373"/>
    <w:p>
      <w:pPr>
        <w:ind w:left="1580" w:hanging="276"/>
        <w:spacing w:after="0"/>
        <w:tabs>
          <w:tab w:leader="none" w:pos="1580" w:val="left"/>
        </w:tabs>
        <w:numPr>
          <w:ilvl w:val="0"/>
          <w:numId w:val="398"/>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Warrant, the following terms shall have the following meanings:</w:t>
      </w:r>
    </w:p>
    <w:p>
      <w:pPr>
        <w:spacing w:after="0" w:line="221" w:lineRule="exact"/>
        <w:rPr>
          <w:rFonts w:ascii="Arial" w:cs="Arial" w:eastAsia="Arial" w:hAnsi="Arial"/>
          <w:sz w:val="18"/>
          <w:szCs w:val="18"/>
          <w:color w:val="auto"/>
        </w:rPr>
      </w:pPr>
    </w:p>
    <w:p>
      <w:pPr>
        <w:ind w:firstLine="1952"/>
        <w:spacing w:after="0" w:line="282" w:lineRule="auto"/>
        <w:tabs>
          <w:tab w:leader="none" w:pos="2188" w:val="left"/>
        </w:tabs>
        <w:numPr>
          <w:ilvl w:val="1"/>
          <w:numId w:val="39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61" w:lineRule="exact"/>
        <w:rPr>
          <w:rFonts w:ascii="Arial" w:cs="Arial" w:eastAsia="Arial" w:hAnsi="Arial"/>
          <w:sz w:val="18"/>
          <w:szCs w:val="18"/>
          <w:color w:val="auto"/>
        </w:rPr>
      </w:pPr>
    </w:p>
    <w:p>
      <w:pPr>
        <w:jc w:val="both"/>
        <w:ind w:firstLine="1952"/>
        <w:spacing w:after="0" w:line="294" w:lineRule="auto"/>
        <w:tabs>
          <w:tab w:leader="none" w:pos="2212" w:val="left"/>
        </w:tabs>
        <w:numPr>
          <w:ilvl w:val="1"/>
          <w:numId w:val="39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Attribution Parties</w:t>
      </w:r>
      <w:r>
        <w:rPr>
          <w:rFonts w:ascii="Arial" w:cs="Arial" w:eastAsia="Arial" w:hAnsi="Arial"/>
          <w:sz w:val="16"/>
          <w:szCs w:val="16"/>
          <w:color w:val="auto"/>
        </w:rPr>
        <w:t>” means, collectively, the following Persons and entities: (i) any investment vehicle, including, any funds, feeder funds or managed accounts, currently, or from time to time after the Issuance Date, directly or indirectly managed or advised by the Holder’s investment manager or any of its Affiliates or principals, (ii) any direct or indirect Affiliates of the Holder or any of the foregoing, (iii) any Person acting or who could be deemed to be acting as a Group together with the Holder or any of the foregoing and (iv) any other Persons whose beneficial ownership of the Company’s Common Stock would or could be aggregated with the Holder’s and the other Attribution Parties for purposes of Section 13(d) of the Exchange Act. For clarity, the purpose of the foregoing is to subject collectively the Holder and all other Attribution Parties to the Maximum Percentage.</w:t>
      </w:r>
    </w:p>
    <w:p>
      <w:pPr>
        <w:spacing w:after="0" w:line="159" w:lineRule="exact"/>
        <w:rPr>
          <w:rFonts w:ascii="Arial" w:cs="Arial" w:eastAsia="Arial" w:hAnsi="Arial"/>
          <w:sz w:val="16"/>
          <w:szCs w:val="16"/>
          <w:color w:val="auto"/>
        </w:rPr>
      </w:pPr>
    </w:p>
    <w:p>
      <w:pPr>
        <w:jc w:val="both"/>
        <w:ind w:firstLine="1952"/>
        <w:spacing w:after="0" w:line="267" w:lineRule="auto"/>
        <w:tabs>
          <w:tab w:leader="none" w:pos="2188" w:val="left"/>
        </w:tabs>
        <w:numPr>
          <w:ilvl w:val="1"/>
          <w:numId w:val="39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Black Scholes Going Private Value</w:t>
      </w:r>
      <w:r>
        <w:rPr>
          <w:rFonts w:ascii="Arial" w:cs="Arial" w:eastAsia="Arial" w:hAnsi="Arial"/>
          <w:sz w:val="17"/>
          <w:szCs w:val="17"/>
          <w:color w:val="auto"/>
        </w:rPr>
        <w:t xml:space="preserve">” means the value of the unexercised portion of this Warrant remaining on the date of the consummation of the Fundamental Transaction referred to in Section </w:t>
      </w:r>
      <w:r>
        <w:rPr>
          <w:rFonts w:ascii="Arial" w:cs="Arial" w:eastAsia="Arial" w:hAnsi="Arial"/>
          <w:sz w:val="20"/>
          <w:szCs w:val="20"/>
          <w:b w:val="1"/>
          <w:bCs w:val="1"/>
          <w:color w:val="auto"/>
        </w:rPr>
        <w:t>‎</w:t>
      </w:r>
      <w:r>
        <w:rPr>
          <w:rFonts w:ascii="Arial" w:cs="Arial" w:eastAsia="Arial" w:hAnsi="Arial"/>
          <w:sz w:val="17"/>
          <w:szCs w:val="17"/>
          <w:color w:val="auto"/>
        </w:rPr>
        <w:t>4(b)(i), which value is calculated using the Black Scholes Option Pricing Model obtained from the “OV” function on Bloomberg utilizing (i) an underlying price per share equal to the greater of (1) the highest Closing Sale Price of the Common Stock during the period beginning on the Trading Day immediately preceding the announcement of the applicable Fundamental Transaction (or the consummation of the applicable Fundamental Transaction, if earlier) and ending on the date of consummation of the applicable Fundamental Transaction and (2) the sum of the price per share being offered in cash in the applicable Fundamental Transaction (if any) plus the value of the non-cash consideration being offered in the applicable Fundamental Transaction (if any), (ii) a strike price equal to the Exercise Price in effect on the date of consummation of the applicable Fundamental Transaction, (iii) a risk-free interest rate corresponding to the U.S. Treasury rate for a period equal to the greater of (1) the remaining term of this Warrant as of the date of consummation of the applicable Fundamental Transaction and (2) the remaining term of this Warrant as of the date of consummation of the applicable Fundamental Transaction, (iv) a zero cost of borrow and (v) an expected volatility equal to the greater of 100% and the 60 day volatility obtained from the “HVT” function on Bloomberg (determined utilizing a 365 day annualization factor) as of the Trading Day immediately following the earliest to occur of (A) the public disclosure of the applicable Fundamental Transaction, and (B) the consummation of the applicable Fundamental Transaction.</w:t>
      </w:r>
    </w:p>
    <w:p>
      <w:pPr>
        <w:spacing w:after="0" w:line="185" w:lineRule="exact"/>
        <w:rPr>
          <w:rFonts w:ascii="Arial" w:cs="Arial" w:eastAsia="Arial" w:hAnsi="Arial"/>
          <w:sz w:val="17"/>
          <w:szCs w:val="17"/>
          <w:color w:val="auto"/>
        </w:rPr>
      </w:pPr>
    </w:p>
    <w:p>
      <w:pPr>
        <w:jc w:val="both"/>
        <w:ind w:firstLine="1952"/>
        <w:spacing w:after="0" w:line="267" w:lineRule="auto"/>
        <w:tabs>
          <w:tab w:leader="none" w:pos="2212" w:val="left"/>
        </w:tabs>
        <w:numPr>
          <w:ilvl w:val="1"/>
          <w:numId w:val="39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Black Scholes Value</w:t>
      </w:r>
      <w:r>
        <w:rPr>
          <w:rFonts w:ascii="Arial" w:cs="Arial" w:eastAsia="Arial" w:hAnsi="Arial"/>
          <w:sz w:val="17"/>
          <w:szCs w:val="17"/>
          <w:color w:val="auto"/>
        </w:rPr>
        <w:t xml:space="preserve">” means the value of the unexercised portion of this Warrant remaining on the date of the Holder’s request pursuant to Section </w:t>
      </w:r>
      <w:r>
        <w:rPr>
          <w:rFonts w:ascii="Arial" w:cs="Arial" w:eastAsia="Arial" w:hAnsi="Arial"/>
          <w:sz w:val="20"/>
          <w:szCs w:val="20"/>
          <w:b w:val="1"/>
          <w:bCs w:val="1"/>
          <w:color w:val="auto"/>
        </w:rPr>
        <w:t>‎</w:t>
      </w:r>
      <w:r>
        <w:rPr>
          <w:rFonts w:ascii="Arial" w:cs="Arial" w:eastAsia="Arial" w:hAnsi="Arial"/>
          <w:sz w:val="17"/>
          <w:szCs w:val="17"/>
          <w:color w:val="auto"/>
        </w:rPr>
        <w:t xml:space="preserve">4(c), which value is calculated using the Black Scholes Option Pricing Model obtained from the “OV” function on Bloomberg utilizing (i) an underlying price per share equal to the greater of (1) the highest Closing Sale Price of the Common Stock during the period beginning on the Trading Day immediately preceding the announcement of the applicable Fundamental Transaction (or the consummation of the applicable Fundamental Transaction, if earlier) and ending on the Trading Day of the Holder’s request pursuant to Section </w:t>
      </w:r>
      <w:r>
        <w:rPr>
          <w:rFonts w:ascii="Arial" w:cs="Arial" w:eastAsia="Arial" w:hAnsi="Arial"/>
          <w:sz w:val="20"/>
          <w:szCs w:val="20"/>
          <w:b w:val="1"/>
          <w:bCs w:val="1"/>
          <w:color w:val="auto"/>
        </w:rPr>
        <w:t>‎</w:t>
      </w:r>
      <w:r>
        <w:rPr>
          <w:rFonts w:ascii="Arial" w:cs="Arial" w:eastAsia="Arial" w:hAnsi="Arial"/>
          <w:sz w:val="17"/>
          <w:szCs w:val="17"/>
          <w:color w:val="auto"/>
        </w:rPr>
        <w:t xml:space="preserve">4(c) and (2) the sum of the price per share being offered in cash in the applicable Fundamental Transaction (if any) plus the value of the non-cash consideration being offered in the applicable Fundamental Transaction (if any), (ii) a strike price equal to the Exercise Price in effect on the date of the Holder’s request pursuant to Section 4(c), (iii) a risk-free interest rate corresponding to the U.S. Treasury rate for a period equal to the greater of (1) the remaining term of this Warrant as of the date of the Holder’s request pursuant to Section </w:t>
      </w:r>
      <w:r>
        <w:rPr>
          <w:rFonts w:ascii="Arial" w:cs="Arial" w:eastAsia="Arial" w:hAnsi="Arial"/>
          <w:sz w:val="20"/>
          <w:szCs w:val="20"/>
          <w:b w:val="1"/>
          <w:bCs w:val="1"/>
          <w:color w:val="auto"/>
        </w:rPr>
        <w:t>‎</w:t>
      </w:r>
      <w:r>
        <w:rPr>
          <w:rFonts w:ascii="Arial" w:cs="Arial" w:eastAsia="Arial" w:hAnsi="Arial"/>
          <w:sz w:val="17"/>
          <w:szCs w:val="17"/>
          <w:color w:val="auto"/>
        </w:rPr>
        <w:t xml:space="preserve">4(c) and (2) the remaining term of this Warrant as of the date of consummation of the applicable Fundamental Transaction or as of the date of the Holder’s request pursuant to Section </w:t>
      </w:r>
      <w:r>
        <w:rPr>
          <w:rFonts w:ascii="Arial" w:cs="Arial" w:eastAsia="Arial" w:hAnsi="Arial"/>
          <w:sz w:val="20"/>
          <w:szCs w:val="20"/>
          <w:b w:val="1"/>
          <w:bCs w:val="1"/>
          <w:color w:val="auto"/>
        </w:rPr>
        <w:t>‎</w:t>
      </w:r>
      <w:r>
        <w:rPr>
          <w:rFonts w:ascii="Arial" w:cs="Arial" w:eastAsia="Arial" w:hAnsi="Arial"/>
          <w:sz w:val="17"/>
          <w:szCs w:val="17"/>
          <w:color w:val="auto"/>
        </w:rPr>
        <w:t>4(c) if such request is prior to the date of the consummation of the applicable Fundamental Transaction, (iv) a zero cost of borrow and (v) an expected volatility equal to the greater of 100% and the 60 day volatility obtained from the “HVT” function on Bloomberg (determined utilizing a 365 day annualization factor) as of the Trading Day immediately following the earliest to occur of (A) the public disclosure of the applicable Fundamental Transaction, (B) the consummation of the applicable Fundamental Transaction and (C) the date on which the Holder first became aware of the applicable Fundamental Transaction.</w:t>
      </w:r>
    </w:p>
    <w:p>
      <w:pPr>
        <w:spacing w:after="0" w:line="176" w:lineRule="exact"/>
        <w:rPr>
          <w:rFonts w:ascii="Arial" w:cs="Arial" w:eastAsia="Arial" w:hAnsi="Arial"/>
          <w:sz w:val="17"/>
          <w:szCs w:val="17"/>
          <w:color w:val="auto"/>
        </w:rPr>
      </w:pPr>
    </w:p>
    <w:p>
      <w:pPr>
        <w:ind w:left="2200" w:hanging="248"/>
        <w:spacing w:after="0"/>
        <w:tabs>
          <w:tab w:leader="none" w:pos="2200" w:val="left"/>
        </w:tabs>
        <w:numPr>
          <w:ilvl w:val="1"/>
          <w:numId w:val="39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Bloomberg</w:t>
      </w:r>
      <w:r>
        <w:rPr>
          <w:rFonts w:ascii="Arial" w:cs="Arial" w:eastAsia="Arial" w:hAnsi="Arial"/>
          <w:sz w:val="18"/>
          <w:szCs w:val="18"/>
          <w:color w:val="auto"/>
        </w:rPr>
        <w:t>” means Bloomberg, L.P.</w:t>
      </w:r>
    </w:p>
    <w:p>
      <w:pPr>
        <w:spacing w:after="0" w:line="225" w:lineRule="exact"/>
        <w:rPr>
          <w:rFonts w:ascii="Arial" w:cs="Arial" w:eastAsia="Arial" w:hAnsi="Arial"/>
          <w:sz w:val="18"/>
          <w:szCs w:val="18"/>
          <w:color w:val="auto"/>
        </w:rPr>
      </w:pPr>
    </w:p>
    <w:p>
      <w:pPr>
        <w:ind w:firstLine="1952"/>
        <w:spacing w:after="0" w:line="347" w:lineRule="auto"/>
        <w:tabs>
          <w:tab w:leader="none" w:pos="2182" w:val="left"/>
        </w:tabs>
        <w:numPr>
          <w:ilvl w:val="1"/>
          <w:numId w:val="39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Business Day</w:t>
      </w:r>
      <w:r>
        <w:rPr>
          <w:rFonts w:ascii="Arial" w:cs="Arial" w:eastAsia="Arial" w:hAnsi="Arial"/>
          <w:sz w:val="16"/>
          <w:szCs w:val="16"/>
          <w:color w:val="auto"/>
        </w:rPr>
        <w:t>” means any day except any Saturday, any Sunday, any day which is a federal legal holiday in the United States or any day on which banking institutions in the State of New York are authorized or required by law or other governmental action to close.</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74" w:name="page375"/>
    <w:bookmarkEnd w:id="374"/>
    <w:p>
      <w:pPr>
        <w:jc w:val="both"/>
        <w:ind w:firstLine="1952"/>
        <w:spacing w:after="0" w:line="268" w:lineRule="auto"/>
        <w:tabs>
          <w:tab w:leader="none" w:pos="2212" w:val="left"/>
        </w:tabs>
        <w:numPr>
          <w:ilvl w:val="0"/>
          <w:numId w:val="39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Closing Bid Price</w:t>
      </w:r>
      <w:r>
        <w:rPr>
          <w:rFonts w:ascii="Arial" w:cs="Arial" w:eastAsia="Arial" w:hAnsi="Arial"/>
          <w:sz w:val="17"/>
          <w:szCs w:val="17"/>
          <w:color w:val="auto"/>
        </w:rPr>
        <w:t>” and “</w:t>
      </w:r>
      <w:r>
        <w:rPr>
          <w:rFonts w:ascii="Arial" w:cs="Arial" w:eastAsia="Arial" w:hAnsi="Arial"/>
          <w:sz w:val="17"/>
          <w:szCs w:val="17"/>
          <w:b w:val="1"/>
          <w:bCs w:val="1"/>
          <w:color w:val="auto"/>
        </w:rPr>
        <w:t>Closing Sale Price</w:t>
      </w:r>
      <w:r>
        <w:rPr>
          <w:rFonts w:ascii="Arial" w:cs="Arial" w:eastAsia="Arial" w:hAnsi="Arial"/>
          <w:sz w:val="17"/>
          <w:szCs w:val="17"/>
          <w:color w:val="auto"/>
        </w:rPr>
        <w:t xml:space="preserve">” means, for any security as of any date, the last closing bid price and last closing trade price, respectively, for such security on the Principal Market, as reported by Bloomberg, or, if the Principal Market begins to operate on an extended hours basis and does not designate the closing bid price or the closing trade price, as the case may be, then the last bid price or the last trade price, respectively, of such security prior to 4:00:00 p.m., New York time, as reported by Bloomberg, or, if the Principal Market is not the principal securities exchange or trading market for such security, the last closing bid price or last trade price, respectively, of such security on the principal securities exchange or trading market where such security is listed or traded as reported by Bloomberg, or if the foregoing do not apply, the last closing bid price or last trade price, respectively, of such security in the over-the-counter market on the electronic bulletin board for such security as reported by Bloomberg, or, if no closing bid price or last trade price, respectively, is reported for such security by Bloomberg, the average of the bid prices, or the ask prices, respectively, of any market makers for such security as reported in the OTC Link or “pink sheets” by OTC Markets Group Inc. (formerly Pink OTC Markets Inc.). If the Closing Bid Price or the Closing Sale Price cannot be calculated for a security on a particular date on any of the foregoing bases, the Closing Bid Price or the Closing Sale Price, as the case may be, of such security on such date shall be the fair market value as mutually determined by the Company and the Holder. If the Company and the Holder are unable to agree upon the fair market value of such security, then such dispute shall be resolved pursuant to Section </w:t>
      </w:r>
      <w:r>
        <w:rPr>
          <w:rFonts w:ascii="Arial" w:cs="Arial" w:eastAsia="Arial" w:hAnsi="Arial"/>
          <w:sz w:val="20"/>
          <w:szCs w:val="20"/>
          <w:b w:val="1"/>
          <w:bCs w:val="1"/>
          <w:color w:val="auto"/>
        </w:rPr>
        <w:t>‎</w:t>
      </w:r>
      <w:r>
        <w:rPr>
          <w:rFonts w:ascii="Arial" w:cs="Arial" w:eastAsia="Arial" w:hAnsi="Arial"/>
          <w:sz w:val="17"/>
          <w:szCs w:val="17"/>
          <w:color w:val="auto"/>
        </w:rPr>
        <w:t>12. All such determinations to be appropriately adjusted for any stock dividend, stock split, stock combination, reclassification or other similar transaction during the applicable calculation period.</w:t>
      </w:r>
    </w:p>
    <w:p>
      <w:pPr>
        <w:spacing w:after="0" w:line="172" w:lineRule="exact"/>
        <w:rPr>
          <w:rFonts w:ascii="Arial" w:cs="Arial" w:eastAsia="Arial" w:hAnsi="Arial"/>
          <w:sz w:val="17"/>
          <w:szCs w:val="17"/>
          <w:color w:val="auto"/>
        </w:rPr>
      </w:pPr>
    </w:p>
    <w:p>
      <w:pPr>
        <w:ind w:firstLine="1952"/>
        <w:spacing w:after="0" w:line="312" w:lineRule="auto"/>
        <w:tabs>
          <w:tab w:leader="none" w:pos="2199" w:val="left"/>
        </w:tabs>
        <w:numPr>
          <w:ilvl w:val="0"/>
          <w:numId w:val="39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Common Stock</w:t>
      </w:r>
      <w:r>
        <w:rPr>
          <w:rFonts w:ascii="Arial" w:cs="Arial" w:eastAsia="Arial" w:hAnsi="Arial"/>
          <w:sz w:val="17"/>
          <w:szCs w:val="17"/>
          <w:color w:val="auto"/>
        </w:rPr>
        <w:t>” means (i) the Company’s shares of common stock, par value $0.0001 per share, and (ii) any share capital into which such common stock shall have been changed or any share capital resulting from a reclassification of such common stock.</w:t>
      </w:r>
    </w:p>
    <w:p>
      <w:pPr>
        <w:spacing w:after="0" w:line="139" w:lineRule="exact"/>
        <w:rPr>
          <w:rFonts w:ascii="Arial" w:cs="Arial" w:eastAsia="Arial" w:hAnsi="Arial"/>
          <w:sz w:val="17"/>
          <w:szCs w:val="17"/>
          <w:color w:val="auto"/>
        </w:rPr>
      </w:pPr>
    </w:p>
    <w:p>
      <w:pPr>
        <w:ind w:firstLine="1952"/>
        <w:spacing w:after="0" w:line="282" w:lineRule="auto"/>
        <w:tabs>
          <w:tab w:leader="none" w:pos="2199" w:val="left"/>
        </w:tabs>
        <w:numPr>
          <w:ilvl w:val="0"/>
          <w:numId w:val="39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Convertible Securities</w:t>
      </w:r>
      <w:r>
        <w:rPr>
          <w:rFonts w:ascii="Arial" w:cs="Arial" w:eastAsia="Arial" w:hAnsi="Arial"/>
          <w:sz w:val="18"/>
          <w:szCs w:val="18"/>
          <w:color w:val="auto"/>
        </w:rPr>
        <w:t>” means any stock or securities (other than Options) directly or indirectly convertible into or exercisable or exchangeable for shares of Common Stock.</w:t>
      </w:r>
    </w:p>
    <w:p>
      <w:pPr>
        <w:spacing w:after="0" w:line="161" w:lineRule="exact"/>
        <w:rPr>
          <w:rFonts w:ascii="Arial" w:cs="Arial" w:eastAsia="Arial" w:hAnsi="Arial"/>
          <w:sz w:val="18"/>
          <w:szCs w:val="18"/>
          <w:color w:val="auto"/>
        </w:rPr>
      </w:pPr>
    </w:p>
    <w:p>
      <w:pPr>
        <w:ind w:right="20" w:firstLine="1952"/>
        <w:spacing w:after="0" w:line="282" w:lineRule="auto"/>
        <w:tabs>
          <w:tab w:leader="none" w:pos="2172" w:val="left"/>
        </w:tabs>
        <w:numPr>
          <w:ilvl w:val="0"/>
          <w:numId w:val="39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Market</w:t>
      </w:r>
      <w:r>
        <w:rPr>
          <w:rFonts w:ascii="Arial" w:cs="Arial" w:eastAsia="Arial" w:hAnsi="Arial"/>
          <w:sz w:val="18"/>
          <w:szCs w:val="18"/>
          <w:color w:val="auto"/>
        </w:rPr>
        <w:t>” means The Nasdaq Capital Market, The Nasdaq Global Select Market, The Nasdaq Global Market, the NYSE American, or The New York Stock Exchange.</w:t>
      </w:r>
    </w:p>
    <w:p>
      <w:pPr>
        <w:spacing w:after="0" w:line="161" w:lineRule="exact"/>
        <w:rPr>
          <w:rFonts w:ascii="Arial" w:cs="Arial" w:eastAsia="Arial" w:hAnsi="Arial"/>
          <w:sz w:val="18"/>
          <w:szCs w:val="18"/>
          <w:color w:val="auto"/>
        </w:rPr>
      </w:pPr>
    </w:p>
    <w:p>
      <w:pPr>
        <w:ind w:firstLine="1952"/>
        <w:spacing w:after="0" w:line="312" w:lineRule="auto"/>
        <w:tabs>
          <w:tab w:leader="none" w:pos="2212" w:val="left"/>
        </w:tabs>
        <w:numPr>
          <w:ilvl w:val="0"/>
          <w:numId w:val="39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Expiration Date</w:t>
      </w:r>
      <w:r>
        <w:rPr>
          <w:rFonts w:ascii="Arial" w:cs="Arial" w:eastAsia="Arial" w:hAnsi="Arial"/>
          <w:sz w:val="17"/>
          <w:szCs w:val="17"/>
          <w:color w:val="auto"/>
        </w:rPr>
        <w:t>” means the date that is the five (5) year anniversary of the Issuance Date or, if such date falls on a day other than a Trading Day or on which trading does not take place on the Principal Market (a “</w:t>
      </w:r>
      <w:r>
        <w:rPr>
          <w:rFonts w:ascii="Arial" w:cs="Arial" w:eastAsia="Arial" w:hAnsi="Arial"/>
          <w:sz w:val="17"/>
          <w:szCs w:val="17"/>
          <w:b w:val="1"/>
          <w:bCs w:val="1"/>
          <w:color w:val="auto"/>
        </w:rPr>
        <w:t>Holiday</w:t>
      </w:r>
      <w:r>
        <w:rPr>
          <w:rFonts w:ascii="Arial" w:cs="Arial" w:eastAsia="Arial" w:hAnsi="Arial"/>
          <w:sz w:val="17"/>
          <w:szCs w:val="17"/>
          <w:color w:val="auto"/>
        </w:rPr>
        <w:t>”), the next date that is not a Holiday.</w:t>
      </w:r>
    </w:p>
    <w:p>
      <w:pPr>
        <w:spacing w:after="0" w:line="139" w:lineRule="exact"/>
        <w:rPr>
          <w:rFonts w:ascii="Arial" w:cs="Arial" w:eastAsia="Arial" w:hAnsi="Arial"/>
          <w:sz w:val="17"/>
          <w:szCs w:val="17"/>
          <w:color w:val="auto"/>
        </w:rPr>
      </w:pPr>
    </w:p>
    <w:p>
      <w:pPr>
        <w:jc w:val="both"/>
        <w:ind w:firstLine="1952"/>
        <w:spacing w:after="0" w:line="284" w:lineRule="auto"/>
        <w:tabs>
          <w:tab w:leader="none" w:pos="2186" w:val="left"/>
        </w:tabs>
        <w:numPr>
          <w:ilvl w:val="0"/>
          <w:numId w:val="39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Fundamental Transaction</w:t>
      </w:r>
      <w:r>
        <w:rPr>
          <w:rFonts w:ascii="Arial" w:cs="Arial" w:eastAsia="Arial" w:hAnsi="Arial"/>
          <w:sz w:val="16"/>
          <w:szCs w:val="16"/>
          <w:color w:val="auto"/>
        </w:rPr>
        <w:t>” means (A) that the Company shall, directly or indirectly, including through subsidiaries, Affiliates or otherwise, in one or more related transactions, (i) consolidate or merge with or into (whether or not the Company is the surviving corporation) another Subject Entity, or (ii) sell, assign, transfer, convey or otherwise dispose of all or substantially all of the properties or assets of the Company or any of its “significant subsidiaries” (as defined in Rule 1-02 of Regulation S-X) to one or more Subject Entities, or (iii) make, or allow one or more Subject Entities to make, or allow the Company to be subject to or have its Common Stock be subject to or party to one or more Subject Entities making, a purchase, tender or exchange offer that is accepted by the holders of at least either (x) 50% of the outstanding shares of Common Stock, (y) 50% of the outstanding shares of Common Stock calculated as if any shares of Common Stock held by all Subject Entities making or party to, or Affiliated with any Subject Entities making or party to, such purchase, tender or exchange offer were not outstanding; or (z) such number of shares of Common Stock such that all Subject Entities making or party to, or Affiliated with any Subject Entity making or party to, such purchase, tender or exchange offer, become collectively the beneficial owners (as defined in Rule 13d-3 under the Exchange Act) of at least 50% of the outstanding shares of Common Stock, or (iv) consummate a stock purchase agreement or other business combination (including, without limitation, a reorganization, recapitalization, spin-off or scheme of arrangement) with one or more Subject Entities whereby all such Subject Entities, individually or in the aggregate, acquire, either (x) at least 50% of the outstanding shares of Common Stock, (y) at least 50% of the outstanding shares of Common Stock calculated as if any shares of Common Stock held by all the Subject Entities making or party to, or Affiliated with any Subject Entity making or party to, such stock purchase agreement or other business combination were not outstanding; or (z) such number of shares of Common Stock such that the Subject Entities become collectively the beneficial owners (as defined in Rule 13d-3 under the Exchange Act) of at least 50% of the outstanding shares of Common Stock, or (v) reorganize, recapitalize or reclassify its Common Stock, (B) that the Company shall, directly or indirectly, including through subsidiaries, Affiliates or otherwise, in one or more related transactions, allow any Subject Entity individually or the Subject Entities in the aggregate to be or become the “beneficial owner” (as defined in Rule 13d-3 under the Exchange Act), directly or indirectly, whether through acquisition, purchase, assignment, conveyance, tender, tender offer, exchange, reduction in outstanding shares of Common Stock, merger, consolidation, business combination, reorganization, recapitalization, spin-off, scheme of arrangement, reorganization, recapitalization or reclassification or otherwise in any manner whatsoever, of either (x) at least 50% of the aggregate ordinary voting power represented by issued and outstanding Common Stock, (y) at least 50% of the aggregate ordinary voting power represented by issued and outstanding Common Stock not held by all such Subject Entities as of the date of this Warrant calculated as if any shares of Common Stock held by all such Subject Entities were not outstanding, or (z) a percentage of the aggregate ordinary voting power represented by issued and outstanding shares of Common Stock or other equity securities of the Company sufficient to allow such Subject Entities to effect a statutory short form merger or other transaction requiring other stockholders of the Company to surrender their shares of Common Stock without approval of the stockholders of the Company or (C) directly or indirectly, including through subsidiaries, Affiliates or otherwise, in one or more related transactions, the issuance of or the entering into any other instrument or transaction structured in a manner to circumvent, or that circumvents, the intent of this definition in which case this definition shall be construed and implemented in a manner otherwise than in strict conformity with the terms of this definition to the extent necessary to correct this definition or any portion of this definition which may be defective or inconsistent with the intended treatment of such instrument or transaction.</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5" w:name="page376"/>
    <w:bookmarkEnd w:id="375"/>
    <w:p>
      <w:pPr>
        <w:ind w:left="1960"/>
        <w:spacing w:after="0"/>
        <w:rPr>
          <w:sz w:val="20"/>
          <w:szCs w:val="20"/>
          <w:color w:val="auto"/>
        </w:rPr>
      </w:pPr>
      <w:r>
        <w:rPr>
          <w:rFonts w:ascii="Arial" w:cs="Arial" w:eastAsia="Arial" w:hAnsi="Arial"/>
          <w:sz w:val="17"/>
          <w:szCs w:val="17"/>
          <w:color w:val="auto"/>
        </w:rPr>
        <w:t>(m) “</w:t>
      </w:r>
      <w:r>
        <w:rPr>
          <w:rFonts w:ascii="Arial" w:cs="Arial" w:eastAsia="Arial" w:hAnsi="Arial"/>
          <w:sz w:val="17"/>
          <w:szCs w:val="17"/>
          <w:b w:val="1"/>
          <w:bCs w:val="1"/>
          <w:color w:val="auto"/>
        </w:rPr>
        <w:t>Group</w:t>
      </w:r>
      <w:r>
        <w:rPr>
          <w:rFonts w:ascii="Arial" w:cs="Arial" w:eastAsia="Arial" w:hAnsi="Arial"/>
          <w:sz w:val="17"/>
          <w:szCs w:val="17"/>
          <w:color w:val="auto"/>
        </w:rPr>
        <w:t>” means a “group” as that term is used in Section 13(d) of the Exchange Act and as defined in Rule 13d-5</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thereunder.</w:t>
      </w:r>
    </w:p>
    <w:p>
      <w:pPr>
        <w:spacing w:after="0" w:line="207"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(n) “</w:t>
      </w:r>
      <w:r>
        <w:rPr>
          <w:rFonts w:ascii="Arial" w:cs="Arial" w:eastAsia="Arial" w:hAnsi="Arial"/>
          <w:sz w:val="17"/>
          <w:szCs w:val="17"/>
          <w:b w:val="1"/>
          <w:bCs w:val="1"/>
          <w:color w:val="auto"/>
        </w:rPr>
        <w:t>Options</w:t>
      </w:r>
      <w:r>
        <w:rPr>
          <w:rFonts w:ascii="Arial" w:cs="Arial" w:eastAsia="Arial" w:hAnsi="Arial"/>
          <w:sz w:val="17"/>
          <w:szCs w:val="17"/>
          <w:color w:val="auto"/>
        </w:rPr>
        <w:t>” means any rights, warrants or options to subscribe for or purchase shares of Common Stock or Convertible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Securities.</w:t>
      </w:r>
    </w:p>
    <w:p>
      <w:pPr>
        <w:spacing w:after="0" w:line="207" w:lineRule="exact"/>
        <w:rPr>
          <w:sz w:val="20"/>
          <w:szCs w:val="20"/>
          <w:color w:val="auto"/>
        </w:rPr>
      </w:pPr>
    </w:p>
    <w:p>
      <w:pPr>
        <w:jc w:val="both"/>
        <w:ind w:firstLine="1952"/>
        <w:spacing w:after="0" w:line="258" w:lineRule="auto"/>
        <w:tabs>
          <w:tab w:leader="none" w:pos="2199" w:val="left"/>
        </w:tabs>
        <w:numPr>
          <w:ilvl w:val="0"/>
          <w:numId w:val="40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Entity</w:t>
      </w:r>
      <w:r>
        <w:rPr>
          <w:rFonts w:ascii="Arial" w:cs="Arial" w:eastAsia="Arial" w:hAnsi="Arial"/>
          <w:sz w:val="18"/>
          <w:szCs w:val="18"/>
          <w:color w:val="auto"/>
        </w:rPr>
        <w:t>” of a Person means an entity that, directly or indirectly, controls the applicable Person, including such entity whose common shares or common stock or equivalent equity security is quoted or listed on an Eligible Market (or, if so elected by the Holder, any other market, exchange or quotation system), or, if there is more than one such Person or such entity, the Person or such entity designated by the Holder or in the absence of such designation, such Person or entity with the largest public market capitalization as of the date of consummation of the Fundamental Transaction.</w:t>
      </w:r>
    </w:p>
    <w:p>
      <w:pPr>
        <w:spacing w:after="0" w:line="183" w:lineRule="exact"/>
        <w:rPr>
          <w:rFonts w:ascii="Arial" w:cs="Arial" w:eastAsia="Arial" w:hAnsi="Arial"/>
          <w:sz w:val="18"/>
          <w:szCs w:val="18"/>
          <w:color w:val="auto"/>
        </w:rPr>
      </w:pPr>
    </w:p>
    <w:p>
      <w:pPr>
        <w:ind w:firstLine="1952"/>
        <w:spacing w:after="0" w:line="282" w:lineRule="auto"/>
        <w:tabs>
          <w:tab w:leader="none" w:pos="2212" w:val="left"/>
        </w:tabs>
        <w:numPr>
          <w:ilvl w:val="0"/>
          <w:numId w:val="40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61" w:lineRule="exact"/>
        <w:rPr>
          <w:rFonts w:ascii="Arial" w:cs="Arial" w:eastAsia="Arial" w:hAnsi="Arial"/>
          <w:sz w:val="18"/>
          <w:szCs w:val="18"/>
          <w:color w:val="auto"/>
        </w:rPr>
      </w:pPr>
    </w:p>
    <w:p>
      <w:pPr>
        <w:ind w:firstLine="1952"/>
        <w:spacing w:after="0" w:line="282" w:lineRule="auto"/>
        <w:tabs>
          <w:tab w:leader="none" w:pos="2226" w:val="left"/>
        </w:tabs>
        <w:numPr>
          <w:ilvl w:val="0"/>
          <w:numId w:val="40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Principal Market</w:t>
      </w:r>
      <w:r>
        <w:rPr>
          <w:rFonts w:ascii="Arial" w:cs="Arial" w:eastAsia="Arial" w:hAnsi="Arial"/>
          <w:sz w:val="18"/>
          <w:szCs w:val="18"/>
          <w:color w:val="auto"/>
        </w:rPr>
        <w:t>” means the OTC Bulletin Board or any other Eligible Market, or any national securities exchange, market or trading or quotation facility on which the Common Stock is then listed or quoted.</w:t>
      </w:r>
    </w:p>
    <w:p>
      <w:pPr>
        <w:spacing w:after="0" w:line="161" w:lineRule="exact"/>
        <w:rPr>
          <w:rFonts w:ascii="Arial" w:cs="Arial" w:eastAsia="Arial" w:hAnsi="Arial"/>
          <w:sz w:val="18"/>
          <w:szCs w:val="18"/>
          <w:color w:val="auto"/>
        </w:rPr>
      </w:pPr>
    </w:p>
    <w:p>
      <w:pPr>
        <w:ind w:left="2180" w:hanging="228"/>
        <w:spacing w:after="0"/>
        <w:tabs>
          <w:tab w:leader="none" w:pos="2180" w:val="left"/>
        </w:tabs>
        <w:numPr>
          <w:ilvl w:val="0"/>
          <w:numId w:val="40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w:t>
      </w:r>
    </w:p>
    <w:p>
      <w:pPr>
        <w:spacing w:after="0" w:line="225" w:lineRule="exact"/>
        <w:rPr>
          <w:rFonts w:ascii="Arial" w:cs="Arial" w:eastAsia="Arial" w:hAnsi="Arial"/>
          <w:sz w:val="18"/>
          <w:szCs w:val="18"/>
          <w:color w:val="auto"/>
        </w:rPr>
      </w:pPr>
    </w:p>
    <w:p>
      <w:pPr>
        <w:ind w:left="2180" w:hanging="228"/>
        <w:spacing w:after="0"/>
        <w:tabs>
          <w:tab w:leader="none" w:pos="2180" w:val="left"/>
        </w:tabs>
        <w:numPr>
          <w:ilvl w:val="0"/>
          <w:numId w:val="40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Subject Entity</w:t>
      </w:r>
      <w:r>
        <w:rPr>
          <w:rFonts w:ascii="Arial" w:cs="Arial" w:eastAsia="Arial" w:hAnsi="Arial"/>
          <w:sz w:val="16"/>
          <w:szCs w:val="16"/>
          <w:color w:val="auto"/>
        </w:rPr>
        <w:t>” means any Person, Persons or Group or any Affiliate or associate of any such Person, Persons or Group.</w:t>
      </w:r>
    </w:p>
    <w:p>
      <w:pPr>
        <w:spacing w:after="0" w:line="248" w:lineRule="exact"/>
        <w:rPr>
          <w:rFonts w:ascii="Arial" w:cs="Arial" w:eastAsia="Arial" w:hAnsi="Arial"/>
          <w:sz w:val="16"/>
          <w:szCs w:val="16"/>
          <w:color w:val="auto"/>
        </w:rPr>
      </w:pPr>
    </w:p>
    <w:p>
      <w:pPr>
        <w:jc w:val="both"/>
        <w:ind w:firstLine="1952"/>
        <w:spacing w:after="0" w:line="266" w:lineRule="auto"/>
        <w:tabs>
          <w:tab w:leader="none" w:pos="2172" w:val="left"/>
        </w:tabs>
        <w:numPr>
          <w:ilvl w:val="0"/>
          <w:numId w:val="40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Successor Entity</w:t>
      </w:r>
      <w:r>
        <w:rPr>
          <w:rFonts w:ascii="Arial" w:cs="Arial" w:eastAsia="Arial" w:hAnsi="Arial"/>
          <w:sz w:val="18"/>
          <w:szCs w:val="18"/>
          <w:color w:val="auto"/>
        </w:rPr>
        <w:t>” means one or more Person or Persons (or, if so elected by the Holder, the Company or Parent Entity) formed by, resulting from or surviving any Fundamental Transaction or one or more Person or Persons (or, if so elected by the Holder, the Company or the Parent Entity) with which such Fundamental Transaction shall have been entered into.</w:t>
      </w:r>
    </w:p>
    <w:p>
      <w:pPr>
        <w:spacing w:after="0" w:line="175" w:lineRule="exact"/>
        <w:rPr>
          <w:rFonts w:ascii="Arial" w:cs="Arial" w:eastAsia="Arial" w:hAnsi="Arial"/>
          <w:sz w:val="18"/>
          <w:szCs w:val="18"/>
          <w:color w:val="auto"/>
        </w:rPr>
      </w:pPr>
    </w:p>
    <w:p>
      <w:pPr>
        <w:jc w:val="both"/>
        <w:ind w:firstLine="1952"/>
        <w:spacing w:after="0" w:line="298" w:lineRule="auto"/>
        <w:tabs>
          <w:tab w:leader="none" w:pos="2199" w:val="left"/>
        </w:tabs>
        <w:numPr>
          <w:ilvl w:val="0"/>
          <w:numId w:val="40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Trading Day</w:t>
      </w:r>
      <w:r>
        <w:rPr>
          <w:rFonts w:ascii="Arial" w:cs="Arial" w:eastAsia="Arial" w:hAnsi="Arial"/>
          <w:sz w:val="16"/>
          <w:szCs w:val="16"/>
          <w:color w:val="auto"/>
        </w:rPr>
        <w:t xml:space="preserve">” means any day on which the Common Stock is traded on the Principal Market, or, if the Principal Market is not the principal trading market for the Common Stock, then on the principal securities exchange or securities market on which the Common Stock is then traded;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time).</w:t>
      </w:r>
    </w:p>
    <w:p>
      <w:pPr>
        <w:spacing w:after="0" w:line="153" w:lineRule="exact"/>
        <w:rPr>
          <w:rFonts w:ascii="Arial" w:cs="Arial" w:eastAsia="Arial" w:hAnsi="Arial"/>
          <w:sz w:val="16"/>
          <w:szCs w:val="16"/>
          <w:color w:val="auto"/>
        </w:rPr>
      </w:pPr>
    </w:p>
    <w:p>
      <w:pPr>
        <w:jc w:val="both"/>
        <w:ind w:firstLine="1952"/>
        <w:spacing w:after="0" w:line="267" w:lineRule="auto"/>
        <w:tabs>
          <w:tab w:leader="none" w:pos="2199" w:val="left"/>
        </w:tabs>
        <w:numPr>
          <w:ilvl w:val="0"/>
          <w:numId w:val="40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VWAP</w:t>
      </w:r>
      <w:r>
        <w:rPr>
          <w:rFonts w:ascii="Arial" w:cs="Arial" w:eastAsia="Arial" w:hAnsi="Arial"/>
          <w:sz w:val="17"/>
          <w:szCs w:val="17"/>
          <w:color w:val="auto"/>
        </w:rPr>
        <w:t xml:space="preserve">” means, for any security as of any date, the dollar volume-weighted average price for such security on the Principal Market during the period beginning at 9:30:01 a.m., New York time (or such other time as the Principal Market publicly announces is the official open of trading), and ending at 4:00:00 p.m., New York time (or such other time as the Principal Market publicly announces is the official close of trading), as reported by Bloomberg through its “Volume at Price” function or, if the foregoing does not apply, the dollar volume-weighted average price of such security in the over-the-counter market on the electronic bulletin board for such security during the period beginning at 9:30:01 a.m., New York time (or such other time as such market publicly announces is the official open of trading), and ending at 4:00:00 p.m., New York time (or such other time as such market publicly announces is the official close of trading), as reported by Bloomberg, or, if no dollar volume-weighted average price is reported for such security by Bloomberg for such hours, the average of the highest Closing Bid Price and the lowest closing ask price of any of the market makers for such security as reported in the OTC Link or “pink sheets” by OTC Markets Group Inc. (formerly Pink OTC Markets Inc.). If the VWAP cannot be calculated for a security on a particular date on any of the foregoing bases, the VWAP of such security on such date shall be the fair market value as mutually determined by the Company and the Holder. If the Company and the Holder are unable to agree upon the fair market value of such security, then such dispute shall be resolved pursuant to Section </w:t>
      </w:r>
      <w:r>
        <w:rPr>
          <w:rFonts w:ascii="Arial" w:cs="Arial" w:eastAsia="Arial" w:hAnsi="Arial"/>
          <w:sz w:val="20"/>
          <w:szCs w:val="20"/>
          <w:b w:val="1"/>
          <w:bCs w:val="1"/>
          <w:color w:val="auto"/>
        </w:rPr>
        <w:t>‎</w:t>
      </w:r>
      <w:r>
        <w:rPr>
          <w:rFonts w:ascii="Arial" w:cs="Arial" w:eastAsia="Arial" w:hAnsi="Arial"/>
          <w:sz w:val="17"/>
          <w:szCs w:val="17"/>
          <w:color w:val="auto"/>
        </w:rPr>
        <w:t>12 with the term “VWAP” being substituted for the term “Exercise Price.” All such determinations shall be appropriately adjusted for any stock dividend, stock split, stock combination, reclassification or other similar transaction during the applicable calculation period.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 Follows]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6" w:name="page377"/>
    <w:bookmarkEnd w:id="376"/>
    <w:p>
      <w:pPr>
        <w:ind w:left="660"/>
        <w:spacing w:after="0"/>
        <w:rPr>
          <w:sz w:val="20"/>
          <w:szCs w:val="20"/>
          <w:color w:val="auto"/>
        </w:rPr>
      </w:pPr>
      <w:r>
        <w:rPr>
          <w:rFonts w:ascii="Arial" w:cs="Arial" w:eastAsia="Arial" w:hAnsi="Arial"/>
          <w:sz w:val="16"/>
          <w:szCs w:val="16"/>
          <w:b w:val="1"/>
          <w:bCs w:val="1"/>
          <w:color w:val="auto"/>
        </w:rPr>
        <w:t xml:space="preserve">IN WITNESS WHEREOF, </w:t>
      </w:r>
      <w:r>
        <w:rPr>
          <w:rFonts w:ascii="Arial" w:cs="Arial" w:eastAsia="Arial" w:hAnsi="Arial"/>
          <w:sz w:val="16"/>
          <w:szCs w:val="16"/>
          <w:color w:val="auto"/>
        </w:rPr>
        <w:t>the Company has caused this Warrant to Purchase Common Stock to be duly executed as of the Issuance Date set out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07"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PRESTO AUTOMATION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440" w:type="dxa"/>
            <w:vAlign w:val="bottom"/>
          </w:tcPr>
          <w:p>
            <w:pPr>
              <w:ind w:left="6760"/>
              <w:spacing w:after="0"/>
              <w:rPr>
                <w:sz w:val="20"/>
                <w:szCs w:val="20"/>
                <w:color w:val="auto"/>
              </w:rPr>
            </w:pPr>
            <w:r>
              <w:rPr>
                <w:rFonts w:ascii="Arial" w:cs="Arial" w:eastAsia="Arial" w:hAnsi="Arial"/>
                <w:sz w:val="18"/>
                <w:szCs w:val="18"/>
                <w:color w:val="auto"/>
              </w:rPr>
              <w:t>By:</w:t>
            </w: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Xavier Casanova</w:t>
            </w:r>
          </w:p>
        </w:tc>
      </w:tr>
      <w:tr>
        <w:trPr>
          <w:trHeight w:val="202"/>
        </w:trPr>
        <w:tc>
          <w:tcPr>
            <w:tcW w:w="7440" w:type="dxa"/>
            <w:vAlign w:val="bottom"/>
          </w:tcPr>
          <w:p>
            <w:pPr>
              <w:ind w:left="6760"/>
              <w:spacing w:after="0" w:line="201" w:lineRule="exact"/>
              <w:rPr>
                <w:sz w:val="20"/>
                <w:szCs w:val="20"/>
                <w:color w:val="auto"/>
              </w:rPr>
            </w:pPr>
            <w:r>
              <w:rPr>
                <w:rFonts w:ascii="Arial" w:cs="Arial" w:eastAsia="Arial" w:hAnsi="Arial"/>
                <w:sz w:val="18"/>
                <w:szCs w:val="18"/>
                <w:color w:val="auto"/>
              </w:rPr>
              <w:t>Name:</w:t>
            </w:r>
          </w:p>
        </w:tc>
        <w:tc>
          <w:tcPr>
            <w:tcW w:w="3800" w:type="dxa"/>
            <w:vAlign w:val="bottom"/>
          </w:tcPr>
          <w:p>
            <w:pPr>
              <w:spacing w:after="0" w:line="201" w:lineRule="exact"/>
              <w:rPr>
                <w:sz w:val="20"/>
                <w:szCs w:val="20"/>
                <w:color w:val="auto"/>
              </w:rPr>
            </w:pPr>
            <w:r>
              <w:rPr>
                <w:rFonts w:ascii="Arial" w:cs="Arial" w:eastAsia="Arial" w:hAnsi="Arial"/>
                <w:sz w:val="18"/>
                <w:szCs w:val="18"/>
                <w:color w:val="auto"/>
              </w:rPr>
              <w:t>Xavier Casanova</w:t>
            </w:r>
          </w:p>
        </w:tc>
      </w:tr>
      <w:tr>
        <w:trPr>
          <w:trHeight w:val="230"/>
        </w:trPr>
        <w:tc>
          <w:tcPr>
            <w:tcW w:w="7440" w:type="dxa"/>
            <w:vAlign w:val="bottom"/>
          </w:tcPr>
          <w:p>
            <w:pPr>
              <w:ind w:left="6760"/>
              <w:spacing w:after="0"/>
              <w:rPr>
                <w:sz w:val="20"/>
                <w:szCs w:val="20"/>
                <w:color w:val="auto"/>
              </w:rPr>
            </w:pPr>
            <w:r>
              <w:rPr>
                <w:rFonts w:ascii="Arial" w:cs="Arial" w:eastAsia="Arial" w:hAnsi="Arial"/>
                <w:sz w:val="18"/>
                <w:szCs w:val="18"/>
                <w:color w:val="auto"/>
              </w:rPr>
              <w:t>Title:</w:t>
            </w:r>
          </w:p>
        </w:tc>
        <w:tc>
          <w:tcPr>
            <w:tcW w:w="380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682"/>
        </w:trPr>
        <w:tc>
          <w:tcPr>
            <w:tcW w:w="744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77" w:name="page378"/>
    <w:bookmarkEnd w:id="377"/>
    <w:p>
      <w:pPr>
        <w:jc w:val="right"/>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EXERCISE NOTICE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EXECUTED BY THE REGISTERED HOLDER TO EXERCISE THIS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TO PURCHASE COMMON STOCK</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PRESTO AUTOMATION INC.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undersigned holder hereby exercises the right to purchase _________________ of the shares of Common Stock (“</w:t>
      </w:r>
      <w:r>
        <w:rPr>
          <w:rFonts w:ascii="Arial" w:cs="Arial" w:eastAsia="Arial" w:hAnsi="Arial"/>
          <w:sz w:val="17"/>
          <w:szCs w:val="17"/>
          <w:b w:val="1"/>
          <w:bCs w:val="1"/>
          <w:color w:val="auto"/>
        </w:rPr>
        <w:t>Warrant Shares</w:t>
      </w:r>
      <w:r>
        <w:rPr>
          <w:rFonts w:ascii="Arial" w:cs="Arial" w:eastAsia="Arial" w:hAnsi="Arial"/>
          <w:sz w:val="17"/>
          <w:szCs w:val="17"/>
          <w:color w:val="auto"/>
        </w:rPr>
        <w:t>”) of</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Presto Automation Inc.,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evidenced by the attached Warrant to Purchase Common Stock (the “</w:t>
      </w:r>
      <w:r>
        <w:rPr>
          <w:rFonts w:ascii="Arial" w:cs="Arial" w:eastAsia="Arial" w:hAnsi="Arial"/>
          <w:sz w:val="17"/>
          <w:szCs w:val="17"/>
          <w:b w:val="1"/>
          <w:bCs w:val="1"/>
          <w:color w:val="auto"/>
        </w:rPr>
        <w:t>Warrant</w:t>
      </w:r>
      <w:r>
        <w:rPr>
          <w:rFonts w:ascii="Arial" w:cs="Arial" w:eastAsia="Arial" w:hAnsi="Arial"/>
          <w:sz w:val="17"/>
          <w:szCs w:val="17"/>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used herein and not otherwise defined shall have the respective meanings set forth in the Warrant.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Form of Exercise Price. The Holder intends that payment of the Exercise Price shall be made as:</w:t>
      </w:r>
    </w:p>
    <w:p>
      <w:pPr>
        <w:spacing w:after="0" w:line="208" w:lineRule="exact"/>
        <w:rPr>
          <w:sz w:val="20"/>
          <w:szCs w:val="20"/>
          <w:color w:val="auto"/>
        </w:rPr>
      </w:pPr>
    </w:p>
    <w:tbl>
      <w:tblPr>
        <w:tblLayout w:type="fixed"/>
        <w:tblInd w:w="1300" w:type="dxa"/>
        <w:tblCellMar>
          <w:top w:w="0" w:type="dxa"/>
          <w:left w:w="0" w:type="dxa"/>
          <w:bottom w:w="0" w:type="dxa"/>
          <w:right w:w="0" w:type="dxa"/>
        </w:tblCellMar>
      </w:tblPr>
      <w:tr>
        <w:trPr>
          <w:trHeight w:val="207"/>
        </w:trPr>
        <w:tc>
          <w:tcPr>
            <w:tcW w:w="1200" w:type="dxa"/>
            <w:vAlign w:val="bottom"/>
          </w:tcPr>
          <w:p>
            <w:pPr>
              <w:jc w:val="right"/>
              <w:ind w:right="30"/>
              <w:spacing w:after="0"/>
              <w:rPr>
                <w:sz w:val="20"/>
                <w:szCs w:val="20"/>
                <w:color w:val="auto"/>
              </w:rPr>
            </w:pPr>
            <w:r>
              <w:rPr>
                <w:rFonts w:ascii="Arial" w:cs="Arial" w:eastAsia="Arial" w:hAnsi="Arial"/>
                <w:sz w:val="18"/>
                <w:szCs w:val="18"/>
                <w:color w:val="auto"/>
                <w:w w:val="88"/>
              </w:rPr>
              <w:t>____________</w:t>
            </w:r>
          </w:p>
        </w:tc>
        <w:tc>
          <w:tcPr>
            <w:tcW w:w="5780" w:type="dxa"/>
            <w:vAlign w:val="bottom"/>
            <w:gridSpan w:val="4"/>
          </w:tcPr>
          <w:p>
            <w:pPr>
              <w:ind w:left="100"/>
              <w:spacing w:after="0"/>
              <w:rPr>
                <w:sz w:val="20"/>
                <w:szCs w:val="20"/>
                <w:color w:val="auto"/>
              </w:rPr>
            </w:pPr>
            <w:r>
              <w:rPr>
                <w:rFonts w:ascii="Arial" w:cs="Arial" w:eastAsia="Arial" w:hAnsi="Arial"/>
                <w:sz w:val="18"/>
                <w:szCs w:val="18"/>
                <w:color w:val="auto"/>
                <w:w w:val="89"/>
              </w:rPr>
              <w:t>a “Cash Exercise” with respect to _________________ Warrant Shares; and/or</w:t>
            </w:r>
          </w:p>
        </w:tc>
      </w:tr>
      <w:tr>
        <w:trPr>
          <w:trHeight w:val="20"/>
        </w:trPr>
        <w:tc>
          <w:tcPr>
            <w:tcW w:w="1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r>
      <w:tr>
        <w:trPr>
          <w:trHeight w:val="412"/>
        </w:trPr>
        <w:tc>
          <w:tcPr>
            <w:tcW w:w="1200" w:type="dxa"/>
            <w:vAlign w:val="bottom"/>
          </w:tcPr>
          <w:p>
            <w:pPr>
              <w:jc w:val="right"/>
              <w:ind w:right="30"/>
              <w:spacing w:after="0"/>
              <w:rPr>
                <w:sz w:val="20"/>
                <w:szCs w:val="20"/>
                <w:color w:val="auto"/>
              </w:rPr>
            </w:pPr>
            <w:r>
              <w:rPr>
                <w:rFonts w:ascii="Arial" w:cs="Arial" w:eastAsia="Arial" w:hAnsi="Arial"/>
                <w:sz w:val="18"/>
                <w:szCs w:val="18"/>
                <w:color w:val="auto"/>
                <w:w w:val="88"/>
              </w:rPr>
              <w:t>____________</w:t>
            </w:r>
          </w:p>
        </w:tc>
        <w:tc>
          <w:tcPr>
            <w:tcW w:w="5780" w:type="dxa"/>
            <w:vAlign w:val="bottom"/>
            <w:gridSpan w:val="4"/>
          </w:tcPr>
          <w:p>
            <w:pPr>
              <w:ind w:left="100"/>
              <w:spacing w:after="0"/>
              <w:rPr>
                <w:sz w:val="20"/>
                <w:szCs w:val="20"/>
                <w:color w:val="auto"/>
              </w:rPr>
            </w:pPr>
            <w:r>
              <w:rPr>
                <w:rFonts w:ascii="Arial" w:cs="Arial" w:eastAsia="Arial" w:hAnsi="Arial"/>
                <w:sz w:val="18"/>
                <w:szCs w:val="18"/>
                <w:color w:val="auto"/>
                <w:w w:val="96"/>
              </w:rPr>
              <w:t>a “Cashless Exercise” with respect to _______________ Warrant Shares.</w:t>
            </w:r>
          </w:p>
        </w:tc>
      </w:tr>
      <w:tr>
        <w:trPr>
          <w:trHeight w:val="20"/>
        </w:trPr>
        <w:tc>
          <w:tcPr>
            <w:tcW w:w="1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the event that the Holder has elected a Cashless Exercise with respect to some or all of the Warrant Shares to be issued pursuant hereto, the Holder hereby represents and warrants that this Exercise Notice was executed by the Holder at [a.m.][p.m.] on the date set forth below.</w:t>
      </w:r>
    </w:p>
    <w:p>
      <w:pPr>
        <w:spacing w:after="0" w:line="170" w:lineRule="exact"/>
        <w:rPr>
          <w:sz w:val="20"/>
          <w:szCs w:val="20"/>
          <w:color w:val="auto"/>
        </w:rPr>
      </w:pPr>
    </w:p>
    <w:p>
      <w:pPr>
        <w:jc w:val="both"/>
        <w:ind w:firstLine="656"/>
        <w:spacing w:after="0" w:line="263" w:lineRule="auto"/>
        <w:tabs>
          <w:tab w:leader="none" w:pos="846" w:val="left"/>
        </w:tabs>
        <w:numPr>
          <w:ilvl w:val="0"/>
          <w:numId w:val="401"/>
        </w:numPr>
        <w:rPr>
          <w:rFonts w:ascii="Arial" w:cs="Arial" w:eastAsia="Arial" w:hAnsi="Arial"/>
          <w:sz w:val="18"/>
          <w:szCs w:val="18"/>
          <w:color w:val="auto"/>
        </w:rPr>
      </w:pPr>
      <w:r>
        <w:rPr>
          <w:rFonts w:ascii="Arial" w:cs="Arial" w:eastAsia="Arial" w:hAnsi="Arial"/>
          <w:sz w:val="18"/>
          <w:szCs w:val="18"/>
          <w:color w:val="auto"/>
        </w:rPr>
        <w:t>Payment of Exercise Price. In the event that the holder has elected a Cash Exercise with respect to some or all of the Warrant Shares to be issued pursuant hereto, the holder shall pay the Aggregate Exercise Price in the sum of $___________________ to the Company in accordance with the terms of the Warrant.</w:t>
      </w:r>
    </w:p>
    <w:p>
      <w:pPr>
        <w:spacing w:after="0" w:line="183" w:lineRule="exact"/>
        <w:rPr>
          <w:rFonts w:ascii="Arial" w:cs="Arial" w:eastAsia="Arial" w:hAnsi="Arial"/>
          <w:sz w:val="18"/>
          <w:szCs w:val="18"/>
          <w:color w:val="auto"/>
        </w:rPr>
      </w:pPr>
    </w:p>
    <w:p>
      <w:pPr>
        <w:ind w:left="840" w:hanging="184"/>
        <w:spacing w:after="0"/>
        <w:tabs>
          <w:tab w:leader="none" w:pos="840" w:val="left"/>
        </w:tabs>
        <w:numPr>
          <w:ilvl w:val="0"/>
          <w:numId w:val="401"/>
        </w:numPr>
        <w:rPr>
          <w:rFonts w:ascii="Arial" w:cs="Arial" w:eastAsia="Arial" w:hAnsi="Arial"/>
          <w:sz w:val="16"/>
          <w:szCs w:val="16"/>
          <w:color w:val="auto"/>
        </w:rPr>
      </w:pPr>
      <w:r>
        <w:rPr>
          <w:rFonts w:ascii="Arial" w:cs="Arial" w:eastAsia="Arial" w:hAnsi="Arial"/>
          <w:sz w:val="16"/>
          <w:szCs w:val="16"/>
          <w:color w:val="auto"/>
        </w:rPr>
        <w:t>Delivery of Warrant Shares. The Company shall deliver to the holder __________ Warrant Shares in accordance with the terms of the Warrant.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520" w:type="dxa"/>
            <w:vAlign w:val="bottom"/>
            <w:gridSpan w:val="2"/>
          </w:tcPr>
          <w:p>
            <w:pPr>
              <w:spacing w:after="0"/>
              <w:rPr>
                <w:sz w:val="20"/>
                <w:szCs w:val="20"/>
                <w:color w:val="auto"/>
              </w:rPr>
            </w:pPr>
            <w:r>
              <w:rPr>
                <w:rFonts w:ascii="Arial" w:cs="Arial" w:eastAsia="Arial" w:hAnsi="Arial"/>
                <w:sz w:val="18"/>
                <w:szCs w:val="18"/>
                <w:color w:val="auto"/>
              </w:rPr>
              <w:t>_______ Electronic Delivery</w:t>
            </w:r>
          </w:p>
        </w:tc>
        <w:tc>
          <w:tcPr>
            <w:tcW w:w="6720" w:type="dxa"/>
            <w:vAlign w:val="bottom"/>
            <w:gridSpan w:val="2"/>
          </w:tcPr>
          <w:p>
            <w:pPr>
              <w:ind w:left="1680"/>
              <w:spacing w:after="0"/>
              <w:rPr>
                <w:sz w:val="20"/>
                <w:szCs w:val="20"/>
                <w:color w:val="auto"/>
              </w:rPr>
            </w:pPr>
            <w:r>
              <w:rPr>
                <w:rFonts w:ascii="Arial" w:cs="Arial" w:eastAsia="Arial" w:hAnsi="Arial"/>
                <w:sz w:val="18"/>
                <w:szCs w:val="18"/>
                <w:color w:val="auto"/>
              </w:rPr>
              <w:t>DTC Participant:</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3360" w:type="dxa"/>
            <w:vAlign w:val="bottom"/>
          </w:tcPr>
          <w:p>
            <w:pPr>
              <w:ind w:left="1680"/>
              <w:spacing w:after="0" w:line="203" w:lineRule="exact"/>
              <w:rPr>
                <w:sz w:val="20"/>
                <w:szCs w:val="20"/>
                <w:color w:val="auto"/>
              </w:rPr>
            </w:pPr>
            <w:r>
              <w:rPr>
                <w:rFonts w:ascii="Arial" w:cs="Arial" w:eastAsia="Arial" w:hAnsi="Arial"/>
                <w:sz w:val="18"/>
                <w:szCs w:val="18"/>
                <w:color w:val="auto"/>
              </w:rPr>
              <w:t>DTC Number:</w:t>
            </w:r>
          </w:p>
        </w:tc>
        <w:tc>
          <w:tcPr>
            <w:tcW w:w="336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3360" w:type="dxa"/>
            <w:vAlign w:val="bottom"/>
          </w:tcPr>
          <w:p>
            <w:pPr>
              <w:ind w:left="1680"/>
              <w:spacing w:after="0" w:line="202" w:lineRule="exact"/>
              <w:rPr>
                <w:sz w:val="20"/>
                <w:szCs w:val="20"/>
                <w:color w:val="auto"/>
              </w:rPr>
            </w:pPr>
            <w:r>
              <w:rPr>
                <w:rFonts w:ascii="Arial" w:cs="Arial" w:eastAsia="Arial" w:hAnsi="Arial"/>
                <w:sz w:val="18"/>
                <w:szCs w:val="18"/>
                <w:color w:val="auto"/>
              </w:rPr>
              <w:t>Account Name:</w:t>
            </w:r>
          </w:p>
        </w:tc>
        <w:tc>
          <w:tcPr>
            <w:tcW w:w="33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3360" w:type="dxa"/>
            <w:vAlign w:val="bottom"/>
          </w:tcPr>
          <w:p>
            <w:pPr>
              <w:ind w:left="1680"/>
              <w:spacing w:after="0" w:line="202" w:lineRule="exact"/>
              <w:rPr>
                <w:sz w:val="20"/>
                <w:szCs w:val="20"/>
                <w:color w:val="auto"/>
              </w:rPr>
            </w:pPr>
            <w:r>
              <w:rPr>
                <w:rFonts w:ascii="Arial" w:cs="Arial" w:eastAsia="Arial" w:hAnsi="Arial"/>
                <w:sz w:val="18"/>
                <w:szCs w:val="18"/>
                <w:color w:val="auto"/>
              </w:rPr>
              <w:t>Account Number:</w:t>
            </w:r>
          </w:p>
        </w:tc>
        <w:tc>
          <w:tcPr>
            <w:tcW w:w="33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4520" w:type="dxa"/>
            <w:vAlign w:val="bottom"/>
            <w:gridSpan w:val="2"/>
          </w:tcPr>
          <w:p>
            <w:pPr>
              <w:spacing w:after="0"/>
              <w:rPr>
                <w:sz w:val="20"/>
                <w:szCs w:val="20"/>
                <w:color w:val="auto"/>
              </w:rPr>
            </w:pPr>
            <w:r>
              <w:rPr>
                <w:rFonts w:ascii="Arial" w:cs="Arial" w:eastAsia="Arial" w:hAnsi="Arial"/>
                <w:sz w:val="18"/>
                <w:szCs w:val="18"/>
                <w:color w:val="auto"/>
              </w:rPr>
              <w:t>_______ Physical Delivery</w:t>
            </w:r>
          </w:p>
        </w:tc>
        <w:tc>
          <w:tcPr>
            <w:tcW w:w="6720" w:type="dxa"/>
            <w:vAlign w:val="bottom"/>
            <w:gridSpan w:val="2"/>
          </w:tcPr>
          <w:p>
            <w:pPr>
              <w:ind w:left="1680"/>
              <w:spacing w:after="0"/>
              <w:rPr>
                <w:sz w:val="20"/>
                <w:szCs w:val="20"/>
                <w:color w:val="auto"/>
              </w:rPr>
            </w:pPr>
            <w:r>
              <w:rPr>
                <w:rFonts w:ascii="Arial" w:cs="Arial" w:eastAsia="Arial" w:hAnsi="Arial"/>
                <w:sz w:val="18"/>
                <w:szCs w:val="18"/>
                <w:color w:val="auto"/>
              </w:rPr>
              <w:t>Address:</w:t>
            </w:r>
          </w:p>
        </w:tc>
        <w:tc>
          <w:tcPr>
            <w:tcW w:w="0" w:type="dxa"/>
            <w:vAlign w:val="bottom"/>
          </w:tcPr>
          <w:p>
            <w:pPr>
              <w:spacing w:after="0"/>
              <w:rPr>
                <w:sz w:val="1"/>
                <w:szCs w:val="1"/>
                <w:color w:val="auto"/>
              </w:rPr>
            </w:pPr>
          </w:p>
        </w:tc>
      </w:tr>
      <w:tr>
        <w:trPr>
          <w:trHeight w:val="223"/>
        </w:trPr>
        <w:tc>
          <w:tcPr>
            <w:tcW w:w="4520" w:type="dxa"/>
            <w:vAlign w:val="bottom"/>
            <w:gridSpan w:val="2"/>
            <w:vMerge w:val="restart"/>
          </w:tcPr>
          <w:p>
            <w:pPr>
              <w:spacing w:after="0"/>
              <w:rPr>
                <w:sz w:val="20"/>
                <w:szCs w:val="20"/>
                <w:color w:val="auto"/>
              </w:rPr>
            </w:pPr>
            <w:r>
              <w:rPr>
                <w:rFonts w:ascii="Arial" w:cs="Arial" w:eastAsia="Arial" w:hAnsi="Arial"/>
                <w:sz w:val="18"/>
                <w:szCs w:val="18"/>
                <w:color w:val="auto"/>
              </w:rPr>
              <w:t>Date: _______________ __, ______</w:t>
            </w:r>
          </w:p>
        </w:tc>
        <w:tc>
          <w:tcPr>
            <w:tcW w:w="3360" w:type="dxa"/>
            <w:vAlign w:val="bottom"/>
          </w:tcPr>
          <w:p>
            <w:pPr>
              <w:spacing w:after="0"/>
              <w:rPr>
                <w:sz w:val="19"/>
                <w:szCs w:val="19"/>
                <w:color w:val="auto"/>
              </w:rPr>
            </w:pPr>
          </w:p>
        </w:tc>
        <w:tc>
          <w:tcPr>
            <w:tcW w:w="336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20" w:type="dxa"/>
            <w:vAlign w:val="bottom"/>
            <w:gridSpan w:val="2"/>
            <w:vMerge w:val="continue"/>
          </w:tcPr>
          <w:p>
            <w:pPr>
              <w:spacing w:after="0"/>
              <w:rPr>
                <w:sz w:val="19"/>
                <w:szCs w:val="19"/>
                <w:color w:val="auto"/>
              </w:rPr>
            </w:pPr>
          </w:p>
        </w:tc>
        <w:tc>
          <w:tcPr>
            <w:tcW w:w="3360" w:type="dxa"/>
            <w:vAlign w:val="bottom"/>
          </w:tcPr>
          <w:p>
            <w:pPr>
              <w:spacing w:after="0"/>
              <w:rPr>
                <w:sz w:val="19"/>
                <w:szCs w:val="19"/>
                <w:color w:val="auto"/>
              </w:rPr>
            </w:pPr>
          </w:p>
        </w:tc>
        <w:tc>
          <w:tcPr>
            <w:tcW w:w="33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520" w:type="dxa"/>
            <w:vAlign w:val="bottom"/>
            <w:gridSpan w:val="2"/>
            <w:vMerge w:val="continue"/>
          </w:tcPr>
          <w:p>
            <w:pPr>
              <w:spacing w:after="0"/>
              <w:rPr>
                <w:sz w:val="17"/>
                <w:szCs w:val="17"/>
                <w:color w:val="auto"/>
              </w:rPr>
            </w:pPr>
          </w:p>
        </w:tc>
        <w:tc>
          <w:tcPr>
            <w:tcW w:w="336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520" w:type="dxa"/>
            <w:vAlign w:val="bottom"/>
            <w:tcBorders>
              <w:bottom w:val="single" w:sz="8" w:color="auto"/>
            </w:tcBorders>
            <w:gridSpan w:val="2"/>
          </w:tcPr>
          <w:p>
            <w:pPr>
              <w:spacing w:after="0"/>
              <w:rPr>
                <w:sz w:val="20"/>
                <w:szCs w:val="20"/>
                <w:color w:val="auto"/>
              </w:rPr>
            </w:pPr>
          </w:p>
        </w:tc>
        <w:tc>
          <w:tcPr>
            <w:tcW w:w="336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rPr>
              <w:t>Name of Registered Holder</w:t>
            </w:r>
          </w:p>
        </w:tc>
        <w:tc>
          <w:tcPr>
            <w:tcW w:w="336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520" w:type="dxa"/>
            <w:vAlign w:val="bottom"/>
            <w:gridSpan w:val="2"/>
          </w:tcPr>
          <w:p>
            <w:pPr>
              <w:spacing w:after="0"/>
              <w:rPr>
                <w:sz w:val="20"/>
                <w:szCs w:val="20"/>
                <w:color w:val="auto"/>
              </w:rPr>
            </w:pPr>
            <w:r>
              <w:rPr>
                <w:rFonts w:ascii="Arial" w:cs="Arial" w:eastAsia="Arial" w:hAnsi="Arial"/>
                <w:sz w:val="18"/>
                <w:szCs w:val="18"/>
                <w:color w:val="auto"/>
              </w:rPr>
              <w:t>By:</w:t>
            </w:r>
          </w:p>
        </w:tc>
        <w:tc>
          <w:tcPr>
            <w:tcW w:w="33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60" w:type="dxa"/>
            <w:vAlign w:val="bottom"/>
          </w:tcPr>
          <w:p>
            <w:pPr>
              <w:spacing w:after="0"/>
              <w:rPr>
                <w:sz w:val="17"/>
                <w:szCs w:val="17"/>
                <w:color w:val="auto"/>
              </w:rPr>
            </w:pPr>
          </w:p>
        </w:tc>
        <w:tc>
          <w:tcPr>
            <w:tcW w:w="40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Name:</w:t>
            </w:r>
          </w:p>
        </w:tc>
        <w:tc>
          <w:tcPr>
            <w:tcW w:w="336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Title:</w:t>
            </w:r>
          </w:p>
        </w:tc>
        <w:tc>
          <w:tcPr>
            <w:tcW w:w="336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2"/>
        </w:trPr>
        <w:tc>
          <w:tcPr>
            <w:tcW w:w="46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378" w:name="page379"/>
    <w:bookmarkEnd w:id="378"/>
    <w:p>
      <w:pPr>
        <w:jc w:val="center"/>
        <w:spacing w:after="0"/>
        <w:rPr>
          <w:sz w:val="20"/>
          <w:szCs w:val="20"/>
          <w:color w:val="auto"/>
        </w:rPr>
      </w:pPr>
      <w:r>
        <w:rPr>
          <w:rFonts w:ascii="Arial" w:cs="Arial" w:eastAsia="Arial" w:hAnsi="Arial"/>
          <w:sz w:val="18"/>
          <w:szCs w:val="18"/>
          <w:b w:val="1"/>
          <w:bCs w:val="1"/>
          <w:color w:val="auto"/>
        </w:rPr>
        <w:t>ACKNOWLEDGMENT</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hereby acknowledges this Exercise Notice and hereby directs [TRANSFER AGENT] to issue the above indicated number of shares of Common Stock in accordance with the Transfer Agent Instructions dated _________________ from the Company and acknowledged and agreed to by [TRANSFER AGENT].</w:t>
      </w:r>
    </w:p>
    <w:p>
      <w:pPr>
        <w:spacing w:after="0" w:line="180"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PRESTO AUTOMATION INC.</w:t>
      </w:r>
    </w:p>
    <w:p>
      <w:pPr>
        <w:spacing w:after="0" w:line="2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14605</wp:posOffset>
            </wp:positionV>
            <wp:extent cx="2417445" cy="171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5">
                      <a:extLst>
                        <a:ext uri="{28A0092B-C50C-407E-A947-70E740481C1C}"/>
                      </a:extLst>
                    </a:blip>
                    <a:srcRect/>
                    <a:stretch>
                      <a:fillRect/>
                    </a:stretch>
                  </pic:blipFill>
                  <pic:spPr bwMode="auto">
                    <a:xfrm>
                      <a:off x="0" y="0"/>
                      <a:ext cx="2417445" cy="1714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9" w:name="page380"/>
    <w:bookmarkEnd w:id="379"/>
    <w:p>
      <w:pPr>
        <w:jc w:val="center"/>
        <w:ind w:right="-19"/>
        <w:spacing w:after="0"/>
        <w:rPr>
          <w:sz w:val="20"/>
          <w:szCs w:val="20"/>
          <w:color w:val="auto"/>
        </w:rPr>
      </w:pPr>
      <w:r>
        <w:rPr>
          <w:rFonts w:ascii="Arial" w:cs="Arial" w:eastAsia="Arial" w:hAnsi="Arial"/>
          <w:sz w:val="18"/>
          <w:szCs w:val="18"/>
          <w:b w:val="1"/>
          <w:bCs w:val="1"/>
          <w:color w:val="auto"/>
        </w:rPr>
        <w:t>ASSIGNMENT FORM</w:t>
      </w:r>
    </w:p>
    <w:p>
      <w:pPr>
        <w:spacing w:after="0" w:line="229"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(To assign the foregoing warrant, execute</w:t>
      </w:r>
    </w:p>
    <w:p>
      <w:pPr>
        <w:spacing w:after="0" w:line="23"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this form and supply required information.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 not use this form to exercise the warrant.)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VALUE RECEIVED, all of or shares of the foregoing Warrant and all rights evidenced thereby are hereby assigned to</w:t>
      </w:r>
    </w:p>
    <w:p>
      <w:pPr>
        <w:spacing w:after="0" w:line="200" w:lineRule="exact"/>
        <w:rPr>
          <w:sz w:val="20"/>
          <w:szCs w:val="20"/>
          <w:color w:val="auto"/>
        </w:rPr>
      </w:pPr>
    </w:p>
    <w:p>
      <w:pPr>
        <w:spacing w:after="0" w:line="241" w:lineRule="exact"/>
        <w:rPr>
          <w:sz w:val="20"/>
          <w:szCs w:val="20"/>
          <w:color w:val="auto"/>
        </w:rPr>
      </w:pPr>
    </w:p>
    <w:p>
      <w:pPr>
        <w:ind w:left="9000"/>
        <w:spacing w:after="0"/>
        <w:rPr>
          <w:sz w:val="20"/>
          <w:szCs w:val="20"/>
          <w:color w:val="auto"/>
        </w:rPr>
      </w:pPr>
      <w:r>
        <w:rPr>
          <w:rFonts w:ascii="Arial" w:cs="Arial" w:eastAsia="Arial" w:hAnsi="Arial"/>
          <w:sz w:val="18"/>
          <w:szCs w:val="18"/>
          <w:color w:val="auto"/>
        </w:rPr>
        <w:t>whose address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5709285" cy="171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7">
                      <a:extLst>
                        <a:ext uri="{28A0092B-C50C-407E-A947-70E740481C1C}"/>
                      </a:extLst>
                    </a:blip>
                    <a:srcRect/>
                    <a:stretch>
                      <a:fillRect/>
                    </a:stretch>
                  </pic:blipFill>
                  <pic:spPr bwMode="auto">
                    <a:xfrm>
                      <a:off x="0" y="0"/>
                      <a:ext cx="570928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5709285" cy="171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8">
                      <a:extLst>
                        <a:ext uri="{28A0092B-C50C-407E-A947-70E740481C1C}"/>
                      </a:extLst>
                    </a:blip>
                    <a:srcRect/>
                    <a:stretch>
                      <a:fillRect/>
                    </a:stretch>
                  </pic:blipFill>
                  <pic:spPr bwMode="auto">
                    <a:xfrm>
                      <a:off x="0" y="0"/>
                      <a:ext cx="570928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5709285" cy="171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9">
                      <a:extLst>
                        <a:ext uri="{28A0092B-C50C-407E-A947-70E740481C1C}"/>
                      </a:extLst>
                    </a:blip>
                    <a:srcRect/>
                    <a:stretch>
                      <a:fillRect/>
                    </a:stretch>
                  </pic:blipFill>
                  <pic:spPr bwMode="auto">
                    <a:xfrm>
                      <a:off x="0" y="0"/>
                      <a:ext cx="570928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Dated: __________________, ____</w:t>
      </w:r>
    </w:p>
    <w:p>
      <w:pPr>
        <w:spacing w:after="0" w:line="23"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Holder’s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5715</wp:posOffset>
            </wp:positionV>
            <wp:extent cx="2134235" cy="171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0">
                      <a:extLst>
                        <a:ext uri="{28A0092B-C50C-407E-A947-70E740481C1C}"/>
                      </a:extLst>
                    </a:blip>
                    <a:srcRect/>
                    <a:stretch>
                      <a:fillRect/>
                    </a:stretch>
                  </pic:blipFill>
                  <pic:spPr bwMode="auto">
                    <a:xfrm>
                      <a:off x="0" y="0"/>
                      <a:ext cx="2134235" cy="17145"/>
                    </a:xfrm>
                    <a:prstGeom prst="rect">
                      <a:avLst/>
                    </a:prstGeom>
                    <a:noFill/>
                  </pic:spPr>
                </pic:pic>
              </a:graphicData>
            </a:graphic>
          </wp:anchor>
        </w:drawing>
      </w:r>
    </w:p>
    <w:p>
      <w:pPr>
        <w:ind w:left="2260"/>
        <w:spacing w:after="0"/>
        <w:rPr>
          <w:sz w:val="20"/>
          <w:szCs w:val="20"/>
          <w:color w:val="auto"/>
        </w:rPr>
      </w:pPr>
      <w:r>
        <w:rPr>
          <w:rFonts w:ascii="Arial" w:cs="Arial" w:eastAsia="Arial" w:hAnsi="Arial"/>
          <w:sz w:val="18"/>
          <w:szCs w:val="18"/>
          <w:color w:val="auto"/>
        </w:rPr>
        <w:t>Holder’s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177165</wp:posOffset>
            </wp:positionV>
            <wp:extent cx="2134235" cy="171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1">
                      <a:extLst>
                        <a:ext uri="{28A0092B-C50C-407E-A947-70E740481C1C}"/>
                      </a:extLst>
                    </a:blip>
                    <a:srcRect/>
                    <a:stretch>
                      <a:fillRect/>
                    </a:stretch>
                  </pic:blipFill>
                  <pic:spPr bwMode="auto">
                    <a:xfrm>
                      <a:off x="0" y="0"/>
                      <a:ext cx="2134235" cy="1714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22860</wp:posOffset>
            </wp:positionV>
            <wp:extent cx="2134235" cy="171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2">
                      <a:extLst>
                        <a:ext uri="{28A0092B-C50C-407E-A947-70E740481C1C}"/>
                      </a:extLst>
                    </a:blip>
                    <a:srcRect/>
                    <a:stretch>
                      <a:fillRect/>
                    </a:stretch>
                  </pic:blipFill>
                  <pic:spPr bwMode="auto">
                    <a:xfrm>
                      <a:off x="0" y="0"/>
                      <a:ext cx="2134235" cy="171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NOTE: The signature to this Assignment Form must correspond with the name as it appears on the face of the Warrant, without alteration or enlargement or any change whatsoever.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80" w:name="page381"/>
    <w:bookmarkEnd w:id="380"/>
    <w:p>
      <w:pPr>
        <w:jc w:val="right"/>
        <w:spacing w:after="0"/>
        <w:rPr>
          <w:sz w:val="20"/>
          <w:szCs w:val="20"/>
          <w:color w:val="auto"/>
        </w:rPr>
      </w:pPr>
      <w:r>
        <w:rPr>
          <w:rFonts w:ascii="Arial" w:cs="Arial" w:eastAsia="Arial" w:hAnsi="Arial"/>
          <w:sz w:val="22"/>
          <w:szCs w:val="22"/>
          <w:b w:val="1"/>
          <w:bCs w:val="1"/>
          <w:color w:val="auto"/>
        </w:rPr>
        <w:t>Exhibit 10.12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1183005" cy="28321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4">
                      <a:extLst>
                        <a:ext uri="{28A0092B-C50C-407E-A947-70E740481C1C}"/>
                      </a:extLst>
                    </a:blip>
                    <a:srcRect/>
                    <a:stretch>
                      <a:fillRect/>
                    </a:stretch>
                  </pic:blipFill>
                  <pic:spPr bwMode="auto">
                    <a:xfrm>
                      <a:off x="0" y="0"/>
                      <a:ext cx="1183005"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280 Park Avenue, 4th floor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City, NY 10017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 +1 (212) 886 1600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teneo.com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Xavier Casanova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Presto Automation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985 Industrial Road, Suite 205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Carlos, CA 94070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VIA EMAIL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6, 2023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Mr. Casanova: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 INTERIM CHIEF FINANCIAL OFFICER RELATING TO PRESTO AUTOMATION INC.</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Teneo Capital LLC, a Delaware limited liability company (“</w:t>
      </w:r>
      <w:r>
        <w:rPr>
          <w:rFonts w:ascii="Arial" w:cs="Arial" w:eastAsia="Arial" w:hAnsi="Arial"/>
          <w:sz w:val="18"/>
          <w:szCs w:val="18"/>
          <w:b w:val="1"/>
          <w:bCs w:val="1"/>
          <w:color w:val="auto"/>
        </w:rPr>
        <w:t>Teneo</w:t>
      </w:r>
      <w:r>
        <w:rPr>
          <w:rFonts w:ascii="Arial" w:cs="Arial" w:eastAsia="Arial" w:hAnsi="Arial"/>
          <w:sz w:val="18"/>
          <w:szCs w:val="18"/>
          <w:color w:val="auto"/>
        </w:rPr>
        <w:t>” or “</w:t>
      </w:r>
      <w:r>
        <w:rPr>
          <w:rFonts w:ascii="Arial" w:cs="Arial" w:eastAsia="Arial" w:hAnsi="Arial"/>
          <w:sz w:val="18"/>
          <w:szCs w:val="18"/>
          <w:b w:val="1"/>
          <w:bCs w:val="1"/>
          <w:color w:val="auto"/>
        </w:rPr>
        <w:t>we</w:t>
      </w:r>
      <w:r>
        <w:rPr>
          <w:rFonts w:ascii="Arial" w:cs="Arial" w:eastAsia="Arial" w:hAnsi="Arial"/>
          <w:sz w:val="18"/>
          <w:szCs w:val="18"/>
          <w:color w:val="auto"/>
        </w:rPr>
        <w:t xml:space="preserve">”), is pleased to provide financial advisory and Interim Chief Financial Officer services to </w:t>
      </w:r>
      <w:r>
        <w:rPr>
          <w:rFonts w:ascii="Arial" w:cs="Arial" w:eastAsia="Arial" w:hAnsi="Arial"/>
          <w:sz w:val="18"/>
          <w:szCs w:val="18"/>
          <w:b w:val="1"/>
          <w:bCs w:val="1"/>
          <w:color w:val="auto"/>
        </w:rPr>
        <w:t>Presto Automation Inc.</w:t>
      </w:r>
      <w:r>
        <w:rPr>
          <w:rFonts w:ascii="Arial" w:cs="Arial" w:eastAsia="Arial" w:hAnsi="Arial"/>
          <w:sz w:val="18"/>
          <w:szCs w:val="18"/>
          <w:color w:val="auto"/>
        </w:rPr>
        <w:t xml:space="preserve"> (collectively, the “</w:t>
      </w:r>
      <w:r>
        <w:rPr>
          <w:rFonts w:ascii="Arial" w:cs="Arial" w:eastAsia="Arial" w:hAnsi="Arial"/>
          <w:sz w:val="18"/>
          <w:szCs w:val="18"/>
          <w:b w:val="1"/>
          <w:bCs w:val="1"/>
          <w:color w:val="auto"/>
        </w:rPr>
        <w:t>Client</w:t>
      </w:r>
      <w:r>
        <w:rPr>
          <w:rFonts w:ascii="Arial" w:cs="Arial" w:eastAsia="Arial" w:hAnsi="Arial"/>
          <w:sz w:val="18"/>
          <w:szCs w:val="18"/>
          <w:color w:val="auto"/>
        </w:rPr>
        <w:t>,” the “</w:t>
      </w:r>
      <w:r>
        <w:rPr>
          <w:rFonts w:ascii="Arial" w:cs="Arial" w:eastAsia="Arial" w:hAnsi="Arial"/>
          <w:sz w:val="18"/>
          <w:szCs w:val="18"/>
          <w:b w:val="1"/>
          <w:bCs w:val="1"/>
          <w:color w:val="auto"/>
        </w:rPr>
        <w:t>Company</w:t>
      </w:r>
      <w:r>
        <w:rPr>
          <w:rFonts w:ascii="Arial" w:cs="Arial" w:eastAsia="Arial" w:hAnsi="Arial"/>
          <w:sz w:val="18"/>
          <w:szCs w:val="18"/>
          <w:color w:val="auto"/>
        </w:rPr>
        <w:t>,” or “</w:t>
      </w:r>
      <w:r>
        <w:rPr>
          <w:rFonts w:ascii="Arial" w:cs="Arial" w:eastAsia="Arial" w:hAnsi="Arial"/>
          <w:sz w:val="18"/>
          <w:szCs w:val="18"/>
          <w:b w:val="1"/>
          <w:bCs w:val="1"/>
          <w:color w:val="auto"/>
        </w:rPr>
        <w:t>you</w:t>
      </w:r>
      <w:r>
        <w:rPr>
          <w:rFonts w:ascii="Arial" w:cs="Arial" w:eastAsia="Arial" w:hAnsi="Arial"/>
          <w:sz w:val="18"/>
          <w:szCs w:val="18"/>
          <w:color w:val="auto"/>
        </w:rPr>
        <w:t>”). This letter (this “</w:t>
      </w:r>
      <w:r>
        <w:rPr>
          <w:rFonts w:ascii="Arial" w:cs="Arial" w:eastAsia="Arial" w:hAnsi="Arial"/>
          <w:sz w:val="18"/>
          <w:szCs w:val="18"/>
          <w:b w:val="1"/>
          <w:bCs w:val="1"/>
          <w:color w:val="auto"/>
        </w:rPr>
        <w:t>Agreement</w:t>
      </w:r>
      <w:r>
        <w:rPr>
          <w:rFonts w:ascii="Arial" w:cs="Arial" w:eastAsia="Arial" w:hAnsi="Arial"/>
          <w:sz w:val="18"/>
          <w:szCs w:val="18"/>
          <w:color w:val="auto"/>
        </w:rPr>
        <w:t>”) sets forth the terms of our engagement (the “</w:t>
      </w:r>
      <w:r>
        <w:rPr>
          <w:rFonts w:ascii="Arial" w:cs="Arial" w:eastAsia="Arial" w:hAnsi="Arial"/>
          <w:sz w:val="18"/>
          <w:szCs w:val="18"/>
          <w:b w:val="1"/>
          <w:bCs w:val="1"/>
          <w:color w:val="auto"/>
        </w:rPr>
        <w:t>Engagement</w:t>
      </w:r>
      <w:r>
        <w:rPr>
          <w:rFonts w:ascii="Arial" w:cs="Arial" w:eastAsia="Arial" w:hAnsi="Arial"/>
          <w:sz w:val="18"/>
          <w:szCs w:val="18"/>
          <w:color w:val="auto"/>
        </w:rPr>
        <w:t>”), pursuant to which Teneo is being retained by the Company to provide the services of Nathan Cook, to serve as the interim Chief Financial Officer of the Company (the “</w:t>
      </w:r>
      <w:r>
        <w:rPr>
          <w:rFonts w:ascii="Arial" w:cs="Arial" w:eastAsia="Arial" w:hAnsi="Arial"/>
          <w:sz w:val="18"/>
          <w:szCs w:val="18"/>
          <w:b w:val="1"/>
          <w:bCs w:val="1"/>
          <w:color w:val="auto"/>
        </w:rPr>
        <w:t>Interim CFO</w:t>
      </w:r>
      <w:r>
        <w:rPr>
          <w:rFonts w:ascii="Arial" w:cs="Arial" w:eastAsia="Arial" w:hAnsi="Arial"/>
          <w:sz w:val="18"/>
          <w:szCs w:val="18"/>
          <w:color w:val="auto"/>
        </w:rPr>
        <w:t>”).</w:t>
      </w:r>
    </w:p>
    <w:p>
      <w:pPr>
        <w:spacing w:after="0" w:line="180" w:lineRule="exact"/>
        <w:rPr>
          <w:sz w:val="20"/>
          <w:szCs w:val="20"/>
          <w:color w:val="auto"/>
        </w:rPr>
      </w:pPr>
    </w:p>
    <w:p>
      <w:pPr>
        <w:ind w:left="340" w:hanging="332"/>
        <w:spacing w:after="0"/>
        <w:tabs>
          <w:tab w:leader="none" w:pos="340" w:val="left"/>
        </w:tabs>
        <w:numPr>
          <w:ilvl w:val="0"/>
          <w:numId w:val="402"/>
        </w:numPr>
        <w:rPr>
          <w:rFonts w:ascii="Arial" w:cs="Arial" w:eastAsia="Arial" w:hAnsi="Arial"/>
          <w:sz w:val="18"/>
          <w:szCs w:val="18"/>
          <w:b w:val="1"/>
          <w:bCs w:val="1"/>
          <w:color w:val="auto"/>
        </w:rPr>
      </w:pPr>
      <w:r>
        <w:rPr>
          <w:rFonts w:ascii="Arial" w:cs="Arial" w:eastAsia="Arial" w:hAnsi="Arial"/>
          <w:sz w:val="18"/>
          <w:szCs w:val="18"/>
          <w:b w:val="1"/>
          <w:bCs w:val="1"/>
          <w:color w:val="auto"/>
        </w:rPr>
        <w:t>Term of the Engagement</w:t>
      </w:r>
    </w:p>
    <w:p>
      <w:pPr>
        <w:spacing w:after="0" w:line="225"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The Engagement shall commence as of the date of this Agreement (the “</w:t>
      </w:r>
      <w:r>
        <w:rPr>
          <w:rFonts w:ascii="Arial" w:cs="Arial" w:eastAsia="Arial" w:hAnsi="Arial"/>
          <w:sz w:val="18"/>
          <w:szCs w:val="18"/>
          <w:b w:val="1"/>
          <w:bCs w:val="1"/>
          <w:color w:val="auto"/>
        </w:rPr>
        <w:t>Effective Date</w:t>
      </w:r>
      <w:r>
        <w:rPr>
          <w:rFonts w:ascii="Arial" w:cs="Arial" w:eastAsia="Arial" w:hAnsi="Arial"/>
          <w:sz w:val="18"/>
          <w:szCs w:val="18"/>
          <w:color w:val="auto"/>
        </w:rPr>
        <w:t>”) and shall continue until terminated by Teneo, upon 14 days’ prior written notice, or by the Company upon written notice (the “</w:t>
      </w:r>
      <w:r>
        <w:rPr>
          <w:rFonts w:ascii="Arial" w:cs="Arial" w:eastAsia="Arial" w:hAnsi="Arial"/>
          <w:sz w:val="18"/>
          <w:szCs w:val="18"/>
          <w:b w:val="1"/>
          <w:bCs w:val="1"/>
          <w:color w:val="auto"/>
        </w:rPr>
        <w:t>Engagement Period</w:t>
      </w:r>
      <w:r>
        <w:rPr>
          <w:rFonts w:ascii="Arial" w:cs="Arial" w:eastAsia="Arial" w:hAnsi="Arial"/>
          <w:sz w:val="18"/>
          <w:szCs w:val="18"/>
          <w:color w:val="auto"/>
        </w:rPr>
        <w:t>”).</w:t>
      </w:r>
    </w:p>
    <w:p>
      <w:pPr>
        <w:spacing w:after="0" w:line="162" w:lineRule="exact"/>
        <w:rPr>
          <w:sz w:val="20"/>
          <w:szCs w:val="20"/>
          <w:color w:val="auto"/>
        </w:rPr>
      </w:pPr>
    </w:p>
    <w:p>
      <w:pPr>
        <w:ind w:left="340" w:hanging="332"/>
        <w:spacing w:after="0"/>
        <w:tabs>
          <w:tab w:leader="none" w:pos="340" w:val="left"/>
        </w:tabs>
        <w:numPr>
          <w:ilvl w:val="0"/>
          <w:numId w:val="403"/>
        </w:numPr>
        <w:rPr>
          <w:rFonts w:ascii="Arial" w:cs="Arial" w:eastAsia="Arial" w:hAnsi="Arial"/>
          <w:sz w:val="18"/>
          <w:szCs w:val="18"/>
          <w:b w:val="1"/>
          <w:bCs w:val="1"/>
          <w:color w:val="auto"/>
        </w:rPr>
      </w:pPr>
      <w:r>
        <w:rPr>
          <w:rFonts w:ascii="Arial" w:cs="Arial" w:eastAsia="Arial" w:hAnsi="Arial"/>
          <w:sz w:val="18"/>
          <w:szCs w:val="18"/>
          <w:b w:val="1"/>
          <w:bCs w:val="1"/>
          <w:color w:val="auto"/>
        </w:rPr>
        <w:t>Scope of Services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precise duties of the Interim CFO will be agreed upon between you and the Interim CFO although an initial scope of work is set forth below (the “</w:t>
      </w:r>
      <w:r>
        <w:rPr>
          <w:rFonts w:ascii="Arial" w:cs="Arial" w:eastAsia="Arial" w:hAnsi="Arial"/>
          <w:sz w:val="18"/>
          <w:szCs w:val="18"/>
          <w:b w:val="1"/>
          <w:bCs w:val="1"/>
          <w:color w:val="auto"/>
        </w:rPr>
        <w:t>Services</w:t>
      </w:r>
      <w:r>
        <w:rPr>
          <w:rFonts w:ascii="Arial" w:cs="Arial" w:eastAsia="Arial" w:hAnsi="Arial"/>
          <w:sz w:val="18"/>
          <w:szCs w:val="18"/>
          <w:color w:val="auto"/>
        </w:rPr>
        <w:t>”):</w:t>
      </w:r>
    </w:p>
    <w:p>
      <w:pPr>
        <w:spacing w:after="0" w:line="170" w:lineRule="exact"/>
        <w:rPr>
          <w:sz w:val="20"/>
          <w:szCs w:val="20"/>
          <w:color w:val="auto"/>
        </w:rPr>
      </w:pPr>
    </w:p>
    <w:p>
      <w:pPr>
        <w:ind w:left="660" w:hanging="328"/>
        <w:spacing w:after="0"/>
        <w:tabs>
          <w:tab w:leader="none" w:pos="660" w:val="left"/>
        </w:tabs>
        <w:numPr>
          <w:ilvl w:val="0"/>
          <w:numId w:val="404"/>
        </w:numPr>
        <w:rPr>
          <w:rFonts w:ascii="Arial" w:cs="Arial" w:eastAsia="Arial" w:hAnsi="Arial"/>
          <w:sz w:val="16"/>
          <w:szCs w:val="16"/>
          <w:color w:val="auto"/>
        </w:rPr>
      </w:pPr>
      <w:r>
        <w:rPr>
          <w:rFonts w:ascii="Arial" w:cs="Arial" w:eastAsia="Arial" w:hAnsi="Arial"/>
          <w:sz w:val="16"/>
          <w:szCs w:val="16"/>
          <w:color w:val="auto"/>
        </w:rPr>
        <w:t>Assume the day-to-day responsibilities as the Interim Chief Financial Officer of the Company on a full-time basis (at least 40 hours per week).</w:t>
      </w:r>
    </w:p>
    <w:p>
      <w:pPr>
        <w:spacing w:after="0" w:line="244" w:lineRule="exact"/>
        <w:rPr>
          <w:rFonts w:ascii="Arial" w:cs="Arial" w:eastAsia="Arial" w:hAnsi="Arial"/>
          <w:sz w:val="16"/>
          <w:szCs w:val="16"/>
          <w:color w:val="auto"/>
        </w:rPr>
      </w:pPr>
    </w:p>
    <w:p>
      <w:pPr>
        <w:ind w:left="660" w:hanging="328"/>
        <w:spacing w:after="0" w:line="282" w:lineRule="auto"/>
        <w:tabs>
          <w:tab w:leader="none" w:pos="66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Consult with CEO, the Company’s management team, the Teneo team and the Company’s board of directors (“</w:t>
      </w:r>
      <w:r>
        <w:rPr>
          <w:rFonts w:ascii="Arial" w:cs="Arial" w:eastAsia="Arial" w:hAnsi="Arial"/>
          <w:sz w:val="18"/>
          <w:szCs w:val="18"/>
          <w:b w:val="1"/>
          <w:bCs w:val="1"/>
          <w:color w:val="auto"/>
        </w:rPr>
        <w:t>Board</w:t>
      </w:r>
      <w:r>
        <w:rPr>
          <w:rFonts w:ascii="Arial" w:cs="Arial" w:eastAsia="Arial" w:hAnsi="Arial"/>
          <w:sz w:val="18"/>
          <w:szCs w:val="18"/>
          <w:color w:val="auto"/>
        </w:rPr>
        <w:t>”) on organizational goals, strategic road-mapping, and cross-departmental challenges.</w:t>
      </w:r>
    </w:p>
    <w:p>
      <w:pPr>
        <w:spacing w:after="0" w:line="165" w:lineRule="exact"/>
        <w:rPr>
          <w:rFonts w:ascii="Arial" w:cs="Arial" w:eastAsia="Arial" w:hAnsi="Arial"/>
          <w:sz w:val="18"/>
          <w:szCs w:val="18"/>
          <w:color w:val="auto"/>
        </w:rPr>
      </w:pPr>
    </w:p>
    <w:p>
      <w:pPr>
        <w:ind w:left="660" w:hanging="328"/>
        <w:spacing w:after="0"/>
        <w:tabs>
          <w:tab w:leader="none" w:pos="66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Provide leadership to the Company’s accounting and finance departments.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04"/>
        </w:numPr>
        <w:rPr>
          <w:rFonts w:ascii="Arial" w:cs="Arial" w:eastAsia="Arial" w:hAnsi="Arial"/>
          <w:sz w:val="16"/>
          <w:szCs w:val="16"/>
          <w:color w:val="auto"/>
        </w:rPr>
      </w:pPr>
      <w:r>
        <w:rPr>
          <w:rFonts w:ascii="Arial" w:cs="Arial" w:eastAsia="Arial" w:hAnsi="Arial"/>
          <w:sz w:val="16"/>
          <w:szCs w:val="16"/>
          <w:color w:val="auto"/>
        </w:rPr>
        <w:t>Serve as a financial partner to the Company’s CEO and management, developing and assisting in the preparation of financial analyses as needed.</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PRIVATE &amp; CONFIDENTIAL</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Teneo Capital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444500</wp:posOffset>
            </wp:positionV>
            <wp:extent cx="7132320" cy="171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81" w:name="page382"/>
    <w:bookmarkEnd w:id="381"/>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183005" cy="28257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6">
                      <a:clrChange>
                        <a:clrFrom>
                          <a:srgbClr val="FFFFFF"/>
                        </a:clrFrom>
                        <a:clrTo>
                          <a:srgbClr val="FFFFFF">
                            <a:alpha val="0"/>
                          </a:srgbClr>
                        </a:clrTo>
                      </a:clrChange>
                      <a:extLst>
                        <a:ext uri="{28A0092B-C50C-407E-A947-70E740481C1C}"/>
                      </a:extLst>
                    </a:blip>
                    <a:srcRect/>
                    <a:stretch>
                      <a:fillRect/>
                    </a:stretch>
                  </pic:blipFill>
                  <pic:spPr bwMode="auto">
                    <a:xfrm>
                      <a:off x="0" y="0"/>
                      <a:ext cx="1183005" cy="282575"/>
                    </a:xfrm>
                    <a:prstGeom prst="rect">
                      <a:avLst/>
                    </a:prstGeom>
                    <a:noFill/>
                  </pic:spPr>
                </pic:pic>
              </a:graphicData>
            </a:graphic>
          </wp:anchor>
        </w:drawing>
      </w:r>
    </w:p>
    <w:p>
      <w:pPr>
        <w:ind w:left="660" w:hanging="328"/>
        <w:spacing w:after="0"/>
        <w:tabs>
          <w:tab w:leader="none" w:pos="66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Manage forecasting and FP&amp;A activities to include budgeting and reporting.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Coordinate and participate in audit activities with external auditors.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Coordinate with and assist the Company’s management team and Teneo’s Management Consulting team in the implementation of operational improvements and cost savings programs.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Assist in managing liquidity and the implementation of working capital improvements.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Review and identify further cost improvement opportunities.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Assist in the preparation of and review of the Company’s reporting packages for the Board and other stakeholders, including, but not limited to, a weekly cash burn analysis, and provide recommendations for improvement in such reports.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Assist the Company’s senior leadership team in fundraising activities, as requested, including the preparation of required investor decks and other due diligence materials.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Review the Company’s budgeting and forecasting process and provide recommendations for improvement.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Review the current Key Performance Indicators (KPIs) and provide recommendations for additional KPIs.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Review and sign the required regulatory filings of the Company as the Interim CFO, including required certifications of quarterly reports on Form 10-Q and annual reports on Form 10-K.</w:t>
      </w:r>
    </w:p>
    <w:p>
      <w:pPr>
        <w:spacing w:after="0" w:line="170"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The Interim CFO will be designated as an executive officer of the Company. The Interim CFO shall report directly to the CEO and consult with and obtain input from the Board and senior management team. The Interim CFO shall perform such other customary services as requested or authorized by the Board.</w:t>
      </w:r>
    </w:p>
    <w:p>
      <w:pPr>
        <w:spacing w:after="0" w:line="180" w:lineRule="exact"/>
        <w:rPr>
          <w:sz w:val="20"/>
          <w:szCs w:val="20"/>
          <w:color w:val="auto"/>
        </w:rPr>
      </w:pPr>
    </w:p>
    <w:p>
      <w:pPr>
        <w:ind w:left="340" w:hanging="332"/>
        <w:spacing w:after="0"/>
        <w:tabs>
          <w:tab w:leader="none" w:pos="340" w:val="left"/>
        </w:tabs>
        <w:numPr>
          <w:ilvl w:val="0"/>
          <w:numId w:val="406"/>
        </w:numPr>
        <w:rPr>
          <w:rFonts w:ascii="Arial" w:cs="Arial" w:eastAsia="Arial" w:hAnsi="Arial"/>
          <w:sz w:val="18"/>
          <w:szCs w:val="18"/>
          <w:b w:val="1"/>
          <w:bCs w:val="1"/>
          <w:color w:val="auto"/>
        </w:rPr>
      </w:pPr>
      <w:r>
        <w:rPr>
          <w:rFonts w:ascii="Arial" w:cs="Arial" w:eastAsia="Arial" w:hAnsi="Arial"/>
          <w:sz w:val="18"/>
          <w:szCs w:val="18"/>
          <w:b w:val="1"/>
          <w:bCs w:val="1"/>
          <w:color w:val="auto"/>
        </w:rPr>
        <w:t>Compensation</w:t>
      </w:r>
    </w:p>
    <w:p>
      <w:pPr>
        <w:spacing w:after="0" w:line="22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3.1.  Monthly Fixes Fee</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In connection with providing the Services hereunder, Teneo shall be entitled to a fixed monthly fee of $90,000.</w:t>
      </w:r>
    </w:p>
    <w:p>
      <w:pPr>
        <w:spacing w:after="0" w:line="22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3.2.  Expenses</w:t>
      </w:r>
    </w:p>
    <w:p>
      <w:pPr>
        <w:spacing w:after="0" w:line="229" w:lineRule="exact"/>
        <w:rPr>
          <w:rFonts w:ascii="Arial" w:cs="Arial" w:eastAsia="Arial" w:hAnsi="Arial"/>
          <w:sz w:val="18"/>
          <w:szCs w:val="18"/>
          <w:b w:val="1"/>
          <w:bCs w:val="1"/>
          <w:color w:val="auto"/>
        </w:rPr>
      </w:pPr>
    </w:p>
    <w:p>
      <w:pPr>
        <w:jc w:val="both"/>
        <w:ind w:left="340"/>
        <w:spacing w:after="0" w:line="275" w:lineRule="auto"/>
        <w:rPr>
          <w:rFonts w:ascii="Arial" w:cs="Arial" w:eastAsia="Arial" w:hAnsi="Arial"/>
          <w:sz w:val="18"/>
          <w:szCs w:val="18"/>
          <w:b w:val="1"/>
          <w:bCs w:val="1"/>
          <w:color w:val="auto"/>
        </w:rPr>
      </w:pPr>
      <w:r>
        <w:rPr>
          <w:rFonts w:ascii="Arial" w:cs="Arial" w:eastAsia="Arial" w:hAnsi="Arial"/>
          <w:sz w:val="17"/>
          <w:szCs w:val="17"/>
          <w:color w:val="auto"/>
        </w:rPr>
        <w:t>At all times during the Engagement Period, Teneo shall be entitled to full reimbursement for its reasonable out-of-pocket expenses; provided, however, that any out-of-pocket expenses exceeding $5,000 shall be approved by the Company in advance. Out-of-pocket expenses shall include all documented travel expenses, meals, computer and database research charges, messenger services, and reasonable fees and expenses of its legal counsel, if any, and other advisor retained by Teneo (it being understood that the retention of such advisor, other than legal counsel, will be made only with the Company’s prior written consent, which consent shall not be unreasonably withheld, conditioned, or delayed).</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2" w:name="page383"/>
    <w:bookmarkEnd w:id="382"/>
    <w:p>
      <w:pPr>
        <w:spacing w:after="0" w:line="1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183005" cy="28257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8">
                      <a:clrChange>
                        <a:clrFrom>
                          <a:srgbClr val="FFFFFF"/>
                        </a:clrFrom>
                        <a:clrTo>
                          <a:srgbClr val="FFFFFF">
                            <a:alpha val="0"/>
                          </a:srgbClr>
                        </a:clrTo>
                      </a:clrChange>
                      <a:extLst>
                        <a:ext uri="{28A0092B-C50C-407E-A947-70E740481C1C}"/>
                      </a:extLst>
                    </a:blip>
                    <a:srcRect/>
                    <a:stretch>
                      <a:fillRect/>
                    </a:stretch>
                  </pic:blipFill>
                  <pic:spPr bwMode="auto">
                    <a:xfrm>
                      <a:off x="0" y="0"/>
                      <a:ext cx="1183005" cy="282575"/>
                    </a:xfrm>
                    <a:prstGeom prst="rect">
                      <a:avLst/>
                    </a:prstGeom>
                    <a:noFill/>
                  </pic:spPr>
                </pic:pic>
              </a:graphicData>
            </a:graphic>
          </wp:anchor>
        </w:drawing>
      </w:r>
    </w:p>
    <w:p>
      <w:pPr>
        <w:ind w:left="340"/>
        <w:spacing w:after="0"/>
        <w:tabs>
          <w:tab w:leader="none" w:pos="76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5"/>
          <w:szCs w:val="15"/>
          <w:b w:val="1"/>
          <w:bCs w:val="1"/>
          <w:color w:val="auto"/>
        </w:rPr>
        <w:t>Submission of Invoices</w:t>
      </w:r>
    </w:p>
    <w:p>
      <w:pPr>
        <w:spacing w:after="0" w:line="229"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Teneo shall submit invoices for Compensation on a monthly basis. Except as otherwise set forth herein, payment shall be due within thirty (10) business days of invoicing for fees and expenses incurred.</w:t>
      </w:r>
    </w:p>
    <w:p>
      <w:pPr>
        <w:spacing w:after="0" w:line="170" w:lineRule="exact"/>
        <w:rPr>
          <w:sz w:val="20"/>
          <w:szCs w:val="20"/>
          <w:color w:val="auto"/>
        </w:rPr>
      </w:pPr>
    </w:p>
    <w:p>
      <w:pPr>
        <w:jc w:val="both"/>
        <w:ind w:left="340"/>
        <w:spacing w:after="0" w:line="301" w:lineRule="auto"/>
        <w:rPr>
          <w:sz w:val="20"/>
          <w:szCs w:val="20"/>
          <w:color w:val="auto"/>
        </w:rPr>
      </w:pPr>
      <w:r>
        <w:rPr>
          <w:rFonts w:ascii="Arial" w:cs="Arial" w:eastAsia="Arial" w:hAnsi="Arial"/>
          <w:sz w:val="16"/>
          <w:szCs w:val="16"/>
          <w:color w:val="auto"/>
        </w:rPr>
        <w:t>If Teneo does not timely receive any payment due under this Agreement, it may, at its election, immediately suspend services or terminate this Agreement and have no further obligations hereunder except those that survive termination. Teneo’s failure to exercise such remedy (or any other remedy) at any time does not constitute a waiver of its right to do so at any future time. In the event of termination based upon failure to pay or other breach of contract by the Company, Teneo shall remain entitled to receive any unpaid earned compensation and reimbursement for incurred fees.</w:t>
      </w:r>
    </w:p>
    <w:p>
      <w:pPr>
        <w:spacing w:after="0" w:line="153" w:lineRule="exact"/>
        <w:rPr>
          <w:sz w:val="20"/>
          <w:szCs w:val="20"/>
          <w:color w:val="auto"/>
        </w:rPr>
      </w:pPr>
    </w:p>
    <w:p>
      <w:pPr>
        <w:ind w:left="340" w:hanging="332"/>
        <w:spacing w:after="0"/>
        <w:tabs>
          <w:tab w:leader="none" w:pos="340" w:val="left"/>
        </w:tabs>
        <w:numPr>
          <w:ilvl w:val="0"/>
          <w:numId w:val="407"/>
        </w:numPr>
        <w:rPr>
          <w:rFonts w:ascii="Arial" w:cs="Arial" w:eastAsia="Arial" w:hAnsi="Arial"/>
          <w:sz w:val="18"/>
          <w:szCs w:val="18"/>
          <w:b w:val="1"/>
          <w:bCs w:val="1"/>
          <w:color w:val="auto"/>
        </w:rPr>
      </w:pPr>
      <w:r>
        <w:rPr>
          <w:rFonts w:ascii="Arial" w:cs="Arial" w:eastAsia="Arial" w:hAnsi="Arial"/>
          <w:sz w:val="18"/>
          <w:szCs w:val="18"/>
          <w:b w:val="1"/>
          <w:bCs w:val="1"/>
          <w:color w:val="auto"/>
        </w:rPr>
        <w:t>Standard Terms of Business</w:t>
      </w:r>
    </w:p>
    <w:p>
      <w:pPr>
        <w:spacing w:after="0" w:line="225" w:lineRule="exact"/>
        <w:rPr>
          <w:rFonts w:ascii="Arial" w:cs="Arial" w:eastAsia="Arial" w:hAnsi="Arial"/>
          <w:sz w:val="18"/>
          <w:szCs w:val="18"/>
          <w:b w:val="1"/>
          <w:bCs w:val="1"/>
          <w:color w:val="auto"/>
        </w:rPr>
      </w:pPr>
    </w:p>
    <w:p>
      <w:pPr>
        <w:jc w:val="both"/>
        <w:ind w:left="340"/>
        <w:spacing w:after="0" w:line="266" w:lineRule="auto"/>
        <w:rPr>
          <w:rFonts w:ascii="Arial" w:cs="Arial" w:eastAsia="Arial" w:hAnsi="Arial"/>
          <w:sz w:val="18"/>
          <w:szCs w:val="18"/>
          <w:b w:val="1"/>
          <w:bCs w:val="1"/>
          <w:color w:val="auto"/>
        </w:rPr>
      </w:pPr>
      <w:r>
        <w:rPr>
          <w:rFonts w:ascii="Arial" w:cs="Arial" w:eastAsia="Arial" w:hAnsi="Arial"/>
          <w:sz w:val="18"/>
          <w:szCs w:val="18"/>
          <w:color w:val="auto"/>
        </w:rPr>
        <w:t>The standard terms of business (the “</w:t>
      </w:r>
      <w:r>
        <w:rPr>
          <w:rFonts w:ascii="Arial" w:cs="Arial" w:eastAsia="Arial" w:hAnsi="Arial"/>
          <w:sz w:val="18"/>
          <w:szCs w:val="18"/>
          <w:b w:val="1"/>
          <w:bCs w:val="1"/>
          <w:color w:val="auto"/>
        </w:rPr>
        <w:t>Terms of Business</w:t>
      </w:r>
      <w:r>
        <w:rPr>
          <w:rFonts w:ascii="Arial" w:cs="Arial" w:eastAsia="Arial" w:hAnsi="Arial"/>
          <w:sz w:val="18"/>
          <w:szCs w:val="18"/>
          <w:color w:val="auto"/>
        </w:rPr>
        <w:t>”) attached to this Agreement are incorporated herein. Capitalized terms used in this Agreement but not otherwise defined shall have the meanings assigned to them by the Terms of Business. Where the terms and conditions of this Agreement and the Terms of Business differ, this Agreement shall control.</w:t>
      </w:r>
    </w:p>
    <w:p>
      <w:pPr>
        <w:spacing w:after="0" w:line="175" w:lineRule="exact"/>
        <w:rPr>
          <w:rFonts w:ascii="Arial" w:cs="Arial" w:eastAsia="Arial" w:hAnsi="Arial"/>
          <w:sz w:val="18"/>
          <w:szCs w:val="18"/>
          <w:b w:val="1"/>
          <w:bCs w:val="1"/>
          <w:color w:val="auto"/>
        </w:rPr>
      </w:pPr>
    </w:p>
    <w:p>
      <w:pPr>
        <w:ind w:left="340" w:hanging="332"/>
        <w:spacing w:after="0"/>
        <w:tabs>
          <w:tab w:leader="none" w:pos="340" w:val="left"/>
        </w:tabs>
        <w:numPr>
          <w:ilvl w:val="0"/>
          <w:numId w:val="407"/>
        </w:numPr>
        <w:rPr>
          <w:rFonts w:ascii="Arial" w:cs="Arial" w:eastAsia="Arial" w:hAnsi="Arial"/>
          <w:sz w:val="18"/>
          <w:szCs w:val="18"/>
          <w:b w:val="1"/>
          <w:bCs w:val="1"/>
          <w:color w:val="auto"/>
        </w:rPr>
      </w:pPr>
      <w:r>
        <w:rPr>
          <w:rFonts w:ascii="Arial" w:cs="Arial" w:eastAsia="Arial" w:hAnsi="Arial"/>
          <w:sz w:val="18"/>
          <w:szCs w:val="18"/>
          <w:b w:val="1"/>
          <w:bCs w:val="1"/>
          <w:color w:val="auto"/>
        </w:rPr>
        <w:t>Replacement of the Interim CFO</w:t>
      </w:r>
    </w:p>
    <w:p>
      <w:pPr>
        <w:spacing w:after="0" w:line="225" w:lineRule="exact"/>
        <w:rPr>
          <w:rFonts w:ascii="Arial" w:cs="Arial" w:eastAsia="Arial" w:hAnsi="Arial"/>
          <w:sz w:val="18"/>
          <w:szCs w:val="18"/>
          <w:b w:val="1"/>
          <w:bCs w:val="1"/>
          <w:color w:val="auto"/>
        </w:rPr>
      </w:pPr>
    </w:p>
    <w:p>
      <w:pPr>
        <w:jc w:val="both"/>
        <w:ind w:left="340"/>
        <w:spacing w:after="0" w:line="266" w:lineRule="auto"/>
        <w:rPr>
          <w:rFonts w:ascii="Arial" w:cs="Arial" w:eastAsia="Arial" w:hAnsi="Arial"/>
          <w:sz w:val="18"/>
          <w:szCs w:val="18"/>
          <w:b w:val="1"/>
          <w:bCs w:val="1"/>
          <w:color w:val="auto"/>
        </w:rPr>
      </w:pPr>
      <w:r>
        <w:rPr>
          <w:rFonts w:ascii="Arial" w:cs="Arial" w:eastAsia="Arial" w:hAnsi="Arial"/>
          <w:sz w:val="18"/>
          <w:szCs w:val="18"/>
          <w:color w:val="auto"/>
        </w:rPr>
        <w:t>In the event Nathan Cook no longer serves as the Interim CFO for any reason, including death, disability, termination, or resignation (“</w:t>
      </w:r>
      <w:r>
        <w:rPr>
          <w:rFonts w:ascii="Arial" w:cs="Arial" w:eastAsia="Arial" w:hAnsi="Arial"/>
          <w:sz w:val="18"/>
          <w:szCs w:val="18"/>
          <w:b w:val="1"/>
          <w:bCs w:val="1"/>
          <w:color w:val="auto"/>
        </w:rPr>
        <w:t>CFO</w:t>
      </w:r>
      <w:r>
        <w:rPr>
          <w:rFonts w:ascii="Arial" w:cs="Arial" w:eastAsia="Arial" w:hAnsi="Arial"/>
          <w:sz w:val="18"/>
          <w:szCs w:val="18"/>
          <w:color w:val="auto"/>
        </w:rPr>
        <w:t xml:space="preserve"> </w:t>
      </w:r>
      <w:r>
        <w:rPr>
          <w:rFonts w:ascii="Arial" w:cs="Arial" w:eastAsia="Arial" w:hAnsi="Arial"/>
          <w:sz w:val="18"/>
          <w:szCs w:val="18"/>
          <w:b w:val="1"/>
          <w:bCs w:val="1"/>
          <w:color w:val="auto"/>
        </w:rPr>
        <w:t>Termination</w:t>
      </w:r>
      <w:r>
        <w:rPr>
          <w:rFonts w:ascii="Arial" w:cs="Arial" w:eastAsia="Arial" w:hAnsi="Arial"/>
          <w:sz w:val="18"/>
          <w:szCs w:val="18"/>
          <w:color w:val="auto"/>
        </w:rPr>
        <w:t>”), Teneo shall be entitled to payment of any earned but unpaid fees and reimbursement of any incurred expenses until the date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Interim CFO Termination.</w:t>
      </w:r>
    </w:p>
    <w:p>
      <w:pPr>
        <w:spacing w:after="0" w:line="175" w:lineRule="exact"/>
        <w:rPr>
          <w:rFonts w:ascii="Arial" w:cs="Arial" w:eastAsia="Arial" w:hAnsi="Arial"/>
          <w:sz w:val="18"/>
          <w:szCs w:val="18"/>
          <w:b w:val="1"/>
          <w:bCs w:val="1"/>
          <w:color w:val="auto"/>
        </w:rPr>
      </w:pPr>
    </w:p>
    <w:p>
      <w:pPr>
        <w:ind w:left="340" w:hanging="332"/>
        <w:spacing w:after="0"/>
        <w:tabs>
          <w:tab w:leader="none" w:pos="340" w:val="left"/>
        </w:tabs>
        <w:numPr>
          <w:ilvl w:val="0"/>
          <w:numId w:val="407"/>
        </w:numPr>
        <w:rPr>
          <w:rFonts w:ascii="Arial" w:cs="Arial" w:eastAsia="Arial" w:hAnsi="Arial"/>
          <w:sz w:val="18"/>
          <w:szCs w:val="18"/>
          <w:b w:val="1"/>
          <w:bCs w:val="1"/>
          <w:color w:val="auto"/>
        </w:rPr>
      </w:pPr>
      <w:r>
        <w:rPr>
          <w:rFonts w:ascii="Arial" w:cs="Arial" w:eastAsia="Arial" w:hAnsi="Arial"/>
          <w:sz w:val="18"/>
          <w:szCs w:val="18"/>
          <w:b w:val="1"/>
          <w:bCs w:val="1"/>
          <w:color w:val="auto"/>
        </w:rPr>
        <w:t>Insurance</w:t>
      </w:r>
    </w:p>
    <w:p>
      <w:pPr>
        <w:spacing w:after="0" w:line="225" w:lineRule="exact"/>
        <w:rPr>
          <w:rFonts w:ascii="Arial" w:cs="Arial" w:eastAsia="Arial" w:hAnsi="Arial"/>
          <w:sz w:val="18"/>
          <w:szCs w:val="18"/>
          <w:b w:val="1"/>
          <w:bCs w:val="1"/>
          <w:color w:val="auto"/>
        </w:rPr>
      </w:pPr>
    </w:p>
    <w:p>
      <w:pPr>
        <w:jc w:val="both"/>
        <w:ind w:left="34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The Company shall specifically include and cover the Interim CFO under the Company’s policy for directors’ and officers’ (“</w:t>
      </w:r>
      <w:r>
        <w:rPr>
          <w:rFonts w:ascii="Arial" w:cs="Arial" w:eastAsia="Arial" w:hAnsi="Arial"/>
          <w:sz w:val="17"/>
          <w:szCs w:val="17"/>
          <w:b w:val="1"/>
          <w:bCs w:val="1"/>
          <w:color w:val="auto"/>
        </w:rPr>
        <w:t>D&amp;O</w:t>
      </w:r>
      <w:r>
        <w:rPr>
          <w:rFonts w:ascii="Arial" w:cs="Arial" w:eastAsia="Arial" w:hAnsi="Arial"/>
          <w:sz w:val="17"/>
          <w:szCs w:val="17"/>
          <w:color w:val="auto"/>
        </w:rPr>
        <w:t>”) insurance. The Company represents and warrants that it has $30 million in customary D&amp;O insurance, which is currently in effect and accurately described in the binding documents provided to Teneo. The Company shall take all commercially reasonable steps to maintain such D&amp;O coverage, or substantially similar insurance, without lapse or material diminution in available coverage during the entirety of the Engagement Period. In the event of such lapse or material diminution, Teneo may (a) terminate the Engagement immediately and without liability for such termination, or (b) purchase a separate D&amp;O policy, acceptable to Teneo, in its reasonable discretion, that will cover the Interim CFO and the cost of which shall be paid by the Company directly or invoiced as an out-of-pocket expense, at Teneo’s election. If Teneo cannot reasonably obtain such D&amp;O insurance, then Teneo reserves the right to terminate this Agreement without any liability for such termination. The obligations of the parties as set forth herein shall survive the termination of the Engagement.</w:t>
      </w:r>
    </w:p>
    <w:p>
      <w:pPr>
        <w:spacing w:after="0" w:line="173" w:lineRule="exact"/>
        <w:rPr>
          <w:rFonts w:ascii="Arial" w:cs="Arial" w:eastAsia="Arial" w:hAnsi="Arial"/>
          <w:sz w:val="18"/>
          <w:szCs w:val="18"/>
          <w:b w:val="1"/>
          <w:bCs w:val="1"/>
          <w:color w:val="auto"/>
        </w:rPr>
      </w:pPr>
    </w:p>
    <w:p>
      <w:pPr>
        <w:ind w:left="340" w:hanging="332"/>
        <w:spacing w:after="0"/>
        <w:tabs>
          <w:tab w:leader="none" w:pos="340" w:val="left"/>
        </w:tabs>
        <w:numPr>
          <w:ilvl w:val="0"/>
          <w:numId w:val="407"/>
        </w:numPr>
        <w:rPr>
          <w:rFonts w:ascii="Arial" w:cs="Arial" w:eastAsia="Arial" w:hAnsi="Arial"/>
          <w:sz w:val="18"/>
          <w:szCs w:val="18"/>
          <w:b w:val="1"/>
          <w:bCs w:val="1"/>
          <w:color w:val="auto"/>
        </w:rPr>
      </w:pPr>
      <w:r>
        <w:rPr>
          <w:rFonts w:ascii="Arial" w:cs="Arial" w:eastAsia="Arial" w:hAnsi="Arial"/>
          <w:sz w:val="18"/>
          <w:szCs w:val="18"/>
          <w:b w:val="1"/>
          <w:bCs w:val="1"/>
          <w:color w:val="auto"/>
        </w:rPr>
        <w:t>Counterparts and Electronic Signatures</w:t>
      </w:r>
    </w:p>
    <w:p>
      <w:pPr>
        <w:spacing w:after="0" w:line="229" w:lineRule="exact"/>
        <w:rPr>
          <w:rFonts w:ascii="Arial" w:cs="Arial" w:eastAsia="Arial" w:hAnsi="Arial"/>
          <w:sz w:val="18"/>
          <w:szCs w:val="18"/>
          <w:b w:val="1"/>
          <w:bCs w:val="1"/>
          <w:color w:val="auto"/>
        </w:rPr>
      </w:pPr>
    </w:p>
    <w:p>
      <w:pPr>
        <w:jc w:val="both"/>
        <w:ind w:left="3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This Agreement may be executed in multiple counterparts, each of which shall be deemed an original agreement and all of which shall constitute one and the same instrument. The counterparts of this Agreement may be executed and delivered by facsimile or other electronic signature (including portable document format) by any of the parties, and the receiving party(ies) may rely on the receipt of such document so executed and delivered by facsimile or electronically as if the original had been received.</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3" w:name="page384"/>
    <w:bookmarkEnd w:id="383"/>
    <w:p>
      <w:pPr>
        <w:spacing w:after="0" w:line="1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183005" cy="28257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0">
                      <a:clrChange>
                        <a:clrFrom>
                          <a:srgbClr val="FFFFFF"/>
                        </a:clrFrom>
                        <a:clrTo>
                          <a:srgbClr val="FFFFFF">
                            <a:alpha val="0"/>
                          </a:srgbClr>
                        </a:clrTo>
                      </a:clrChange>
                      <a:extLst>
                        <a:ext uri="{28A0092B-C50C-407E-A947-70E740481C1C}"/>
                      </a:extLst>
                    </a:blip>
                    <a:srcRect/>
                    <a:stretch>
                      <a:fillRect/>
                    </a:stretch>
                  </pic:blipFill>
                  <pic:spPr bwMode="auto">
                    <a:xfrm>
                      <a:off x="0" y="0"/>
                      <a:ext cx="1183005" cy="282575"/>
                    </a:xfrm>
                    <a:prstGeom prst="rect">
                      <a:avLst/>
                    </a:prstGeom>
                    <a:noFill/>
                  </pic:spPr>
                </pic:pic>
              </a:graphicData>
            </a:graphic>
          </wp:anchor>
        </w:drawing>
      </w:r>
    </w:p>
    <w:p>
      <w:pPr>
        <w:ind w:left="340" w:hanging="332"/>
        <w:spacing w:after="0"/>
        <w:tabs>
          <w:tab w:leader="none" w:pos="340" w:val="left"/>
        </w:tabs>
        <w:numPr>
          <w:ilvl w:val="0"/>
          <w:numId w:val="408"/>
        </w:numPr>
        <w:rPr>
          <w:rFonts w:ascii="Arial" w:cs="Arial" w:eastAsia="Arial" w:hAnsi="Arial"/>
          <w:sz w:val="18"/>
          <w:szCs w:val="18"/>
          <w:b w:val="1"/>
          <w:bCs w:val="1"/>
          <w:color w:val="auto"/>
        </w:rPr>
      </w:pPr>
      <w:r>
        <w:rPr>
          <w:rFonts w:ascii="Arial" w:cs="Arial" w:eastAsia="Arial" w:hAnsi="Arial"/>
          <w:sz w:val="18"/>
          <w:szCs w:val="18"/>
          <w:b w:val="1"/>
          <w:bCs w:val="1"/>
          <w:color w:val="auto"/>
        </w:rPr>
        <w:t>Conflicts</w:t>
      </w:r>
    </w:p>
    <w:p>
      <w:pPr>
        <w:spacing w:after="0" w:line="229" w:lineRule="exact"/>
        <w:rPr>
          <w:rFonts w:ascii="Arial" w:cs="Arial" w:eastAsia="Arial" w:hAnsi="Arial"/>
          <w:sz w:val="18"/>
          <w:szCs w:val="18"/>
          <w:b w:val="1"/>
          <w:bCs w:val="1"/>
          <w:color w:val="auto"/>
        </w:rPr>
      </w:pPr>
    </w:p>
    <w:p>
      <w:pPr>
        <w:jc w:val="both"/>
        <w:ind w:left="3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Teneo is not currently aware of any relationship that would create a conflict of interest with the Company or those parties-in-interest which the Company has made Teneo aware. Teneo certifies that the Interim CFO has no outstanding agreement or obligation that is in conflict with any of the provisions of this Agreement or that would preclude Interim CFO from complying with the provisions of this Agreement. Interim CFO will not enter into any such conflicting agreement during the term of this Agreement.</w:t>
      </w:r>
    </w:p>
    <w:p>
      <w:pPr>
        <w:spacing w:after="0" w:line="182" w:lineRule="exact"/>
        <w:rPr>
          <w:rFonts w:ascii="Arial" w:cs="Arial" w:eastAsia="Arial" w:hAnsi="Arial"/>
          <w:sz w:val="18"/>
          <w:szCs w:val="18"/>
          <w:b w:val="1"/>
          <w:bCs w:val="1"/>
          <w:color w:val="auto"/>
        </w:rPr>
      </w:pPr>
    </w:p>
    <w:p>
      <w:pPr>
        <w:ind w:left="340" w:hanging="332"/>
        <w:spacing w:after="0"/>
        <w:tabs>
          <w:tab w:leader="none" w:pos="340" w:val="left"/>
        </w:tabs>
        <w:numPr>
          <w:ilvl w:val="0"/>
          <w:numId w:val="408"/>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229" w:lineRule="exact"/>
        <w:rPr>
          <w:rFonts w:ascii="Arial" w:cs="Arial" w:eastAsia="Arial" w:hAnsi="Arial"/>
          <w:sz w:val="18"/>
          <w:szCs w:val="18"/>
          <w:b w:val="1"/>
          <w:bCs w:val="1"/>
          <w:color w:val="auto"/>
        </w:rPr>
      </w:pPr>
    </w:p>
    <w:p>
      <w:pPr>
        <w:jc w:val="both"/>
        <w:ind w:left="3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All notices required or permitted to be given under this Agreement shall be in writing and shall be deemed to have been given and received (a) when personally delivered or delivered by same-day courier; (b) on the third business day after mailing by registered or certified mail; (c) upon delivery when sent by prepaid overnight express delivery service (e.g., FedEx, UPS); or (d) when sent via email or facsimile and upon the receipt by the sending party of written confirmation by the receiving party; provided, however, that an automated facsimile or email confirmation of delivery or read receipt shall not constitute such confirmation; and, in any case addressed to the addresses set forth below, which may be updated by the parties to this Engagement in writing from time to time.</w:t>
      </w:r>
    </w:p>
    <w:p>
      <w:pPr>
        <w:spacing w:after="0" w:line="192"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Nathan Cook</w:t>
      </w:r>
    </w:p>
    <w:p>
      <w:pPr>
        <w:spacing w:after="0" w:line="23" w:lineRule="exact"/>
        <w:rPr>
          <w:rFonts w:ascii="Arial" w:cs="Arial" w:eastAsia="Arial" w:hAnsi="Arial"/>
          <w:sz w:val="18"/>
          <w:szCs w:val="18"/>
          <w:b w:val="1"/>
          <w:bCs w:val="1"/>
          <w:color w:val="auto"/>
        </w:rPr>
      </w:pPr>
    </w:p>
    <w:p>
      <w:pPr>
        <w:ind w:left="340" w:right="9020"/>
        <w:spacing w:after="0" w:line="281" w:lineRule="auto"/>
        <w:rPr>
          <w:rFonts w:ascii="Arial" w:cs="Arial" w:eastAsia="Arial" w:hAnsi="Arial"/>
          <w:sz w:val="18"/>
          <w:szCs w:val="18"/>
          <w:b w:val="1"/>
          <w:bCs w:val="1"/>
          <w:color w:val="auto"/>
        </w:rPr>
      </w:pPr>
      <w:r>
        <w:rPr>
          <w:rFonts w:ascii="Arial" w:cs="Arial" w:eastAsia="Arial" w:hAnsi="Arial"/>
          <w:sz w:val="16"/>
          <w:szCs w:val="16"/>
          <w:color w:val="auto"/>
        </w:rPr>
        <w:t>Senior Managing Director Teneo Capital LLC</w:t>
      </w:r>
    </w:p>
    <w:p>
      <w:pPr>
        <w:spacing w:after="0" w:line="1" w:lineRule="exact"/>
        <w:rPr>
          <w:rFonts w:ascii="Arial" w:cs="Arial" w:eastAsia="Arial" w:hAnsi="Arial"/>
          <w:sz w:val="18"/>
          <w:szCs w:val="18"/>
          <w:b w:val="1"/>
          <w:bCs w:val="1"/>
          <w:color w:val="auto"/>
        </w:rPr>
      </w:pPr>
    </w:p>
    <w:p>
      <w:pPr>
        <w:ind w:left="340" w:right="89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280 Park Avenue, 4th Floor New York, NY 10017 [***]</w:t>
      </w:r>
    </w:p>
    <w:p>
      <w:pPr>
        <w:spacing w:after="0" w:line="189" w:lineRule="exact"/>
        <w:rPr>
          <w:rFonts w:ascii="Arial" w:cs="Arial" w:eastAsia="Arial" w:hAnsi="Arial"/>
          <w:sz w:val="18"/>
          <w:szCs w:val="18"/>
          <w:b w:val="1"/>
          <w:bCs w:val="1"/>
          <w:color w:val="auto"/>
        </w:rPr>
      </w:pPr>
    </w:p>
    <w:p>
      <w:pPr>
        <w:ind w:left="340" w:right="9180"/>
        <w:spacing w:after="0" w:line="287" w:lineRule="auto"/>
        <w:rPr>
          <w:rFonts w:ascii="Arial" w:cs="Arial" w:eastAsia="Arial" w:hAnsi="Arial"/>
          <w:sz w:val="18"/>
          <w:szCs w:val="18"/>
          <w:b w:val="1"/>
          <w:bCs w:val="1"/>
          <w:color w:val="auto"/>
        </w:rPr>
      </w:pPr>
      <w:r>
        <w:rPr>
          <w:rFonts w:ascii="Arial" w:cs="Arial" w:eastAsia="Arial" w:hAnsi="Arial"/>
          <w:sz w:val="16"/>
          <w:szCs w:val="16"/>
          <w:color w:val="auto"/>
        </w:rPr>
        <w:t>Xavier Casanova Chief Executive Officer Presto Automation Inc.</w:t>
      </w:r>
    </w:p>
    <w:p>
      <w:pPr>
        <w:spacing w:after="0" w:line="2" w:lineRule="exact"/>
        <w:rPr>
          <w:rFonts w:ascii="Arial" w:cs="Arial" w:eastAsia="Arial" w:hAnsi="Arial"/>
          <w:sz w:val="18"/>
          <w:szCs w:val="18"/>
          <w:b w:val="1"/>
          <w:bCs w:val="1"/>
          <w:color w:val="auto"/>
        </w:rPr>
      </w:pPr>
    </w:p>
    <w:p>
      <w:pPr>
        <w:ind w:left="340" w:right="870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985 Industrial Road, Suite 205 San Carlos, CA, 94070 [***]</w:t>
      </w:r>
    </w:p>
    <w:p>
      <w:pPr>
        <w:spacing w:after="0" w:line="185" w:lineRule="exact"/>
        <w:rPr>
          <w:rFonts w:ascii="Arial" w:cs="Arial" w:eastAsia="Arial" w:hAnsi="Arial"/>
          <w:sz w:val="18"/>
          <w:szCs w:val="18"/>
          <w:b w:val="1"/>
          <w:bCs w:val="1"/>
          <w:color w:val="auto"/>
        </w:rPr>
      </w:pPr>
    </w:p>
    <w:p>
      <w:pPr>
        <w:ind w:left="340" w:hanging="332"/>
        <w:spacing w:after="0"/>
        <w:tabs>
          <w:tab w:leader="none" w:pos="340" w:val="left"/>
        </w:tabs>
        <w:numPr>
          <w:ilvl w:val="0"/>
          <w:numId w:val="408"/>
        </w:numPr>
        <w:rPr>
          <w:rFonts w:ascii="Arial" w:cs="Arial" w:eastAsia="Arial" w:hAnsi="Arial"/>
          <w:sz w:val="18"/>
          <w:szCs w:val="18"/>
          <w:b w:val="1"/>
          <w:bCs w:val="1"/>
          <w:color w:val="auto"/>
        </w:rPr>
      </w:pPr>
      <w:r>
        <w:rPr>
          <w:rFonts w:ascii="Arial" w:cs="Arial" w:eastAsia="Arial" w:hAnsi="Arial"/>
          <w:sz w:val="18"/>
          <w:szCs w:val="18"/>
          <w:b w:val="1"/>
          <w:bCs w:val="1"/>
          <w:color w:val="auto"/>
        </w:rPr>
        <w:t>Agreement to Terms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Please confirm your written acceptance of this Agreement by signing and returning the attached copy.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 on the next page</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4" w:name="page385"/>
    <w:bookmarkEnd w:id="384"/>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183005" cy="28257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2">
                      <a:clrChange>
                        <a:clrFrom>
                          <a:srgbClr val="FFFFFF"/>
                        </a:clrFrom>
                        <a:clrTo>
                          <a:srgbClr val="FFFFFF">
                            <a:alpha val="0"/>
                          </a:srgbClr>
                        </a:clrTo>
                      </a:clrChange>
                      <a:extLst>
                        <a:ext uri="{28A0092B-C50C-407E-A947-70E740481C1C}"/>
                      </a:extLst>
                    </a:blip>
                    <a:srcRect/>
                    <a:stretch>
                      <a:fillRect/>
                    </a:stretch>
                  </pic:blipFill>
                  <pic:spPr bwMode="auto">
                    <a:xfrm>
                      <a:off x="0" y="0"/>
                      <a:ext cx="1183005" cy="28257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I accept the terms of this Agreement on behalf of Teneo Capital LLC</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6"/>
          <w:szCs w:val="16"/>
          <w:color w:val="auto"/>
        </w:rPr>
        <w:t>I accept the terms of this Agreement on behalf of Presto Automation Inc.</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7"/>
        </w:trPr>
        <w:tc>
          <w:tcPr>
            <w:tcW w:w="680" w:type="dxa"/>
            <w:vAlign w:val="bottom"/>
          </w:tcPr>
          <w:p>
            <w:pPr>
              <w:spacing w:after="0"/>
              <w:rPr>
                <w:sz w:val="20"/>
                <w:szCs w:val="20"/>
                <w:color w:val="auto"/>
              </w:rPr>
            </w:pPr>
            <w:r>
              <w:rPr>
                <w:rFonts w:ascii="Arial" w:cs="Arial" w:eastAsia="Arial" w:hAnsi="Arial"/>
                <w:sz w:val="18"/>
                <w:szCs w:val="18"/>
                <w:color w:val="auto"/>
              </w:rPr>
              <w:t>Signed</w:t>
            </w: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Sawyer</w:t>
            </w:r>
          </w:p>
        </w:tc>
      </w:tr>
      <w:tr>
        <w:trPr>
          <w:trHeight w:val="202"/>
        </w:trPr>
        <w:tc>
          <w:tcPr>
            <w:tcW w:w="6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800" w:type="dxa"/>
            <w:vAlign w:val="bottom"/>
          </w:tcPr>
          <w:p>
            <w:pPr>
              <w:spacing w:after="0" w:line="201" w:lineRule="exact"/>
              <w:rPr>
                <w:sz w:val="20"/>
                <w:szCs w:val="20"/>
                <w:color w:val="auto"/>
              </w:rPr>
            </w:pPr>
            <w:r>
              <w:rPr>
                <w:rFonts w:ascii="Arial" w:cs="Arial" w:eastAsia="Arial" w:hAnsi="Arial"/>
                <w:sz w:val="18"/>
                <w:szCs w:val="18"/>
                <w:color w:val="auto"/>
              </w:rPr>
              <w:t>David Sawyer</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Date</w:t>
            </w:r>
          </w:p>
        </w:tc>
        <w:tc>
          <w:tcPr>
            <w:tcW w:w="3800" w:type="dxa"/>
            <w:vAlign w:val="bottom"/>
          </w:tcPr>
          <w:p>
            <w:pPr>
              <w:spacing w:after="0"/>
              <w:rPr>
                <w:sz w:val="20"/>
                <w:szCs w:val="20"/>
                <w:color w:val="auto"/>
              </w:rPr>
            </w:pPr>
            <w:r>
              <w:rPr>
                <w:rFonts w:ascii="Arial" w:cs="Arial" w:eastAsia="Arial" w:hAnsi="Arial"/>
                <w:sz w:val="18"/>
                <w:szCs w:val="18"/>
                <w:color w:val="auto"/>
              </w:rPr>
              <w:t>06 October 2023</w:t>
            </w:r>
          </w:p>
        </w:tc>
      </w:tr>
      <w:tr>
        <w:trPr>
          <w:trHeight w:val="871"/>
        </w:trPr>
        <w:tc>
          <w:tcPr>
            <w:tcW w:w="680" w:type="dxa"/>
            <w:vAlign w:val="bottom"/>
          </w:tcPr>
          <w:p>
            <w:pPr>
              <w:spacing w:after="0"/>
              <w:rPr>
                <w:sz w:val="20"/>
                <w:szCs w:val="20"/>
                <w:color w:val="auto"/>
              </w:rPr>
            </w:pPr>
            <w:r>
              <w:rPr>
                <w:rFonts w:ascii="Arial" w:cs="Arial" w:eastAsia="Arial" w:hAnsi="Arial"/>
                <w:sz w:val="18"/>
                <w:szCs w:val="18"/>
                <w:color w:val="auto"/>
              </w:rPr>
              <w:t>Signed</w:t>
            </w: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Xavier Casanova</w:t>
            </w:r>
          </w:p>
        </w:tc>
      </w:tr>
      <w:tr>
        <w:trPr>
          <w:trHeight w:val="202"/>
        </w:trPr>
        <w:tc>
          <w:tcPr>
            <w:tcW w:w="6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800" w:type="dxa"/>
            <w:vAlign w:val="bottom"/>
          </w:tcPr>
          <w:p>
            <w:pPr>
              <w:spacing w:after="0" w:line="201" w:lineRule="exact"/>
              <w:rPr>
                <w:sz w:val="20"/>
                <w:szCs w:val="20"/>
                <w:color w:val="auto"/>
              </w:rPr>
            </w:pPr>
            <w:r>
              <w:rPr>
                <w:rFonts w:ascii="Arial" w:cs="Arial" w:eastAsia="Arial" w:hAnsi="Arial"/>
                <w:sz w:val="18"/>
                <w:szCs w:val="18"/>
                <w:color w:val="auto"/>
              </w:rPr>
              <w:t>Xavier Casanova</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Date</w:t>
            </w:r>
          </w:p>
        </w:tc>
        <w:tc>
          <w:tcPr>
            <w:tcW w:w="3800" w:type="dxa"/>
            <w:vAlign w:val="bottom"/>
          </w:tcPr>
          <w:p>
            <w:pPr>
              <w:spacing w:after="0"/>
              <w:rPr>
                <w:sz w:val="20"/>
                <w:szCs w:val="20"/>
                <w:color w:val="auto"/>
              </w:rPr>
            </w:pPr>
            <w:r>
              <w:rPr>
                <w:rFonts w:ascii="Arial" w:cs="Arial" w:eastAsia="Arial" w:hAnsi="Arial"/>
                <w:sz w:val="18"/>
                <w:szCs w:val="18"/>
                <w:color w:val="auto"/>
              </w:rPr>
              <w:t>05 October 2023</w:t>
            </w:r>
          </w:p>
        </w:tc>
      </w:tr>
    </w:tbl>
    <w:p>
      <w:pPr>
        <w:spacing w:after="0" w:line="200" w:lineRule="exact"/>
        <w:rPr>
          <w:sz w:val="20"/>
          <w:szCs w:val="20"/>
          <w:color w:val="auto"/>
        </w:rPr>
      </w:pPr>
    </w:p>
    <w:p>
      <w:pPr>
        <w:sectPr>
          <w:pgSz w:w="11900" w:h="16838" w:orient="portrait"/>
          <w:cols w:equalWidth="0" w:num="2">
            <w:col w:w="6040" w:space="720"/>
            <w:col w:w="4480"/>
          </w:cols>
          <w:pgMar w:left="320" w:top="1440" w:right="339" w:bottom="1440" w:gutter="0" w:footer="0" w:header="0"/>
          <w:type w:val="continuous"/>
        </w:sect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32320" cy="171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85" w:name="page386"/>
    <w:bookmarkEnd w:id="385"/>
    <w:p>
      <w:pPr>
        <w:spacing w:after="0" w:line="1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183005" cy="28257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4">
                      <a:clrChange>
                        <a:clrFrom>
                          <a:srgbClr val="FFFFFF"/>
                        </a:clrFrom>
                        <a:clrTo>
                          <a:srgbClr val="FFFFFF">
                            <a:alpha val="0"/>
                          </a:srgbClr>
                        </a:clrTo>
                      </a:clrChange>
                      <a:extLst>
                        <a:ext uri="{28A0092B-C50C-407E-A947-70E740481C1C}"/>
                      </a:extLst>
                    </a:blip>
                    <a:srcRect/>
                    <a:stretch>
                      <a:fillRect/>
                    </a:stretch>
                  </pic:blipFill>
                  <pic:spPr bwMode="auto">
                    <a:xfrm>
                      <a:off x="0" y="0"/>
                      <a:ext cx="1183005" cy="28257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Teneo Capital LLC Terms of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any entity controlled by, controlling, or under common control with, the relevant party.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means the EL, including these Terms of Business.</w:t>
      </w:r>
    </w:p>
    <w:p>
      <w:pPr>
        <w:spacing w:after="0" w:line="225"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Claims</w:t>
      </w:r>
      <w:r>
        <w:rPr>
          <w:rFonts w:ascii="Arial" w:cs="Arial" w:eastAsia="Arial" w:hAnsi="Arial"/>
          <w:sz w:val="17"/>
          <w:szCs w:val="17"/>
          <w:color w:val="auto"/>
        </w:rPr>
        <w:t>” means all liabilities, losses, damages, expenses, fines, penalties, costs, claims, causes of actions, investigations, inquiries, subpoenas, or other proceedings (including reasonably incurred legal costs; vendor costs for recovering, searching, hosting, and producing electronically stored data in defending any such claim; and any amounts paid by us for responding to any investigation, subpoena, discovery demands, or other proceeding) related to or arising in any manner out of any activities performed or services furnished pursuant to this Agreement.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Client</w:t>
      </w:r>
      <w:r>
        <w:rPr>
          <w:rFonts w:ascii="Arial" w:cs="Arial" w:eastAsia="Arial" w:hAnsi="Arial"/>
          <w:sz w:val="18"/>
          <w:szCs w:val="18"/>
          <w:color w:val="auto"/>
        </w:rPr>
        <w:t>,” “</w:t>
      </w:r>
      <w:r>
        <w:rPr>
          <w:rFonts w:ascii="Arial" w:cs="Arial" w:eastAsia="Arial" w:hAnsi="Arial"/>
          <w:sz w:val="18"/>
          <w:szCs w:val="18"/>
          <w:b w:val="1"/>
          <w:bCs w:val="1"/>
          <w:color w:val="auto"/>
        </w:rPr>
        <w:t>you</w:t>
      </w:r>
      <w:r>
        <w:rPr>
          <w:rFonts w:ascii="Arial" w:cs="Arial" w:eastAsia="Arial" w:hAnsi="Arial"/>
          <w:sz w:val="18"/>
          <w:szCs w:val="18"/>
          <w:color w:val="auto"/>
        </w:rPr>
        <w:t>,” or “</w:t>
      </w:r>
      <w:r>
        <w:rPr>
          <w:rFonts w:ascii="Arial" w:cs="Arial" w:eastAsia="Arial" w:hAnsi="Arial"/>
          <w:sz w:val="18"/>
          <w:szCs w:val="18"/>
          <w:b w:val="1"/>
          <w:bCs w:val="1"/>
          <w:color w:val="auto"/>
        </w:rPr>
        <w:t>your</w:t>
      </w:r>
      <w:r>
        <w:rPr>
          <w:rFonts w:ascii="Arial" w:cs="Arial" w:eastAsia="Arial" w:hAnsi="Arial"/>
          <w:sz w:val="18"/>
          <w:szCs w:val="18"/>
          <w:color w:val="auto"/>
        </w:rPr>
        <w:t>” means, or refers to, the recipient(s) of the Services signing the EL.</w:t>
      </w:r>
    </w:p>
    <w:p>
      <w:pPr>
        <w:spacing w:after="0" w:line="22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Client Materials</w:t>
      </w:r>
      <w:r>
        <w:rPr>
          <w:rFonts w:ascii="Arial" w:cs="Arial" w:eastAsia="Arial" w:hAnsi="Arial"/>
          <w:sz w:val="18"/>
          <w:szCs w:val="18"/>
          <w:color w:val="auto"/>
        </w:rPr>
        <w:t>” means all information relating to your business and the operation, strategies, products, and finances of your company that you provide us during the term of the EL for the provision of the Services.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Compensation</w:t>
      </w:r>
      <w:r>
        <w:rPr>
          <w:rFonts w:ascii="Arial" w:cs="Arial" w:eastAsia="Arial" w:hAnsi="Arial"/>
          <w:sz w:val="18"/>
          <w:szCs w:val="18"/>
          <w:color w:val="auto"/>
        </w:rPr>
        <w:t>” means our fees and expenses plus applicable taxes in respect to the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Damages</w:t>
      </w:r>
      <w:r>
        <w:rPr>
          <w:rFonts w:ascii="Arial" w:cs="Arial" w:eastAsia="Arial" w:hAnsi="Arial"/>
          <w:sz w:val="18"/>
          <w:szCs w:val="18"/>
          <w:color w:val="auto"/>
        </w:rPr>
        <w:t>” means all losses, damages, liabilities, costs, and expenses arising from, or in any way in connection with, this Agreement.</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Deliverable(s)</w:t>
      </w:r>
      <w:r>
        <w:rPr>
          <w:rFonts w:ascii="Arial" w:cs="Arial" w:eastAsia="Arial" w:hAnsi="Arial"/>
          <w:sz w:val="18"/>
          <w:szCs w:val="18"/>
          <w:color w:val="auto"/>
        </w:rPr>
        <w:t>” means all written advice or other tangible product of the Services that is provided by Teneo to you and/or any items as specified in the EL as a “Deliverable.”</w:t>
      </w:r>
    </w:p>
    <w:p>
      <w:pPr>
        <w:spacing w:after="0" w:line="16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Developed Material(s)</w:t>
      </w:r>
      <w:r>
        <w:rPr>
          <w:rFonts w:ascii="Arial" w:cs="Arial" w:eastAsia="Arial" w:hAnsi="Arial"/>
          <w:sz w:val="18"/>
          <w:szCs w:val="18"/>
          <w:color w:val="auto"/>
        </w:rPr>
        <w:t>” means the output of our Services prepared jointly by a combination of our personnel working jointly with your own personnel and where you remain solely responsible for all of the decisions, assessments, conclusions, and judgments underlying them and is not Teneo branded, as specified in the EL as a “Developed Material.”</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means the date stated in the EL as the date on which this Agreement commences.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w:t>
      </w:r>
      <w:r>
        <w:rPr>
          <w:rFonts w:ascii="Arial" w:cs="Arial" w:eastAsia="Arial" w:hAnsi="Arial"/>
          <w:sz w:val="18"/>
          <w:szCs w:val="18"/>
          <w:color w:val="auto"/>
        </w:rPr>
        <w:t>” means the engagement letter (and, as applicable, its appendices, schedules. or exhibits) accompanying these Terms of Business.</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 Rights</w:t>
      </w:r>
      <w:r>
        <w:rPr>
          <w:rFonts w:ascii="Arial" w:cs="Arial" w:eastAsia="Arial" w:hAnsi="Arial"/>
          <w:sz w:val="18"/>
          <w:szCs w:val="18"/>
          <w:color w:val="auto"/>
        </w:rPr>
        <w:t>” means all past, present, and future legal and/or equitable interests and rights in all intellectual property and other proprietary rights of any kind whether registered or unregistered and existing now or in the future, including trademarks, service marks, inventions, patents, copyrights, trade secrets, and all goodwill associated with any of the foregoing and rights in, or relating to, applications, registrations, renewals, extensions, combinations, divisions, and reissues of any of the foregoing and any right or form of protection of equivalent or similar nature or effect to any of them that may subsist anywhere in the world.</w:t>
      </w:r>
    </w:p>
    <w:p>
      <w:pPr>
        <w:spacing w:after="0" w:line="18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Pre-Existing Works</w:t>
      </w:r>
      <w:r>
        <w:rPr>
          <w:rFonts w:ascii="Arial" w:cs="Arial" w:eastAsia="Arial" w:hAnsi="Arial"/>
          <w:sz w:val="18"/>
          <w:szCs w:val="18"/>
          <w:color w:val="auto"/>
        </w:rPr>
        <w:t>” means all Intellectual Property Rights in any materials (including any software) that is created by, owned by, or licensed to us prior to the Effective Date, whether recorded in a documentary form or stored on any storage device, or subsequently amended during or following the termination of the EL and any subsequent modifications to the same.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Services</w:t>
      </w:r>
      <w:r>
        <w:rPr>
          <w:rFonts w:ascii="Arial" w:cs="Arial" w:eastAsia="Arial" w:hAnsi="Arial"/>
          <w:sz w:val="18"/>
          <w:szCs w:val="18"/>
          <w:color w:val="auto"/>
        </w:rPr>
        <w:t>” means the services described in the EL as the “Services,” including the provision of Deliverables.</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Subcontractors</w:t>
      </w:r>
      <w:r>
        <w:rPr>
          <w:rFonts w:ascii="Arial" w:cs="Arial" w:eastAsia="Arial" w:hAnsi="Arial"/>
          <w:sz w:val="18"/>
          <w:szCs w:val="18"/>
          <w:color w:val="auto"/>
        </w:rPr>
        <w:t>” means third parties appointed by Teneo to support the provision of the Services. “</w:t>
      </w:r>
      <w:r>
        <w:rPr>
          <w:rFonts w:ascii="Arial" w:cs="Arial" w:eastAsia="Arial" w:hAnsi="Arial"/>
          <w:sz w:val="18"/>
          <w:szCs w:val="18"/>
          <w:b w:val="1"/>
          <w:bCs w:val="1"/>
          <w:color w:val="auto"/>
        </w:rPr>
        <w:t>Teneo</w:t>
      </w:r>
      <w:r>
        <w:rPr>
          <w:rFonts w:ascii="Arial" w:cs="Arial" w:eastAsia="Arial" w:hAnsi="Arial"/>
          <w:sz w:val="18"/>
          <w:szCs w:val="18"/>
          <w:color w:val="auto"/>
        </w:rPr>
        <w:t>,” “</w:t>
      </w:r>
      <w:r>
        <w:rPr>
          <w:rFonts w:ascii="Arial" w:cs="Arial" w:eastAsia="Arial" w:hAnsi="Arial"/>
          <w:sz w:val="18"/>
          <w:szCs w:val="18"/>
          <w:b w:val="1"/>
          <w:bCs w:val="1"/>
          <w:color w:val="auto"/>
        </w:rPr>
        <w:t>we</w:t>
      </w:r>
      <w:r>
        <w:rPr>
          <w:rFonts w:ascii="Arial" w:cs="Arial" w:eastAsia="Arial" w:hAnsi="Arial"/>
          <w:sz w:val="18"/>
          <w:szCs w:val="18"/>
          <w:color w:val="auto"/>
        </w:rPr>
        <w:t>,” “</w:t>
      </w:r>
      <w:r>
        <w:rPr>
          <w:rFonts w:ascii="Arial" w:cs="Arial" w:eastAsia="Arial" w:hAnsi="Arial"/>
          <w:sz w:val="18"/>
          <w:szCs w:val="18"/>
          <w:b w:val="1"/>
          <w:bCs w:val="1"/>
          <w:color w:val="auto"/>
        </w:rPr>
        <w:t>us</w:t>
      </w:r>
      <w:r>
        <w:rPr>
          <w:rFonts w:ascii="Arial" w:cs="Arial" w:eastAsia="Arial" w:hAnsi="Arial"/>
          <w:sz w:val="18"/>
          <w:szCs w:val="18"/>
          <w:color w:val="auto"/>
        </w:rPr>
        <w:t>,” or “</w:t>
      </w:r>
      <w:r>
        <w:rPr>
          <w:rFonts w:ascii="Arial" w:cs="Arial" w:eastAsia="Arial" w:hAnsi="Arial"/>
          <w:sz w:val="18"/>
          <w:szCs w:val="18"/>
          <w:b w:val="1"/>
          <w:bCs w:val="1"/>
          <w:color w:val="auto"/>
        </w:rPr>
        <w:t>our</w:t>
      </w:r>
      <w:r>
        <w:rPr>
          <w:rFonts w:ascii="Arial" w:cs="Arial" w:eastAsia="Arial" w:hAnsi="Arial"/>
          <w:sz w:val="18"/>
          <w:szCs w:val="18"/>
          <w:color w:val="auto"/>
        </w:rPr>
        <w:t>” means, or refers to, the Teneo Party signing the EL.</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6" w:name="page387"/>
    <w:bookmarkEnd w:id="386"/>
    <w:p>
      <w:pPr>
        <w:spacing w:after="0" w:line="1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183005" cy="28257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6">
                      <a:clrChange>
                        <a:clrFrom>
                          <a:srgbClr val="FFFFFF"/>
                        </a:clrFrom>
                        <a:clrTo>
                          <a:srgbClr val="FFFFFF">
                            <a:alpha val="0"/>
                          </a:srgbClr>
                        </a:clrTo>
                      </a:clrChange>
                      <a:extLst>
                        <a:ext uri="{28A0092B-C50C-407E-A947-70E740481C1C}"/>
                      </a:extLst>
                    </a:blip>
                    <a:srcRect/>
                    <a:stretch>
                      <a:fillRect/>
                    </a:stretch>
                  </pic:blipFill>
                  <pic:spPr bwMode="auto">
                    <a:xfrm>
                      <a:off x="0" y="0"/>
                      <a:ext cx="1183005" cy="282575"/>
                    </a:xfrm>
                    <a:prstGeom prst="rect">
                      <a:avLst/>
                    </a:prstGeom>
                    <a:noFill/>
                  </pic:spPr>
                </pic:pic>
              </a:graphicData>
            </a:graphic>
          </wp:anchor>
        </w:drawing>
      </w:r>
    </w:p>
    <w:p>
      <w:pPr>
        <w:jc w:val="both"/>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Teneo Party(ies)</w:t>
      </w:r>
      <w:r>
        <w:rPr>
          <w:rFonts w:ascii="Arial" w:cs="Arial" w:eastAsia="Arial" w:hAnsi="Arial"/>
          <w:sz w:val="18"/>
          <w:szCs w:val="18"/>
          <w:color w:val="auto"/>
        </w:rPr>
        <w:t>” means Teneo, any member of the Teneo Holdings LLC network of firms and their holding companies, subsidiaries, Affiliates, and Subcontractors and, in each case, their respective partners, principals, officers, directors, and personnel.</w:t>
      </w:r>
    </w:p>
    <w:p>
      <w:pPr>
        <w:spacing w:after="0" w:line="162" w:lineRule="exact"/>
        <w:rPr>
          <w:sz w:val="20"/>
          <w:szCs w:val="20"/>
          <w:color w:val="auto"/>
        </w:rPr>
      </w:pPr>
    </w:p>
    <w:p>
      <w:pPr>
        <w:jc w:val="both"/>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Teneo Technologies</w:t>
      </w:r>
      <w:r>
        <w:rPr>
          <w:rFonts w:ascii="Arial" w:cs="Arial" w:eastAsia="Arial" w:hAnsi="Arial"/>
          <w:sz w:val="16"/>
          <w:szCs w:val="16"/>
          <w:color w:val="auto"/>
        </w:rPr>
        <w:t>” means all content, publications, thought pieces, materials, software, system interfaces, templates, methodologies, tools, processes, and technologies, including cloud-based technologies and algorithms owned by, licensed to, or developed by any Teneo Party and used by Teneo and its Subcontractors in performing the Services or its other obligations that are not an output of the Services and are licensed to you under separate license terms.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Interpretation</w:t>
      </w:r>
    </w:p>
    <w:p>
      <w:pPr>
        <w:spacing w:after="0" w:line="229" w:lineRule="exact"/>
        <w:rPr>
          <w:sz w:val="20"/>
          <w:szCs w:val="20"/>
          <w:color w:val="auto"/>
        </w:rPr>
      </w:pPr>
    </w:p>
    <w:p>
      <w:pPr>
        <w:ind w:left="660" w:hanging="328"/>
        <w:spacing w:after="0" w:line="277" w:lineRule="auto"/>
        <w:tabs>
          <w:tab w:leader="none" w:pos="660" w:val="left"/>
        </w:tabs>
        <w:numPr>
          <w:ilvl w:val="1"/>
          <w:numId w:val="409"/>
        </w:numPr>
        <w:rPr>
          <w:rFonts w:ascii="Arial" w:cs="Arial" w:eastAsia="Arial" w:hAnsi="Arial"/>
          <w:sz w:val="18"/>
          <w:szCs w:val="18"/>
          <w:color w:val="auto"/>
        </w:rPr>
      </w:pPr>
      <w:r>
        <w:rPr>
          <w:rFonts w:ascii="Arial" w:cs="Arial" w:eastAsia="Arial" w:hAnsi="Arial"/>
          <w:sz w:val="18"/>
          <w:szCs w:val="18"/>
          <w:color w:val="auto"/>
        </w:rPr>
        <w:t>Article, section, and clause headings contained in this Agreement are for convenience of reference only and shall not affect the interpretations of this Agreement.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1"/>
          <w:numId w:val="409"/>
        </w:numPr>
        <w:rPr>
          <w:rFonts w:ascii="Arial" w:cs="Arial" w:eastAsia="Arial" w:hAnsi="Arial"/>
          <w:sz w:val="18"/>
          <w:szCs w:val="18"/>
          <w:color w:val="auto"/>
        </w:rPr>
      </w:pPr>
      <w:r>
        <w:rPr>
          <w:rFonts w:ascii="Arial" w:cs="Arial" w:eastAsia="Arial" w:hAnsi="Arial"/>
          <w:sz w:val="18"/>
          <w:szCs w:val="18"/>
          <w:color w:val="auto"/>
        </w:rPr>
        <w:t>Words in the singular, where the context so permits, shall be deemed to include the plural and vice versa.</w:t>
      </w:r>
    </w:p>
    <w:p>
      <w:pPr>
        <w:spacing w:after="0" w:line="225"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409"/>
        </w:numPr>
        <w:rPr>
          <w:rFonts w:ascii="Arial" w:cs="Arial" w:eastAsia="Arial" w:hAnsi="Arial"/>
          <w:sz w:val="17"/>
          <w:szCs w:val="17"/>
          <w:color w:val="auto"/>
        </w:rPr>
      </w:pPr>
      <w:r>
        <w:rPr>
          <w:rFonts w:ascii="Arial" w:cs="Arial" w:eastAsia="Arial" w:hAnsi="Arial"/>
          <w:sz w:val="17"/>
          <w:szCs w:val="17"/>
          <w:color w:val="auto"/>
        </w:rPr>
        <w:t>Unless expressly stated otherwise, all reference to a specific statute or statutory provision includes that statute as in force from time to time; any modification, amendment, or reenactment of that statute; and any statute that may be enacted in substitution of that statute.</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409"/>
        </w:numPr>
        <w:rPr>
          <w:rFonts w:ascii="Arial" w:cs="Arial" w:eastAsia="Arial" w:hAnsi="Arial"/>
          <w:sz w:val="18"/>
          <w:szCs w:val="18"/>
          <w:color w:val="auto"/>
        </w:rPr>
      </w:pPr>
      <w:r>
        <w:rPr>
          <w:rFonts w:ascii="Arial" w:cs="Arial" w:eastAsia="Arial" w:hAnsi="Arial"/>
          <w:sz w:val="18"/>
          <w:szCs w:val="18"/>
          <w:color w:val="auto"/>
        </w:rPr>
        <w:t>Any words following the terms “including,” “include,” or any similar expression shall be construed as illustrative and shall not limit the sense of the word, description, definition, phrase, or term preceding those terms.</w:t>
      </w:r>
    </w:p>
    <w:p>
      <w:pPr>
        <w:spacing w:after="0" w:line="16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color w:val="auto"/>
        </w:rPr>
        <w:t>1   Agreement</w:t>
      </w:r>
    </w:p>
    <w:p>
      <w:pPr>
        <w:spacing w:after="0" w:line="229"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1.1   This Agreement shall become effective on the earlier of the Effective Date and the date on which the EL has been signed.</w:t>
      </w:r>
    </w:p>
    <w:p>
      <w:pPr>
        <w:spacing w:after="0" w:line="225"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1.2   In the event of any conflict between these Terms of Business and the EL, the EL shall prevail unless it is stated otherwise.</w:t>
      </w:r>
    </w:p>
    <w:p>
      <w:pPr>
        <w:spacing w:after="0" w:line="221" w:lineRule="exact"/>
        <w:rPr>
          <w:sz w:val="20"/>
          <w:szCs w:val="20"/>
          <w:color w:val="auto"/>
        </w:rPr>
      </w:pPr>
    </w:p>
    <w:p>
      <w:pPr>
        <w:ind w:left="340" w:hanging="332"/>
        <w:spacing w:after="0"/>
        <w:tabs>
          <w:tab w:leader="none" w:pos="340" w:val="left"/>
        </w:tabs>
        <w:numPr>
          <w:ilvl w:val="0"/>
          <w:numId w:val="410"/>
        </w:numPr>
        <w:rPr>
          <w:rFonts w:ascii="Arial" w:cs="Arial" w:eastAsia="Arial" w:hAnsi="Arial"/>
          <w:sz w:val="18"/>
          <w:szCs w:val="18"/>
          <w:b w:val="1"/>
          <w:bCs w:val="1"/>
          <w:color w:val="auto"/>
        </w:rPr>
      </w:pPr>
      <w:r>
        <w:rPr>
          <w:rFonts w:ascii="Arial" w:cs="Arial" w:eastAsia="Arial" w:hAnsi="Arial"/>
          <w:sz w:val="18"/>
          <w:szCs w:val="18"/>
          <w:b w:val="1"/>
          <w:bCs w:val="1"/>
          <w:color w:val="auto"/>
        </w:rPr>
        <w:t>Your Responsibilities</w:t>
      </w:r>
    </w:p>
    <w:p>
      <w:pPr>
        <w:spacing w:after="0" w:line="229" w:lineRule="exact"/>
        <w:rPr>
          <w:rFonts w:ascii="Arial" w:cs="Arial" w:eastAsia="Arial" w:hAnsi="Arial"/>
          <w:sz w:val="18"/>
          <w:szCs w:val="18"/>
          <w:b w:val="1"/>
          <w:bCs w:val="1"/>
          <w:color w:val="auto"/>
        </w:rPr>
      </w:pPr>
    </w:p>
    <w:p>
      <w:pPr>
        <w:ind w:left="780" w:hanging="445"/>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2.1 You agree to provide all information and materials in your possession that are reasonably required to enable us to provide the Services (including if it has previously been provided to the Teneo Parties under a different arrangement or is publicly available information). You agree that all information disclosed or to be disclosed to us is or will be true, accurate, and not misleading. You shall promptly inform us upon the discovery of any information that subsequently becomes untrue or inaccurate. To ensure that we are able to carry out the Services, you shall keep us informed of any of the Client’s strategy and developments that are relevant to the provision of the Services. Should you not disclose any such relevant information or developments, you accept that this might, without any fault or responsibility on our part, prevent us from providing the Services. The same shall apply should you decide to publish any document affecting a transaction or the performance of Services without prior notification to us. You confirm that you have and will maintain all necessary consents and authorizations which enable us to provide the Services to you and that you comply with all relevant laws and regulations where required.</w:t>
      </w:r>
    </w:p>
    <w:p>
      <w:pPr>
        <w:spacing w:after="0" w:line="180" w:lineRule="exact"/>
        <w:rPr>
          <w:rFonts w:ascii="Arial" w:cs="Arial" w:eastAsia="Arial" w:hAnsi="Arial"/>
          <w:sz w:val="18"/>
          <w:szCs w:val="18"/>
          <w:b w:val="1"/>
          <w:bCs w:val="1"/>
          <w:color w:val="auto"/>
        </w:rPr>
      </w:pPr>
    </w:p>
    <w:p>
      <w:pPr>
        <w:ind w:left="780" w:hanging="445"/>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2.2 You shall ensure that your employees are available to provide such assistance as we reasonably require and that we are given such access to senior management, as well as any members of your staff specified in the EL who are necessary to enable us to provide the Services. You will be responsible for ensuring that your employees have the appropriate skills and experience to provide us with such assistance.</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7" w:name="page388"/>
    <w:bookmarkEnd w:id="387"/>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183005" cy="28257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8">
                      <a:clrChange>
                        <a:clrFrom>
                          <a:srgbClr val="FFFFFF"/>
                        </a:clrFrom>
                        <a:clrTo>
                          <a:srgbClr val="FFFFFF">
                            <a:alpha val="0"/>
                          </a:srgbClr>
                        </a:clrTo>
                      </a:clrChange>
                      <a:extLst>
                        <a:ext uri="{28A0092B-C50C-407E-A947-70E740481C1C}"/>
                      </a:extLst>
                    </a:blip>
                    <a:srcRect/>
                    <a:stretch>
                      <a:fillRect/>
                    </a:stretch>
                  </pic:blipFill>
                  <pic:spPr bwMode="auto">
                    <a:xfrm>
                      <a:off x="0" y="0"/>
                      <a:ext cx="1183005" cy="282575"/>
                    </a:xfrm>
                    <a:prstGeom prst="rect">
                      <a:avLst/>
                    </a:prstGeom>
                    <a:noFill/>
                  </pic:spPr>
                </pic:pic>
              </a:graphicData>
            </a:graphic>
          </wp:anchor>
        </w:drawing>
      </w:r>
    </w:p>
    <w:p>
      <w:pPr>
        <w:jc w:val="both"/>
        <w:ind w:left="780" w:hanging="444"/>
        <w:spacing w:after="0" w:line="275" w:lineRule="auto"/>
        <w:tabs>
          <w:tab w:leader="none" w:pos="76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7"/>
          <w:szCs w:val="17"/>
          <w:color w:val="auto"/>
        </w:rPr>
        <w:t>You shall manage all aspects of your business and make management decisions relating to your business. Where you are using third parties to provide information or support to a project, including where you are employing other suppliers whose work may affect our ability to provide the Services, you will ensure that you have appropriate agreements in place with those third parties to enable us to provide the Services under the terms of this Agreement and ensuring that such third parties work collaboratively with us. Unless otherwise agreed in writing, we will not be responsible for the management of those third parties and the quality of their input and work.</w:t>
      </w:r>
    </w:p>
    <w:p>
      <w:pPr>
        <w:spacing w:after="0" w:line="172" w:lineRule="exact"/>
        <w:rPr>
          <w:sz w:val="20"/>
          <w:szCs w:val="20"/>
          <w:color w:val="auto"/>
        </w:rPr>
      </w:pPr>
    </w:p>
    <w:p>
      <w:pPr>
        <w:ind w:left="340" w:hanging="332"/>
        <w:spacing w:after="0"/>
        <w:tabs>
          <w:tab w:leader="none" w:pos="340" w:val="left"/>
        </w:tabs>
        <w:numPr>
          <w:ilvl w:val="0"/>
          <w:numId w:val="411"/>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w:t>
      </w:r>
    </w:p>
    <w:p>
      <w:pPr>
        <w:spacing w:after="0" w:line="229" w:lineRule="exact"/>
        <w:rPr>
          <w:rFonts w:ascii="Arial" w:cs="Arial" w:eastAsia="Arial" w:hAnsi="Arial"/>
          <w:sz w:val="18"/>
          <w:szCs w:val="18"/>
          <w:b w:val="1"/>
          <w:bCs w:val="1"/>
          <w:color w:val="auto"/>
        </w:rPr>
      </w:pPr>
    </w:p>
    <w:p>
      <w:pPr>
        <w:jc w:val="right"/>
        <w:ind w:left="780" w:hanging="445"/>
        <w:spacing w:after="0" w:line="285" w:lineRule="auto"/>
        <w:rPr>
          <w:rFonts w:ascii="Arial" w:cs="Arial" w:eastAsia="Arial" w:hAnsi="Arial"/>
          <w:sz w:val="18"/>
          <w:szCs w:val="18"/>
          <w:b w:val="1"/>
          <w:bCs w:val="1"/>
          <w:color w:val="auto"/>
        </w:rPr>
      </w:pPr>
      <w:r>
        <w:rPr>
          <w:rFonts w:ascii="Arial" w:cs="Arial" w:eastAsia="Arial" w:hAnsi="Arial"/>
          <w:sz w:val="16"/>
          <w:szCs w:val="16"/>
          <w:color w:val="auto"/>
        </w:rPr>
        <w:t>3.1   Where any party hereto has, or comes into possession of, information about the other(s) that is by its nature confidential, or is designated as such by the disclosing party (whether in writing or orally) (“</w:t>
      </w:r>
      <w:r>
        <w:rPr>
          <w:rFonts w:ascii="Arial" w:cs="Arial" w:eastAsia="Arial" w:hAnsi="Arial"/>
          <w:sz w:val="16"/>
          <w:szCs w:val="16"/>
          <w:b w:val="1"/>
          <w:bCs w:val="1"/>
          <w:color w:val="auto"/>
        </w:rPr>
        <w:t>Confidential Information</w:t>
      </w:r>
      <w:r>
        <w:rPr>
          <w:rFonts w:ascii="Arial" w:cs="Arial" w:eastAsia="Arial" w:hAnsi="Arial"/>
          <w:sz w:val="16"/>
          <w:szCs w:val="16"/>
          <w:color w:val="auto"/>
        </w:rPr>
        <w:t>”), including this Agreement, we each undertake for the term of this engagement and a three-year period thereafter to (i) keep it confidential; (ii) use it only in connection with providing and receiving the Services, and (iii) not to disclose it to any other person without the disclosing party’s prior written consent. These undertakings will not apply to any Confidential Information that the receiving party can demonstrate (a) was previously known to it without any obligation of confidentiality;</w:t>
      </w:r>
    </w:p>
    <w:p>
      <w:pPr>
        <w:spacing w:after="0" w:line="1" w:lineRule="exact"/>
        <w:rPr>
          <w:rFonts w:ascii="Arial" w:cs="Arial" w:eastAsia="Arial" w:hAnsi="Arial"/>
          <w:sz w:val="18"/>
          <w:szCs w:val="18"/>
          <w:b w:val="1"/>
          <w:bCs w:val="1"/>
          <w:color w:val="auto"/>
        </w:rPr>
      </w:pPr>
    </w:p>
    <w:p>
      <w:pPr>
        <w:jc w:val="both"/>
        <w:ind w:left="780" w:hanging="3"/>
        <w:spacing w:after="0" w:line="253" w:lineRule="auto"/>
        <w:tabs>
          <w:tab w:leader="none" w:pos="1050" w:val="left"/>
        </w:tabs>
        <w:numPr>
          <w:ilvl w:val="1"/>
          <w:numId w:val="411"/>
        </w:numPr>
        <w:rPr>
          <w:rFonts w:ascii="Arial" w:cs="Arial" w:eastAsia="Arial" w:hAnsi="Arial"/>
          <w:sz w:val="18"/>
          <w:szCs w:val="18"/>
          <w:color w:val="auto"/>
        </w:rPr>
      </w:pPr>
      <w:r>
        <w:rPr>
          <w:rFonts w:ascii="Arial" w:cs="Arial" w:eastAsia="Arial" w:hAnsi="Arial"/>
          <w:sz w:val="18"/>
          <w:szCs w:val="18"/>
          <w:color w:val="auto"/>
        </w:rPr>
        <w:t>has been independently developed by it without access to or use of the disclosing party’s Confidential Information; (c) was acquired by it from a third party which was not, to the receiving party’s knowledge after reasonable inquiry, under an obligation to the disclosing party not to disclose such information; (d) was or has become publicly available through no fault of the receiving party; or (e) is subsequently disclosed by the disclosing party to a third party without restriction.</w:t>
      </w:r>
    </w:p>
    <w:p>
      <w:pPr>
        <w:spacing w:after="0" w:line="193" w:lineRule="exact"/>
        <w:rPr>
          <w:sz w:val="20"/>
          <w:szCs w:val="20"/>
          <w:color w:val="auto"/>
        </w:rPr>
      </w:pPr>
    </w:p>
    <w:p>
      <w:pPr>
        <w:jc w:val="both"/>
        <w:ind w:left="780" w:hanging="444"/>
        <w:spacing w:after="0" w:line="259" w:lineRule="auto"/>
        <w:tabs>
          <w:tab w:leader="none" w:pos="760" w:val="left"/>
        </w:tabs>
        <w:rPr>
          <w:sz w:val="20"/>
          <w:szCs w:val="20"/>
          <w:color w:val="auto"/>
        </w:rPr>
      </w:pPr>
      <w:r>
        <w:rPr>
          <w:rFonts w:ascii="Arial" w:cs="Arial" w:eastAsia="Arial" w:hAnsi="Arial"/>
          <w:sz w:val="18"/>
          <w:szCs w:val="18"/>
          <w:color w:val="auto"/>
        </w:rPr>
        <w:t>3.2</w:t>
        <w:tab/>
        <w:t>We and you each will be entitled to disclose Confidential Information to our legal advisors and insurers and to comply with any applicable legal, statutory, professional, or regulatory requirement. We may share your Confidential Information with (i) any Teneo Party we use to provide the Services; and (ii) any of our suppliers involved in providing infrastructure and other support services as part of our business, in each case on a confidential basis only.</w:t>
      </w:r>
    </w:p>
    <w:p>
      <w:pPr>
        <w:spacing w:after="0" w:line="187" w:lineRule="exact"/>
        <w:rPr>
          <w:sz w:val="20"/>
          <w:szCs w:val="20"/>
          <w:color w:val="auto"/>
        </w:rPr>
      </w:pPr>
    </w:p>
    <w:p>
      <w:pPr>
        <w:jc w:val="both"/>
        <w:ind w:left="780" w:hanging="444"/>
        <w:spacing w:after="0" w:line="308" w:lineRule="auto"/>
        <w:tabs>
          <w:tab w:leader="none" w:pos="76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7"/>
          <w:szCs w:val="17"/>
          <w:color w:val="auto"/>
        </w:rPr>
        <w:t>Nothing in this Agreement will prevent or restrict any Teneo Party from using or sharing, for any purpose, any knowledge, experience, and skills used in, gained, or arising from performing the Services, subject to the obligations of confidentiality set forth herein.</w:t>
      </w:r>
    </w:p>
    <w:p>
      <w:pPr>
        <w:spacing w:after="0" w:line="146" w:lineRule="exact"/>
        <w:rPr>
          <w:sz w:val="20"/>
          <w:szCs w:val="20"/>
          <w:color w:val="auto"/>
        </w:rPr>
      </w:pPr>
    </w:p>
    <w:p>
      <w:pPr>
        <w:jc w:val="both"/>
        <w:ind w:left="780" w:hanging="444"/>
        <w:spacing w:after="0" w:line="253" w:lineRule="auto"/>
        <w:tabs>
          <w:tab w:leader="none" w:pos="760" w:val="left"/>
        </w:tabs>
        <w:rPr>
          <w:sz w:val="20"/>
          <w:szCs w:val="20"/>
          <w:color w:val="auto"/>
        </w:rPr>
      </w:pPr>
      <w:r>
        <w:rPr>
          <w:rFonts w:ascii="Arial" w:cs="Arial" w:eastAsia="Arial" w:hAnsi="Arial"/>
          <w:sz w:val="18"/>
          <w:szCs w:val="18"/>
          <w:color w:val="auto"/>
        </w:rPr>
        <w:t>3.4</w:t>
        <w:tab/>
        <w:t>This Section 3.4 is subject to Teneo (i) complying with applicable professional standards regarding conflicts of interest, and (ii) maintaining the confidentiality of your Confidential Information in accordance with Section 3.1. You acknowledge that other clients or third parties who (a) are interested in, or are participating in, a project in relation to the same or similar subject matter as the Services; or (b) may have interests that compete and/or conflict with your interests, may have received, or may receive, other services related to that project from Teneo and/or another Teneo Party (where necessary, through separate engagement teams). We will not disclose to you nor use for your benefit any confidential information that such other teams from Teneo or another Teneo Party have obtained while providing services to other clients or third parties in relation to such project. You agree not to bring any claim against Teneo or another Teneo Party arising out of, or connected with, our or their provision of services to other clients or third parties or the non-disclosure to you of their confidential information as permitted by this Section 3.4.</w:t>
      </w:r>
    </w:p>
    <w:p>
      <w:pPr>
        <w:spacing w:after="0" w:line="192" w:lineRule="exact"/>
        <w:rPr>
          <w:sz w:val="20"/>
          <w:szCs w:val="20"/>
          <w:color w:val="auto"/>
        </w:rPr>
      </w:pPr>
    </w:p>
    <w:p>
      <w:pPr>
        <w:ind w:left="340" w:hanging="332"/>
        <w:spacing w:after="0"/>
        <w:tabs>
          <w:tab w:leader="none" w:pos="340" w:val="left"/>
        </w:tabs>
        <w:numPr>
          <w:ilvl w:val="0"/>
          <w:numId w:val="412"/>
        </w:numPr>
        <w:rPr>
          <w:rFonts w:ascii="Arial" w:cs="Arial" w:eastAsia="Arial" w:hAnsi="Arial"/>
          <w:sz w:val="18"/>
          <w:szCs w:val="18"/>
          <w:b w:val="1"/>
          <w:bCs w:val="1"/>
          <w:color w:val="auto"/>
        </w:rPr>
      </w:pPr>
      <w:r>
        <w:rPr>
          <w:rFonts w:ascii="Arial" w:cs="Arial" w:eastAsia="Arial" w:hAnsi="Arial"/>
          <w:sz w:val="18"/>
          <w:szCs w:val="18"/>
          <w:b w:val="1"/>
          <w:bCs w:val="1"/>
          <w:color w:val="auto"/>
        </w:rPr>
        <w:t>Liability</w:t>
      </w:r>
    </w:p>
    <w:p>
      <w:pPr>
        <w:spacing w:after="0" w:line="229" w:lineRule="exact"/>
        <w:rPr>
          <w:rFonts w:ascii="Arial" w:cs="Arial" w:eastAsia="Arial" w:hAnsi="Arial"/>
          <w:sz w:val="18"/>
          <w:szCs w:val="18"/>
          <w:b w:val="1"/>
          <w:bCs w:val="1"/>
          <w:color w:val="auto"/>
        </w:rPr>
      </w:pPr>
    </w:p>
    <w:p>
      <w:pPr>
        <w:ind w:left="780" w:hanging="445"/>
        <w:spacing w:after="0" w:line="275" w:lineRule="auto"/>
        <w:rPr>
          <w:rFonts w:ascii="Arial" w:cs="Arial" w:eastAsia="Arial" w:hAnsi="Arial"/>
          <w:sz w:val="18"/>
          <w:szCs w:val="18"/>
          <w:b w:val="1"/>
          <w:bCs w:val="1"/>
          <w:color w:val="auto"/>
        </w:rPr>
      </w:pPr>
      <w:r>
        <w:rPr>
          <w:rFonts w:ascii="Arial" w:cs="Arial" w:eastAsia="Arial" w:hAnsi="Arial"/>
          <w:sz w:val="17"/>
          <w:szCs w:val="17"/>
          <w:color w:val="auto"/>
        </w:rPr>
        <w:t>4.1 Teneo warrants that it will perform the Services with reasonable skill and care. Except as specifically provided in this Agreement, no Teneo Party shall have any liability, regardless of the form of action, whether in contract or tort, or whether direct or indirect, except to the extent that any such liability for Claims is found in a non-appealable final judgment by a court of competent jurisdiction to have resulted primarily and directly from such Teneo Party’s gross negligence or willful misconduct. In no event will any Teneo Party have any liability to you for special, consequential, incidental, or exemplary damages or loss (nor any lost profits, savings, or business opportunity).</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8" w:name="page389"/>
    <w:bookmarkEnd w:id="388"/>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183005" cy="28257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0">
                      <a:clrChange>
                        <a:clrFrom>
                          <a:srgbClr val="FFFFFF"/>
                        </a:clrFrom>
                        <a:clrTo>
                          <a:srgbClr val="FFFFFF">
                            <a:alpha val="0"/>
                          </a:srgbClr>
                        </a:clrTo>
                      </a:clrChange>
                      <a:extLst>
                        <a:ext uri="{28A0092B-C50C-407E-A947-70E740481C1C}"/>
                      </a:extLst>
                    </a:blip>
                    <a:srcRect/>
                    <a:stretch>
                      <a:fillRect/>
                    </a:stretch>
                  </pic:blipFill>
                  <pic:spPr bwMode="auto">
                    <a:xfrm>
                      <a:off x="0" y="0"/>
                      <a:ext cx="1183005" cy="282575"/>
                    </a:xfrm>
                    <a:prstGeom prst="rect">
                      <a:avLst/>
                    </a:prstGeom>
                    <a:noFill/>
                  </pic:spPr>
                </pic:pic>
              </a:graphicData>
            </a:graphic>
          </wp:anchor>
        </w:drawing>
      </w:r>
    </w:p>
    <w:p>
      <w:pPr>
        <w:jc w:val="both"/>
        <w:ind w:left="780" w:hanging="444"/>
        <w:spacing w:after="0" w:line="277" w:lineRule="auto"/>
        <w:tabs>
          <w:tab w:leader="none" w:pos="760" w:val="left"/>
        </w:tabs>
        <w:rPr>
          <w:sz w:val="20"/>
          <w:szCs w:val="20"/>
          <w:color w:val="auto"/>
        </w:rPr>
      </w:pPr>
      <w:r>
        <w:rPr>
          <w:rFonts w:ascii="Arial" w:cs="Arial" w:eastAsia="Arial" w:hAnsi="Arial"/>
          <w:sz w:val="18"/>
          <w:szCs w:val="18"/>
          <w:color w:val="auto"/>
        </w:rPr>
        <w:t>4.2</w:t>
        <w:tab/>
        <w:t>Nothing in this Agreement shall exclude or limit our liability for (i) fraud or fraudulent misrepresentation; (ii) gross negligence or willful misconduct; or (iii) any other liability that may not be excluded or limited by law.</w:t>
      </w:r>
    </w:p>
    <w:p>
      <w:pPr>
        <w:spacing w:after="0" w:line="170" w:lineRule="exact"/>
        <w:rPr>
          <w:sz w:val="20"/>
          <w:szCs w:val="20"/>
          <w:color w:val="auto"/>
        </w:rPr>
      </w:pPr>
    </w:p>
    <w:p>
      <w:pPr>
        <w:jc w:val="both"/>
        <w:ind w:left="780" w:hanging="444"/>
        <w:spacing w:after="0" w:line="279" w:lineRule="auto"/>
        <w:tabs>
          <w:tab w:leader="none" w:pos="76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7"/>
          <w:szCs w:val="17"/>
          <w:color w:val="auto"/>
        </w:rPr>
        <w:t>Where Teneo has agreed in this Agreement that there is more than one beneficiary of the Services, the limitation on our total liability in this Agreement will apply to all such beneficiaries in the aggregate and shall be apportioned amongst them. You will procure that no such beneficiary will dispute or challenge the validity, operation, or enforceability of this section on the grounds that no such apportionment has been so agreed or on the grounds that the agreed share of the limitation amount so apportioned to any beneficiary is unreasonably low.</w:t>
      </w:r>
    </w:p>
    <w:p>
      <w:pPr>
        <w:spacing w:after="0" w:line="171" w:lineRule="exact"/>
        <w:rPr>
          <w:sz w:val="20"/>
          <w:szCs w:val="20"/>
          <w:color w:val="auto"/>
        </w:rPr>
      </w:pPr>
    </w:p>
    <w:p>
      <w:pPr>
        <w:jc w:val="both"/>
        <w:ind w:left="780" w:hanging="444"/>
        <w:spacing w:after="0" w:line="255" w:lineRule="auto"/>
        <w:tabs>
          <w:tab w:leader="none" w:pos="760" w:val="left"/>
        </w:tabs>
        <w:rPr>
          <w:sz w:val="20"/>
          <w:szCs w:val="20"/>
          <w:color w:val="auto"/>
        </w:rPr>
      </w:pPr>
      <w:r>
        <w:rPr>
          <w:rFonts w:ascii="Arial" w:cs="Arial" w:eastAsia="Arial" w:hAnsi="Arial"/>
          <w:sz w:val="18"/>
          <w:szCs w:val="18"/>
          <w:color w:val="auto"/>
        </w:rPr>
        <w:t>4.4</w:t>
        <w:tab/>
        <w:t>Any liability which we may have to you for Damages shall (so far as is permitted by law) be limited to such an amount as is determined to be just and equitable, taking into account the extent of responsibility for such Damages of us, you, and any person other than us who is jointly or severally liable to you for all or part of the same Damages, provided always that our liability to you shall not exceed in aggregate the amount set out in this Agreement. Any limitation, exclusion, or restriction on the liability of any such other person, whether arising under statute or contract or resulting from death, bankruptcy or insolvency, or any settlement of such liability agreed with you, shall not be taken account of for the purposes of determining the extent of our liability to you.</w:t>
      </w:r>
    </w:p>
    <w:p>
      <w:pPr>
        <w:spacing w:after="0" w:line="192" w:lineRule="exact"/>
        <w:rPr>
          <w:sz w:val="20"/>
          <w:szCs w:val="20"/>
          <w:color w:val="auto"/>
        </w:rPr>
      </w:pPr>
    </w:p>
    <w:p>
      <w:pPr>
        <w:jc w:val="both"/>
        <w:ind w:left="780" w:hanging="444"/>
        <w:spacing w:after="0" w:line="257" w:lineRule="auto"/>
        <w:tabs>
          <w:tab w:leader="none" w:pos="760" w:val="left"/>
        </w:tabs>
        <w:rPr>
          <w:sz w:val="20"/>
          <w:szCs w:val="20"/>
          <w:color w:val="auto"/>
        </w:rPr>
      </w:pPr>
      <w:r>
        <w:rPr>
          <w:rFonts w:ascii="Arial" w:cs="Arial" w:eastAsia="Arial" w:hAnsi="Arial"/>
          <w:sz w:val="18"/>
          <w:szCs w:val="18"/>
          <w:color w:val="auto"/>
        </w:rPr>
        <w:t>4.5</w:t>
        <w:tab/>
        <w:t>Except for the warranties, representations, conditions, and obligations expressly set out in this Agreement, Teneo disclaims all warranties, representations, conditions, and obligations, either express or implied, including warranties of satisfactory quality and fitness for a particular purpose. You agree that, in entering into this Agreement, you did not rely on any representations (whether written or oral) of any kind or of any person other than those expressly set out in this Agreement and we shall have no liability otherwise than pursuant to the express terms of this Agreement.</w:t>
      </w:r>
    </w:p>
    <w:p>
      <w:pPr>
        <w:spacing w:after="0" w:line="188" w:lineRule="exact"/>
        <w:rPr>
          <w:sz w:val="20"/>
          <w:szCs w:val="20"/>
          <w:color w:val="auto"/>
        </w:rPr>
      </w:pPr>
    </w:p>
    <w:p>
      <w:pPr>
        <w:jc w:val="both"/>
        <w:ind w:left="780" w:hanging="444"/>
        <w:spacing w:after="0" w:line="257" w:lineRule="auto"/>
        <w:tabs>
          <w:tab w:leader="none" w:pos="760" w:val="left"/>
        </w:tabs>
        <w:rPr>
          <w:sz w:val="20"/>
          <w:szCs w:val="20"/>
          <w:color w:val="auto"/>
        </w:rPr>
      </w:pPr>
      <w:r>
        <w:rPr>
          <w:rFonts w:ascii="Arial" w:cs="Arial" w:eastAsia="Arial" w:hAnsi="Arial"/>
          <w:sz w:val="18"/>
          <w:szCs w:val="18"/>
          <w:color w:val="auto"/>
        </w:rPr>
        <w:t>4.6</w:t>
        <w:tab/>
        <w:t>Any ancillary comments from us which arise during delivery of the Services are provided solely for the purpose of the Services to you and, without our prior written consent, may not be used for any other purpose, or disclosed to any person other than your other advisors (who may not rely on such advice). You will not refer to us, or any comments which we provide during the delivery of the Services, in any public document or communication without our prior written consent, which will only be given on the basis that we will not be responsible for any such public document or communication.</w:t>
      </w:r>
    </w:p>
    <w:p>
      <w:pPr>
        <w:spacing w:after="0" w:line="184" w:lineRule="exact"/>
        <w:rPr>
          <w:sz w:val="20"/>
          <w:szCs w:val="20"/>
          <w:color w:val="auto"/>
        </w:rPr>
      </w:pPr>
    </w:p>
    <w:p>
      <w:pPr>
        <w:ind w:left="340" w:hanging="332"/>
        <w:spacing w:after="0"/>
        <w:tabs>
          <w:tab w:leader="none" w:pos="340" w:val="left"/>
        </w:tabs>
        <w:numPr>
          <w:ilvl w:val="0"/>
          <w:numId w:val="413"/>
        </w:numPr>
        <w:rPr>
          <w:rFonts w:ascii="Arial" w:cs="Arial" w:eastAsia="Arial" w:hAnsi="Arial"/>
          <w:sz w:val="18"/>
          <w:szCs w:val="18"/>
          <w:b w:val="1"/>
          <w:bCs w:val="1"/>
          <w:color w:val="auto"/>
        </w:rPr>
      </w:pPr>
      <w:r>
        <w:rPr>
          <w:rFonts w:ascii="Arial" w:cs="Arial" w:eastAsia="Arial" w:hAnsi="Arial"/>
          <w:sz w:val="18"/>
          <w:szCs w:val="18"/>
          <w:b w:val="1"/>
          <w:bCs w:val="1"/>
          <w:color w:val="auto"/>
        </w:rPr>
        <w:t>Indemnification</w:t>
      </w:r>
    </w:p>
    <w:p>
      <w:pPr>
        <w:spacing w:after="0" w:line="229" w:lineRule="exact"/>
        <w:rPr>
          <w:rFonts w:ascii="Arial" w:cs="Arial" w:eastAsia="Arial" w:hAnsi="Arial"/>
          <w:sz w:val="18"/>
          <w:szCs w:val="18"/>
          <w:b w:val="1"/>
          <w:bCs w:val="1"/>
          <w:color w:val="auto"/>
        </w:rPr>
      </w:pPr>
    </w:p>
    <w:p>
      <w:pPr>
        <w:ind w:left="780" w:hanging="445"/>
        <w:spacing w:after="0" w:line="275" w:lineRule="auto"/>
        <w:rPr>
          <w:rFonts w:ascii="Arial" w:cs="Arial" w:eastAsia="Arial" w:hAnsi="Arial"/>
          <w:sz w:val="18"/>
          <w:szCs w:val="18"/>
          <w:b w:val="1"/>
          <w:bCs w:val="1"/>
          <w:color w:val="auto"/>
        </w:rPr>
      </w:pPr>
      <w:r>
        <w:rPr>
          <w:rFonts w:ascii="Arial" w:cs="Arial" w:eastAsia="Arial" w:hAnsi="Arial"/>
          <w:sz w:val="17"/>
          <w:szCs w:val="17"/>
          <w:color w:val="auto"/>
        </w:rPr>
        <w:t>5.1 You shall indemnify and hold harmless the Teneo Parties from and against all Claims to which any of the Teneo Parties may become subject related to or arising in any manner out of any activities performed or services furnished pursuant to this Agreement, any matter contemplated thereby, or a Teneo Party’s role in connection therewith, including prior to the date hereof (the “</w:t>
      </w:r>
      <w:r>
        <w:rPr>
          <w:rFonts w:ascii="Arial" w:cs="Arial" w:eastAsia="Arial" w:hAnsi="Arial"/>
          <w:sz w:val="17"/>
          <w:szCs w:val="17"/>
          <w:b w:val="1"/>
          <w:bCs w:val="1"/>
          <w:color w:val="auto"/>
        </w:rPr>
        <w:t>Indemnified Activities</w:t>
      </w:r>
      <w:r>
        <w:rPr>
          <w:rFonts w:ascii="Arial" w:cs="Arial" w:eastAsia="Arial" w:hAnsi="Arial"/>
          <w:sz w:val="17"/>
          <w:szCs w:val="17"/>
          <w:color w:val="auto"/>
        </w:rPr>
        <w:t>”), except to the extent a court of competent jurisdiction shall have determined by final non-appealable judgment that such Liabilities resulted directly from the gross negligence or willful misconduct of Teneo in performing the services that are the subject of this Agreement.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9" w:name="page390"/>
    <w:bookmarkEnd w:id="389"/>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183005" cy="28257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2">
                      <a:clrChange>
                        <a:clrFrom>
                          <a:srgbClr val="FFFFFF"/>
                        </a:clrFrom>
                        <a:clrTo>
                          <a:srgbClr val="FFFFFF">
                            <a:alpha val="0"/>
                          </a:srgbClr>
                        </a:clrTo>
                      </a:clrChange>
                      <a:extLst>
                        <a:ext uri="{28A0092B-C50C-407E-A947-70E740481C1C}"/>
                      </a:extLst>
                    </a:blip>
                    <a:srcRect/>
                    <a:stretch>
                      <a:fillRect/>
                    </a:stretch>
                  </pic:blipFill>
                  <pic:spPr bwMode="auto">
                    <a:xfrm>
                      <a:off x="0" y="0"/>
                      <a:ext cx="1183005" cy="282575"/>
                    </a:xfrm>
                    <a:prstGeom prst="rect">
                      <a:avLst/>
                    </a:prstGeom>
                    <a:noFill/>
                  </pic:spPr>
                </pic:pic>
              </a:graphicData>
            </a:graphic>
          </wp:anchor>
        </w:drawing>
      </w:r>
    </w:p>
    <w:p>
      <w:pPr>
        <w:jc w:val="both"/>
        <w:ind w:left="780" w:hanging="444"/>
        <w:spacing w:after="0" w:line="255" w:lineRule="auto"/>
        <w:tabs>
          <w:tab w:leader="none" w:pos="760" w:val="left"/>
        </w:tabs>
        <w:rPr>
          <w:sz w:val="20"/>
          <w:szCs w:val="20"/>
          <w:color w:val="auto"/>
        </w:rPr>
      </w:pPr>
      <w:r>
        <w:rPr>
          <w:rFonts w:ascii="Arial" w:cs="Arial" w:eastAsia="Arial" w:hAnsi="Arial"/>
          <w:sz w:val="18"/>
          <w:szCs w:val="18"/>
          <w:color w:val="auto"/>
        </w:rPr>
        <w:t>5.2</w:t>
        <w:tab/>
        <w:t>You shall promptly reimburse the Teneo Parties for all costs and expenses (including fees, costs, and expenses of legal counsel), as incurred, in connection with (i) the investigation of; preparation for; response to; serving as a witness in respect of; or defending, pursuing, settling, or otherwise becoming involved in any pending or threatened investigative, administrative, judicial, regulatory, or other claim, action, or proceeding or any arbitration or investigation in any jurisdiction related to or arising in any manner out of any Indemnified Activities, whether in connection with pending or threatened litigation to which any Teneo Party is, or is threatened to be, a party (collectively, “</w:t>
      </w:r>
      <w:r>
        <w:rPr>
          <w:rFonts w:ascii="Arial" w:cs="Arial" w:eastAsia="Arial" w:hAnsi="Arial"/>
          <w:sz w:val="18"/>
          <w:szCs w:val="18"/>
          <w:b w:val="1"/>
          <w:bCs w:val="1"/>
          <w:color w:val="auto"/>
        </w:rPr>
        <w:t>Proceedings</w:t>
      </w:r>
      <w:r>
        <w:rPr>
          <w:rFonts w:ascii="Arial" w:cs="Arial" w:eastAsia="Arial" w:hAnsi="Arial"/>
          <w:sz w:val="18"/>
          <w:szCs w:val="18"/>
          <w:color w:val="auto"/>
        </w:rPr>
        <w:t>”); and (ii) enforcing a Teneo Party’s rights under this Agreement.</w:t>
      </w:r>
    </w:p>
    <w:p>
      <w:pPr>
        <w:spacing w:after="0" w:line="192" w:lineRule="exact"/>
        <w:rPr>
          <w:sz w:val="20"/>
          <w:szCs w:val="20"/>
          <w:color w:val="auto"/>
        </w:rPr>
      </w:pPr>
    </w:p>
    <w:p>
      <w:pPr>
        <w:jc w:val="both"/>
        <w:ind w:left="780" w:hanging="444"/>
        <w:spacing w:after="0" w:line="257" w:lineRule="auto"/>
        <w:tabs>
          <w:tab w:leader="none" w:pos="760" w:val="left"/>
        </w:tabs>
        <w:rPr>
          <w:sz w:val="20"/>
          <w:szCs w:val="20"/>
          <w:color w:val="auto"/>
        </w:rPr>
      </w:pPr>
      <w:r>
        <w:rPr>
          <w:rFonts w:ascii="Arial" w:cs="Arial" w:eastAsia="Arial" w:hAnsi="Arial"/>
          <w:sz w:val="18"/>
          <w:szCs w:val="18"/>
          <w:color w:val="auto"/>
        </w:rPr>
        <w:t>5.3</w:t>
        <w:tab/>
        <w:t>We shall notify you after we become aware that a Proceeding has been commenced by way of service with a summons or other legal process giving information as to the nature and basis of the claim against a Teneo Party in respect of which indemnity may be sought hereunder. In any event, our failure to notify you shall not relieve you from any lability that you may have on account of this indemnity or otherwise except to the extent you could not otherwise have been aware of such Proceeding and you have been materially prejudiced with respect to the Proceeding by such failure.</w:t>
      </w:r>
    </w:p>
    <w:p>
      <w:pPr>
        <w:spacing w:after="0" w:line="188" w:lineRule="exact"/>
        <w:rPr>
          <w:sz w:val="20"/>
          <w:szCs w:val="20"/>
          <w:color w:val="auto"/>
        </w:rPr>
      </w:pPr>
    </w:p>
    <w:p>
      <w:pPr>
        <w:jc w:val="both"/>
        <w:ind w:left="780" w:hanging="444"/>
        <w:spacing w:after="0" w:line="291" w:lineRule="auto"/>
        <w:tabs>
          <w:tab w:leader="none" w:pos="76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color w:val="auto"/>
        </w:rPr>
        <w:t>Neither you nor any member of your board of directors shall (a) settle, compromise, consent to the entry of a judgment in, or otherwise seek to terminate any pending or threatened Proceeding in respect of which indemnity may be sought hereunder, whether any Teneo Party is an actual or potential party to such Proceeding; or (b) participate in, or facilitate, any such settlement, compromise, consent, or termination, including on behalf of your board of directors (or a committee thereof), in each case without Teneo’s prior written consent unless such settlement, compromise, consent, or termination includes an unconditional release of each Teneo Party from all actual or potential Claims relating to the Indemnified Activities (such release to be set forth in an instrument signed by all parties to such settlement, compromise, consent, or termination) and does not include a statement as to or an admission of fault, culpability, or a failure to act, by or on behalf of any Teneo Party.</w:t>
      </w:r>
    </w:p>
    <w:p>
      <w:pPr>
        <w:spacing w:after="0" w:line="162" w:lineRule="exact"/>
        <w:rPr>
          <w:sz w:val="20"/>
          <w:szCs w:val="20"/>
          <w:color w:val="auto"/>
        </w:rPr>
      </w:pPr>
    </w:p>
    <w:p>
      <w:pPr>
        <w:ind w:left="340" w:hanging="332"/>
        <w:spacing w:after="0"/>
        <w:tabs>
          <w:tab w:leader="none" w:pos="340" w:val="left"/>
        </w:tabs>
        <w:numPr>
          <w:ilvl w:val="0"/>
          <w:numId w:val="414"/>
        </w:numPr>
        <w:rPr>
          <w:rFonts w:ascii="Arial" w:cs="Arial" w:eastAsia="Arial" w:hAnsi="Arial"/>
          <w:sz w:val="18"/>
          <w:szCs w:val="18"/>
          <w:b w:val="1"/>
          <w:bCs w:val="1"/>
          <w:color w:val="auto"/>
        </w:rPr>
      </w:pPr>
      <w:r>
        <w:rPr>
          <w:rFonts w:ascii="Arial" w:cs="Arial" w:eastAsia="Arial" w:hAnsi="Arial"/>
          <w:sz w:val="18"/>
          <w:szCs w:val="18"/>
          <w:b w:val="1"/>
          <w:bCs w:val="1"/>
          <w:color w:val="auto"/>
        </w:rPr>
        <w:t>Payment</w:t>
      </w:r>
    </w:p>
    <w:p>
      <w:pPr>
        <w:spacing w:after="0" w:line="229" w:lineRule="exact"/>
        <w:rPr>
          <w:rFonts w:ascii="Arial" w:cs="Arial" w:eastAsia="Arial" w:hAnsi="Arial"/>
          <w:sz w:val="18"/>
          <w:szCs w:val="18"/>
          <w:b w:val="1"/>
          <w:bCs w:val="1"/>
          <w:color w:val="auto"/>
        </w:rPr>
      </w:pPr>
    </w:p>
    <w:p>
      <w:pPr>
        <w:ind w:left="780" w:hanging="445"/>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6.1 Unless otherwise specified in the EL, we shall submit invoices for Compensation on a monthly basis and issue a final invoice to you on completion of the Services. You shall pay all invoices within thirty (30) days of the date of the applicable invoice (“</w:t>
      </w:r>
      <w:r>
        <w:rPr>
          <w:rFonts w:ascii="Arial" w:cs="Arial" w:eastAsia="Arial" w:hAnsi="Arial"/>
          <w:sz w:val="17"/>
          <w:szCs w:val="17"/>
          <w:b w:val="1"/>
          <w:bCs w:val="1"/>
          <w:color w:val="auto"/>
        </w:rPr>
        <w:t>Due Date</w:t>
      </w:r>
      <w:r>
        <w:rPr>
          <w:rFonts w:ascii="Arial" w:cs="Arial" w:eastAsia="Arial" w:hAnsi="Arial"/>
          <w:sz w:val="17"/>
          <w:szCs w:val="17"/>
          <w:color w:val="auto"/>
        </w:rPr>
        <w:t>”). Teneo shall have the right to suspend or terminate the provision of Services or any part thereof if payment is not received by the Due Date. If you dispute an invoice, you shall notify us within seven (7) days of its receipt and pay the undisputed portion of that invoice by the Due Date. You shall reimburse us for all reasonable expenses incurred in performing the Services (including all reasonable travel, meal, lodging, and mileage expenses) which will be invoiced as part of the Compensation. Termination of this Agreement, for any reason, shall not affect Teneo’s right to receive Compensation incurred up to, and as of, the date of termination of this Agreement.</w:t>
      </w:r>
    </w:p>
    <w:p>
      <w:pPr>
        <w:spacing w:after="0" w:line="173" w:lineRule="exact"/>
        <w:rPr>
          <w:sz w:val="20"/>
          <w:szCs w:val="20"/>
          <w:color w:val="auto"/>
        </w:rPr>
      </w:pPr>
    </w:p>
    <w:p>
      <w:pPr>
        <w:ind w:left="340" w:hanging="332"/>
        <w:spacing w:after="0"/>
        <w:tabs>
          <w:tab w:leader="none" w:pos="340" w:val="left"/>
        </w:tabs>
        <w:numPr>
          <w:ilvl w:val="0"/>
          <w:numId w:val="415"/>
        </w:numPr>
        <w:rPr>
          <w:rFonts w:ascii="Arial" w:cs="Arial" w:eastAsia="Arial" w:hAnsi="Arial"/>
          <w:sz w:val="18"/>
          <w:szCs w:val="18"/>
          <w:b w:val="1"/>
          <w:bCs w:val="1"/>
          <w:color w:val="auto"/>
        </w:rPr>
      </w:pPr>
      <w:r>
        <w:rPr>
          <w:rFonts w:ascii="Arial" w:cs="Arial" w:eastAsia="Arial" w:hAnsi="Arial"/>
          <w:sz w:val="18"/>
          <w:szCs w:val="18"/>
          <w:b w:val="1"/>
          <w:bCs w:val="1"/>
          <w:color w:val="auto"/>
        </w:rPr>
        <w:t>Data Protection</w:t>
      </w:r>
    </w:p>
    <w:p>
      <w:pPr>
        <w:spacing w:after="0" w:line="229" w:lineRule="exact"/>
        <w:rPr>
          <w:rFonts w:ascii="Arial" w:cs="Arial" w:eastAsia="Arial" w:hAnsi="Arial"/>
          <w:sz w:val="18"/>
          <w:szCs w:val="18"/>
          <w:b w:val="1"/>
          <w:bCs w:val="1"/>
          <w:color w:val="auto"/>
        </w:rPr>
      </w:pPr>
    </w:p>
    <w:p>
      <w:pPr>
        <w:jc w:val="right"/>
        <w:ind w:left="780" w:hanging="445"/>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7.1   In connection with the delivery of, and invoicing for, the Services, Teneo may collect and utilize certain personal data of, or concerning, representatives of the Client. For information concerning the handling of personal data by Teneo, see Teneo’s Privacy Policy at www.teneo.com.</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0" w:name="page391"/>
    <w:bookmarkEnd w:id="390"/>
    <w:p>
      <w:pPr>
        <w:spacing w:after="0" w:line="1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183005" cy="28257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4">
                      <a:clrChange>
                        <a:clrFrom>
                          <a:srgbClr val="FFFFFF"/>
                        </a:clrFrom>
                        <a:clrTo>
                          <a:srgbClr val="FFFFFF">
                            <a:alpha val="0"/>
                          </a:srgbClr>
                        </a:clrTo>
                      </a:clrChange>
                      <a:extLst>
                        <a:ext uri="{28A0092B-C50C-407E-A947-70E740481C1C}"/>
                      </a:extLst>
                    </a:blip>
                    <a:srcRect/>
                    <a:stretch>
                      <a:fillRect/>
                    </a:stretch>
                  </pic:blipFill>
                  <pic:spPr bwMode="auto">
                    <a:xfrm>
                      <a:off x="0" y="0"/>
                      <a:ext cx="1183005" cy="282575"/>
                    </a:xfrm>
                    <a:prstGeom prst="rect">
                      <a:avLst/>
                    </a:prstGeom>
                    <a:noFill/>
                  </pic:spPr>
                </pic:pic>
              </a:graphicData>
            </a:graphic>
          </wp:anchor>
        </w:drawing>
      </w:r>
    </w:p>
    <w:p>
      <w:pPr>
        <w:ind w:left="340" w:hanging="332"/>
        <w:spacing w:after="0"/>
        <w:tabs>
          <w:tab w:leader="none" w:pos="340" w:val="left"/>
        </w:tabs>
        <w:numPr>
          <w:ilvl w:val="0"/>
          <w:numId w:val="416"/>
        </w:numPr>
        <w:rPr>
          <w:rFonts w:ascii="Arial" w:cs="Arial" w:eastAsia="Arial" w:hAnsi="Arial"/>
          <w:sz w:val="18"/>
          <w:szCs w:val="18"/>
          <w:b w:val="1"/>
          <w:bCs w:val="1"/>
          <w:color w:val="auto"/>
        </w:rPr>
      </w:pPr>
      <w:r>
        <w:rPr>
          <w:rFonts w:ascii="Arial" w:cs="Arial" w:eastAsia="Arial" w:hAnsi="Arial"/>
          <w:sz w:val="18"/>
          <w:szCs w:val="18"/>
          <w:b w:val="1"/>
          <w:bCs w:val="1"/>
          <w:color w:val="auto"/>
        </w:rPr>
        <w:t>Survival</w:t>
      </w:r>
    </w:p>
    <w:p>
      <w:pPr>
        <w:spacing w:after="0" w:line="229" w:lineRule="exact"/>
        <w:rPr>
          <w:rFonts w:ascii="Arial" w:cs="Arial" w:eastAsia="Arial" w:hAnsi="Arial"/>
          <w:sz w:val="18"/>
          <w:szCs w:val="18"/>
          <w:b w:val="1"/>
          <w:bCs w:val="1"/>
          <w:color w:val="auto"/>
        </w:rPr>
      </w:pPr>
    </w:p>
    <w:p>
      <w:pPr>
        <w:ind w:left="780" w:hanging="445"/>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8.1 The provisions of this Agreement, which expressly or by implication are intended to survive its termination, will survive and continue to bind both of us, including Sections 3 (Confidentiality), 4 (Liability), 5 (Indemnification), 8 (Payment), and 9 (Miscellaneous).</w:t>
      </w:r>
    </w:p>
    <w:p>
      <w:pPr>
        <w:spacing w:after="0" w:line="166" w:lineRule="exact"/>
        <w:rPr>
          <w:sz w:val="20"/>
          <w:szCs w:val="20"/>
          <w:color w:val="auto"/>
        </w:rPr>
      </w:pPr>
    </w:p>
    <w:p>
      <w:pPr>
        <w:ind w:left="340" w:hanging="332"/>
        <w:spacing w:after="0"/>
        <w:tabs>
          <w:tab w:leader="none" w:pos="340" w:val="left"/>
        </w:tabs>
        <w:numPr>
          <w:ilvl w:val="0"/>
          <w:numId w:val="417"/>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225" w:lineRule="exact"/>
        <w:rPr>
          <w:rFonts w:ascii="Arial" w:cs="Arial" w:eastAsia="Arial" w:hAnsi="Arial"/>
          <w:sz w:val="18"/>
          <w:szCs w:val="18"/>
          <w:b w:val="1"/>
          <w:bCs w:val="1"/>
          <w:color w:val="auto"/>
        </w:rPr>
      </w:pPr>
    </w:p>
    <w:p>
      <w:pPr>
        <w:ind w:left="780" w:hanging="445"/>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 xml:space="preserve">9.1 </w:t>
      </w:r>
      <w:r>
        <w:rPr>
          <w:rFonts w:ascii="Arial" w:cs="Arial" w:eastAsia="Arial" w:hAnsi="Arial"/>
          <w:sz w:val="16"/>
          <w:szCs w:val="16"/>
          <w:b w:val="1"/>
          <w:bCs w:val="1"/>
          <w:color w:val="auto"/>
        </w:rPr>
        <w:t>Dispute Resolution.</w:t>
      </w:r>
      <w:r>
        <w:rPr>
          <w:rFonts w:ascii="Arial" w:cs="Arial" w:eastAsia="Arial" w:hAnsi="Arial"/>
          <w:sz w:val="16"/>
          <w:szCs w:val="16"/>
          <w:color w:val="auto"/>
        </w:rPr>
        <w:t xml:space="preserve"> Any dispute between you and Teneo will be submitted to final, binding arbitration, in accordance with the Federal Arbitration Act, in New York County before JAMS or if JAMS is unable to arbitrate, before the American Arbitration Association or if the American Arbitration Association is also unable to arbitrate, another nationally recognized arbitration tribunal mutually agreed to by the parties to the dispute. The arbitration shall be conducted before a single arbitrator, unless the parties otherwise agree in writing, in accordance with the then-existing most streamlined available rules of the selected arbitral forum. The arbitrator may award the prevailing party, as determined by the arbitrator, the prevailing party’s reasonable expenses, including attorneys’ fees and expenses and arbitration costs and the fees and costs of the arbitrator and the tribunal. In no event shall the arbitrator award punitive damages. No party hereto may bring any action or proceeding arising under or otherwise concerning the EL or the related relationship between the parties more than one year after the termination of the EL, except that Teneo may bring an action or proceeding for non-payment up until one year after the date the last payment is due to it.</w:t>
      </w:r>
    </w:p>
    <w:p>
      <w:pPr>
        <w:spacing w:after="0" w:line="166" w:lineRule="exact"/>
        <w:rPr>
          <w:rFonts w:ascii="Arial" w:cs="Arial" w:eastAsia="Arial" w:hAnsi="Arial"/>
          <w:sz w:val="18"/>
          <w:szCs w:val="18"/>
          <w:b w:val="1"/>
          <w:bCs w:val="1"/>
          <w:color w:val="auto"/>
        </w:rPr>
      </w:pPr>
    </w:p>
    <w:p>
      <w:pPr>
        <w:ind w:left="780" w:hanging="445"/>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 xml:space="preserve">9.2 </w:t>
      </w:r>
      <w:r>
        <w:rPr>
          <w:rFonts w:ascii="Arial" w:cs="Arial" w:eastAsia="Arial" w:hAnsi="Arial"/>
          <w:sz w:val="18"/>
          <w:szCs w:val="18"/>
          <w:b w:val="1"/>
          <w:bCs w:val="1"/>
          <w:color w:val="auto"/>
        </w:rPr>
        <w:t>Jury Trial Waiver.</w:t>
      </w:r>
      <w:r>
        <w:rPr>
          <w:rFonts w:ascii="Arial" w:cs="Arial" w:eastAsia="Arial" w:hAnsi="Arial"/>
          <w:sz w:val="18"/>
          <w:szCs w:val="18"/>
          <w:color w:val="auto"/>
        </w:rPr>
        <w:t xml:space="preserve"> The parties hereto have agreed to the dispute resolution provision set forth herein and, therefore, it is the parties’ intention that disputes will not be heard in a court of law. Nothing herein, however, is intended or should be construed to preclude any party from seeking in a court of competent jurisdiction emergency or preliminary injunctive relief or relief in aid of or to compel arbitration. If any dispute relating to this Agreement should become subject to a proceeding before any court, THE PARTIES EXPRESSLY, IRREVOCABLY, AND UNCONDITIONALLY AGREE TO WAIVE ANY RIGHT TO TRIAL BY JURY IN ANY ACTION, PROCEEDING, OR COUNTERCLAIM ARISING OUT OF OR RELATING TO THIS AGREEMENT OR THE SERVICES PROVIDED HEREUNDER. The parties’ agreement in this regard is an integral part of the consideration received by Teneo, and Teneo would not consent to perform services or enter into the Agreement without such agreement.</w:t>
      </w:r>
    </w:p>
    <w:p>
      <w:pPr>
        <w:spacing w:after="0" w:line="191" w:lineRule="exact"/>
        <w:rPr>
          <w:rFonts w:ascii="Arial" w:cs="Arial" w:eastAsia="Arial" w:hAnsi="Arial"/>
          <w:sz w:val="18"/>
          <w:szCs w:val="18"/>
          <w:b w:val="1"/>
          <w:bCs w:val="1"/>
          <w:color w:val="auto"/>
        </w:rPr>
      </w:pPr>
    </w:p>
    <w:p>
      <w:pPr>
        <w:ind w:left="780" w:right="20" w:hanging="445"/>
        <w:spacing w:after="0" w:line="312" w:lineRule="auto"/>
        <w:rPr>
          <w:rFonts w:ascii="Arial" w:cs="Arial" w:eastAsia="Arial" w:hAnsi="Arial"/>
          <w:sz w:val="18"/>
          <w:szCs w:val="18"/>
          <w:b w:val="1"/>
          <w:bCs w:val="1"/>
          <w:color w:val="auto"/>
        </w:rPr>
      </w:pPr>
      <w:r>
        <w:rPr>
          <w:rFonts w:ascii="Arial" w:cs="Arial" w:eastAsia="Arial" w:hAnsi="Arial"/>
          <w:sz w:val="17"/>
          <w:szCs w:val="17"/>
          <w:color w:val="auto"/>
        </w:rPr>
        <w:t xml:space="preserve">9.3 </w:t>
      </w:r>
      <w:r>
        <w:rPr>
          <w:rFonts w:ascii="Arial" w:cs="Arial" w:eastAsia="Arial" w:hAnsi="Arial"/>
          <w:sz w:val="17"/>
          <w:szCs w:val="17"/>
          <w:b w:val="1"/>
          <w:bCs w:val="1"/>
          <w:color w:val="auto"/>
        </w:rPr>
        <w:t>Force Majeure.</w:t>
      </w:r>
      <w:r>
        <w:rPr>
          <w:rFonts w:ascii="Arial" w:cs="Arial" w:eastAsia="Arial" w:hAnsi="Arial"/>
          <w:sz w:val="17"/>
          <w:szCs w:val="17"/>
          <w:color w:val="auto"/>
        </w:rPr>
        <w:t xml:space="preserve"> Other than a party’s obligation to provide Compensation set out in the EL, neither party will be liable for any delays or failures in performance or breach of contract due to events, causes, or circumstances beyond the reasonable control of either party.</w:t>
      </w:r>
    </w:p>
    <w:p>
      <w:pPr>
        <w:spacing w:after="0" w:line="139" w:lineRule="exact"/>
        <w:rPr>
          <w:rFonts w:ascii="Arial" w:cs="Arial" w:eastAsia="Arial" w:hAnsi="Arial"/>
          <w:sz w:val="18"/>
          <w:szCs w:val="18"/>
          <w:b w:val="1"/>
          <w:bCs w:val="1"/>
          <w:color w:val="auto"/>
        </w:rPr>
      </w:pPr>
    </w:p>
    <w:p>
      <w:pPr>
        <w:ind w:left="780" w:hanging="445"/>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 xml:space="preserve">9.4 </w:t>
      </w:r>
      <w:r>
        <w:rPr>
          <w:rFonts w:ascii="Arial" w:cs="Arial" w:eastAsia="Arial" w:hAnsi="Arial"/>
          <w:sz w:val="16"/>
          <w:szCs w:val="16"/>
          <w:b w:val="1"/>
          <w:bCs w:val="1"/>
          <w:color w:val="auto"/>
        </w:rPr>
        <w:t>Notices.</w:t>
      </w:r>
      <w:r>
        <w:rPr>
          <w:rFonts w:ascii="Arial" w:cs="Arial" w:eastAsia="Arial" w:hAnsi="Arial"/>
          <w:sz w:val="16"/>
          <w:szCs w:val="16"/>
          <w:color w:val="auto"/>
        </w:rPr>
        <w:t xml:space="preserve"> All notices required or permitted to be given under this Agreement shall be in writing and shall be deemed to have been given and received (a) when personally delivered or delivered by same-day courier; (b) on the third business day after mailing by registered or certified mail; (c) upon delivery when sent by prepaid overnight express delivery service (e.g., FedEx and UPS); or (d) when sent via email or facsimile and upon the receipt by the sending party of written confirmation by the receiving party; provided, however, that an automated facsimile or email confirmation of delivery or read receipt shall not constitute such confirmation; and, in any case, addressed to the appropriate party at the address set forth in the EL, or to any other address as the parties may have set during the period of this Agreement.</w:t>
      </w:r>
    </w:p>
    <w:p>
      <w:pPr>
        <w:spacing w:after="0" w:line="159" w:lineRule="exact"/>
        <w:rPr>
          <w:rFonts w:ascii="Arial" w:cs="Arial" w:eastAsia="Arial" w:hAnsi="Arial"/>
          <w:sz w:val="18"/>
          <w:szCs w:val="18"/>
          <w:b w:val="1"/>
          <w:bCs w:val="1"/>
          <w:color w:val="auto"/>
        </w:rPr>
      </w:pPr>
    </w:p>
    <w:p>
      <w:pPr>
        <w:ind w:left="780" w:hanging="445"/>
        <w:spacing w:after="0" w:line="292" w:lineRule="auto"/>
        <w:rPr>
          <w:rFonts w:ascii="Arial" w:cs="Arial" w:eastAsia="Arial" w:hAnsi="Arial"/>
          <w:sz w:val="18"/>
          <w:szCs w:val="18"/>
          <w:b w:val="1"/>
          <w:bCs w:val="1"/>
          <w:color w:val="auto"/>
        </w:rPr>
      </w:pPr>
      <w:r>
        <w:rPr>
          <w:rFonts w:ascii="Arial" w:cs="Arial" w:eastAsia="Arial" w:hAnsi="Arial"/>
          <w:sz w:val="16"/>
          <w:szCs w:val="16"/>
          <w:color w:val="auto"/>
        </w:rPr>
        <w:t xml:space="preserve">9.5 </w:t>
      </w:r>
      <w:r>
        <w:rPr>
          <w:rFonts w:ascii="Arial" w:cs="Arial" w:eastAsia="Arial" w:hAnsi="Arial"/>
          <w:sz w:val="16"/>
          <w:szCs w:val="16"/>
          <w:b w:val="1"/>
          <w:bCs w:val="1"/>
          <w:color w:val="auto"/>
        </w:rPr>
        <w:t>Non-Solicitation.</w:t>
      </w:r>
      <w:r>
        <w:rPr>
          <w:rFonts w:ascii="Arial" w:cs="Arial" w:eastAsia="Arial" w:hAnsi="Arial"/>
          <w:sz w:val="16"/>
          <w:szCs w:val="16"/>
          <w:color w:val="auto"/>
        </w:rPr>
        <w:t xml:space="preserve"> You shall not, except with our prior written consent, either during the term of the EL or within twelve (12) months following termination of this Agreement, directly or indirectly, solicit or entice away (or attempt to solicit or entice away) from our employment any person employed or engaged by us or otherwise connected directly or indirectly with this Agreement in the delivery of the Services other than by means of any general advertisements for employees, so long as such general advertisements are not directed to our employees. If you commit any breach of this section, unless otherwise agreed, you shall, on demand, pay to us a sum sufficient to fully compensate us for any injury suffered by us by reason of your breach of this section, in no event less than a sum equal to one year’s basic salary or the annual fee that was payable by us to that employee, worker, or independent contractor plus the recruitment costs incurred by us in replacing such person.</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1" w:name="page392"/>
    <w:bookmarkEnd w:id="391"/>
    <w:p>
      <w:pPr>
        <w:spacing w:after="0" w:line="1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183005" cy="28257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6">
                      <a:clrChange>
                        <a:clrFrom>
                          <a:srgbClr val="FFFFFF"/>
                        </a:clrFrom>
                        <a:clrTo>
                          <a:srgbClr val="FFFFFF">
                            <a:alpha val="0"/>
                          </a:srgbClr>
                        </a:clrTo>
                      </a:clrChange>
                      <a:extLst>
                        <a:ext uri="{28A0092B-C50C-407E-A947-70E740481C1C}"/>
                      </a:extLst>
                    </a:blip>
                    <a:srcRect/>
                    <a:stretch>
                      <a:fillRect/>
                    </a:stretch>
                  </pic:blipFill>
                  <pic:spPr bwMode="auto">
                    <a:xfrm>
                      <a:off x="0" y="0"/>
                      <a:ext cx="1183005" cy="282575"/>
                    </a:xfrm>
                    <a:prstGeom prst="rect">
                      <a:avLst/>
                    </a:prstGeom>
                    <a:noFill/>
                  </pic:spPr>
                </pic:pic>
              </a:graphicData>
            </a:graphic>
          </wp:anchor>
        </w:drawing>
      </w:r>
    </w:p>
    <w:p>
      <w:pPr>
        <w:jc w:val="both"/>
        <w:ind w:left="440" w:hanging="444"/>
        <w:spacing w:after="0" w:line="303" w:lineRule="auto"/>
        <w:tabs>
          <w:tab w:leader="none" w:pos="420" w:val="left"/>
        </w:tabs>
        <w:rPr>
          <w:sz w:val="20"/>
          <w:szCs w:val="20"/>
          <w:color w:val="auto"/>
        </w:rPr>
      </w:pPr>
      <w:r>
        <w:rPr>
          <w:rFonts w:ascii="Arial" w:cs="Arial" w:eastAsia="Arial" w:hAnsi="Arial"/>
          <w:sz w:val="18"/>
          <w:szCs w:val="18"/>
          <w:color w:val="auto"/>
        </w:rPr>
        <w:t>9.6</w:t>
      </w:r>
      <w:r>
        <w:rPr>
          <w:sz w:val="20"/>
          <w:szCs w:val="20"/>
          <w:color w:val="auto"/>
        </w:rPr>
        <w:tab/>
      </w:r>
      <w:r>
        <w:rPr>
          <w:rFonts w:ascii="Arial" w:cs="Arial" w:eastAsia="Arial" w:hAnsi="Arial"/>
          <w:sz w:val="16"/>
          <w:szCs w:val="16"/>
          <w:b w:val="1"/>
          <w:bCs w:val="1"/>
          <w:color w:val="auto"/>
        </w:rPr>
        <w:t xml:space="preserve">Assignment. </w:t>
      </w:r>
      <w:r>
        <w:rPr>
          <w:rFonts w:ascii="Arial" w:cs="Arial" w:eastAsia="Arial" w:hAnsi="Arial"/>
          <w:sz w:val="16"/>
          <w:szCs w:val="16"/>
          <w:color w:val="auto"/>
        </w:rPr>
        <w:t>You shall not transfer, assign, novate, charge, or otherwise seek to deal in any way with any of your rights or obligations under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without our prior written consent. We shall not transfer, assign, novate, charge, or otherwise seek to deal in any of our rights or obligations under this Agreement without your prior written consent; we may assign our rights and obligations under this Agreement to one or more of our Affiliates upon written notice to you, provided that such assignment shall not materially alter the Services provided.</w:t>
      </w:r>
    </w:p>
    <w:p>
      <w:pPr>
        <w:spacing w:after="0" w:line="151" w:lineRule="exact"/>
        <w:rPr>
          <w:sz w:val="20"/>
          <w:szCs w:val="20"/>
          <w:color w:val="auto"/>
        </w:rPr>
      </w:pPr>
    </w:p>
    <w:p>
      <w:pPr>
        <w:jc w:val="both"/>
        <w:ind w:left="440" w:hanging="444"/>
        <w:spacing w:after="0" w:line="274" w:lineRule="auto"/>
        <w:tabs>
          <w:tab w:leader="none" w:pos="420" w:val="left"/>
        </w:tabs>
        <w:rPr>
          <w:sz w:val="20"/>
          <w:szCs w:val="20"/>
          <w:color w:val="auto"/>
        </w:rPr>
      </w:pPr>
      <w:r>
        <w:rPr>
          <w:rFonts w:ascii="Arial" w:cs="Arial" w:eastAsia="Arial" w:hAnsi="Arial"/>
          <w:sz w:val="18"/>
          <w:szCs w:val="18"/>
          <w:color w:val="auto"/>
        </w:rPr>
        <w:t>9.7</w:t>
      </w:r>
      <w:r>
        <w:rPr>
          <w:sz w:val="20"/>
          <w:szCs w:val="20"/>
          <w:color w:val="auto"/>
        </w:rPr>
        <w:tab/>
      </w:r>
      <w:r>
        <w:rPr>
          <w:rFonts w:ascii="Arial" w:cs="Arial" w:eastAsia="Arial" w:hAnsi="Arial"/>
          <w:sz w:val="17"/>
          <w:szCs w:val="17"/>
          <w:b w:val="1"/>
          <w:bCs w:val="1"/>
          <w:color w:val="auto"/>
        </w:rPr>
        <w:t xml:space="preserve">No Third-Party Beneficiaries. </w:t>
      </w:r>
      <w:r>
        <w:rPr>
          <w:rFonts w:ascii="Arial" w:cs="Arial" w:eastAsia="Arial" w:hAnsi="Arial"/>
          <w:sz w:val="17"/>
          <w:szCs w:val="17"/>
          <w:color w:val="auto"/>
        </w:rPr>
        <w:t>Teneo has been retained only by you. Unless otherwise expressly agreed in a writing signed by all parties hereto,</w:t>
      </w:r>
      <w:r>
        <w:rPr>
          <w:rFonts w:ascii="Arial" w:cs="Arial" w:eastAsia="Arial" w:hAnsi="Arial"/>
          <w:sz w:val="17"/>
          <w:szCs w:val="17"/>
          <w:b w:val="1"/>
          <w:bCs w:val="1"/>
          <w:color w:val="auto"/>
        </w:rPr>
        <w:t xml:space="preserve"> </w:t>
      </w:r>
      <w:r>
        <w:rPr>
          <w:rFonts w:ascii="Arial" w:cs="Arial" w:eastAsia="Arial" w:hAnsi="Arial"/>
          <w:sz w:val="17"/>
          <w:szCs w:val="17"/>
          <w:color w:val="auto"/>
        </w:rPr>
        <w:t>no one other than you is authorized to rely upon the engagement of Teneo or any statements, advice, opinions, or conduct by Teneo. Except as set forth expressly herein, the parties understand and agree that there are no third-party beneficiaries of this Agreement, including partners, lenders, investors, trustees, beneficiaries, insureds, or Affiliates of the reorganized debtor, creditor committee, or any other entity. Accordingly, none of the aforementioned entities in this section shall have any right to pursue or enforce any right or remedy hereunder; to assert a Claim against Teneo; or to assert reliance in any manner on Teneo, this Agreement, or work performed hereunder.</w:t>
      </w:r>
    </w:p>
    <w:p>
      <w:pPr>
        <w:spacing w:after="0" w:line="173" w:lineRule="exact"/>
        <w:rPr>
          <w:sz w:val="20"/>
          <w:szCs w:val="20"/>
          <w:color w:val="auto"/>
        </w:rPr>
      </w:pPr>
    </w:p>
    <w:p>
      <w:pPr>
        <w:jc w:val="both"/>
        <w:ind w:left="440" w:hanging="444"/>
        <w:spacing w:after="0" w:line="261" w:lineRule="auto"/>
        <w:tabs>
          <w:tab w:leader="none" w:pos="420" w:val="left"/>
        </w:tabs>
        <w:rPr>
          <w:sz w:val="20"/>
          <w:szCs w:val="20"/>
          <w:color w:val="auto"/>
        </w:rPr>
      </w:pPr>
      <w:r>
        <w:rPr>
          <w:rFonts w:ascii="Arial" w:cs="Arial" w:eastAsia="Arial" w:hAnsi="Arial"/>
          <w:sz w:val="18"/>
          <w:szCs w:val="18"/>
          <w:color w:val="auto"/>
        </w:rPr>
        <w:t>9.8</w:t>
      </w:r>
      <w:r>
        <w:rPr>
          <w:sz w:val="20"/>
          <w:szCs w:val="20"/>
          <w:color w:val="auto"/>
        </w:rPr>
        <w:tab/>
      </w:r>
      <w:r>
        <w:rPr>
          <w:rFonts w:ascii="Arial" w:cs="Arial" w:eastAsia="Arial" w:hAnsi="Arial"/>
          <w:sz w:val="18"/>
          <w:szCs w:val="18"/>
          <w:b w:val="1"/>
          <w:bCs w:val="1"/>
          <w:color w:val="auto"/>
        </w:rPr>
        <w:t xml:space="preserve">Waiver. </w:t>
      </w:r>
      <w:r>
        <w:rPr>
          <w:rFonts w:ascii="Arial" w:cs="Arial" w:eastAsia="Arial" w:hAnsi="Arial"/>
          <w:sz w:val="18"/>
          <w:szCs w:val="18"/>
          <w:color w:val="auto"/>
        </w:rPr>
        <w:t>No failure or delay by any party to exercise any right or remedy provided under this Agreement or by law shall constitute a waiver of</w:t>
      </w:r>
      <w:r>
        <w:rPr>
          <w:rFonts w:ascii="Arial" w:cs="Arial" w:eastAsia="Arial" w:hAnsi="Arial"/>
          <w:sz w:val="18"/>
          <w:szCs w:val="18"/>
          <w:b w:val="1"/>
          <w:bCs w:val="1"/>
          <w:color w:val="auto"/>
        </w:rPr>
        <w:t xml:space="preserve"> </w:t>
      </w:r>
      <w:r>
        <w:rPr>
          <w:rFonts w:ascii="Arial" w:cs="Arial" w:eastAsia="Arial" w:hAnsi="Arial"/>
          <w:sz w:val="18"/>
          <w:szCs w:val="18"/>
          <w:color w:val="auto"/>
        </w:rPr>
        <w:t>that or any other right or remedy, nor shall it prevent or restrict the further exercise of that or any other right or remedy, unless agreed in writing to be a waiver. No single or partial exercise of such right or remedy shall prevent or restrict the further exercise of that or any other right or remedy unless agreed in writing to be a waiver.</w:t>
      </w:r>
    </w:p>
    <w:p>
      <w:pPr>
        <w:spacing w:after="0" w:line="180" w:lineRule="exact"/>
        <w:rPr>
          <w:sz w:val="20"/>
          <w:szCs w:val="20"/>
          <w:color w:val="auto"/>
        </w:rPr>
      </w:pPr>
    </w:p>
    <w:p>
      <w:pPr>
        <w:jc w:val="both"/>
        <w:ind w:left="440" w:right="20" w:hanging="444"/>
        <w:spacing w:after="0" w:line="282" w:lineRule="auto"/>
        <w:tabs>
          <w:tab w:leader="none" w:pos="420" w:val="left"/>
        </w:tabs>
        <w:rPr>
          <w:sz w:val="20"/>
          <w:szCs w:val="20"/>
          <w:color w:val="auto"/>
        </w:rPr>
      </w:pPr>
      <w:r>
        <w:rPr>
          <w:rFonts w:ascii="Arial" w:cs="Arial" w:eastAsia="Arial" w:hAnsi="Arial"/>
          <w:sz w:val="18"/>
          <w:szCs w:val="18"/>
          <w:color w:val="auto"/>
        </w:rPr>
        <w:t>9.9</w:t>
      </w:r>
      <w:r>
        <w:rPr>
          <w:sz w:val="20"/>
          <w:szCs w:val="20"/>
          <w:color w:val="auto"/>
        </w:rPr>
        <w:tab/>
      </w:r>
      <w:r>
        <w:rPr>
          <w:rFonts w:ascii="Arial" w:cs="Arial" w:eastAsia="Arial" w:hAnsi="Arial"/>
          <w:sz w:val="18"/>
          <w:szCs w:val="18"/>
          <w:b w:val="1"/>
          <w:bCs w:val="1"/>
          <w:color w:val="auto"/>
        </w:rPr>
        <w:t xml:space="preserve">Amendment. </w:t>
      </w:r>
      <w:r>
        <w:rPr>
          <w:rFonts w:ascii="Arial" w:cs="Arial" w:eastAsia="Arial" w:hAnsi="Arial"/>
          <w:sz w:val="18"/>
          <w:szCs w:val="18"/>
          <w:color w:val="auto"/>
        </w:rPr>
        <w:t>No changes to this Agreement shall be effective unless agreed in writing and signed by both parties. This Agreement can be varied</w:t>
      </w:r>
      <w:r>
        <w:rPr>
          <w:rFonts w:ascii="Arial" w:cs="Arial" w:eastAsia="Arial" w:hAnsi="Arial"/>
          <w:sz w:val="18"/>
          <w:szCs w:val="18"/>
          <w:b w:val="1"/>
          <w:bCs w:val="1"/>
          <w:color w:val="auto"/>
        </w:rPr>
        <w:t xml:space="preserve"> </w:t>
      </w:r>
      <w:r>
        <w:rPr>
          <w:rFonts w:ascii="Arial" w:cs="Arial" w:eastAsia="Arial" w:hAnsi="Arial"/>
          <w:sz w:val="18"/>
          <w:szCs w:val="18"/>
          <w:color w:val="auto"/>
        </w:rPr>
        <w:t>or terminated without any third party’s consent.</w:t>
      </w:r>
    </w:p>
    <w:p>
      <w:pPr>
        <w:spacing w:after="0" w:line="162" w:lineRule="exact"/>
        <w:rPr>
          <w:sz w:val="20"/>
          <w:szCs w:val="20"/>
          <w:color w:val="auto"/>
        </w:rPr>
      </w:pPr>
    </w:p>
    <w:p>
      <w:pPr>
        <w:jc w:val="both"/>
        <w:ind w:left="440" w:hanging="444"/>
        <w:spacing w:after="0" w:line="254" w:lineRule="auto"/>
        <w:rPr>
          <w:sz w:val="20"/>
          <w:szCs w:val="20"/>
          <w:color w:val="auto"/>
        </w:rPr>
      </w:pPr>
      <w:r>
        <w:rPr>
          <w:rFonts w:ascii="Arial" w:cs="Arial" w:eastAsia="Arial" w:hAnsi="Arial"/>
          <w:sz w:val="18"/>
          <w:szCs w:val="18"/>
          <w:color w:val="auto"/>
        </w:rPr>
        <w:t xml:space="preserve">9.10 </w:t>
      </w:r>
      <w:r>
        <w:rPr>
          <w:rFonts w:ascii="Arial" w:cs="Arial" w:eastAsia="Arial" w:hAnsi="Arial"/>
          <w:sz w:val="18"/>
          <w:szCs w:val="18"/>
          <w:b w:val="1"/>
          <w:bCs w:val="1"/>
          <w:color w:val="auto"/>
        </w:rPr>
        <w:t>Entire Agreement.</w:t>
      </w:r>
      <w:r>
        <w:rPr>
          <w:rFonts w:ascii="Arial" w:cs="Arial" w:eastAsia="Arial" w:hAnsi="Arial"/>
          <w:sz w:val="18"/>
          <w:szCs w:val="18"/>
          <w:color w:val="auto"/>
        </w:rPr>
        <w:t xml:space="preserve"> This Agreement (i) supersedes and relieves the parties from any liability which might otherwise arise in respect of any previous agreement, understanding, statement, or representation between the parties in relation to the matters dealt with in this Agreement and represents the entire Agreement between the parties on these matters, including, for the avoidance of doubt, the agreement between the parties dated April 15, 2023; and (ii) is in full substitution and replacement for any standard terms issued by you which might otherwise be applicable. The parties and each of them acknowledge and agree that this Agreement has not been entered into in reliance on any pre-contractual statement and representations provided always that this section shall not exclude or limit any liability or any right which any party may have in respect of pre-contractual statement or representations made or given fraudulently or dishonestly or in circumstances where there has been willful concealment.</w:t>
      </w:r>
    </w:p>
    <w:p>
      <w:pPr>
        <w:spacing w:after="0" w:line="192" w:lineRule="exact"/>
        <w:rPr>
          <w:sz w:val="20"/>
          <w:szCs w:val="20"/>
          <w:color w:val="auto"/>
        </w:rPr>
      </w:pPr>
    </w:p>
    <w:p>
      <w:pPr>
        <w:jc w:val="both"/>
        <w:ind w:left="440" w:right="20" w:hanging="444"/>
        <w:spacing w:after="0" w:line="347" w:lineRule="auto"/>
        <w:rPr>
          <w:sz w:val="20"/>
          <w:szCs w:val="20"/>
          <w:color w:val="auto"/>
        </w:rPr>
      </w:pPr>
      <w:r>
        <w:rPr>
          <w:rFonts w:ascii="Arial" w:cs="Arial" w:eastAsia="Arial" w:hAnsi="Arial"/>
          <w:sz w:val="16"/>
          <w:szCs w:val="16"/>
          <w:color w:val="auto"/>
        </w:rPr>
        <w:t xml:space="preserve">9.11 </w:t>
      </w:r>
      <w:r>
        <w:rPr>
          <w:rFonts w:ascii="Arial" w:cs="Arial" w:eastAsia="Arial" w:hAnsi="Arial"/>
          <w:sz w:val="16"/>
          <w:szCs w:val="16"/>
          <w:b w:val="1"/>
          <w:bCs w:val="1"/>
          <w:color w:val="auto"/>
        </w:rPr>
        <w:t>Authority to Sign.</w:t>
      </w:r>
      <w:r>
        <w:rPr>
          <w:rFonts w:ascii="Arial" w:cs="Arial" w:eastAsia="Arial" w:hAnsi="Arial"/>
          <w:sz w:val="16"/>
          <w:szCs w:val="16"/>
          <w:color w:val="auto"/>
        </w:rPr>
        <w:t xml:space="preserve"> By signing this Agreement, you expressly represent and warrant that you have full and complete authority to accept these Terms of Business, to bind the Client to every term of this Agreement, and to authorize us to provide you the Services under this Agreement.</w:t>
      </w:r>
    </w:p>
    <w:p>
      <w:pPr>
        <w:spacing w:after="0" w:line="329"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6985</wp:posOffset>
            </wp:positionV>
            <wp:extent cx="7132320" cy="171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1440" w:right="339" w:bottom="1440" w:gutter="0" w:footer="0" w:header="0"/>
        </w:sectPr>
      </w:pPr>
    </w:p>
    <w:bookmarkStart w:id="392" w:name="page393"/>
    <w:bookmarkEnd w:id="392"/>
    <w:p>
      <w:pPr>
        <w:spacing w:after="0" w:line="1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183005" cy="28257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8">
                      <a:clrChange>
                        <a:clrFrom>
                          <a:srgbClr val="FFFFFF"/>
                        </a:clrFrom>
                        <a:clrTo>
                          <a:srgbClr val="FFFFFF">
                            <a:alpha val="0"/>
                          </a:srgbClr>
                        </a:clrTo>
                      </a:clrChange>
                      <a:extLst>
                        <a:ext uri="{28A0092B-C50C-407E-A947-70E740481C1C}"/>
                      </a:extLst>
                    </a:blip>
                    <a:srcRect/>
                    <a:stretch>
                      <a:fillRect/>
                    </a:stretch>
                  </pic:blipFill>
                  <pic:spPr bwMode="auto">
                    <a:xfrm>
                      <a:off x="0" y="0"/>
                      <a:ext cx="1183005" cy="282575"/>
                    </a:xfrm>
                    <a:prstGeom prst="rect">
                      <a:avLst/>
                    </a:prstGeom>
                    <a:noFill/>
                  </pic:spPr>
                </pic:pic>
              </a:graphicData>
            </a:graphic>
          </wp:anchor>
        </w:drawing>
      </w:r>
    </w:p>
    <w:p>
      <w:pPr>
        <w:jc w:val="both"/>
        <w:ind w:left="440" w:hanging="444"/>
        <w:spacing w:after="0" w:line="258" w:lineRule="auto"/>
        <w:rPr>
          <w:sz w:val="20"/>
          <w:szCs w:val="20"/>
          <w:color w:val="auto"/>
        </w:rPr>
      </w:pPr>
      <w:r>
        <w:rPr>
          <w:rFonts w:ascii="Arial" w:cs="Arial" w:eastAsia="Arial" w:hAnsi="Arial"/>
          <w:sz w:val="18"/>
          <w:szCs w:val="18"/>
          <w:color w:val="auto"/>
        </w:rPr>
        <w:t xml:space="preserve">9.12 </w:t>
      </w:r>
      <w:r>
        <w:rPr>
          <w:rFonts w:ascii="Arial" w:cs="Arial" w:eastAsia="Arial" w:hAnsi="Arial"/>
          <w:sz w:val="18"/>
          <w:szCs w:val="18"/>
          <w:b w:val="1"/>
          <w:bCs w:val="1"/>
          <w:color w:val="auto"/>
        </w:rPr>
        <w:t>Severance.</w:t>
      </w:r>
      <w:r>
        <w:rPr>
          <w:rFonts w:ascii="Arial" w:cs="Arial" w:eastAsia="Arial" w:hAnsi="Arial"/>
          <w:sz w:val="18"/>
          <w:szCs w:val="18"/>
          <w:color w:val="auto"/>
        </w:rPr>
        <w:t xml:space="preserve"> If any provision of this Agreement, or part of any provision, is found by any court or other authority of competent jurisdiction to be invalid, illegal, or unenforceable, such provision or part-provision shall, to the extent required, be deemed modified to the minimum extent necessary to make it valid, legal, and enforceable. If such modification is not possible, the relevant provision or part-provision shall be deemed deleted. Any modification to, or deletion of, a provision or part-provision under this section shall not affect the validity and enforceability of the rest of this Agreement.</w:t>
      </w:r>
    </w:p>
    <w:p>
      <w:pPr>
        <w:spacing w:after="0" w:line="183" w:lineRule="exact"/>
        <w:rPr>
          <w:sz w:val="20"/>
          <w:szCs w:val="20"/>
          <w:color w:val="auto"/>
        </w:rPr>
      </w:pPr>
    </w:p>
    <w:p>
      <w:pPr>
        <w:jc w:val="both"/>
        <w:ind w:left="440" w:hanging="444"/>
        <w:spacing w:after="0" w:line="282" w:lineRule="auto"/>
        <w:rPr>
          <w:sz w:val="20"/>
          <w:szCs w:val="20"/>
          <w:color w:val="auto"/>
        </w:rPr>
      </w:pPr>
      <w:r>
        <w:rPr>
          <w:rFonts w:ascii="Arial" w:cs="Arial" w:eastAsia="Arial" w:hAnsi="Arial"/>
          <w:sz w:val="18"/>
          <w:szCs w:val="18"/>
          <w:color w:val="auto"/>
        </w:rPr>
        <w:t xml:space="preserve">9.13 </w:t>
      </w:r>
      <w:r>
        <w:rPr>
          <w:rFonts w:ascii="Arial" w:cs="Arial" w:eastAsia="Arial" w:hAnsi="Arial"/>
          <w:sz w:val="18"/>
          <w:szCs w:val="18"/>
          <w:b w:val="1"/>
          <w:bCs w:val="1"/>
          <w:color w:val="auto"/>
        </w:rPr>
        <w:t>Governing Law.</w:t>
      </w:r>
      <w:r>
        <w:rPr>
          <w:rFonts w:ascii="Arial" w:cs="Arial" w:eastAsia="Arial" w:hAnsi="Arial"/>
          <w:sz w:val="18"/>
          <w:szCs w:val="18"/>
          <w:color w:val="auto"/>
        </w:rPr>
        <w:t xml:space="preserve"> This Agreement shall be governed by, and construed in accordance with, the laws of the State of New York without regard to the provisions, policies, or principles thereof relating to choice or conflicts of law.</w:t>
      </w:r>
    </w:p>
    <w:p>
      <w:pPr>
        <w:spacing w:after="0" w:line="166" w:lineRule="exact"/>
        <w:rPr>
          <w:sz w:val="20"/>
          <w:szCs w:val="20"/>
          <w:color w:val="auto"/>
        </w:rPr>
      </w:pPr>
    </w:p>
    <w:p>
      <w:pPr>
        <w:jc w:val="center"/>
        <w:ind w:right="340"/>
        <w:spacing w:after="0"/>
        <w:tabs>
          <w:tab w:leader="none" w:pos="200" w:val="left"/>
          <w:tab w:leader="none" w:pos="220" w:val="left"/>
        </w:tabs>
        <w:rPr>
          <w:sz w:val="20"/>
          <w:szCs w:val="20"/>
          <w:color w:val="auto"/>
        </w:rPr>
      </w:pPr>
      <w:r>
        <w:rPr>
          <w:rFonts w:ascii="Arial" w:cs="Arial" w:eastAsia="Arial" w:hAnsi="Arial"/>
          <w:sz w:val="18"/>
          <w:szCs w:val="18"/>
          <w:color w:val="auto"/>
        </w:rPr>
        <w:t>*</w:t>
        <w:tab/>
        <w:t>*</w:t>
        <w:tab/>
        <w:t>*</w:t>
      </w:r>
    </w:p>
    <w:p>
      <w:pPr>
        <w:spacing w:after="0" w:line="200" w:lineRule="exact"/>
        <w:rPr>
          <w:sz w:val="20"/>
          <w:szCs w:val="20"/>
          <w:color w:val="auto"/>
        </w:rPr>
      </w:pPr>
    </w:p>
    <w:p>
      <w:pPr>
        <w:spacing w:after="0" w:line="241"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132320" cy="171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1440" w:right="339" w:bottom="1440" w:gutter="0" w:footer="0" w:header="0"/>
        </w:sectPr>
      </w:pPr>
    </w:p>
    <w:bookmarkStart w:id="393" w:name="page394"/>
    <w:bookmarkEnd w:id="393"/>
    <w:p>
      <w:pPr>
        <w:ind w:left="10320"/>
        <w:spacing w:after="0"/>
        <w:rPr>
          <w:sz w:val="20"/>
          <w:szCs w:val="20"/>
          <w:color w:val="auto"/>
        </w:rPr>
      </w:pPr>
      <w:r>
        <w:rPr>
          <w:rFonts w:ascii="Arial" w:cs="Arial" w:eastAsia="Arial" w:hAnsi="Arial"/>
          <w:sz w:val="16"/>
          <w:szCs w:val="16"/>
          <w:b w:val="1"/>
          <w:bCs w:val="1"/>
          <w:color w:val="auto"/>
        </w:rPr>
        <w:t>Exhibit 99.1</w:t>
      </w:r>
    </w:p>
    <w:p>
      <w:pPr>
        <w:spacing w:after="0" w:line="24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Presto Announces FY2023 Financial Results, Increased Ownership Commitment from a Major Existing Shareholder, Extended Shareholder Lock-ups, and a new Interim CFO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October 10, 2023</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SAN CARLOS, Calif.–(GLOBAL NEWSWIRE)–[October 10, 2023]– Presto Automation Inc. (Nasdaq: PRST), an enterprise-grade AI and automation solutions provider to some of the nation’s largest restaurant brands, today announced:</w:t>
      </w:r>
    </w:p>
    <w:p>
      <w:pPr>
        <w:spacing w:after="0" w:line="170" w:lineRule="exact"/>
        <w:rPr>
          <w:sz w:val="20"/>
          <w:szCs w:val="20"/>
          <w:color w:val="auto"/>
        </w:rPr>
      </w:pPr>
    </w:p>
    <w:p>
      <w:pPr>
        <w:ind w:left="660" w:hanging="328"/>
        <w:spacing w:after="0"/>
        <w:tabs>
          <w:tab w:leader="none" w:pos="660" w:val="left"/>
        </w:tabs>
        <w:numPr>
          <w:ilvl w:val="0"/>
          <w:numId w:val="418"/>
        </w:numPr>
        <w:rPr>
          <w:rFonts w:ascii="Arial" w:cs="Arial" w:eastAsia="Arial" w:hAnsi="Arial"/>
          <w:sz w:val="18"/>
          <w:szCs w:val="18"/>
          <w:color w:val="auto"/>
        </w:rPr>
      </w:pPr>
      <w:r>
        <w:rPr>
          <w:rFonts w:ascii="Arial" w:cs="Arial" w:eastAsia="Arial" w:hAnsi="Arial"/>
          <w:sz w:val="18"/>
          <w:szCs w:val="18"/>
          <w:color w:val="auto"/>
        </w:rPr>
        <w:t>Full Year 2023 revenue of $26.1 million, in line with guidance, with Fiscal Fourth Quarter 2023 revenue of $4.8 million</w:t>
      </w:r>
    </w:p>
    <w:p>
      <w:pPr>
        <w:spacing w:after="0" w:line="228" w:lineRule="exact"/>
        <w:rPr>
          <w:rFonts w:ascii="Arial" w:cs="Arial" w:eastAsia="Arial" w:hAnsi="Arial"/>
          <w:sz w:val="18"/>
          <w:szCs w:val="18"/>
          <w:color w:val="auto"/>
        </w:rPr>
      </w:pPr>
    </w:p>
    <w:p>
      <w:pPr>
        <w:ind w:left="660" w:hanging="328"/>
        <w:spacing w:after="0" w:line="210" w:lineRule="auto"/>
        <w:tabs>
          <w:tab w:leader="none" w:pos="660" w:val="left"/>
        </w:tabs>
        <w:numPr>
          <w:ilvl w:val="0"/>
          <w:numId w:val="418"/>
        </w:numPr>
        <w:rPr>
          <w:rFonts w:ascii="Arial" w:cs="Arial" w:eastAsia="Arial" w:hAnsi="Arial"/>
          <w:sz w:val="32"/>
          <w:szCs w:val="32"/>
          <w:color w:val="auto"/>
          <w:vertAlign w:val="superscript"/>
        </w:rPr>
      </w:pPr>
      <w:r>
        <w:rPr>
          <w:rFonts w:ascii="Arial" w:cs="Arial" w:eastAsia="Arial" w:hAnsi="Arial"/>
          <w:sz w:val="16"/>
          <w:szCs w:val="16"/>
          <w:color w:val="auto"/>
        </w:rPr>
        <w:t>Presto Voice™ gaining significant traction with annual revenue opportunity</w:t>
      </w:r>
      <w:r>
        <w:rPr>
          <w:rFonts w:ascii="Arial" w:cs="Arial" w:eastAsia="Arial" w:hAnsi="Arial"/>
          <w:sz w:val="26"/>
          <w:szCs w:val="26"/>
          <w:color w:val="auto"/>
          <w:vertAlign w:val="superscript"/>
        </w:rPr>
        <w:t>1</w:t>
      </w:r>
      <w:r>
        <w:rPr>
          <w:rFonts w:ascii="Arial" w:cs="Arial" w:eastAsia="Arial" w:hAnsi="Arial"/>
          <w:sz w:val="16"/>
          <w:szCs w:val="16"/>
          <w:color w:val="auto"/>
        </w:rPr>
        <w:t xml:space="preserve"> reaching approximately $17 million (based on locations of franchisee customers with whom we have master service or pilot agreements in which Presto Voice has not been installed), as of September 30, 2023</w:t>
      </w:r>
    </w:p>
    <w:p>
      <w:pPr>
        <w:spacing w:after="0" w:line="181" w:lineRule="exact"/>
        <w:rPr>
          <w:rFonts w:ascii="Arial" w:cs="Arial" w:eastAsia="Arial" w:hAnsi="Arial"/>
          <w:sz w:val="32"/>
          <w:szCs w:val="32"/>
          <w:color w:val="auto"/>
          <w:vertAlign w:val="superscript"/>
        </w:rPr>
      </w:pPr>
    </w:p>
    <w:p>
      <w:pPr>
        <w:ind w:left="660" w:hanging="328"/>
        <w:spacing w:after="0"/>
        <w:tabs>
          <w:tab w:leader="none" w:pos="660" w:val="left"/>
        </w:tabs>
        <w:numPr>
          <w:ilvl w:val="0"/>
          <w:numId w:val="418"/>
        </w:numPr>
        <w:rPr>
          <w:rFonts w:ascii="Arial" w:cs="Arial" w:eastAsia="Arial" w:hAnsi="Arial"/>
          <w:sz w:val="36"/>
          <w:szCs w:val="36"/>
          <w:color w:val="auto"/>
          <w:vertAlign w:val="superscript"/>
        </w:rPr>
      </w:pPr>
      <w:r>
        <w:rPr>
          <w:rFonts w:ascii="Arial" w:cs="Arial" w:eastAsia="Arial" w:hAnsi="Arial"/>
          <w:sz w:val="18"/>
          <w:szCs w:val="18"/>
          <w:color w:val="auto"/>
        </w:rPr>
        <w:t>Inclusion in the broad-market Russell 3000</w:t>
      </w:r>
      <w:r>
        <w:rPr>
          <w:rFonts w:ascii="Arial" w:cs="Arial" w:eastAsia="Arial" w:hAnsi="Arial"/>
          <w:sz w:val="29"/>
          <w:szCs w:val="29"/>
          <w:color w:val="auto"/>
          <w:vertAlign w:val="superscript"/>
        </w:rPr>
        <w:t>®</w:t>
      </w:r>
      <w:r>
        <w:rPr>
          <w:rFonts w:ascii="Arial" w:cs="Arial" w:eastAsia="Arial" w:hAnsi="Arial"/>
          <w:sz w:val="18"/>
          <w:szCs w:val="18"/>
          <w:color w:val="auto"/>
        </w:rPr>
        <w:t xml:space="preserve"> Index and small-cap Russell 2000</w:t>
      </w:r>
      <w:r>
        <w:rPr>
          <w:rFonts w:ascii="Arial" w:cs="Arial" w:eastAsia="Arial" w:hAnsi="Arial"/>
          <w:sz w:val="29"/>
          <w:szCs w:val="29"/>
          <w:color w:val="auto"/>
          <w:vertAlign w:val="superscript"/>
        </w:rPr>
        <w:t>®</w:t>
      </w:r>
      <w:r>
        <w:rPr>
          <w:rFonts w:ascii="Arial" w:cs="Arial" w:eastAsia="Arial" w:hAnsi="Arial"/>
          <w:sz w:val="18"/>
          <w:szCs w:val="18"/>
          <w:color w:val="auto"/>
        </w:rPr>
        <w:t xml:space="preserve"> Index for 2023</w:t>
      </w:r>
    </w:p>
    <w:p>
      <w:pPr>
        <w:spacing w:after="0" w:line="78" w:lineRule="exact"/>
        <w:rPr>
          <w:rFonts w:ascii="Arial" w:cs="Arial" w:eastAsia="Arial" w:hAnsi="Arial"/>
          <w:sz w:val="36"/>
          <w:szCs w:val="36"/>
          <w:color w:val="auto"/>
          <w:vertAlign w:val="superscript"/>
        </w:rPr>
      </w:pPr>
    </w:p>
    <w:p>
      <w:pPr>
        <w:ind w:left="660" w:hanging="328"/>
        <w:spacing w:after="0"/>
        <w:tabs>
          <w:tab w:leader="none" w:pos="660" w:val="left"/>
        </w:tabs>
        <w:numPr>
          <w:ilvl w:val="0"/>
          <w:numId w:val="418"/>
        </w:numPr>
        <w:rPr>
          <w:rFonts w:ascii="Arial" w:cs="Arial" w:eastAsia="Arial" w:hAnsi="Arial"/>
          <w:sz w:val="18"/>
          <w:szCs w:val="18"/>
          <w:color w:val="auto"/>
        </w:rPr>
      </w:pPr>
      <w:r>
        <w:rPr>
          <w:rFonts w:ascii="Arial" w:cs="Arial" w:eastAsia="Arial" w:hAnsi="Arial"/>
          <w:sz w:val="18"/>
          <w:szCs w:val="18"/>
          <w:color w:val="auto"/>
        </w:rPr>
        <w:t>Increased ownership commitment by major existing shareholder Cleveland Avenue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18"/>
        </w:numPr>
        <w:rPr>
          <w:rFonts w:ascii="Arial" w:cs="Arial" w:eastAsia="Arial" w:hAnsi="Arial"/>
          <w:sz w:val="18"/>
          <w:szCs w:val="18"/>
          <w:color w:val="auto"/>
        </w:rPr>
      </w:pPr>
      <w:r>
        <w:rPr>
          <w:rFonts w:ascii="Arial" w:cs="Arial" w:eastAsia="Arial" w:hAnsi="Arial"/>
          <w:sz w:val="18"/>
          <w:szCs w:val="18"/>
          <w:color w:val="auto"/>
        </w:rPr>
        <w:t>Lock-up agreement from certain existing shareholders extended to December 23, 2024</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18"/>
        </w:numPr>
        <w:rPr>
          <w:rFonts w:ascii="Arial" w:cs="Arial" w:eastAsia="Arial" w:hAnsi="Arial"/>
          <w:sz w:val="18"/>
          <w:szCs w:val="18"/>
          <w:color w:val="auto"/>
        </w:rPr>
      </w:pPr>
      <w:r>
        <w:rPr>
          <w:rFonts w:ascii="Arial" w:cs="Arial" w:eastAsia="Arial" w:hAnsi="Arial"/>
          <w:sz w:val="18"/>
          <w:szCs w:val="18"/>
          <w:color w:val="auto"/>
        </w:rPr>
        <w:t>Revised credit agreement with Metropolitan Partners Group</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18"/>
        </w:numPr>
        <w:rPr>
          <w:rFonts w:ascii="Arial" w:cs="Arial" w:eastAsia="Arial" w:hAnsi="Arial"/>
          <w:sz w:val="18"/>
          <w:szCs w:val="18"/>
          <w:color w:val="auto"/>
        </w:rPr>
      </w:pPr>
      <w:r>
        <w:rPr>
          <w:rFonts w:ascii="Arial" w:cs="Arial" w:eastAsia="Arial" w:hAnsi="Arial"/>
          <w:sz w:val="18"/>
          <w:szCs w:val="18"/>
          <w:color w:val="auto"/>
        </w:rPr>
        <w:t>New Interim CFO, Nathan Cook, joining effective today</w:t>
      </w:r>
    </w:p>
    <w:p>
      <w:pPr>
        <w:spacing w:after="0" w:line="229" w:lineRule="exact"/>
        <w:rPr>
          <w:sz w:val="20"/>
          <w:szCs w:val="20"/>
          <w:color w:val="auto"/>
        </w:rPr>
      </w:pPr>
    </w:p>
    <w:p>
      <w:pPr>
        <w:jc w:val="both"/>
        <w:spacing w:after="0" w:line="214" w:lineRule="auto"/>
        <w:rPr>
          <w:sz w:val="20"/>
          <w:szCs w:val="20"/>
          <w:color w:val="auto"/>
        </w:rPr>
      </w:pPr>
      <w:r>
        <w:rPr>
          <w:rFonts w:ascii="Arial" w:cs="Arial" w:eastAsia="Arial" w:hAnsi="Arial"/>
          <w:sz w:val="18"/>
          <w:szCs w:val="18"/>
          <w:i w:val="1"/>
          <w:iCs w:val="1"/>
          <w:color w:val="auto"/>
        </w:rPr>
        <w:t>“I am delighted to report, with our first full fiscal year as a public company, that our Presto Voice</w:t>
      </w:r>
      <w:r>
        <w:rPr>
          <w:rFonts w:ascii="Arial" w:cs="Arial" w:eastAsia="Arial" w:hAnsi="Arial"/>
          <w:sz w:val="29"/>
          <w:szCs w:val="29"/>
          <w:i w:val="1"/>
          <w:iCs w:val="1"/>
          <w:color w:val="auto"/>
          <w:vertAlign w:val="superscript"/>
        </w:rPr>
        <w:t>TM</w:t>
      </w:r>
      <w:r>
        <w:rPr>
          <w:rFonts w:ascii="Arial" w:cs="Arial" w:eastAsia="Arial" w:hAnsi="Arial"/>
          <w:sz w:val="18"/>
          <w:szCs w:val="18"/>
          <w:i w:val="1"/>
          <w:iCs w:val="1"/>
          <w:color w:val="auto"/>
        </w:rPr>
        <w:t xml:space="preserve"> AI solution is gaining significant traction in the market,” said Xavier Casanova, CEO of Presto.</w:t>
      </w:r>
    </w:p>
    <w:p>
      <w:pPr>
        <w:spacing w:after="0" w:line="20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“We have developed strong relationships with new customers and are making great strides in developing our AI technology. We’re still in the early stages of capitalizing on the significant opportunity ahead of us and are implementing a focused plan for success in this growing and dynamic market. We are pleased that one of our major existing shareholders and existing lender have offered their continued support to us on this journey,” Mr. Casanova added.</w:t>
      </w:r>
    </w:p>
    <w:p>
      <w:pPr>
        <w:spacing w:after="0" w:line="14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“In addition, I am pleased to welcome Nathan Cook as our new CFO. Nathan brings a depth of experience to the role and will be a valuable partner to the rest of the management team in guiding our company toward financial success and delivering accelerated strategic and profitable growth.”</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Release of Full Year 2023 and Fiscal Fourth Quarter Financial Results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Presto today announced the financial results for its Full Year ended June 30, 2023, which were in line with guidance, and financial results for its Fiscal Fourth Quarter 2023.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 Year 2023 Financial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the Full Year of 2023, compared to the Full Year of 2022:</w:t>
      </w:r>
    </w:p>
    <w:p>
      <w:pPr>
        <w:spacing w:after="0" w:line="221" w:lineRule="exact"/>
        <w:rPr>
          <w:sz w:val="20"/>
          <w:szCs w:val="20"/>
          <w:color w:val="auto"/>
        </w:rPr>
      </w:pPr>
    </w:p>
    <w:p>
      <w:pPr>
        <w:ind w:left="660" w:hanging="328"/>
        <w:spacing w:after="0"/>
        <w:tabs>
          <w:tab w:leader="none" w:pos="660" w:val="left"/>
        </w:tabs>
        <w:numPr>
          <w:ilvl w:val="1"/>
          <w:numId w:val="419"/>
        </w:numPr>
        <w:rPr>
          <w:rFonts w:ascii="Arial" w:cs="Arial" w:eastAsia="Arial" w:hAnsi="Arial"/>
          <w:sz w:val="18"/>
          <w:szCs w:val="18"/>
          <w:color w:val="auto"/>
        </w:rPr>
      </w:pPr>
      <w:r>
        <w:rPr>
          <w:rFonts w:ascii="Arial" w:cs="Arial" w:eastAsia="Arial" w:hAnsi="Arial"/>
          <w:sz w:val="18"/>
          <w:szCs w:val="18"/>
          <w:b w:val="1"/>
          <w:bCs w:val="1"/>
          <w:color w:val="auto"/>
        </w:rPr>
        <w:t xml:space="preserve">Revenue </w:t>
      </w:r>
      <w:r>
        <w:rPr>
          <w:rFonts w:ascii="Arial" w:cs="Arial" w:eastAsia="Arial" w:hAnsi="Arial"/>
          <w:sz w:val="18"/>
          <w:szCs w:val="18"/>
          <w:color w:val="auto"/>
        </w:rPr>
        <w:t>was $26.1 million, down 13.9 % compared to $30.4 million for 2022</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1"/>
          <w:numId w:val="419"/>
        </w:numPr>
        <w:rPr>
          <w:rFonts w:ascii="Arial" w:cs="Arial" w:eastAsia="Arial" w:hAnsi="Arial"/>
          <w:sz w:val="18"/>
          <w:szCs w:val="18"/>
          <w:color w:val="auto"/>
        </w:rPr>
      </w:pPr>
      <w:r>
        <w:rPr>
          <w:rFonts w:ascii="Arial" w:cs="Arial" w:eastAsia="Arial" w:hAnsi="Arial"/>
          <w:sz w:val="18"/>
          <w:szCs w:val="18"/>
          <w:b w:val="1"/>
          <w:bCs w:val="1"/>
          <w:color w:val="auto"/>
        </w:rPr>
        <w:t xml:space="preserve">Net loss </w:t>
      </w:r>
      <w:r>
        <w:rPr>
          <w:rFonts w:ascii="Arial" w:cs="Arial" w:eastAsia="Arial" w:hAnsi="Arial"/>
          <w:sz w:val="18"/>
          <w:szCs w:val="18"/>
          <w:color w:val="auto"/>
        </w:rPr>
        <w:t>was $34.5 million, compared to a net loss of $56.3 million for 2022</w:t>
      </w:r>
    </w:p>
    <w:p>
      <w:pPr>
        <w:spacing w:after="0" w:line="9" w:lineRule="exact"/>
        <w:rPr>
          <w:rFonts w:ascii="Arial" w:cs="Arial" w:eastAsia="Arial" w:hAnsi="Arial"/>
          <w:sz w:val="18"/>
          <w:szCs w:val="18"/>
          <w:color w:val="auto"/>
        </w:rPr>
      </w:pPr>
    </w:p>
    <w:p>
      <w:pPr>
        <w:ind w:left="660" w:hanging="328"/>
        <w:spacing w:after="0" w:line="219" w:lineRule="auto"/>
        <w:tabs>
          <w:tab w:leader="none" w:pos="660" w:val="left"/>
        </w:tabs>
        <w:numPr>
          <w:ilvl w:val="1"/>
          <w:numId w:val="419"/>
        </w:numPr>
        <w:rPr>
          <w:rFonts w:ascii="Arial" w:cs="Arial" w:eastAsia="Arial" w:hAnsi="Arial"/>
          <w:sz w:val="36"/>
          <w:szCs w:val="36"/>
          <w:color w:val="auto"/>
          <w:vertAlign w:val="superscript"/>
        </w:rPr>
      </w:pPr>
      <w:r>
        <w:rPr>
          <w:rFonts w:ascii="Arial" w:cs="Arial" w:eastAsia="Arial" w:hAnsi="Arial"/>
          <w:sz w:val="18"/>
          <w:szCs w:val="18"/>
          <w:b w:val="1"/>
          <w:bCs w:val="1"/>
          <w:color w:val="auto"/>
        </w:rPr>
        <w:t>Adjusted EBITDA</w:t>
      </w:r>
      <w:r>
        <w:rPr>
          <w:rFonts w:ascii="Arial" w:cs="Arial" w:eastAsia="Arial" w:hAnsi="Arial"/>
          <w:sz w:val="29"/>
          <w:szCs w:val="29"/>
          <w:b w:val="1"/>
          <w:bCs w:val="1"/>
          <w:color w:val="auto"/>
          <w:vertAlign w:val="superscript"/>
        </w:rPr>
        <w:t>2</w:t>
      </w:r>
      <w:r>
        <w:rPr>
          <w:rFonts w:ascii="Arial" w:cs="Arial" w:eastAsia="Arial" w:hAnsi="Arial"/>
          <w:sz w:val="18"/>
          <w:szCs w:val="18"/>
          <w:b w:val="1"/>
          <w:bCs w:val="1"/>
          <w:color w:val="auto"/>
        </w:rPr>
        <w:t xml:space="preserve"> </w:t>
      </w:r>
      <w:r>
        <w:rPr>
          <w:rFonts w:ascii="Arial" w:cs="Arial" w:eastAsia="Arial" w:hAnsi="Arial"/>
          <w:sz w:val="18"/>
          <w:szCs w:val="18"/>
          <w:color w:val="auto"/>
        </w:rPr>
        <w:t>was a loss of $39.1 million, compared to a loss of $27.9 million for 2022</w:t>
      </w:r>
    </w:p>
    <w:p>
      <w:pPr>
        <w:spacing w:after="0" w:line="323" w:lineRule="exact"/>
        <w:rPr>
          <w:rFonts w:ascii="Arial" w:cs="Arial" w:eastAsia="Arial" w:hAnsi="Arial"/>
          <w:sz w:val="36"/>
          <w:szCs w:val="36"/>
          <w:color w:val="auto"/>
          <w:vertAlign w:val="superscript"/>
        </w:rPr>
      </w:pPr>
    </w:p>
    <w:p>
      <w:pPr>
        <w:ind w:left="340" w:hanging="324"/>
        <w:spacing w:after="0" w:line="212" w:lineRule="auto"/>
        <w:rPr>
          <w:rFonts w:ascii="Arial" w:cs="Arial" w:eastAsia="Arial" w:hAnsi="Arial"/>
          <w:sz w:val="36"/>
          <w:szCs w:val="36"/>
          <w:color w:val="auto"/>
          <w:vertAlign w:val="superscript"/>
        </w:rPr>
      </w:pPr>
      <w:r>
        <w:rPr>
          <w:rFonts w:ascii="Arial" w:cs="Arial" w:eastAsia="Arial" w:hAnsi="Arial"/>
          <w:sz w:val="29"/>
          <w:szCs w:val="29"/>
          <w:color w:val="auto"/>
          <w:vertAlign w:val="superscript"/>
        </w:rPr>
        <w:t>1</w:t>
      </w:r>
      <w:r>
        <w:rPr>
          <w:rFonts w:ascii="Arial" w:cs="Arial" w:eastAsia="Arial" w:hAnsi="Arial"/>
          <w:sz w:val="18"/>
          <w:szCs w:val="18"/>
          <w:color w:val="auto"/>
        </w:rPr>
        <w:t xml:space="preserve"> Revenue opportunity is based on the number of locations for each restaurant brand or franchisee group with whom Presto has a master service or pilot agreement and at which Presto’s technology is not currently installed; based on the pricing contained in the master service or pilot agreement for such customers. Revenue opportunity does not represent contractually committed revenue or backlog.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-563880</wp:posOffset>
            </wp:positionV>
            <wp:extent cx="1783080" cy="171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ind w:left="340" w:hanging="332"/>
        <w:spacing w:after="0" w:line="187" w:lineRule="auto"/>
        <w:tabs>
          <w:tab w:leader="none" w:pos="340" w:val="left"/>
        </w:tabs>
        <w:numPr>
          <w:ilvl w:val="0"/>
          <w:numId w:val="420"/>
        </w:numPr>
        <w:rPr>
          <w:rFonts w:ascii="Arial" w:cs="Arial" w:eastAsia="Arial" w:hAnsi="Arial"/>
          <w:sz w:val="30"/>
          <w:szCs w:val="30"/>
          <w:color w:val="auto"/>
          <w:vertAlign w:val="superscript"/>
        </w:rPr>
      </w:pPr>
      <w:r>
        <w:rPr>
          <w:rFonts w:ascii="Arial" w:cs="Arial" w:eastAsia="Arial" w:hAnsi="Arial"/>
          <w:sz w:val="18"/>
          <w:szCs w:val="18"/>
          <w:color w:val="auto"/>
        </w:rPr>
        <w:t>Adjusted EBITDA is a non-GAAP financial measure defined under “Non-GAAP Financial Measures” and is reconciled to net income, the closest comparable GAAP measure at the end of this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549910</wp:posOffset>
            </wp:positionV>
            <wp:extent cx="7132320" cy="171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4" w:name="page395"/>
    <w:bookmarkEnd w:id="394"/>
    <w:p>
      <w:pPr>
        <w:spacing w:after="0"/>
        <w:rPr>
          <w:sz w:val="20"/>
          <w:szCs w:val="20"/>
          <w:color w:val="auto"/>
        </w:rPr>
      </w:pPr>
      <w:r>
        <w:rPr>
          <w:rFonts w:ascii="Arial" w:cs="Arial" w:eastAsia="Arial" w:hAnsi="Arial"/>
          <w:sz w:val="18"/>
          <w:szCs w:val="18"/>
          <w:b w:val="1"/>
          <w:bCs w:val="1"/>
          <w:color w:val="auto"/>
        </w:rPr>
        <w:t>Fiscal Fourth Quarter 2023 Financial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the Fiscal Fourth Quarter of 2023, compared to the Fiscal Fourth Quarter of 2022:</w:t>
      </w:r>
    </w:p>
    <w:p>
      <w:pPr>
        <w:spacing w:after="0" w:line="221" w:lineRule="exact"/>
        <w:rPr>
          <w:sz w:val="20"/>
          <w:szCs w:val="20"/>
          <w:color w:val="auto"/>
        </w:rPr>
      </w:pPr>
    </w:p>
    <w:p>
      <w:pPr>
        <w:ind w:left="660" w:hanging="328"/>
        <w:spacing w:after="0"/>
        <w:tabs>
          <w:tab w:leader="none" w:pos="660" w:val="left"/>
        </w:tabs>
        <w:numPr>
          <w:ilvl w:val="0"/>
          <w:numId w:val="421"/>
        </w:numPr>
        <w:rPr>
          <w:rFonts w:ascii="Arial" w:cs="Arial" w:eastAsia="Arial" w:hAnsi="Arial"/>
          <w:sz w:val="18"/>
          <w:szCs w:val="18"/>
          <w:color w:val="auto"/>
        </w:rPr>
      </w:pPr>
      <w:r>
        <w:rPr>
          <w:rFonts w:ascii="Arial" w:cs="Arial" w:eastAsia="Arial" w:hAnsi="Arial"/>
          <w:sz w:val="18"/>
          <w:szCs w:val="18"/>
          <w:b w:val="1"/>
          <w:bCs w:val="1"/>
          <w:color w:val="auto"/>
        </w:rPr>
        <w:t xml:space="preserve">Revenue </w:t>
      </w:r>
      <w:r>
        <w:rPr>
          <w:rFonts w:ascii="Arial" w:cs="Arial" w:eastAsia="Arial" w:hAnsi="Arial"/>
          <w:sz w:val="18"/>
          <w:szCs w:val="18"/>
          <w:color w:val="auto"/>
        </w:rPr>
        <w:t>was $4.8 million, down 38.9% compared to $7.9 million for 2022</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421"/>
        </w:numPr>
        <w:rPr>
          <w:rFonts w:ascii="Arial" w:cs="Arial" w:eastAsia="Arial" w:hAnsi="Arial"/>
          <w:sz w:val="18"/>
          <w:szCs w:val="18"/>
          <w:color w:val="auto"/>
        </w:rPr>
      </w:pPr>
      <w:r>
        <w:rPr>
          <w:rFonts w:ascii="Arial" w:cs="Arial" w:eastAsia="Arial" w:hAnsi="Arial"/>
          <w:sz w:val="18"/>
          <w:szCs w:val="18"/>
          <w:b w:val="1"/>
          <w:bCs w:val="1"/>
          <w:color w:val="auto"/>
        </w:rPr>
        <w:t xml:space="preserve">Net loss </w:t>
      </w:r>
      <w:r>
        <w:rPr>
          <w:rFonts w:ascii="Arial" w:cs="Arial" w:eastAsia="Arial" w:hAnsi="Arial"/>
          <w:sz w:val="18"/>
          <w:szCs w:val="18"/>
          <w:color w:val="auto"/>
        </w:rPr>
        <w:t>was $36.6 million, compared to a net loss of $22.3 million for 2022</w:t>
      </w:r>
    </w:p>
    <w:p>
      <w:pPr>
        <w:spacing w:after="0" w:line="9" w:lineRule="exact"/>
        <w:rPr>
          <w:rFonts w:ascii="Arial" w:cs="Arial" w:eastAsia="Arial" w:hAnsi="Arial"/>
          <w:sz w:val="18"/>
          <w:szCs w:val="18"/>
          <w:color w:val="auto"/>
        </w:rPr>
      </w:pPr>
    </w:p>
    <w:p>
      <w:pPr>
        <w:ind w:left="660" w:hanging="328"/>
        <w:spacing w:after="0" w:line="219" w:lineRule="auto"/>
        <w:tabs>
          <w:tab w:leader="none" w:pos="660" w:val="left"/>
        </w:tabs>
        <w:numPr>
          <w:ilvl w:val="0"/>
          <w:numId w:val="421"/>
        </w:numPr>
        <w:rPr>
          <w:rFonts w:ascii="Arial" w:cs="Arial" w:eastAsia="Arial" w:hAnsi="Arial"/>
          <w:sz w:val="36"/>
          <w:szCs w:val="36"/>
          <w:color w:val="auto"/>
          <w:vertAlign w:val="superscript"/>
        </w:rPr>
      </w:pPr>
      <w:r>
        <w:rPr>
          <w:rFonts w:ascii="Arial" w:cs="Arial" w:eastAsia="Arial" w:hAnsi="Arial"/>
          <w:sz w:val="18"/>
          <w:szCs w:val="18"/>
          <w:b w:val="1"/>
          <w:bCs w:val="1"/>
          <w:color w:val="auto"/>
        </w:rPr>
        <w:t>Adjusted EBITDA</w:t>
      </w:r>
      <w:r>
        <w:rPr>
          <w:rFonts w:ascii="Arial" w:cs="Arial" w:eastAsia="Arial" w:hAnsi="Arial"/>
          <w:sz w:val="29"/>
          <w:szCs w:val="29"/>
          <w:b w:val="1"/>
          <w:bCs w:val="1"/>
          <w:color w:val="auto"/>
          <w:vertAlign w:val="superscript"/>
        </w:rPr>
        <w:t>2</w:t>
      </w:r>
      <w:r>
        <w:rPr>
          <w:rFonts w:ascii="Arial" w:cs="Arial" w:eastAsia="Arial" w:hAnsi="Arial"/>
          <w:sz w:val="18"/>
          <w:szCs w:val="18"/>
          <w:b w:val="1"/>
          <w:bCs w:val="1"/>
          <w:color w:val="auto"/>
        </w:rPr>
        <w:t xml:space="preserve"> </w:t>
      </w:r>
      <w:r>
        <w:rPr>
          <w:rFonts w:ascii="Arial" w:cs="Arial" w:eastAsia="Arial" w:hAnsi="Arial"/>
          <w:sz w:val="18"/>
          <w:szCs w:val="18"/>
          <w:color w:val="auto"/>
        </w:rPr>
        <w:t>was a loss of $9.1 million, compared to a loss of $10.8 million for 2022</w:t>
      </w:r>
    </w:p>
    <w:p>
      <w:pPr>
        <w:spacing w:after="0" w:line="79" w:lineRule="exact"/>
        <w:rPr>
          <w:sz w:val="20"/>
          <w:szCs w:val="20"/>
          <w:color w:val="auto"/>
        </w:rPr>
      </w:pPr>
    </w:p>
    <w:p>
      <w:pPr>
        <w:jc w:val="both"/>
        <w:spacing w:after="0" w:line="279" w:lineRule="auto"/>
        <w:rPr>
          <w:sz w:val="20"/>
          <w:szCs w:val="20"/>
          <w:color w:val="auto"/>
        </w:rPr>
      </w:pPr>
      <w:r>
        <w:rPr>
          <w:rFonts w:ascii="Arial" w:cs="Arial" w:eastAsia="Arial" w:hAnsi="Arial"/>
          <w:sz w:val="18"/>
          <w:szCs w:val="18"/>
          <w:b w:val="1"/>
          <w:bCs w:val="1"/>
          <w:color w:val="auto"/>
        </w:rPr>
        <w:t>Presto Voice™ Annual Revenue Opportunity Reaches $17 Million, with over $100 Million Opportunity if Fully Expanded Across Currently Engaged Restaurant Groups</w:t>
      </w:r>
    </w:p>
    <w:p>
      <w:pPr>
        <w:spacing w:after="0" w:line="168" w:lineRule="exact"/>
        <w:rPr>
          <w:sz w:val="20"/>
          <w:szCs w:val="20"/>
          <w:color w:val="auto"/>
        </w:rPr>
      </w:pPr>
    </w:p>
    <w:p>
      <w:pPr>
        <w:jc w:val="both"/>
        <w:spacing w:after="0" w:line="289" w:lineRule="auto"/>
        <w:rPr>
          <w:sz w:val="20"/>
          <w:szCs w:val="20"/>
          <w:color w:val="auto"/>
        </w:rPr>
      </w:pPr>
      <w:r>
        <w:rPr>
          <w:rFonts w:ascii="Arial" w:cs="Arial" w:eastAsia="Arial" w:hAnsi="Arial"/>
          <w:sz w:val="18"/>
          <w:szCs w:val="18"/>
          <w:color w:val="auto"/>
        </w:rPr>
        <w:t>Presto announced that as of September 30, 2023, those locations of customers with which it has master service or pilot agreements and in which Presto Voice has not been installed represent an estimated annual revenue opportunity</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of approximately $17 million.</w:t>
      </w:r>
    </w:p>
    <w:p>
      <w:pPr>
        <w:spacing w:after="0" w:line="38" w:lineRule="exact"/>
        <w:rPr>
          <w:sz w:val="20"/>
          <w:szCs w:val="20"/>
          <w:color w:val="auto"/>
        </w:rPr>
      </w:pPr>
    </w:p>
    <w:p>
      <w:pPr>
        <w:jc w:val="both"/>
        <w:ind w:right="20"/>
        <w:spacing w:after="0" w:line="289" w:lineRule="auto"/>
        <w:rPr>
          <w:sz w:val="20"/>
          <w:szCs w:val="20"/>
          <w:color w:val="auto"/>
        </w:rPr>
      </w:pPr>
      <w:r>
        <w:rPr>
          <w:rFonts w:ascii="Arial" w:cs="Arial" w:eastAsia="Arial" w:hAnsi="Arial"/>
          <w:sz w:val="18"/>
          <w:szCs w:val="18"/>
          <w:color w:val="auto"/>
        </w:rPr>
        <w:t>Presto also announced that as of September 30, 2023, the total locations of restaurant groups with whom they have master service or pilot agreements and in which Presto Voice has not been installed represent an estimated annual revenue opportunity</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of over $100 million.</w:t>
      </w:r>
    </w:p>
    <w:p>
      <w:pPr>
        <w:spacing w:after="0" w:line="41" w:lineRule="exact"/>
        <w:rPr>
          <w:sz w:val="20"/>
          <w:szCs w:val="20"/>
          <w:color w:val="auto"/>
        </w:rPr>
      </w:pPr>
    </w:p>
    <w:p>
      <w:pPr>
        <w:jc w:val="both"/>
        <w:spacing w:after="0" w:line="224" w:lineRule="auto"/>
        <w:rPr>
          <w:sz w:val="20"/>
          <w:szCs w:val="20"/>
          <w:color w:val="auto"/>
        </w:rPr>
      </w:pPr>
      <w:r>
        <w:rPr>
          <w:rFonts w:ascii="Arial" w:cs="Arial" w:eastAsia="Arial" w:hAnsi="Arial"/>
          <w:sz w:val="18"/>
          <w:szCs w:val="18"/>
          <w:i w:val="1"/>
          <w:iCs w:val="1"/>
          <w:color w:val="auto"/>
        </w:rPr>
        <w:t>“We are excited by the market’s receptivity to Presto Voice</w:t>
      </w:r>
      <w:r>
        <w:rPr>
          <w:rFonts w:ascii="Arial" w:cs="Arial" w:eastAsia="Arial" w:hAnsi="Arial"/>
          <w:sz w:val="29"/>
          <w:szCs w:val="29"/>
          <w:i w:val="1"/>
          <w:iCs w:val="1"/>
          <w:color w:val="auto"/>
          <w:vertAlign w:val="superscript"/>
        </w:rPr>
        <w:t>TM</w:t>
      </w:r>
      <w:r>
        <w:rPr>
          <w:rFonts w:ascii="Arial" w:cs="Arial" w:eastAsia="Arial" w:hAnsi="Arial"/>
          <w:sz w:val="18"/>
          <w:szCs w:val="18"/>
          <w:i w:val="1"/>
          <w:iCs w:val="1"/>
          <w:color w:val="auto"/>
        </w:rPr>
        <w:t>. We are committed to growing our partnerships with some of the largest and most successful QSR brands and their franchisees as we continue working together to create delightful AI-powered guest experiences”, said Dan Mosher, President of Presto.</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Inclusion in the broad-market Russell 3000</w:t>
      </w:r>
      <w:r>
        <w:rPr>
          <w:rFonts w:ascii="Arial" w:cs="Arial" w:eastAsia="Arial" w:hAnsi="Arial"/>
          <w:sz w:val="29"/>
          <w:szCs w:val="29"/>
          <w:b w:val="1"/>
          <w:bCs w:val="1"/>
          <w:color w:val="auto"/>
          <w:vertAlign w:val="superscript"/>
        </w:rPr>
        <w:t>®</w:t>
      </w:r>
      <w:r>
        <w:rPr>
          <w:rFonts w:ascii="Arial" w:cs="Arial" w:eastAsia="Arial" w:hAnsi="Arial"/>
          <w:sz w:val="18"/>
          <w:szCs w:val="18"/>
          <w:b w:val="1"/>
          <w:bCs w:val="1"/>
          <w:color w:val="auto"/>
        </w:rPr>
        <w:t xml:space="preserve"> Index and small-cap Russell 2000</w:t>
      </w:r>
      <w:r>
        <w:rPr>
          <w:rFonts w:ascii="Arial" w:cs="Arial" w:eastAsia="Arial" w:hAnsi="Arial"/>
          <w:sz w:val="29"/>
          <w:szCs w:val="29"/>
          <w:b w:val="1"/>
          <w:bCs w:val="1"/>
          <w:color w:val="auto"/>
          <w:vertAlign w:val="superscript"/>
        </w:rPr>
        <w:t>®</w:t>
      </w:r>
      <w:r>
        <w:rPr>
          <w:rFonts w:ascii="Arial" w:cs="Arial" w:eastAsia="Arial" w:hAnsi="Arial"/>
          <w:sz w:val="18"/>
          <w:szCs w:val="18"/>
          <w:b w:val="1"/>
          <w:bCs w:val="1"/>
          <w:color w:val="auto"/>
        </w:rPr>
        <w:t xml:space="preserve"> Index for 2023</w:t>
      </w:r>
    </w:p>
    <w:p>
      <w:pPr>
        <w:spacing w:after="0" w:line="143"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Presto has joined the broad-market Russell 3000</w:t>
      </w:r>
      <w:r>
        <w:rPr>
          <w:rFonts w:ascii="Arial" w:cs="Arial" w:eastAsia="Arial" w:hAnsi="Arial"/>
          <w:sz w:val="29"/>
          <w:szCs w:val="29"/>
          <w:color w:val="auto"/>
          <w:vertAlign w:val="superscript"/>
        </w:rPr>
        <w:t>®</w:t>
      </w:r>
      <w:r>
        <w:rPr>
          <w:rFonts w:ascii="Arial" w:cs="Arial" w:eastAsia="Arial" w:hAnsi="Arial"/>
          <w:sz w:val="18"/>
          <w:szCs w:val="18"/>
          <w:color w:val="auto"/>
        </w:rPr>
        <w:t xml:space="preserve"> Index and the small-cap Russell 2000</w:t>
      </w:r>
      <w:r>
        <w:rPr>
          <w:rFonts w:ascii="Arial" w:cs="Arial" w:eastAsia="Arial" w:hAnsi="Arial"/>
          <w:sz w:val="29"/>
          <w:szCs w:val="29"/>
          <w:color w:val="auto"/>
          <w:vertAlign w:val="superscript"/>
        </w:rPr>
        <w:t>®</w:t>
      </w:r>
      <w:r>
        <w:rPr>
          <w:rFonts w:ascii="Arial" w:cs="Arial" w:eastAsia="Arial" w:hAnsi="Arial"/>
          <w:sz w:val="18"/>
          <w:szCs w:val="18"/>
          <w:color w:val="auto"/>
        </w:rPr>
        <w:t xml:space="preserve"> at the conclusion of the 2023 Russell Indexes annual reconstitution.</w:t>
      </w:r>
    </w:p>
    <w:p>
      <w:pPr>
        <w:spacing w:after="0" w:line="203" w:lineRule="exact"/>
        <w:rPr>
          <w:sz w:val="20"/>
          <w:szCs w:val="20"/>
          <w:color w:val="auto"/>
        </w:rPr>
      </w:pPr>
    </w:p>
    <w:p>
      <w:pPr>
        <w:jc w:val="both"/>
        <w:spacing w:after="0" w:line="204" w:lineRule="auto"/>
        <w:rPr>
          <w:sz w:val="20"/>
          <w:szCs w:val="20"/>
          <w:color w:val="auto"/>
        </w:rPr>
      </w:pPr>
      <w:r>
        <w:rPr>
          <w:rFonts w:ascii="Arial" w:cs="Arial" w:eastAsia="Arial" w:hAnsi="Arial"/>
          <w:sz w:val="18"/>
          <w:szCs w:val="18"/>
          <w:color w:val="auto"/>
        </w:rPr>
        <w:t>Annual Russell indexes reconstitution captures the 4,000 largest US stocks, ranking them by total market capitalization. Membership in the US all-cap Russell 3000</w:t>
      </w:r>
      <w:r>
        <w:rPr>
          <w:rFonts w:ascii="Arial" w:cs="Arial" w:eastAsia="Arial" w:hAnsi="Arial"/>
          <w:sz w:val="29"/>
          <w:szCs w:val="29"/>
          <w:color w:val="auto"/>
          <w:vertAlign w:val="superscript"/>
        </w:rPr>
        <w:t>®</w:t>
      </w:r>
      <w:r>
        <w:rPr>
          <w:rFonts w:ascii="Arial" w:cs="Arial" w:eastAsia="Arial" w:hAnsi="Arial"/>
          <w:sz w:val="18"/>
          <w:szCs w:val="18"/>
          <w:color w:val="auto"/>
        </w:rPr>
        <w:t xml:space="preserve"> Index, which remains in place for one year, means automatic inclusion in the large-cap Russell 1000Ò Index or small-cap Russell 2000</w:t>
      </w:r>
      <w:r>
        <w:rPr>
          <w:rFonts w:ascii="Arial" w:cs="Arial" w:eastAsia="Arial" w:hAnsi="Arial"/>
          <w:sz w:val="29"/>
          <w:szCs w:val="29"/>
          <w:color w:val="auto"/>
          <w:vertAlign w:val="superscript"/>
        </w:rPr>
        <w:t>Ò</w:t>
      </w:r>
      <w:r>
        <w:rPr>
          <w:rFonts w:ascii="Arial" w:cs="Arial" w:eastAsia="Arial" w:hAnsi="Arial"/>
          <w:sz w:val="18"/>
          <w:szCs w:val="18"/>
          <w:color w:val="auto"/>
        </w:rPr>
        <w:t xml:space="preserve"> Index as well as the appropriate growth and value style indexes. FTSE Russell determines membership for its Russell indexes primarily by objective, market-capitalization rankings, and style attributes.</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Russell indexes are widely used by investment managers and institutional investors for index funds and as benchmarks for active investment strategies. Approximately $12.1 trillion in assets are benchmarked against Russell’s US indexes. Russell indexes are part of FTSE Russell, a leading global index provider.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Increased Ownership from a Major Existing Shareholder and Lock-up Commitment from Certain Existing Shareholders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Presto announced today that one of its existing major shareholders, Cleveland Avenue, has agreed to increase its ownership in the Company with a $3 million investment in Presto’s Common Stock at a price of $2.00 per share. The financing for its increased ownership is expected to close on or around October 16, 2023, subject to customary closing conditions.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5" w:name="page396"/>
    <w:bookmarkEnd w:id="395"/>
    <w:p>
      <w:pPr>
        <w:jc w:val="both"/>
        <w:spacing w:after="0" w:line="277" w:lineRule="auto"/>
        <w:rPr>
          <w:sz w:val="20"/>
          <w:szCs w:val="20"/>
          <w:color w:val="auto"/>
        </w:rPr>
      </w:pPr>
      <w:r>
        <w:rPr>
          <w:rFonts w:ascii="Arial" w:cs="Arial" w:eastAsia="Arial" w:hAnsi="Arial"/>
          <w:sz w:val="18"/>
          <w:szCs w:val="18"/>
          <w:color w:val="auto"/>
        </w:rPr>
        <w:t>In addition, today Presto announced that shareholders holding a total of 31,772,520 shares of its Common Stock, or approximately 53% of the shares issued, agreed not to offer, sell, transfer, contract to sell, pledge, or otherwise dispose of any shares until December 23, 2024.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Revised Credit Agreement with Metropolitan Partners Group</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Presto announced today that it has entered a third amendment to its credit facility with Metropolitan Partners Group. The conditions to effectiveness of the amendment, which is expected on or around October 16, 2023, include the investment by Cleveland Avenue described above and the Company’s engagement of advisors approved by Metropolitan.</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Upon satisfaction of the conditions to effectiveness, Metropolitan has agreed (1) to waive certain events of default currently existing under the credit facility, (2) to increase the size of the facility by an additional $3 million, (3) to exchange $6.0 million of accrued and previously capitalized interest for warrants to purchase 3,000,000 shares of common stock at an exercise price of $0.01 per share, and (4) to permit us to capitalize as principal interest for the interest periods ending September 30, 2023 through to January 31, 2024.</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addition, the third amendment removes the net leverage ratio covenant but retains a minimum unrestricted cash covenant and a covenant limiting the monthly decrease in operating cash. Based on the Company’s current business plan and forecasts, without the injection of further capital beyond the amounts disclosed in this press release, Presto anticipates being unable to comply with this minimum cash covenant in mid-December 2023.</w:t>
      </w:r>
    </w:p>
    <w:p>
      <w:pPr>
        <w:spacing w:after="0" w:line="16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We are pleased that Metropolitan is continuing to support us as we pursue our growth strategy to penetrate this exciting market and path to profitability.”</w:t>
      </w:r>
      <w:r>
        <w:rPr>
          <w:rFonts w:ascii="Arial" w:cs="Arial" w:eastAsia="Arial" w:hAnsi="Arial"/>
          <w:sz w:val="18"/>
          <w:szCs w:val="18"/>
          <w:color w:val="auto"/>
        </w:rPr>
        <w:t xml:space="preserve"> </w:t>
      </w:r>
      <w:r>
        <w:rPr>
          <w:rFonts w:ascii="Arial" w:cs="Arial" w:eastAsia="Arial" w:hAnsi="Arial"/>
          <w:sz w:val="18"/>
          <w:szCs w:val="18"/>
          <w:i w:val="1"/>
          <w:iCs w:val="1"/>
          <w:color w:val="auto"/>
        </w:rPr>
        <w:t>said Mr. Casanova.</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Presto has undertaken to pursue renewals of Presto Touch with its existing customers with a transition to Presto’s next-generation technology and, if this is not achieved by December 31, 2023, to provide and implement a strategic wind-down plan that is reasonably acceptable to Metropolitan with respect to Presto Touch.</w:t>
      </w:r>
    </w:p>
    <w:p>
      <w:pPr>
        <w:spacing w:after="0" w:line="187" w:lineRule="exact"/>
        <w:rPr>
          <w:sz w:val="20"/>
          <w:szCs w:val="20"/>
          <w:color w:val="auto"/>
        </w:rPr>
      </w:pPr>
    </w:p>
    <w:p>
      <w:pPr>
        <w:jc w:val="both"/>
        <w:spacing w:after="0" w:line="203" w:lineRule="auto"/>
        <w:rPr>
          <w:sz w:val="20"/>
          <w:szCs w:val="20"/>
          <w:color w:val="auto"/>
        </w:rPr>
      </w:pPr>
      <w:r>
        <w:rPr>
          <w:rFonts w:ascii="Arial" w:cs="Arial" w:eastAsia="Arial" w:hAnsi="Arial"/>
          <w:sz w:val="18"/>
          <w:szCs w:val="18"/>
          <w:i w:val="1"/>
          <w:iCs w:val="1"/>
          <w:color w:val="auto"/>
        </w:rPr>
        <w:t>“Our Touch business has helped drive the success that we have achieved with Presto Voice</w:t>
      </w:r>
      <w:r>
        <w:rPr>
          <w:rFonts w:ascii="Arial" w:cs="Arial" w:eastAsia="Arial" w:hAnsi="Arial"/>
          <w:sz w:val="29"/>
          <w:szCs w:val="29"/>
          <w:i w:val="1"/>
          <w:iCs w:val="1"/>
          <w:color w:val="auto"/>
          <w:vertAlign w:val="superscript"/>
        </w:rPr>
        <w:t>TM</w:t>
      </w:r>
      <w:r>
        <w:rPr>
          <w:rFonts w:ascii="Arial" w:cs="Arial" w:eastAsia="Arial" w:hAnsi="Arial"/>
          <w:sz w:val="18"/>
          <w:szCs w:val="18"/>
          <w:i w:val="1"/>
          <w:iCs w:val="1"/>
          <w:color w:val="auto"/>
        </w:rPr>
        <w:t>,” said Mr. Casanova. “In the future, however, we expect an increasing portion of our revenues to come from Presto Voice</w:t>
      </w:r>
      <w:r>
        <w:rPr>
          <w:rFonts w:ascii="Arial" w:cs="Arial" w:eastAsia="Arial" w:hAnsi="Arial"/>
          <w:sz w:val="29"/>
          <w:szCs w:val="29"/>
          <w:i w:val="1"/>
          <w:iCs w:val="1"/>
          <w:color w:val="auto"/>
          <w:vertAlign w:val="superscript"/>
        </w:rPr>
        <w:t>TM</w:t>
      </w:r>
      <w:r>
        <w:rPr>
          <w:rFonts w:ascii="Arial" w:cs="Arial" w:eastAsia="Arial" w:hAnsi="Arial"/>
          <w:sz w:val="18"/>
          <w:szCs w:val="18"/>
          <w:i w:val="1"/>
          <w:iCs w:val="1"/>
          <w:color w:val="auto"/>
        </w:rPr>
        <w:t xml:space="preserve"> and want to orient our business to focus on that opportunity. We have therefore agreed to assess our strategy for the Touch business with our lender.”</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Company’s cash and cash equivalents were $3.3 million as of September 30, 2023.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Interim CFO, Nathan Cook, Joining Effective Today</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Presto announced that Nathan Cook has been appointed as interim Chief Financial Officer effective today. After leading the Company as interim Chief Financial Officer, Stanley Mbugua will return to his role as Chief Accounting Officer. Mr. Cook has been specifically chosen due to his significant experience as an interim CFO making him well-suited to support the next phase of growth for Presto.</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Mr. Cook is a Senior Managing Director at Teneo Capital LLC, a global advisory firm, a position that he has held since January 2023, where he provides accounting and financial consulting services. Prior to that, he held the position of Senior Managing Director at EY-Parthenon and Managing Director at AlixPartners and has also served as interim Chief Financial Officer for numerous companies during his career. Mr. Cook holds an MBA from the University of California, Los Angeles, and a Bachelor of Business Administration from the University of Michigan.</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“I am excited to join Presto at this pivotal moment as the Company enters a pivotal moment targeting accelerated growth and a path to profitability,” </w:t>
      </w:r>
      <w:r>
        <w:rPr>
          <w:rFonts w:ascii="Arial" w:cs="Arial" w:eastAsia="Arial" w:hAnsi="Arial"/>
          <w:sz w:val="18"/>
          <w:szCs w:val="18"/>
          <w:color w:val="auto"/>
        </w:rPr>
        <w:t>said</w:t>
      </w:r>
      <w:r>
        <w:rPr>
          <w:rFonts w:ascii="Arial" w:cs="Arial" w:eastAsia="Arial" w:hAnsi="Arial"/>
          <w:sz w:val="18"/>
          <w:szCs w:val="18"/>
          <w:i w:val="1"/>
          <w:iCs w:val="1"/>
          <w:color w:val="auto"/>
        </w:rPr>
        <w:t xml:space="preserve"> </w:t>
      </w:r>
      <w:r>
        <w:rPr>
          <w:rFonts w:ascii="Arial" w:cs="Arial" w:eastAsia="Arial" w:hAnsi="Arial"/>
          <w:sz w:val="18"/>
          <w:szCs w:val="18"/>
          <w:color w:val="auto"/>
        </w:rPr>
        <w:t>Nathan Cook, interim CFO</w:t>
      </w:r>
      <w:r>
        <w:rPr>
          <w:rFonts w:ascii="Arial" w:cs="Arial" w:eastAsia="Arial" w:hAnsi="Arial"/>
          <w:sz w:val="18"/>
          <w:szCs w:val="18"/>
          <w:i w:val="1"/>
          <w:iCs w:val="1"/>
          <w:color w:val="auto"/>
        </w:rPr>
        <w:t>. “Presto is a forerunner in introducing enterprise-grade AI and automation solutions to restaurants, and I am committed to</w:t>
      </w:r>
      <w:r>
        <w:rPr>
          <w:rFonts w:ascii="Arial" w:cs="Arial" w:eastAsia="Arial" w:hAnsi="Arial"/>
          <w:sz w:val="18"/>
          <w:szCs w:val="18"/>
          <w:color w:val="auto"/>
        </w:rPr>
        <w:t xml:space="preserve"> </w:t>
      </w:r>
      <w:r>
        <w:rPr>
          <w:rFonts w:ascii="Arial" w:cs="Arial" w:eastAsia="Arial" w:hAnsi="Arial"/>
          <w:sz w:val="18"/>
          <w:szCs w:val="18"/>
          <w:i w:val="1"/>
          <w:iCs w:val="1"/>
          <w:color w:val="auto"/>
        </w:rPr>
        <w:t>contributing to its financial success and growth in the future.”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96" w:name="page397"/>
    <w:bookmarkEnd w:id="396"/>
    <w:p>
      <w:pPr>
        <w:spacing w:after="0"/>
        <w:rPr>
          <w:sz w:val="20"/>
          <w:szCs w:val="20"/>
          <w:color w:val="auto"/>
        </w:rPr>
      </w:pPr>
      <w:r>
        <w:rPr>
          <w:rFonts w:ascii="Arial" w:cs="Arial" w:eastAsia="Arial" w:hAnsi="Arial"/>
          <w:sz w:val="18"/>
          <w:szCs w:val="18"/>
          <w:b w:val="1"/>
          <w:bCs w:val="1"/>
          <w:color w:val="auto"/>
        </w:rPr>
        <w:t>Presto Automation, Inc. Full Year and Fiscal Fourth Quarter 2023 Conference Call Details</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72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Date:</w:t>
            </w:r>
          </w:p>
        </w:tc>
        <w:tc>
          <w:tcPr>
            <w:tcW w:w="852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Tuesday, 10 October 2023</w:t>
            </w:r>
          </w:p>
        </w:tc>
      </w:tr>
      <w:tr>
        <w:trPr>
          <w:trHeight w:val="209"/>
        </w:trPr>
        <w:tc>
          <w:tcPr>
            <w:tcW w:w="27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Time:</w:t>
            </w:r>
          </w:p>
        </w:tc>
        <w:tc>
          <w:tcPr>
            <w:tcW w:w="8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5:00 p.m. Eastern Time (2:00 p.m. Pacific Time)</w:t>
            </w:r>
          </w:p>
        </w:tc>
      </w:tr>
      <w:tr>
        <w:trPr>
          <w:trHeight w:val="209"/>
        </w:trPr>
        <w:tc>
          <w:tcPr>
            <w:tcW w:w="27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Telco Registration:</w:t>
            </w:r>
          </w:p>
        </w:tc>
        <w:tc>
          <w:tcPr>
            <w:tcW w:w="8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You can register for the conference call at https://investor.presto.com/news-events/events</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live audio webcast of the event will be available on the Presto Investor Relations website, https://investor.presto.com/. An archived replay of the webcast will also be available shortly after the live event on the Presto Investor Relations website.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Presto</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Presto (NASDAQ: PRST) provides enterprise-grade AI and automation solutions to some of the nation’s largest restaurant brands. Presto’s solutions are designed to decrease labor costs, improve staff productivity, increase revenue, and enhance the guest experience. Presto offers its AI solution, Presto Voice™, to QSRs and its pay-at-table solution, Presto Touch, to casual dining chains. Some of the most recognized restaurants in the United States are among Presto’s customers including Applebee’s, Carl’s Jr., Checkers, Chili’s, Del Taco, Hardee’s, and Red Lobster. Founded in 2008, Presto is headquartered in Silicon Valley.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FTSE Russell</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FTSE Russell is a global index leader that provides innovative benchmarking, analytics, and data solutions for investors worldwide. FTSE Russell calculates thousands of indexes that measure and benchmark markets and asset classes in more than 70 countries, covering 98% of the investable market globally.</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FTSE Russell index expertise and products are used extensively by institutional and retail investors globally. Approximately $20.1 trillion is currently benchmarked to FTSE Russell indexes. For over 30 years, leading asset owners, asset managers, ETF providers and investment banks have chosen FTSE Russell indexes to benchmark their investment performance and create ETFs, structured products, and index-based derivatives.</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core set of universal principles guides FTSE Russell index design and management: a transparent rules-based methodology is informed by independent committees of leading market participants. FTSE Russell is focused on applying the highest industry standards in index design and governance and embraces the IOSCO Principles. FTSE Russell is also focused on index innovation and customer partnerships as it seeks to enhance the breadth, depth and reach of its offering.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FTSE Russell is wholly owned by London Stock Exchange Group.</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press release contains forward-looking statements within the meaning of Section 27A of the Securities Act of 1933, as amended (the “Securities Act”), and Section 21E of the Securities Exchange Act of 1934, as amended (the “Exchange Act”). Statements that refer to projections, forecasts or other characterizations of future events or circumstances, including any underlying assumptions, are forward-looking statements. Forward-looking statements are typically identified by words such as “plan,” “believe,” “expect,” “anticipate,” “intend,” “outlook,” “estimate,” “forecast,” “project,” “continue,” “could,” “may,” “might,” “possible,” “potential,” “predict,” “should,” “would” and other similar words and expressions, but the absence of these words does not mean that a statement is not forward-looking.</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7" w:name="page398"/>
    <w:bookmarkEnd w:id="397"/>
    <w:p>
      <w:pPr>
        <w:jc w:val="both"/>
        <w:spacing w:after="0" w:line="283" w:lineRule="auto"/>
        <w:rPr>
          <w:sz w:val="20"/>
          <w:szCs w:val="20"/>
          <w:color w:val="auto"/>
        </w:rPr>
      </w:pPr>
      <w:r>
        <w:rPr>
          <w:rFonts w:ascii="Arial" w:cs="Arial" w:eastAsia="Arial" w:hAnsi="Arial"/>
          <w:sz w:val="16"/>
          <w:szCs w:val="16"/>
          <w:color w:val="auto"/>
        </w:rPr>
        <w:t>The forward-looking statements are based on management’s current expectations and assumptions about future events and are based on currently available information as to the outcome and timing of future events. The forward-looking statements speak only as of the date of this press release or as of the date they are made. Except as otherwise required by applicable law, Presto disclaims any duty to update any forward-looking statements, all of which are expressly qualified by the statements in this section, to reflect events or circumstances after the date of this press release. Presto cautions you that these forward-looking statements are subject to numerous risks and uncertainties, most of which are difficult to predict and many of which are beyond the control of Presto. In addition, Presto cautions you that the forward-looking statements contained in this press release are subject to the following risks and uncertainties: our limited operating history in a new and developing market makes it difficult to accurately forecast our future results and may make it difficult to evaluate our current business and future financial results; our success depends on increasing the number of franchisees of our existing restaurant customers that use our solutions and, in particular, Presto Voice, and the timing of the deployments of contracted locations; we currently generate the substantial majority of our revenue from three Presto touch customers, and the loss or decline in revenue from any of these customers, or the failure of such customers to renew their existing agreements, would harm our business, results of operations, and financial condition; our sales cycles are long and unpredictable, and attracting new customers requires considerable investment of time and expense; our business may be adversely affected if we are unable to optimize the number of human agents required to operate our Presto Voice solution with our unit cost structure; changes in our senior management team have impacted our organization’s focus and we are dependent on the continued services and performance of our current senior management team; our ability to recruit, retain, and develop qualified personnel is critical to our success and growth; defects, errors or vulnerabilities in third party technology that is used in our solutions could harm our reputation and brand and adversely impact our business, financial condition, and results of operations; our pricing decisions and pricing models may adversely affect our ability to attract new customers and retain existing customers; changes to elements of our AI solutions could cause us to incur additional expenses and impact our product development program; we are subject to legal proceedings and government investigations which are costly and time-consuming to defend and may adversely affect our business, financial position, and results of operations; security breaches, denial of service attacks, or other hacking and phishing attacks on our systems or the systems with which our solutions integrate could harm our reputation or subject us to significant liability, and adversely affect our business and financial results; current liquidity resources raise substantial doubt about our ability to continue as a going concern and to comply with our debt covenants unless we raise additional capital to meet our obligations in the near term; our efforts to generate revenues and/or reduce our expenditures may not be sufficient and may make it difficult for us to implement our business strategy; we have faced challenges complying with the covenants contained in our credit facility and, unless we can raise additional capital, may need additional waivers which may not be forthcoming; we require additional capital, which additional financing may result in restrictions on our operations or substantial dilution to our stockholders, to support the growth of our business, and this capital might not be available on acceptable terms, if at all; unfavorable conditions in the restaurant industry or the global economy could limit our ability to grow our business and materially impact our financial performance; our results of operations may fluctuate from quarter to quarter and if we fail to meet the expectations of securities analysts or investors with respect to our results of operations, our stock price and the value of your investment could decline; our ability to use our net operating loss carryforwards and certain other tax attributes may be limited; recent turmoil in the banking industry may negatively impact our ability to acquire financing on acceptable terms if at all, and worsening conditions or additional bank failures could result in a loss of deposits over federally insured levels; the restaurant technology industry is highly competitive and we may not be able to compete successfully against current and future competitors; mergers of or other strategic transactions by our competitors, our customers, or our partners could weaken our competitive position or reduce our revenue; payment transactions processed on our solutions may subject us to regulatory requirements and the rules of payment card networks, and other risks that could be costly and difficult to comply with or that could harm our business; if we fail to adequately protect our intellectual property rights, our competitive position could be impaired and we may lose valuable assets, generate reduced revenue and become subject to costly litigation to protect our rights; we are, and may in the future be, subject to claims by third parties of intellectual property infringement, which, if successful could negatively impact operations and significantly increase costs; we use open-source software in our platform, which could negatively affect our ability to sell our services or subject us to litigation or other actions; our senior management team has limited experience managing a public company, and regulatory compliance obligations may divert our attention from the day-to-day management of our business; we have identified material weaknesses in our internal control over financial reporting and, if we fail to remediate these material weaknesses, we may not be able to accurately or timely report our financial condition or results of operations, which may adversely affect investor confidence and the price of our common stock; and other economic, business, competitive and/or regulatory factors affecting Presto’s business generally as set forth in our filings with the Securities and Exchange Commission.</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Adam Rogers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VP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investor@presto.com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Brian Ruby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media@presto.com</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98" w:name="page399"/>
    <w:bookmarkEnd w:id="39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Current assets:</w:t>
      </w:r>
    </w:p>
    <w:p>
      <w:pPr>
        <w:spacing w:after="0" w:line="9" w:lineRule="exact"/>
        <w:rPr>
          <w:sz w:val="20"/>
          <w:szCs w:val="20"/>
          <w:color w:val="auto"/>
        </w:rPr>
      </w:pPr>
    </w:p>
    <w:p>
      <w:pPr>
        <w:ind w:left="180" w:right="1100"/>
        <w:spacing w:after="0" w:line="281" w:lineRule="auto"/>
        <w:rPr>
          <w:sz w:val="20"/>
          <w:szCs w:val="20"/>
          <w:color w:val="auto"/>
        </w:rPr>
      </w:pPr>
      <w:r>
        <w:rPr>
          <w:rFonts w:ascii="Arial" w:cs="Arial" w:eastAsia="Arial" w:hAnsi="Arial"/>
          <w:sz w:val="16"/>
          <w:szCs w:val="16"/>
          <w:color w:val="auto"/>
        </w:rPr>
        <w:t>Cash and cash equivalents Restricted cash Accounts receivable, net Inventories</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Deferred costs, current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5"/>
          <w:szCs w:val="15"/>
          <w:color w:val="auto"/>
        </w:rPr>
        <w:t>Prepaid expenses and other current assets</w:t>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Total current assets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Deferred costs, net of current portion</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Investment in non-affiliate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Deferred transaction costs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Property and equipment, net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Intangible assets, net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Goodwill</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long-term assets</w:t>
      </w:r>
    </w:p>
    <w:p>
      <w:pPr>
        <w:spacing w:after="0" w:line="18"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Total assets</w:t>
      </w:r>
    </w:p>
    <w:p>
      <w:pPr>
        <w:spacing w:after="0" w:line="20" w:lineRule="exact"/>
        <w:rPr>
          <w:sz w:val="20"/>
          <w:szCs w:val="20"/>
          <w:color w:val="auto"/>
        </w:rPr>
      </w:pPr>
      <w:r>
        <w:rPr>
          <w:sz w:val="20"/>
          <w:szCs w:val="20"/>
          <w:color w:val="auto"/>
        </w:rPr>
        <w:br w:type="column"/>
      </w:r>
    </w:p>
    <w:p>
      <w:pPr>
        <w:jc w:val="center"/>
        <w:ind w:right="3480"/>
        <w:spacing w:after="0"/>
        <w:rPr>
          <w:sz w:val="20"/>
          <w:szCs w:val="20"/>
          <w:color w:val="auto"/>
        </w:rPr>
      </w:pPr>
      <w:r>
        <w:rPr>
          <w:rFonts w:ascii="Arial" w:cs="Arial" w:eastAsia="Arial" w:hAnsi="Arial"/>
          <w:sz w:val="18"/>
          <w:szCs w:val="18"/>
          <w:b w:val="1"/>
          <w:bCs w:val="1"/>
          <w:color w:val="auto"/>
        </w:rPr>
        <w:t>PRESTO AUTOMATION INC.</w:t>
      </w:r>
    </w:p>
    <w:p>
      <w:pPr>
        <w:spacing w:after="0" w:line="27" w:lineRule="exact"/>
        <w:rPr>
          <w:sz w:val="20"/>
          <w:szCs w:val="20"/>
          <w:color w:val="auto"/>
        </w:rPr>
      </w:pPr>
    </w:p>
    <w:p>
      <w:pPr>
        <w:jc w:val="center"/>
        <w:ind w:right="3480"/>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21" w:lineRule="exact"/>
        <w:rPr>
          <w:sz w:val="20"/>
          <w:szCs w:val="20"/>
          <w:color w:val="auto"/>
        </w:rPr>
      </w:pPr>
    </w:p>
    <w:p>
      <w:pPr>
        <w:jc w:val="center"/>
        <w:ind w:right="348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480"/>
        <w:spacing w:after="0"/>
        <w:rPr>
          <w:sz w:val="20"/>
          <w:szCs w:val="20"/>
          <w:color w:val="auto"/>
        </w:rPr>
      </w:pPr>
      <w:r>
        <w:rPr>
          <w:rFonts w:ascii="Arial" w:cs="Arial" w:eastAsia="Arial" w:hAnsi="Arial"/>
          <w:sz w:val="18"/>
          <w:szCs w:val="18"/>
          <w:b w:val="1"/>
          <w:bCs w:val="1"/>
          <w:color w:val="auto"/>
        </w:rPr>
        <w:t>(in thousands, except share and par value)</w:t>
      </w:r>
    </w:p>
    <w:p>
      <w:pPr>
        <w:spacing w:after="0" w:line="207" w:lineRule="exact"/>
        <w:rPr>
          <w:sz w:val="20"/>
          <w:szCs w:val="20"/>
          <w:color w:val="auto"/>
        </w:rPr>
      </w:pPr>
    </w:p>
    <w:tbl>
      <w:tblPr>
        <w:tblLayout w:type="fixed"/>
        <w:tblInd w:w="5200" w:type="dxa"/>
        <w:tblCellMar>
          <w:top w:w="0" w:type="dxa"/>
          <w:left w:w="0" w:type="dxa"/>
          <w:bottom w:w="0" w:type="dxa"/>
          <w:right w:w="0" w:type="dxa"/>
        </w:tblCellMar>
      </w:tblPr>
      <w:tr>
        <w:trPr>
          <w:trHeight w:val="229"/>
        </w:trPr>
        <w:tc>
          <w:tcPr>
            <w:tcW w:w="160" w:type="dxa"/>
            <w:vAlign w:val="bottom"/>
          </w:tcPr>
          <w:p>
            <w:pPr>
              <w:spacing w:after="0"/>
              <w:rPr>
                <w:sz w:val="19"/>
                <w:szCs w:val="19"/>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June 30,</w:t>
            </w:r>
          </w:p>
        </w:tc>
        <w:tc>
          <w:tcPr>
            <w:tcW w:w="160" w:type="dxa"/>
            <w:vAlign w:val="bottom"/>
          </w:tcPr>
          <w:p>
            <w:pPr>
              <w:spacing w:after="0"/>
              <w:rPr>
                <w:sz w:val="19"/>
                <w:szCs w:val="19"/>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b w:val="1"/>
                <w:bCs w:val="1"/>
                <w:color w:val="auto"/>
                <w:w w:val="97"/>
              </w:rPr>
              <w:t>June 30,</w:t>
            </w:r>
          </w:p>
        </w:tc>
      </w:tr>
      <w:tr>
        <w:trPr>
          <w:trHeight w:val="241"/>
        </w:trPr>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r>
      <w:tr>
        <w:trPr>
          <w:trHeight w:val="634"/>
        </w:trPr>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15,143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3,017</w:t>
            </w:r>
          </w:p>
        </w:tc>
      </w:tr>
      <w:tr>
        <w:trPr>
          <w:trHeight w:val="216"/>
        </w:trPr>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10,000</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1,831</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1,518</w:t>
            </w:r>
          </w:p>
        </w:tc>
      </w:tr>
      <w:tr>
        <w:trPr>
          <w:trHeight w:val="216"/>
        </w:trPr>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629</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869</w:t>
            </w:r>
          </w:p>
        </w:tc>
      </w:tr>
      <w:tr>
        <w:trPr>
          <w:trHeight w:val="229"/>
        </w:trPr>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2,301</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8,443</w:t>
            </w:r>
          </w:p>
        </w:tc>
      </w:tr>
      <w:tr>
        <w:trPr>
          <w:trHeight w:val="237"/>
        </w:trPr>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1,162</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707</w:t>
            </w:r>
          </w:p>
        </w:tc>
      </w:tr>
      <w:tr>
        <w:trPr>
          <w:trHeight w:val="230"/>
        </w:trPr>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31,066</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14,554</w:t>
            </w:r>
          </w:p>
        </w:tc>
      </w:tr>
      <w:tr>
        <w:trPr>
          <w:trHeight w:val="403"/>
        </w:trPr>
        <w:tc>
          <w:tcPr>
            <w:tcW w:w="16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92</w:t>
            </w: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2,842</w:t>
            </w:r>
          </w:p>
        </w:tc>
      </w:tr>
      <w:tr>
        <w:trPr>
          <w:trHeight w:val="216"/>
        </w:trPr>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2,000</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5,765</w:t>
            </w:r>
          </w:p>
        </w:tc>
      </w:tr>
      <w:tr>
        <w:trPr>
          <w:trHeight w:val="216"/>
        </w:trPr>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909</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1,975</w:t>
            </w:r>
          </w:p>
        </w:tc>
      </w:tr>
      <w:tr>
        <w:trPr>
          <w:trHeight w:val="216"/>
        </w:trPr>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10,528</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4,226</w:t>
            </w:r>
          </w:p>
        </w:tc>
      </w:tr>
      <w:tr>
        <w:trPr>
          <w:trHeight w:val="229"/>
        </w:trPr>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1,156</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1,156</w:t>
            </w:r>
          </w:p>
        </w:tc>
      </w:tr>
      <w:tr>
        <w:trPr>
          <w:trHeight w:val="230"/>
        </w:trPr>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936</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r>
      <w:tr>
        <w:trPr>
          <w:trHeight w:val="250"/>
        </w:trPr>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46,687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30,536</w:t>
            </w:r>
          </w:p>
        </w:tc>
      </w:tr>
      <w:tr>
        <w:trPr>
          <w:trHeight w:val="21"/>
        </w:trPr>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-2204085</wp:posOffset>
            </wp:positionH>
            <wp:positionV relativeFrom="paragraph">
              <wp:posOffset>-2305685</wp:posOffset>
            </wp:positionV>
            <wp:extent cx="7132320" cy="13716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-2204085</wp:posOffset>
            </wp:positionH>
            <wp:positionV relativeFrom="paragraph">
              <wp:posOffset>-2031365</wp:posOffset>
            </wp:positionV>
            <wp:extent cx="7132320" cy="13716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-2204085</wp:posOffset>
            </wp:positionH>
            <wp:positionV relativeFrom="paragraph">
              <wp:posOffset>-1757045</wp:posOffset>
            </wp:positionV>
            <wp:extent cx="7132320" cy="13716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-2204085</wp:posOffset>
            </wp:positionH>
            <wp:positionV relativeFrom="paragraph">
              <wp:posOffset>-1464945</wp:posOffset>
            </wp:positionV>
            <wp:extent cx="7132320" cy="14541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-2204085</wp:posOffset>
            </wp:positionH>
            <wp:positionV relativeFrom="paragraph">
              <wp:posOffset>-1182370</wp:posOffset>
            </wp:positionV>
            <wp:extent cx="7132320" cy="13716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-2204085</wp:posOffset>
            </wp:positionH>
            <wp:positionV relativeFrom="paragraph">
              <wp:posOffset>-908050</wp:posOffset>
            </wp:positionV>
            <wp:extent cx="7132320" cy="13716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-2204085</wp:posOffset>
            </wp:positionH>
            <wp:positionV relativeFrom="paragraph">
              <wp:posOffset>-633730</wp:posOffset>
            </wp:positionV>
            <wp:extent cx="7132320" cy="13716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-2204085</wp:posOffset>
            </wp:positionH>
            <wp:positionV relativeFrom="paragraph">
              <wp:posOffset>-359410</wp:posOffset>
            </wp:positionV>
            <wp:extent cx="7132320" cy="15430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160" w:space="320"/>
            <w:col w:w="7760"/>
          </w:cols>
          <w:pgMar w:left="320" w:top="904" w:right="339" w:bottom="1440" w:gutter="0" w:footer="0" w:header="0"/>
        </w:sectPr>
      </w:pPr>
    </w:p>
    <w:tbl>
      <w:tblPr>
        <w:tblLayout w:type="fixed"/>
        <w:tblInd w:w="0" w:type="dxa"/>
        <w:tblCellMar>
          <w:top w:w="0" w:type="dxa"/>
          <w:left w:w="0" w:type="dxa"/>
          <w:bottom w:w="0" w:type="dxa"/>
          <w:right w:w="0" w:type="dxa"/>
        </w:tblCellMar>
      </w:tblPr>
      <w:tr>
        <w:trPr>
          <w:trHeight w:val="196"/>
        </w:trPr>
        <w:tc>
          <w:tcPr>
            <w:tcW w:w="8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LIABILITIES AND STOCKHOLDERS' DEFICIT</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liabilities:</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41"/>
              <w:spacing w:after="0"/>
              <w:rPr>
                <w:sz w:val="20"/>
                <w:szCs w:val="20"/>
                <w:color w:val="auto"/>
              </w:rPr>
            </w:pPr>
            <w:r>
              <w:rPr>
                <w:rFonts w:ascii="Arial" w:cs="Arial" w:eastAsia="Arial" w:hAnsi="Arial"/>
                <w:sz w:val="18"/>
                <w:szCs w:val="18"/>
                <w:color w:val="auto"/>
              </w:rPr>
              <w:t>3,295</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1"/>
              <w:spacing w:after="0"/>
              <w:rPr>
                <w:sz w:val="20"/>
                <w:szCs w:val="20"/>
                <w:color w:val="auto"/>
              </w:rPr>
            </w:pPr>
            <w:r>
              <w:rPr>
                <w:rFonts w:ascii="Arial" w:cs="Arial" w:eastAsia="Arial" w:hAnsi="Arial"/>
                <w:sz w:val="18"/>
                <w:szCs w:val="18"/>
                <w:color w:val="auto"/>
              </w:rPr>
              <w:t>5,916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liabilities</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4,319</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6,215</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Financing obligations, current</w:t>
            </w:r>
          </w:p>
        </w:tc>
        <w:tc>
          <w:tcPr>
            <w:tcW w:w="28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Arial" w:cs="Arial" w:eastAsia="Arial" w:hAnsi="Arial"/>
                <w:sz w:val="18"/>
                <w:szCs w:val="18"/>
                <w:color w:val="auto"/>
              </w:rPr>
              <w:t>1,676</w:t>
            </w:r>
          </w:p>
        </w:tc>
        <w:tc>
          <w:tcPr>
            <w:tcW w:w="280" w:type="dxa"/>
            <w:vAlign w:val="bottom"/>
          </w:tcPr>
          <w:p>
            <w:pPr>
              <w:spacing w:after="0"/>
              <w:rPr>
                <w:sz w:val="18"/>
                <w:szCs w:val="18"/>
                <w:color w:val="auto"/>
              </w:rPr>
            </w:pPr>
          </w:p>
        </w:tc>
        <w:tc>
          <w:tcPr>
            <w:tcW w:w="940" w:type="dxa"/>
            <w:vAlign w:val="bottom"/>
            <w:gridSpan w:val="2"/>
          </w:tcPr>
          <w:p>
            <w:pPr>
              <w:jc w:val="right"/>
              <w:ind w:right="21"/>
              <w:spacing w:after="0"/>
              <w:rPr>
                <w:sz w:val="20"/>
                <w:szCs w:val="20"/>
                <w:color w:val="auto"/>
              </w:rPr>
            </w:pPr>
            <w:r>
              <w:rPr>
                <w:rFonts w:ascii="Arial" w:cs="Arial" w:eastAsia="Arial" w:hAnsi="Arial"/>
                <w:sz w:val="18"/>
                <w:szCs w:val="18"/>
                <w:color w:val="auto"/>
              </w:rPr>
              <w:t>8,840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Term loans, current</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50,639</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25,443</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Convertible promissory notes and embedded warrants, current</w:t>
            </w:r>
          </w:p>
        </w:tc>
        <w:tc>
          <w:tcPr>
            <w:tcW w:w="28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40" w:type="dxa"/>
            <w:vAlign w:val="bottom"/>
            <w:gridSpan w:val="2"/>
          </w:tcPr>
          <w:p>
            <w:pPr>
              <w:jc w:val="right"/>
              <w:ind w:right="21"/>
              <w:spacing w:after="0"/>
              <w:rPr>
                <w:sz w:val="20"/>
                <w:szCs w:val="20"/>
                <w:color w:val="auto"/>
              </w:rPr>
            </w:pPr>
            <w:r>
              <w:rPr>
                <w:rFonts w:ascii="Arial" w:cs="Arial" w:eastAsia="Arial" w:hAnsi="Arial"/>
                <w:sz w:val="18"/>
                <w:szCs w:val="18"/>
                <w:color w:val="auto"/>
              </w:rPr>
              <w:t>89,663</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revenue, current</w:t>
            </w:r>
          </w:p>
        </w:tc>
        <w:tc>
          <w:tcPr>
            <w:tcW w:w="2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1,284</w:t>
            </w:r>
          </w:p>
        </w:tc>
        <w:tc>
          <w:tcPr>
            <w:tcW w:w="2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10,532</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ind w:left="180"/>
              <w:spacing w:after="0" w:line="203" w:lineRule="exact"/>
              <w:rPr>
                <w:sz w:val="20"/>
                <w:szCs w:val="20"/>
                <w:color w:val="auto"/>
              </w:rPr>
            </w:pPr>
            <w:r>
              <w:rPr>
                <w:rFonts w:ascii="Arial" w:cs="Arial" w:eastAsia="Arial" w:hAnsi="Arial"/>
                <w:sz w:val="18"/>
                <w:szCs w:val="18"/>
                <w:b w:val="1"/>
                <w:bCs w:val="1"/>
                <w:color w:val="auto"/>
              </w:rPr>
              <w:t>Total current liabilities</w:t>
            </w:r>
          </w:p>
        </w:tc>
        <w:tc>
          <w:tcPr>
            <w:tcW w:w="2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61,213</w:t>
            </w:r>
          </w:p>
        </w:tc>
        <w:tc>
          <w:tcPr>
            <w:tcW w:w="22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146,609</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Financing obligations, net of current portion</w:t>
            </w:r>
          </w:p>
        </w:tc>
        <w:tc>
          <w:tcPr>
            <w:tcW w:w="28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Arial" w:cs="Arial" w:eastAsia="Arial" w:hAnsi="Arial"/>
                <w:sz w:val="18"/>
                <w:szCs w:val="18"/>
                <w:color w:val="auto"/>
              </w:rPr>
              <w:t>3,000</w:t>
            </w:r>
          </w:p>
        </w:tc>
        <w:tc>
          <w:tcPr>
            <w:tcW w:w="280" w:type="dxa"/>
            <w:vAlign w:val="bottom"/>
          </w:tcPr>
          <w:p>
            <w:pPr>
              <w:spacing w:after="0"/>
              <w:rPr>
                <w:sz w:val="18"/>
                <w:szCs w:val="18"/>
                <w:color w:val="auto"/>
              </w:rPr>
            </w:pPr>
          </w:p>
        </w:tc>
        <w:tc>
          <w:tcPr>
            <w:tcW w:w="94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PPP loans</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Warrant liabilities</w:t>
            </w:r>
          </w:p>
        </w:tc>
        <w:tc>
          <w:tcPr>
            <w:tcW w:w="28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Arial" w:cs="Arial" w:eastAsia="Arial" w:hAnsi="Arial"/>
                <w:sz w:val="18"/>
                <w:szCs w:val="18"/>
                <w:color w:val="auto"/>
              </w:rPr>
              <w:t>25,867</w:t>
            </w:r>
          </w:p>
        </w:tc>
        <w:tc>
          <w:tcPr>
            <w:tcW w:w="280" w:type="dxa"/>
            <w:vAlign w:val="bottom"/>
          </w:tcPr>
          <w:p>
            <w:pPr>
              <w:spacing w:after="0"/>
              <w:rPr>
                <w:sz w:val="18"/>
                <w:szCs w:val="18"/>
                <w:color w:val="auto"/>
              </w:rPr>
            </w:pPr>
          </w:p>
        </w:tc>
        <w:tc>
          <w:tcPr>
            <w:tcW w:w="940" w:type="dxa"/>
            <w:vAlign w:val="bottom"/>
            <w:gridSpan w:val="2"/>
          </w:tcPr>
          <w:p>
            <w:pPr>
              <w:jc w:val="right"/>
              <w:ind w:right="21"/>
              <w:spacing w:after="0"/>
              <w:rPr>
                <w:sz w:val="20"/>
                <w:szCs w:val="20"/>
                <w:color w:val="auto"/>
              </w:rPr>
            </w:pPr>
            <w:r>
              <w:rPr>
                <w:rFonts w:ascii="Arial" w:cs="Arial" w:eastAsia="Arial" w:hAnsi="Arial"/>
                <w:sz w:val="18"/>
                <w:szCs w:val="18"/>
                <w:color w:val="auto"/>
              </w:rPr>
              <w:t>4,149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revenue, net of current portion</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299</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29"/>
        </w:trPr>
        <w:tc>
          <w:tcPr>
            <w:tcW w:w="8680" w:type="dxa"/>
            <w:vAlign w:val="bottom"/>
          </w:tcPr>
          <w:p>
            <w:pPr>
              <w:ind w:left="180"/>
              <w:spacing w:after="0"/>
              <w:rPr>
                <w:sz w:val="20"/>
                <w:szCs w:val="20"/>
                <w:color w:val="auto"/>
              </w:rPr>
            </w:pPr>
            <w:r>
              <w:rPr>
                <w:rFonts w:ascii="Arial" w:cs="Arial" w:eastAsia="Arial" w:hAnsi="Arial"/>
                <w:sz w:val="18"/>
                <w:szCs w:val="18"/>
                <w:color w:val="auto"/>
              </w:rPr>
              <w:t>Other long-term liabilities</w:t>
            </w:r>
          </w:p>
        </w:tc>
        <w:tc>
          <w:tcPr>
            <w:tcW w:w="280" w:type="dxa"/>
            <w:vAlign w:val="bottom"/>
          </w:tcPr>
          <w:p>
            <w:pPr>
              <w:spacing w:after="0"/>
              <w:rPr>
                <w:sz w:val="19"/>
                <w:szCs w:val="19"/>
                <w:color w:val="auto"/>
              </w:rPr>
            </w:pPr>
          </w:p>
        </w:tc>
        <w:tc>
          <w:tcPr>
            <w:tcW w:w="1060" w:type="dxa"/>
            <w:vAlign w:val="bottom"/>
            <w:gridSpan w:val="2"/>
          </w:tcPr>
          <w:p>
            <w:pPr>
              <w:jc w:val="right"/>
              <w:ind w:right="141"/>
              <w:spacing w:after="0"/>
              <w:rPr>
                <w:sz w:val="20"/>
                <w:szCs w:val="20"/>
                <w:color w:val="auto"/>
              </w:rPr>
            </w:pPr>
            <w:r>
              <w:rPr>
                <w:rFonts w:ascii="Arial" w:cs="Arial" w:eastAsia="Arial" w:hAnsi="Arial"/>
                <w:sz w:val="18"/>
                <w:szCs w:val="18"/>
                <w:color w:val="auto"/>
              </w:rPr>
              <w:t>1,535</w:t>
            </w:r>
          </w:p>
        </w:tc>
        <w:tc>
          <w:tcPr>
            <w:tcW w:w="280" w:type="dxa"/>
            <w:vAlign w:val="bottom"/>
          </w:tcPr>
          <w:p>
            <w:pPr>
              <w:spacing w:after="0"/>
              <w:rPr>
                <w:sz w:val="19"/>
                <w:szCs w:val="19"/>
                <w:color w:val="auto"/>
              </w:rPr>
            </w:pPr>
          </w:p>
        </w:tc>
        <w:tc>
          <w:tcPr>
            <w:tcW w:w="94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ind w:left="180"/>
              <w:spacing w:after="0"/>
              <w:rPr>
                <w:sz w:val="20"/>
                <w:szCs w:val="20"/>
                <w:color w:val="auto"/>
              </w:rPr>
            </w:pPr>
            <w:r>
              <w:rPr>
                <w:rFonts w:ascii="Arial" w:cs="Arial" w:eastAsia="Arial" w:hAnsi="Arial"/>
                <w:sz w:val="18"/>
                <w:szCs w:val="18"/>
                <w:b w:val="1"/>
                <w:bCs w:val="1"/>
                <w:color w:val="auto"/>
              </w:rPr>
              <w:t>Total liabilities</w:t>
            </w: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91,914</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152,995</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Stockholders' deficit:</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9"/>
              </w:rPr>
              <w:t>Common stock, $0.0001 par value–180,000,000 shares authorized as of June 30, 2023 and June 30, 2022,</w:t>
            </w: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2"/>
              </w:rPr>
              <w:t>respectively; 57,180,531 and 27,974,439 shares issued and outstanding as of June 30, 2023 and June 30, 2022,</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respectively</w:t>
            </w:r>
          </w:p>
        </w:tc>
        <w:tc>
          <w:tcPr>
            <w:tcW w:w="2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Arial" w:cs="Arial" w:eastAsia="Arial" w:hAnsi="Arial"/>
                <w:sz w:val="18"/>
                <w:szCs w:val="18"/>
                <w:color w:val="auto"/>
              </w:rPr>
              <w:t>190,031</w:t>
            </w:r>
          </w:p>
        </w:tc>
        <w:tc>
          <w:tcPr>
            <w:tcW w:w="280" w:type="dxa"/>
            <w:vAlign w:val="bottom"/>
          </w:tcPr>
          <w:p>
            <w:pPr>
              <w:spacing w:after="0"/>
              <w:rPr>
                <w:sz w:val="18"/>
                <w:szCs w:val="18"/>
                <w:color w:val="auto"/>
              </w:rPr>
            </w:pPr>
          </w:p>
        </w:tc>
        <w:tc>
          <w:tcPr>
            <w:tcW w:w="940" w:type="dxa"/>
            <w:vAlign w:val="bottom"/>
            <w:gridSpan w:val="2"/>
          </w:tcPr>
          <w:p>
            <w:pPr>
              <w:jc w:val="right"/>
              <w:ind w:right="21"/>
              <w:spacing w:after="0"/>
              <w:rPr>
                <w:sz w:val="20"/>
                <w:szCs w:val="20"/>
                <w:color w:val="auto"/>
              </w:rPr>
            </w:pPr>
            <w:r>
              <w:rPr>
                <w:rFonts w:ascii="Arial" w:cs="Arial" w:eastAsia="Arial" w:hAnsi="Arial"/>
                <w:sz w:val="18"/>
                <w:szCs w:val="18"/>
                <w:color w:val="auto"/>
              </w:rPr>
              <w:t>78,321</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2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(235,263)</w:t>
            </w:r>
          </w:p>
        </w:tc>
        <w:tc>
          <w:tcPr>
            <w:tcW w:w="2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(200,783)</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180"/>
              <w:spacing w:after="0" w:line="203" w:lineRule="exact"/>
              <w:rPr>
                <w:sz w:val="20"/>
                <w:szCs w:val="20"/>
                <w:color w:val="auto"/>
              </w:rPr>
            </w:pPr>
            <w:r>
              <w:rPr>
                <w:rFonts w:ascii="Arial" w:cs="Arial" w:eastAsia="Arial" w:hAnsi="Arial"/>
                <w:sz w:val="18"/>
                <w:szCs w:val="18"/>
                <w:color w:val="auto"/>
              </w:rPr>
              <w:t>Total stockholders' deficit</w:t>
            </w:r>
          </w:p>
        </w:tc>
        <w:tc>
          <w:tcPr>
            <w:tcW w:w="2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(45,227</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(122,459</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Total liabilities and stockholders' deficit</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46,687</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30,536</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399" w:name="page400"/>
    <w:bookmarkEnd w:id="399"/>
    <w:p>
      <w:pPr>
        <w:jc w:val="center"/>
        <w:spacing w:after="0"/>
        <w:rPr>
          <w:sz w:val="20"/>
          <w:szCs w:val="20"/>
          <w:color w:val="auto"/>
        </w:rPr>
      </w:pPr>
      <w:r>
        <w:rPr>
          <w:rFonts w:ascii="Arial" w:cs="Arial" w:eastAsia="Arial" w:hAnsi="Arial"/>
          <w:sz w:val="18"/>
          <w:szCs w:val="18"/>
          <w:b w:val="1"/>
          <w:bCs w:val="1"/>
          <w:color w:val="auto"/>
        </w:rPr>
        <w:t>PRESTO AUTOMATION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and per share amounts)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20" w:type="dxa"/>
            <w:vAlign w:val="bottom"/>
            <w:gridSpan w:val="5"/>
          </w:tcPr>
          <w:p>
            <w:pPr>
              <w:jc w:val="center"/>
              <w:ind w:right="341"/>
              <w:spacing w:after="0"/>
              <w:rPr>
                <w:sz w:val="20"/>
                <w:szCs w:val="20"/>
                <w:color w:val="auto"/>
              </w:rPr>
            </w:pPr>
            <w:r>
              <w:rPr>
                <w:rFonts w:ascii="Arial" w:cs="Arial" w:eastAsia="Arial" w:hAnsi="Arial"/>
                <w:sz w:val="18"/>
                <w:szCs w:val="18"/>
                <w:b w:val="1"/>
                <w:bCs w:val="1"/>
                <w:color w:val="auto"/>
                <w:w w:val="90"/>
              </w:rPr>
              <w:t>Three Months Ended</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3"/>
          </w:tcPr>
          <w:p>
            <w:pPr>
              <w:jc w:val="center"/>
              <w:ind w:left="590"/>
              <w:spacing w:after="0"/>
              <w:rPr>
                <w:sz w:val="20"/>
                <w:szCs w:val="20"/>
                <w:color w:val="auto"/>
              </w:rPr>
            </w:pPr>
            <w:r>
              <w:rPr>
                <w:rFonts w:ascii="Arial" w:cs="Arial" w:eastAsia="Arial" w:hAnsi="Arial"/>
                <w:sz w:val="18"/>
                <w:szCs w:val="18"/>
                <w:b w:val="1"/>
                <w:bCs w:val="1"/>
                <w:color w:val="auto"/>
                <w:w w:val="88"/>
              </w:rPr>
              <w:t>June 30,</w:t>
            </w: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40" w:type="dxa"/>
            <w:vAlign w:val="bottom"/>
            <w:gridSpan w:val="6"/>
          </w:tcPr>
          <w:p>
            <w:pPr>
              <w:jc w:val="right"/>
              <w:ind w:right="520"/>
              <w:spacing w:after="0"/>
              <w:rPr>
                <w:sz w:val="20"/>
                <w:szCs w:val="20"/>
                <w:color w:val="auto"/>
              </w:rPr>
            </w:pPr>
            <w:r>
              <w:rPr>
                <w:rFonts w:ascii="Arial" w:cs="Arial" w:eastAsia="Arial" w:hAnsi="Arial"/>
                <w:sz w:val="18"/>
                <w:szCs w:val="18"/>
                <w:b w:val="1"/>
                <w:bCs w:val="1"/>
                <w:color w:val="auto"/>
              </w:rPr>
              <w:t>Year Ended June 30,</w:t>
            </w: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60" w:type="dxa"/>
            <w:vAlign w:val="bottom"/>
            <w:tcBorders>
              <w:top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Revenue</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Platform</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1,618</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5,299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13,235</w:t>
            </w: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20,053</w:t>
            </w:r>
          </w:p>
        </w:tc>
        <w:tc>
          <w:tcPr>
            <w:tcW w:w="0" w:type="dxa"/>
            <w:vAlign w:val="bottom"/>
          </w:tcPr>
          <w:p>
            <w:pPr>
              <w:spacing w:after="0"/>
              <w:rPr>
                <w:sz w:val="1"/>
                <w:szCs w:val="1"/>
                <w:color w:val="auto"/>
              </w:rPr>
            </w:pPr>
          </w:p>
        </w:tc>
      </w:tr>
      <w:tr>
        <w:trPr>
          <w:trHeight w:val="237"/>
        </w:trPr>
        <w:tc>
          <w:tcPr>
            <w:tcW w:w="5980" w:type="dxa"/>
            <w:vAlign w:val="bottom"/>
          </w:tcPr>
          <w:p>
            <w:pPr>
              <w:ind w:left="180"/>
              <w:spacing w:after="0"/>
              <w:rPr>
                <w:sz w:val="20"/>
                <w:szCs w:val="20"/>
                <w:color w:val="auto"/>
              </w:rPr>
            </w:pPr>
            <w:r>
              <w:rPr>
                <w:rFonts w:ascii="Arial" w:cs="Arial" w:eastAsia="Arial" w:hAnsi="Arial"/>
                <w:sz w:val="18"/>
                <w:szCs w:val="18"/>
                <w:color w:val="auto"/>
              </w:rPr>
              <w:t>Transaction</w:t>
            </w:r>
          </w:p>
        </w:tc>
        <w:tc>
          <w:tcPr>
            <w:tcW w:w="200" w:type="dxa"/>
            <w:vAlign w:val="bottom"/>
          </w:tcPr>
          <w:p>
            <w:pPr>
              <w:spacing w:after="0"/>
              <w:rPr>
                <w:sz w:val="20"/>
                <w:szCs w:val="20"/>
                <w:color w:val="auto"/>
              </w:rPr>
            </w:pPr>
          </w:p>
        </w:tc>
        <w:tc>
          <w:tcPr>
            <w:tcW w:w="1180" w:type="dxa"/>
            <w:vAlign w:val="bottom"/>
            <w:gridSpan w:val="2"/>
          </w:tcPr>
          <w:p>
            <w:pPr>
              <w:jc w:val="right"/>
              <w:ind w:right="181"/>
              <w:spacing w:after="0"/>
              <w:rPr>
                <w:sz w:val="20"/>
                <w:szCs w:val="20"/>
                <w:color w:val="auto"/>
              </w:rPr>
            </w:pPr>
            <w:r>
              <w:rPr>
                <w:rFonts w:ascii="Arial" w:cs="Arial" w:eastAsia="Arial" w:hAnsi="Arial"/>
                <w:sz w:val="18"/>
                <w:szCs w:val="18"/>
                <w:color w:val="auto"/>
              </w:rPr>
              <w:t>3,201</w:t>
            </w:r>
          </w:p>
        </w:tc>
        <w:tc>
          <w:tcPr>
            <w:tcW w:w="260" w:type="dxa"/>
            <w:vAlign w:val="bottom"/>
          </w:tcPr>
          <w:p>
            <w:pPr>
              <w:spacing w:after="0"/>
              <w:rPr>
                <w:sz w:val="20"/>
                <w:szCs w:val="20"/>
                <w:color w:val="auto"/>
              </w:rPr>
            </w:pP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rPr>
              <w:t>2,593</w:t>
            </w:r>
          </w:p>
        </w:tc>
        <w:tc>
          <w:tcPr>
            <w:tcW w:w="20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12,900</w:t>
            </w:r>
          </w:p>
        </w:tc>
        <w:tc>
          <w:tcPr>
            <w:tcW w:w="200" w:type="dxa"/>
            <w:vAlign w:val="bottom"/>
          </w:tcPr>
          <w:p>
            <w:pPr>
              <w:spacing w:after="0"/>
              <w:rPr>
                <w:sz w:val="20"/>
                <w:szCs w:val="20"/>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10,298</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4,819</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7,892</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26,135</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30,351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Cost of revenue:</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Platform</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2,117</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6,815</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13,068</w:t>
            </w: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18,687</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Transaction</w:t>
            </w:r>
          </w:p>
        </w:tc>
        <w:tc>
          <w:tcPr>
            <w:tcW w:w="200" w:type="dxa"/>
            <w:vAlign w:val="bottom"/>
          </w:tcPr>
          <w:p>
            <w:pPr>
              <w:spacing w:after="0"/>
              <w:rPr>
                <w:sz w:val="18"/>
                <w:szCs w:val="18"/>
                <w:color w:val="auto"/>
              </w:rPr>
            </w:pPr>
          </w:p>
        </w:tc>
        <w:tc>
          <w:tcPr>
            <w:tcW w:w="1180" w:type="dxa"/>
            <w:vAlign w:val="bottom"/>
            <w:gridSpan w:val="2"/>
          </w:tcPr>
          <w:p>
            <w:pPr>
              <w:jc w:val="right"/>
              <w:ind w:right="181"/>
              <w:spacing w:after="0"/>
              <w:rPr>
                <w:sz w:val="20"/>
                <w:szCs w:val="20"/>
                <w:color w:val="auto"/>
              </w:rPr>
            </w:pPr>
            <w:r>
              <w:rPr>
                <w:rFonts w:ascii="Arial" w:cs="Arial" w:eastAsia="Arial" w:hAnsi="Arial"/>
                <w:sz w:val="18"/>
                <w:szCs w:val="18"/>
                <w:color w:val="auto"/>
              </w:rPr>
              <w:t>2,821</w:t>
            </w:r>
          </w:p>
        </w:tc>
        <w:tc>
          <w:tcPr>
            <w:tcW w:w="26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rPr>
              <w:t>2,249</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11,382</w:t>
            </w: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8,998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impairment</w:t>
            </w:r>
          </w:p>
        </w:tc>
        <w:tc>
          <w:tcPr>
            <w:tcW w:w="2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291</w:t>
            </w:r>
          </w:p>
        </w:tc>
        <w:tc>
          <w:tcPr>
            <w:tcW w:w="2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827</w:t>
            </w:r>
          </w:p>
        </w:tc>
        <w:tc>
          <w:tcPr>
            <w:tcW w:w="2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1,164</w:t>
            </w:r>
          </w:p>
        </w:tc>
        <w:tc>
          <w:tcPr>
            <w:tcW w:w="2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2,033</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cost of revenue</w:t>
            </w: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5,229</w:t>
            </w:r>
          </w:p>
        </w:tc>
        <w:tc>
          <w:tcPr>
            <w:tcW w:w="260" w:type="dxa"/>
            <w:vAlign w:val="bottom"/>
            <w:tcBorders>
              <w:top w:val="single" w:sz="8" w:color="CCEEFF"/>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9,891</w:t>
            </w:r>
          </w:p>
        </w:tc>
        <w:tc>
          <w:tcPr>
            <w:tcW w:w="2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25,614</w:t>
            </w:r>
          </w:p>
        </w:tc>
        <w:tc>
          <w:tcPr>
            <w:tcW w:w="2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29,718</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980" w:type="dxa"/>
            <w:vAlign w:val="bottom"/>
            <w:shd w:val="clear" w:color="auto" w:fill="CCEEFF"/>
          </w:tcPr>
          <w:p>
            <w:pPr>
              <w:ind w:left="180"/>
              <w:spacing w:after="0" w:line="256" w:lineRule="exact"/>
              <w:rPr>
                <w:sz w:val="20"/>
                <w:szCs w:val="20"/>
                <w:color w:val="auto"/>
              </w:rPr>
            </w:pPr>
            <w:r>
              <w:rPr>
                <w:rFonts w:ascii="Arial" w:cs="Arial" w:eastAsia="Arial" w:hAnsi="Arial"/>
                <w:sz w:val="18"/>
                <w:szCs w:val="18"/>
                <w:color w:val="auto"/>
              </w:rPr>
              <w:t xml:space="preserve">Research and development </w:t>
            </w:r>
            <w:r>
              <w:rPr>
                <w:rFonts w:ascii="Arial" w:cs="Arial" w:eastAsia="Arial" w:hAnsi="Arial"/>
                <w:sz w:val="29"/>
                <w:szCs w:val="29"/>
                <w:color w:val="auto"/>
                <w:vertAlign w:val="superscript"/>
              </w:rPr>
              <w:t>(1)</w:t>
            </w:r>
          </w:p>
        </w:tc>
        <w:tc>
          <w:tcPr>
            <w:tcW w:w="2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4,433</w:t>
            </w:r>
          </w:p>
        </w:tc>
        <w:tc>
          <w:tcPr>
            <w:tcW w:w="2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5,045</w:t>
            </w:r>
          </w:p>
        </w:tc>
        <w:tc>
          <w:tcPr>
            <w:tcW w:w="2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21,310</w:t>
            </w:r>
          </w:p>
        </w:tc>
        <w:tc>
          <w:tcPr>
            <w:tcW w:w="200" w:type="dxa"/>
            <w:vAlign w:val="bottom"/>
            <w:shd w:val="clear" w:color="auto" w:fill="CCEEFF"/>
          </w:tcPr>
          <w:p>
            <w:pPr>
              <w:spacing w:after="0"/>
              <w:rPr>
                <w:sz w:val="22"/>
                <w:szCs w:val="22"/>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16,778</w:t>
            </w:r>
          </w:p>
        </w:tc>
        <w:tc>
          <w:tcPr>
            <w:tcW w:w="0" w:type="dxa"/>
            <w:vAlign w:val="bottom"/>
          </w:tcPr>
          <w:p>
            <w:pPr>
              <w:spacing w:after="0"/>
              <w:rPr>
                <w:sz w:val="1"/>
                <w:szCs w:val="1"/>
                <w:color w:val="auto"/>
              </w:rPr>
            </w:pPr>
          </w:p>
        </w:tc>
      </w:tr>
      <w:tr>
        <w:trPr>
          <w:trHeight w:val="257"/>
        </w:trPr>
        <w:tc>
          <w:tcPr>
            <w:tcW w:w="5980" w:type="dxa"/>
            <w:vAlign w:val="bottom"/>
          </w:tcPr>
          <w:p>
            <w:pPr>
              <w:ind w:left="180"/>
              <w:spacing w:after="0" w:line="256" w:lineRule="exact"/>
              <w:rPr>
                <w:sz w:val="20"/>
                <w:szCs w:val="20"/>
                <w:color w:val="auto"/>
              </w:rPr>
            </w:pPr>
            <w:r>
              <w:rPr>
                <w:rFonts w:ascii="Arial" w:cs="Arial" w:eastAsia="Arial" w:hAnsi="Arial"/>
                <w:sz w:val="18"/>
                <w:szCs w:val="18"/>
                <w:color w:val="auto"/>
              </w:rPr>
              <w:t xml:space="preserve">Sales and marketing </w:t>
            </w:r>
            <w:r>
              <w:rPr>
                <w:rFonts w:ascii="Arial" w:cs="Arial" w:eastAsia="Arial" w:hAnsi="Arial"/>
                <w:sz w:val="29"/>
                <w:szCs w:val="29"/>
                <w:color w:val="auto"/>
                <w:vertAlign w:val="superscript"/>
              </w:rPr>
              <w:t>(1)</w:t>
            </w:r>
          </w:p>
        </w:tc>
        <w:tc>
          <w:tcPr>
            <w:tcW w:w="200" w:type="dxa"/>
            <w:vAlign w:val="bottom"/>
          </w:tcPr>
          <w:p>
            <w:pPr>
              <w:spacing w:after="0"/>
              <w:rPr>
                <w:sz w:val="22"/>
                <w:szCs w:val="22"/>
                <w:color w:val="auto"/>
              </w:rPr>
            </w:pPr>
          </w:p>
        </w:tc>
        <w:tc>
          <w:tcPr>
            <w:tcW w:w="1180" w:type="dxa"/>
            <w:vAlign w:val="bottom"/>
            <w:gridSpan w:val="2"/>
          </w:tcPr>
          <w:p>
            <w:pPr>
              <w:jc w:val="right"/>
              <w:ind w:right="181"/>
              <w:spacing w:after="0"/>
              <w:rPr>
                <w:sz w:val="20"/>
                <w:szCs w:val="20"/>
                <w:color w:val="auto"/>
              </w:rPr>
            </w:pPr>
            <w:r>
              <w:rPr>
                <w:rFonts w:ascii="Arial" w:cs="Arial" w:eastAsia="Arial" w:hAnsi="Arial"/>
                <w:sz w:val="18"/>
                <w:szCs w:val="18"/>
                <w:color w:val="auto"/>
              </w:rPr>
              <w:t>2,094</w:t>
            </w:r>
          </w:p>
        </w:tc>
        <w:tc>
          <w:tcPr>
            <w:tcW w:w="260" w:type="dxa"/>
            <w:vAlign w:val="bottom"/>
          </w:tcPr>
          <w:p>
            <w:pPr>
              <w:spacing w:after="0"/>
              <w:rPr>
                <w:sz w:val="22"/>
                <w:szCs w:val="22"/>
                <w:color w:val="auto"/>
              </w:rPr>
            </w:pP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rPr>
              <w:t>1,849</w:t>
            </w:r>
          </w:p>
        </w:tc>
        <w:tc>
          <w:tcPr>
            <w:tcW w:w="200" w:type="dxa"/>
            <w:vAlign w:val="bottom"/>
          </w:tcPr>
          <w:p>
            <w:pPr>
              <w:spacing w:after="0"/>
              <w:rPr>
                <w:sz w:val="22"/>
                <w:szCs w:val="22"/>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8,847</w:t>
            </w:r>
          </w:p>
        </w:tc>
        <w:tc>
          <w:tcPr>
            <w:tcW w:w="200" w:type="dxa"/>
            <w:vAlign w:val="bottom"/>
          </w:tcPr>
          <w:p>
            <w:pPr>
              <w:spacing w:after="0"/>
              <w:rPr>
                <w:sz w:val="22"/>
                <w:szCs w:val="22"/>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6,640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980" w:type="dxa"/>
            <w:vAlign w:val="bottom"/>
            <w:shd w:val="clear" w:color="auto" w:fill="CCEEFF"/>
          </w:tcPr>
          <w:p>
            <w:pPr>
              <w:ind w:left="180"/>
              <w:spacing w:after="0" w:line="256" w:lineRule="exact"/>
              <w:rPr>
                <w:sz w:val="20"/>
                <w:szCs w:val="20"/>
                <w:color w:val="auto"/>
              </w:rPr>
            </w:pPr>
            <w:r>
              <w:rPr>
                <w:rFonts w:ascii="Arial" w:cs="Arial" w:eastAsia="Arial" w:hAnsi="Arial"/>
                <w:sz w:val="18"/>
                <w:szCs w:val="18"/>
                <w:color w:val="auto"/>
              </w:rPr>
              <w:t xml:space="preserve">General and administrative </w:t>
            </w:r>
            <w:r>
              <w:rPr>
                <w:rFonts w:ascii="Arial" w:cs="Arial" w:eastAsia="Arial" w:hAnsi="Arial"/>
                <w:sz w:val="29"/>
                <w:szCs w:val="29"/>
                <w:color w:val="auto"/>
                <w:vertAlign w:val="superscript"/>
              </w:rPr>
              <w:t>(1)</w:t>
            </w:r>
          </w:p>
        </w:tc>
        <w:tc>
          <w:tcPr>
            <w:tcW w:w="2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7,163</w:t>
            </w:r>
          </w:p>
        </w:tc>
        <w:tc>
          <w:tcPr>
            <w:tcW w:w="2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2,737</w:t>
            </w:r>
          </w:p>
        </w:tc>
        <w:tc>
          <w:tcPr>
            <w:tcW w:w="2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26,771</w:t>
            </w:r>
          </w:p>
        </w:tc>
        <w:tc>
          <w:tcPr>
            <w:tcW w:w="2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9,847</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5980" w:type="dxa"/>
            <w:vAlign w:val="bottom"/>
          </w:tcPr>
          <w:p>
            <w:pPr>
              <w:ind w:left="180"/>
              <w:spacing w:after="0"/>
              <w:rPr>
                <w:sz w:val="20"/>
                <w:szCs w:val="20"/>
                <w:color w:val="auto"/>
              </w:rPr>
            </w:pPr>
            <w:r>
              <w:rPr>
                <w:rFonts w:ascii="Arial" w:cs="Arial" w:eastAsia="Arial" w:hAnsi="Arial"/>
                <w:sz w:val="18"/>
                <w:szCs w:val="18"/>
                <w:color w:val="auto"/>
              </w:rPr>
              <w:t>Loss on infrequent product repairs</w:t>
            </w:r>
          </w:p>
        </w:tc>
        <w:tc>
          <w:tcPr>
            <w:tcW w:w="200" w:type="dxa"/>
            <w:vAlign w:val="bottom"/>
          </w:tcPr>
          <w:p>
            <w:pPr>
              <w:spacing w:after="0"/>
              <w:rPr>
                <w:sz w:val="20"/>
                <w:szCs w:val="20"/>
                <w:color w:val="auto"/>
              </w:rPr>
            </w:pPr>
          </w:p>
        </w:tc>
        <w:tc>
          <w:tcPr>
            <w:tcW w:w="118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36"/>
        </w:trPr>
        <w:tc>
          <w:tcPr>
            <w:tcW w:w="59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13,690</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9,631</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56,928</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33,847</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980" w:type="dxa"/>
            <w:vAlign w:val="bottom"/>
          </w:tcPr>
          <w:p>
            <w:pPr>
              <w:spacing w:after="0" w:line="203" w:lineRule="exact"/>
              <w:rPr>
                <w:sz w:val="20"/>
                <w:szCs w:val="20"/>
                <w:color w:val="auto"/>
              </w:rPr>
            </w:pPr>
            <w:r>
              <w:rPr>
                <w:rFonts w:ascii="Arial" w:cs="Arial" w:eastAsia="Arial" w:hAnsi="Arial"/>
                <w:sz w:val="18"/>
                <w:szCs w:val="18"/>
                <w:color w:val="auto"/>
              </w:rPr>
              <w:t>Loss from operations</w:t>
            </w:r>
          </w:p>
        </w:tc>
        <w:tc>
          <w:tcPr>
            <w:tcW w:w="20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(14,100)</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rPr>
              <w:t>(11,630)</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(56,407)</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(33,214)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 of warrants and convertible promissory notes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(18,232)</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(8,860)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42,811</w:t>
            </w: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(20,528)</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8"/>
                <w:szCs w:val="18"/>
                <w:color w:val="auto"/>
              </w:rPr>
            </w:pPr>
          </w:p>
        </w:tc>
        <w:tc>
          <w:tcPr>
            <w:tcW w:w="1180" w:type="dxa"/>
            <w:vAlign w:val="bottom"/>
            <w:gridSpan w:val="2"/>
          </w:tcPr>
          <w:p>
            <w:pPr>
              <w:jc w:val="right"/>
              <w:ind w:right="121"/>
              <w:spacing w:after="0"/>
              <w:rPr>
                <w:sz w:val="20"/>
                <w:szCs w:val="20"/>
                <w:color w:val="auto"/>
              </w:rPr>
            </w:pPr>
            <w:r>
              <w:rPr>
                <w:rFonts w:ascii="Arial" w:cs="Arial" w:eastAsia="Arial" w:hAnsi="Arial"/>
                <w:sz w:val="18"/>
                <w:szCs w:val="18"/>
                <w:color w:val="auto"/>
              </w:rPr>
              <w:t>(3,358)</w:t>
            </w:r>
          </w:p>
        </w:tc>
        <w:tc>
          <w:tcPr>
            <w:tcW w:w="26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Arial" w:cs="Arial" w:eastAsia="Arial" w:hAnsi="Arial"/>
                <w:sz w:val="18"/>
                <w:szCs w:val="18"/>
                <w:color w:val="auto"/>
              </w:rPr>
              <w:t>(2,016)</w:t>
            </w:r>
          </w:p>
        </w:tc>
        <w:tc>
          <w:tcPr>
            <w:tcW w:w="20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(12,755)</w:t>
            </w:r>
          </w:p>
        </w:tc>
        <w:tc>
          <w:tcPr>
            <w:tcW w:w="20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(5,434)</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on early extinguishment of debt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(84)</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(8,179)</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Other financing and financial instrument expenses, net</w:t>
            </w:r>
          </w:p>
        </w:tc>
        <w:tc>
          <w:tcPr>
            <w:tcW w:w="200" w:type="dxa"/>
            <w:vAlign w:val="bottom"/>
          </w:tcPr>
          <w:p>
            <w:pPr>
              <w:spacing w:after="0"/>
              <w:rPr>
                <w:sz w:val="18"/>
                <w:szCs w:val="18"/>
                <w:color w:val="auto"/>
              </w:rPr>
            </w:pPr>
          </w:p>
        </w:tc>
        <w:tc>
          <w:tcPr>
            <w:tcW w:w="1180" w:type="dxa"/>
            <w:vAlign w:val="bottom"/>
            <w:gridSpan w:val="2"/>
          </w:tcPr>
          <w:p>
            <w:pPr>
              <w:jc w:val="right"/>
              <w:ind w:right="121"/>
              <w:spacing w:after="0"/>
              <w:rPr>
                <w:sz w:val="20"/>
                <w:szCs w:val="20"/>
                <w:color w:val="auto"/>
              </w:rPr>
            </w:pPr>
            <w:r>
              <w:rPr>
                <w:rFonts w:ascii="Arial" w:cs="Arial" w:eastAsia="Arial" w:hAnsi="Arial"/>
                <w:sz w:val="18"/>
                <w:szCs w:val="18"/>
                <w:color w:val="auto"/>
              </w:rPr>
              <w:t>(985)</w:t>
            </w:r>
          </w:p>
        </w:tc>
        <w:tc>
          <w:tcPr>
            <w:tcW w:w="26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(2,753)</w:t>
            </w: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income, net</w:t>
            </w:r>
          </w:p>
        </w:tc>
        <w:tc>
          <w:tcPr>
            <w:tcW w:w="2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200</w:t>
            </w:r>
          </w:p>
        </w:tc>
        <w:tc>
          <w:tcPr>
            <w:tcW w:w="2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2,812</w:t>
            </w:r>
          </w:p>
        </w:tc>
        <w:tc>
          <w:tcPr>
            <w:tcW w:w="2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2,632</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other income (expense), net</w:t>
            </w: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(22,459</w:t>
            </w:r>
          </w:p>
        </w:tc>
        <w:tc>
          <w:tcPr>
            <w:tcW w:w="260" w:type="dxa"/>
            <w:vAlign w:val="bottom"/>
            <w:tcBorders>
              <w:top w:val="single" w:sz="8" w:color="CCEEFF"/>
              <w:bottom w:val="single" w:sz="8" w:color="CCEEFF"/>
            </w:tcBorders>
          </w:tcPr>
          <w:p>
            <w:pPr>
              <w:jc w:val="right"/>
              <w:ind w:right="121"/>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(10,873</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21,936</w:t>
            </w:r>
          </w:p>
        </w:tc>
        <w:tc>
          <w:tcPr>
            <w:tcW w:w="2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(23,330</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Loss before provision for income taxes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(36,559)</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(34,471)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(56,544)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980" w:type="dxa"/>
            <w:vAlign w:val="bottom"/>
          </w:tcPr>
          <w:p>
            <w:pPr>
              <w:ind w:left="180"/>
              <w:spacing w:after="0"/>
              <w:rPr>
                <w:sz w:val="20"/>
                <w:szCs w:val="20"/>
                <w:color w:val="auto"/>
              </w:rPr>
            </w:pPr>
            <w:r>
              <w:rPr>
                <w:rFonts w:ascii="Arial" w:cs="Arial" w:eastAsia="Arial" w:hAnsi="Arial"/>
                <w:sz w:val="18"/>
                <w:szCs w:val="18"/>
                <w:color w:val="auto"/>
              </w:rPr>
              <w:t>Provision (benefit) for income taxes</w:t>
            </w:r>
          </w:p>
        </w:tc>
        <w:tc>
          <w:tcPr>
            <w:tcW w:w="200" w:type="dxa"/>
            <w:vAlign w:val="bottom"/>
          </w:tcPr>
          <w:p>
            <w:pPr>
              <w:spacing w:after="0"/>
              <w:rPr>
                <w:sz w:val="20"/>
                <w:szCs w:val="20"/>
                <w:color w:val="auto"/>
              </w:rPr>
            </w:pPr>
          </w:p>
        </w:tc>
        <w:tc>
          <w:tcPr>
            <w:tcW w:w="1180" w:type="dxa"/>
            <w:vAlign w:val="bottom"/>
            <w:gridSpan w:val="2"/>
          </w:tcPr>
          <w:p>
            <w:pPr>
              <w:jc w:val="right"/>
              <w:ind w:right="181"/>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0"/>
                <w:szCs w:val="20"/>
                <w:color w:val="auto"/>
              </w:rPr>
            </w:pPr>
          </w:p>
        </w:tc>
        <w:tc>
          <w:tcPr>
            <w:tcW w:w="1080" w:type="dxa"/>
            <w:vAlign w:val="bottom"/>
            <w:gridSpan w:val="2"/>
          </w:tcPr>
          <w:p>
            <w:pPr>
              <w:jc w:val="right"/>
              <w:ind w:right="81"/>
              <w:spacing w:after="0"/>
              <w:rPr>
                <w:sz w:val="20"/>
                <w:szCs w:val="20"/>
                <w:color w:val="auto"/>
              </w:rPr>
            </w:pPr>
            <w:r>
              <w:rPr>
                <w:rFonts w:ascii="Arial" w:cs="Arial" w:eastAsia="Arial" w:hAnsi="Arial"/>
                <w:sz w:val="18"/>
                <w:szCs w:val="18"/>
                <w:color w:val="auto"/>
              </w:rPr>
              <w:t>(251)</w:t>
            </w:r>
          </w:p>
        </w:tc>
        <w:tc>
          <w:tcPr>
            <w:tcW w:w="20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20"/>
                <w:szCs w:val="20"/>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50"/>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(36,560</w:t>
            </w:r>
          </w:p>
        </w:tc>
        <w:tc>
          <w:tcPr>
            <w:tcW w:w="26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(22,252</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(34,480</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(56,314</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
        </w:trPr>
        <w:tc>
          <w:tcPr>
            <w:tcW w:w="5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attributable to common stockholders: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5980" w:type="dxa"/>
            <w:vAlign w:val="bottom"/>
          </w:tcPr>
          <w:p>
            <w:pPr>
              <w:spacing w:after="0"/>
              <w:rPr>
                <w:sz w:val="20"/>
                <w:szCs w:val="20"/>
                <w:color w:val="auto"/>
              </w:rPr>
            </w:pPr>
            <w:r>
              <w:rPr>
                <w:rFonts w:ascii="Arial" w:cs="Arial" w:eastAsia="Arial" w:hAnsi="Arial"/>
                <w:sz w:val="18"/>
                <w:szCs w:val="18"/>
                <w:color w:val="auto"/>
              </w:rPr>
              <w:t>Basic and Diluted</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21"/>
              <w:spacing w:after="0" w:line="256" w:lineRule="exact"/>
              <w:rPr>
                <w:sz w:val="20"/>
                <w:szCs w:val="20"/>
                <w:color w:val="auto"/>
              </w:rPr>
            </w:pPr>
            <w:r>
              <w:rPr>
                <w:rFonts w:ascii="Arial" w:cs="Arial" w:eastAsia="Arial" w:hAnsi="Arial"/>
                <w:sz w:val="16"/>
                <w:szCs w:val="16"/>
                <w:color w:val="auto"/>
              </w:rPr>
              <w:t>(0.68</w:t>
            </w:r>
            <w:r>
              <w:rPr>
                <w:rFonts w:ascii="Arial" w:cs="Arial" w:eastAsia="Arial" w:hAnsi="Arial"/>
                <w:sz w:val="29"/>
                <w:szCs w:val="29"/>
                <w:color w:val="auto"/>
                <w:vertAlign w:val="superscript"/>
              </w:rPr>
              <w:t>)</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81"/>
              <w:spacing w:after="0" w:line="256" w:lineRule="exact"/>
              <w:rPr>
                <w:sz w:val="20"/>
                <w:szCs w:val="20"/>
                <w:color w:val="auto"/>
              </w:rPr>
            </w:pPr>
            <w:r>
              <w:rPr>
                <w:rFonts w:ascii="Arial" w:cs="Arial" w:eastAsia="Arial" w:hAnsi="Arial"/>
                <w:sz w:val="16"/>
                <w:szCs w:val="16"/>
                <w:color w:val="auto"/>
              </w:rPr>
              <w:t>(0.82</w:t>
            </w:r>
            <w:r>
              <w:rPr>
                <w:rFonts w:ascii="Arial" w:cs="Arial" w:eastAsia="Arial" w:hAnsi="Arial"/>
                <w:sz w:val="29"/>
                <w:szCs w:val="29"/>
                <w:color w:val="auto"/>
                <w:vertAlign w:val="superscript"/>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81"/>
              <w:spacing w:after="0" w:line="256" w:lineRule="exact"/>
              <w:rPr>
                <w:sz w:val="20"/>
                <w:szCs w:val="20"/>
                <w:color w:val="auto"/>
              </w:rPr>
            </w:pPr>
            <w:r>
              <w:rPr>
                <w:rFonts w:ascii="Arial" w:cs="Arial" w:eastAsia="Arial" w:hAnsi="Arial"/>
                <w:sz w:val="16"/>
                <w:szCs w:val="16"/>
                <w:color w:val="auto"/>
              </w:rPr>
              <w:t>(0.74</w:t>
            </w:r>
            <w:r>
              <w:rPr>
                <w:rFonts w:ascii="Arial" w:cs="Arial" w:eastAsia="Arial" w:hAnsi="Arial"/>
                <w:sz w:val="29"/>
                <w:szCs w:val="29"/>
                <w:color w:val="auto"/>
                <w:vertAlign w:val="superscript"/>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3"/>
          </w:tcPr>
          <w:p>
            <w:pPr>
              <w:jc w:val="right"/>
              <w:ind w:right="40"/>
              <w:spacing w:after="0" w:line="256" w:lineRule="exact"/>
              <w:rPr>
                <w:sz w:val="20"/>
                <w:szCs w:val="20"/>
                <w:color w:val="auto"/>
              </w:rPr>
            </w:pPr>
            <w:r>
              <w:rPr>
                <w:rFonts w:ascii="Arial" w:cs="Arial" w:eastAsia="Arial" w:hAnsi="Arial"/>
                <w:sz w:val="16"/>
                <w:szCs w:val="16"/>
                <w:color w:val="auto"/>
              </w:rPr>
              <w:t>(2.07</w:t>
            </w:r>
            <w:r>
              <w:rPr>
                <w:rFonts w:ascii="Arial" w:cs="Arial" w:eastAsia="Arial" w:hAnsi="Arial"/>
                <w:sz w:val="29"/>
                <w:szCs w:val="29"/>
                <w:color w:val="auto"/>
                <w:vertAlign w:val="superscript"/>
              </w:rPr>
              <w:t>)</w:t>
            </w:r>
          </w:p>
        </w:tc>
        <w:tc>
          <w:tcPr>
            <w:tcW w:w="0" w:type="dxa"/>
            <w:vAlign w:val="bottom"/>
          </w:tcPr>
          <w:p>
            <w:pPr>
              <w:spacing w:after="0"/>
              <w:rPr>
                <w:sz w:val="1"/>
                <w:szCs w:val="1"/>
                <w:color w:val="auto"/>
              </w:rPr>
            </w:pPr>
          </w:p>
        </w:tc>
      </w:tr>
      <w:tr>
        <w:trPr>
          <w:trHeight w:val="161"/>
        </w:trPr>
        <w:tc>
          <w:tcPr>
            <w:tcW w:w="5980" w:type="dxa"/>
            <w:vAlign w:val="bottom"/>
            <w:tcBorders>
              <w:top w:val="single" w:sz="8" w:color="CCEEFF"/>
            </w:tcBorders>
            <w:shd w:val="clear" w:color="auto" w:fill="CCEEFF"/>
          </w:tcPr>
          <w:p>
            <w:pPr>
              <w:spacing w:after="0" w:line="161" w:lineRule="exact"/>
              <w:rPr>
                <w:sz w:val="20"/>
                <w:szCs w:val="20"/>
                <w:color w:val="auto"/>
              </w:rPr>
            </w:pPr>
            <w:r>
              <w:rPr>
                <w:rFonts w:ascii="Arial" w:cs="Arial" w:eastAsia="Arial" w:hAnsi="Arial"/>
                <w:sz w:val="18"/>
                <w:szCs w:val="18"/>
                <w:color w:val="auto"/>
                <w:w w:val="96"/>
              </w:rPr>
              <w:t>Weighted-average shares used in computing net loss per share attributable to</w:t>
            </w:r>
          </w:p>
        </w:tc>
        <w:tc>
          <w:tcPr>
            <w:tcW w:w="2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8"/>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stockholders, basic and diluted</w:t>
            </w:r>
          </w:p>
        </w:tc>
        <w:tc>
          <w:tcPr>
            <w:tcW w:w="2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w w:val="99"/>
              </w:rPr>
              <w:t>53,659,645</w:t>
            </w:r>
          </w:p>
        </w:tc>
        <w:tc>
          <w:tcPr>
            <w:tcW w:w="2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w w:val="93"/>
              </w:rPr>
              <w:t>27,127,292</w:t>
            </w:r>
          </w:p>
        </w:tc>
        <w:tc>
          <w:tcPr>
            <w:tcW w:w="2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w w:val="97"/>
              </w:rPr>
              <w:t>46,499,850</w:t>
            </w:r>
          </w:p>
        </w:tc>
        <w:tc>
          <w:tcPr>
            <w:tcW w:w="200" w:type="dxa"/>
            <w:vAlign w:val="bottom"/>
            <w:shd w:val="clear" w:color="auto" w:fill="CCEEFF"/>
          </w:tcPr>
          <w:p>
            <w:pPr>
              <w:spacing w:after="0"/>
              <w:rPr>
                <w:sz w:val="24"/>
                <w:szCs w:val="24"/>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9"/>
              </w:rPr>
              <w:t>27,268,887</w:t>
            </w:r>
          </w:p>
        </w:tc>
        <w:tc>
          <w:tcPr>
            <w:tcW w:w="0" w:type="dxa"/>
            <w:vAlign w:val="bottom"/>
          </w:tcPr>
          <w:p>
            <w:pPr>
              <w:spacing w:after="0"/>
              <w:rPr>
                <w:sz w:val="1"/>
                <w:szCs w:val="1"/>
                <w:color w:val="auto"/>
              </w:rPr>
            </w:pPr>
          </w:p>
        </w:tc>
      </w:tr>
      <w:tr>
        <w:trPr>
          <w:trHeight w:val="21"/>
        </w:trPr>
        <w:tc>
          <w:tcPr>
            <w:tcW w:w="59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w w:val="93"/>
              </w:rPr>
              <w:t>(1) Includes stock-based compensation expense as follows (in thousands)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9"/>
        </w:trPr>
        <w:tc>
          <w:tcPr>
            <w:tcW w:w="59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5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20" w:type="dxa"/>
            <w:vAlign w:val="bottom"/>
            <w:gridSpan w:val="5"/>
          </w:tcPr>
          <w:p>
            <w:pPr>
              <w:jc w:val="center"/>
              <w:ind w:right="341"/>
              <w:spacing w:after="0"/>
              <w:rPr>
                <w:sz w:val="20"/>
                <w:szCs w:val="20"/>
                <w:color w:val="auto"/>
              </w:rPr>
            </w:pPr>
            <w:r>
              <w:rPr>
                <w:rFonts w:ascii="Arial" w:cs="Arial" w:eastAsia="Arial" w:hAnsi="Arial"/>
                <w:sz w:val="18"/>
                <w:szCs w:val="18"/>
                <w:b w:val="1"/>
                <w:bCs w:val="1"/>
                <w:color w:val="auto"/>
                <w:w w:val="90"/>
              </w:rPr>
              <w:t>Three Months Ended</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3"/>
          </w:tcPr>
          <w:p>
            <w:pPr>
              <w:jc w:val="center"/>
              <w:ind w:left="590"/>
              <w:spacing w:after="0"/>
              <w:rPr>
                <w:sz w:val="20"/>
                <w:szCs w:val="20"/>
                <w:color w:val="auto"/>
              </w:rPr>
            </w:pPr>
            <w:r>
              <w:rPr>
                <w:rFonts w:ascii="Arial" w:cs="Arial" w:eastAsia="Arial" w:hAnsi="Arial"/>
                <w:sz w:val="18"/>
                <w:szCs w:val="18"/>
                <w:b w:val="1"/>
                <w:bCs w:val="1"/>
                <w:color w:val="auto"/>
                <w:w w:val="88"/>
              </w:rPr>
              <w:t>June 30,</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40" w:type="dxa"/>
            <w:vAlign w:val="bottom"/>
            <w:gridSpan w:val="6"/>
          </w:tcPr>
          <w:p>
            <w:pPr>
              <w:jc w:val="right"/>
              <w:ind w:right="520"/>
              <w:spacing w:after="0"/>
              <w:rPr>
                <w:sz w:val="20"/>
                <w:szCs w:val="20"/>
                <w:color w:val="auto"/>
              </w:rPr>
            </w:pPr>
            <w:r>
              <w:rPr>
                <w:rFonts w:ascii="Arial" w:cs="Arial" w:eastAsia="Arial" w:hAnsi="Arial"/>
                <w:sz w:val="18"/>
                <w:szCs w:val="18"/>
                <w:b w:val="1"/>
                <w:bCs w:val="1"/>
                <w:color w:val="auto"/>
              </w:rPr>
              <w:t>Year Ended June 30,</w:t>
            </w:r>
          </w:p>
        </w:tc>
        <w:tc>
          <w:tcPr>
            <w:tcW w:w="0" w:type="dxa"/>
            <w:vAlign w:val="bottom"/>
          </w:tcPr>
          <w:p>
            <w:pPr>
              <w:spacing w:after="0"/>
              <w:rPr>
                <w:sz w:val="1"/>
                <w:szCs w:val="1"/>
                <w:color w:val="auto"/>
              </w:rPr>
            </w:pPr>
          </w:p>
        </w:tc>
      </w:tr>
      <w:tr>
        <w:trPr>
          <w:trHeight w:val="241"/>
        </w:trPr>
        <w:tc>
          <w:tcPr>
            <w:tcW w:w="59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1,693</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Sales and marketing</w:t>
            </w:r>
          </w:p>
        </w:tc>
        <w:tc>
          <w:tcPr>
            <w:tcW w:w="200" w:type="dxa"/>
            <w:vAlign w:val="bottom"/>
          </w:tcPr>
          <w:p>
            <w:pPr>
              <w:spacing w:after="0"/>
              <w:rPr>
                <w:sz w:val="18"/>
                <w:szCs w:val="18"/>
                <w:color w:val="auto"/>
              </w:rPr>
            </w:pPr>
          </w:p>
        </w:tc>
        <w:tc>
          <w:tcPr>
            <w:tcW w:w="1180" w:type="dxa"/>
            <w:vAlign w:val="bottom"/>
            <w:gridSpan w:val="2"/>
          </w:tcPr>
          <w:p>
            <w:pPr>
              <w:jc w:val="right"/>
              <w:ind w:right="181"/>
              <w:spacing w:after="0"/>
              <w:rPr>
                <w:sz w:val="20"/>
                <w:szCs w:val="20"/>
                <w:color w:val="auto"/>
              </w:rPr>
            </w:pPr>
            <w:r>
              <w:rPr>
                <w:rFonts w:ascii="Arial" w:cs="Arial" w:eastAsia="Arial" w:hAnsi="Arial"/>
                <w:sz w:val="18"/>
                <w:szCs w:val="18"/>
                <w:color w:val="auto"/>
              </w:rPr>
              <w:t>294</w:t>
            </w:r>
          </w:p>
        </w:tc>
        <w:tc>
          <w:tcPr>
            <w:tcW w:w="26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875</w:t>
            </w:r>
          </w:p>
        </w:tc>
        <w:tc>
          <w:tcPr>
            <w:tcW w:w="20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2,351</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260</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9,156</w:t>
            </w:r>
          </w:p>
        </w:tc>
        <w:tc>
          <w:tcPr>
            <w:tcW w:w="20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966</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80" w:type="dxa"/>
            <w:vAlign w:val="bottom"/>
            <w:vMerge w:val="continue"/>
          </w:tcPr>
          <w:p>
            <w:pPr>
              <w:spacing w:after="0"/>
              <w:rPr>
                <w:sz w:val="20"/>
                <w:szCs w:val="20"/>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81"/>
              <w:spacing w:after="0"/>
              <w:rPr>
                <w:sz w:val="20"/>
                <w:szCs w:val="20"/>
                <w:color w:val="auto"/>
              </w:rPr>
            </w:pPr>
            <w:r>
              <w:rPr>
                <w:rFonts w:ascii="Arial" w:cs="Arial" w:eastAsia="Arial" w:hAnsi="Arial"/>
                <w:sz w:val="18"/>
                <w:szCs w:val="18"/>
                <w:color w:val="auto"/>
              </w:rPr>
              <w:t>4,338</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rPr>
              <w:t>531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13,610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1,909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line="277" w:lineRule="auto"/>
        <w:tabs>
          <w:tab w:leader="none" w:pos="340" w:val="left"/>
        </w:tabs>
        <w:numPr>
          <w:ilvl w:val="0"/>
          <w:numId w:val="422"/>
        </w:numPr>
        <w:rPr>
          <w:rFonts w:ascii="Arial" w:cs="Arial" w:eastAsia="Arial" w:hAnsi="Arial"/>
          <w:sz w:val="18"/>
          <w:szCs w:val="18"/>
          <w:color w:val="auto"/>
        </w:rPr>
      </w:pPr>
      <w:r>
        <w:rPr>
          <w:rFonts w:ascii="Arial" w:cs="Arial" w:eastAsia="Arial" w:hAnsi="Arial"/>
          <w:sz w:val="18"/>
          <w:szCs w:val="18"/>
          <w:color w:val="auto"/>
        </w:rPr>
        <w:t>For the three and twelve months ended June 30, 2023, such amount reflects $1,432 and $4,910, respectively, of stock-based compensation expense related to earn out shares attributable to option and RSU holders.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0" w:name="page401"/>
    <w:bookmarkEnd w:id="400"/>
    <w:p>
      <w:pPr>
        <w:jc w:val="center"/>
        <w:spacing w:after="0"/>
        <w:rPr>
          <w:sz w:val="20"/>
          <w:szCs w:val="20"/>
          <w:color w:val="auto"/>
        </w:rPr>
      </w:pPr>
      <w:r>
        <w:rPr>
          <w:rFonts w:ascii="Arial" w:cs="Arial" w:eastAsia="Arial" w:hAnsi="Arial"/>
          <w:sz w:val="18"/>
          <w:szCs w:val="18"/>
          <w:b w:val="1"/>
          <w:bCs w:val="1"/>
          <w:color w:val="auto"/>
        </w:rPr>
        <w:t>PRESTO AUTOMATION INC.</w:t>
      </w:r>
    </w:p>
    <w:p>
      <w:pPr>
        <w:spacing w:after="0" w:line="27"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Reconciliation from GAAP to Non-GAAP Results</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(In thousands, except per share data, 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720" w:type="dxa"/>
            <w:vAlign w:val="bottom"/>
            <w:gridSpan w:val="6"/>
          </w:tcPr>
          <w:p>
            <w:pPr>
              <w:jc w:val="center"/>
              <w:ind w:right="610"/>
              <w:spacing w:after="0"/>
              <w:rPr>
                <w:sz w:val="20"/>
                <w:szCs w:val="20"/>
                <w:color w:val="auto"/>
              </w:rPr>
            </w:pPr>
            <w:r>
              <w:rPr>
                <w:rFonts w:ascii="Arial" w:cs="Arial" w:eastAsia="Arial" w:hAnsi="Arial"/>
                <w:sz w:val="18"/>
                <w:szCs w:val="18"/>
                <w:b w:val="1"/>
                <w:bCs w:val="1"/>
                <w:color w:val="auto"/>
                <w:w w:val="90"/>
              </w:rPr>
              <w:t>Three Months Ended</w:t>
            </w:r>
          </w:p>
        </w:tc>
        <w:tc>
          <w:tcPr>
            <w:tcW w:w="1440" w:type="dxa"/>
            <w:vAlign w:val="bottom"/>
            <w:gridSpan w:val="3"/>
          </w:tcPr>
          <w:p>
            <w:pPr>
              <w:jc w:val="center"/>
              <w:ind w:left="410"/>
              <w:spacing w:after="0"/>
              <w:rPr>
                <w:sz w:val="20"/>
                <w:szCs w:val="20"/>
                <w:color w:val="auto"/>
              </w:rPr>
            </w:pPr>
            <w:r>
              <w:rPr>
                <w:rFonts w:ascii="Arial" w:cs="Arial" w:eastAsia="Arial" w:hAnsi="Arial"/>
                <w:sz w:val="18"/>
                <w:szCs w:val="18"/>
                <w:b w:val="1"/>
                <w:bCs w:val="1"/>
                <w:color w:val="auto"/>
                <w:w w:val="90"/>
              </w:rPr>
              <w:t>Year Ended</w:t>
            </w: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1"/>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center"/>
              <w:ind w:left="530"/>
              <w:spacing w:after="0"/>
              <w:rPr>
                <w:sz w:val="20"/>
                <w:szCs w:val="20"/>
                <w:color w:val="auto"/>
              </w:rPr>
            </w:pPr>
            <w:r>
              <w:rPr>
                <w:rFonts w:ascii="Arial" w:cs="Arial" w:eastAsia="Arial" w:hAnsi="Arial"/>
                <w:sz w:val="18"/>
                <w:szCs w:val="18"/>
                <w:b w:val="1"/>
                <w:bCs w:val="1"/>
                <w:color w:val="auto"/>
                <w:w w:val="88"/>
              </w:rPr>
              <w:t>June 30,</w:t>
            </w: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center"/>
              <w:ind w:left="430"/>
              <w:spacing w:after="0"/>
              <w:rPr>
                <w:sz w:val="20"/>
                <w:szCs w:val="20"/>
                <w:color w:val="auto"/>
              </w:rPr>
            </w:pPr>
            <w:r>
              <w:rPr>
                <w:rFonts w:ascii="Arial" w:cs="Arial" w:eastAsia="Arial" w:hAnsi="Arial"/>
                <w:sz w:val="18"/>
                <w:szCs w:val="18"/>
                <w:b w:val="1"/>
                <w:bCs w:val="1"/>
                <w:color w:val="auto"/>
                <w:w w:val="88"/>
              </w:rPr>
              <w:t>June 30,</w:t>
            </w:r>
          </w:p>
        </w:tc>
        <w:tc>
          <w:tcPr>
            <w:tcW w:w="7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9"/>
              </w:rPr>
              <w:t>2022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Adjusted EBITDA</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(36,560)</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(22,252)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(34,480)</w:t>
            </w:r>
          </w:p>
        </w:tc>
        <w:tc>
          <w:tcPr>
            <w:tcW w:w="3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(56,314)</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1140" w:type="dxa"/>
            <w:vAlign w:val="bottom"/>
            <w:gridSpan w:val="2"/>
          </w:tcPr>
          <w:p>
            <w:pPr>
              <w:jc w:val="right"/>
              <w:ind w:right="181"/>
              <w:spacing w:after="0"/>
              <w:rPr>
                <w:sz w:val="20"/>
                <w:szCs w:val="20"/>
                <w:color w:val="auto"/>
              </w:rPr>
            </w:pPr>
            <w:r>
              <w:rPr>
                <w:rFonts w:ascii="Arial" w:cs="Arial" w:eastAsia="Arial" w:hAnsi="Arial"/>
                <w:sz w:val="18"/>
                <w:szCs w:val="18"/>
                <w:color w:val="auto"/>
              </w:rPr>
              <w:t>3,358</w:t>
            </w:r>
          </w:p>
        </w:tc>
        <w:tc>
          <w:tcPr>
            <w:tcW w:w="28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Arial" w:cs="Arial" w:eastAsia="Arial" w:hAnsi="Arial"/>
                <w:sz w:val="18"/>
                <w:szCs w:val="18"/>
                <w:color w:val="auto"/>
              </w:rPr>
              <w:t>2,016</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rPr>
              <w:t>12,755</w:t>
            </w:r>
          </w:p>
        </w:tc>
        <w:tc>
          <w:tcPr>
            <w:tcW w:w="3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5,434</w:t>
            </w: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Provision (benefit) for income taxes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(251)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9</w:t>
            </w:r>
          </w:p>
        </w:tc>
        <w:tc>
          <w:tcPr>
            <w:tcW w:w="3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(230)</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Other income, net</w:t>
            </w:r>
          </w:p>
        </w:tc>
        <w:tc>
          <w:tcPr>
            <w:tcW w:w="240" w:type="dxa"/>
            <w:vAlign w:val="bottom"/>
          </w:tcPr>
          <w:p>
            <w:pPr>
              <w:spacing w:after="0"/>
              <w:rPr>
                <w:sz w:val="18"/>
                <w:szCs w:val="18"/>
                <w:color w:val="auto"/>
              </w:rPr>
            </w:pPr>
          </w:p>
        </w:tc>
        <w:tc>
          <w:tcPr>
            <w:tcW w:w="1140" w:type="dxa"/>
            <w:vAlign w:val="bottom"/>
            <w:gridSpan w:val="2"/>
          </w:tcPr>
          <w:p>
            <w:pPr>
              <w:jc w:val="right"/>
              <w:ind w:right="121"/>
              <w:spacing w:after="0"/>
              <w:rPr>
                <w:sz w:val="20"/>
                <w:szCs w:val="20"/>
                <w:color w:val="auto"/>
              </w:rPr>
            </w:pPr>
            <w:r>
              <w:rPr>
                <w:rFonts w:ascii="Arial" w:cs="Arial" w:eastAsia="Arial" w:hAnsi="Arial"/>
                <w:sz w:val="18"/>
                <w:szCs w:val="18"/>
                <w:color w:val="auto"/>
              </w:rPr>
              <w:t>(200)</w:t>
            </w:r>
          </w:p>
        </w:tc>
        <w:tc>
          <w:tcPr>
            <w:tcW w:w="280" w:type="dxa"/>
            <w:vAlign w:val="bottom"/>
          </w:tcPr>
          <w:p>
            <w:pPr>
              <w:spacing w:after="0"/>
              <w:rPr>
                <w:sz w:val="18"/>
                <w:szCs w:val="18"/>
                <w:color w:val="auto"/>
              </w:rPr>
            </w:pPr>
          </w:p>
        </w:tc>
        <w:tc>
          <w:tcPr>
            <w:tcW w:w="1060" w:type="dxa"/>
            <w:vAlign w:val="bottom"/>
            <w:gridSpan w:val="2"/>
          </w:tcPr>
          <w:p>
            <w:pPr>
              <w:jc w:val="right"/>
              <w:ind w:right="81"/>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Arial" w:cs="Arial" w:eastAsia="Arial" w:hAnsi="Arial"/>
                <w:sz w:val="18"/>
                <w:szCs w:val="18"/>
                <w:color w:val="auto"/>
              </w:rPr>
              <w:t>(2,812)</w:t>
            </w:r>
          </w:p>
        </w:tc>
        <w:tc>
          <w:tcPr>
            <w:tcW w:w="360" w:type="dxa"/>
            <w:vAlign w:val="bottom"/>
          </w:tcPr>
          <w:p>
            <w:pPr>
              <w:spacing w:after="0"/>
              <w:rPr>
                <w:sz w:val="18"/>
                <w:szCs w:val="18"/>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(2,632)</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419</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294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1,681</w:t>
            </w: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1,685</w:t>
            </w: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Stock-based compensation expense</w:t>
            </w:r>
          </w:p>
        </w:tc>
        <w:tc>
          <w:tcPr>
            <w:tcW w:w="240" w:type="dxa"/>
            <w:vAlign w:val="bottom"/>
          </w:tcPr>
          <w:p>
            <w:pPr>
              <w:spacing w:after="0"/>
              <w:rPr>
                <w:sz w:val="18"/>
                <w:szCs w:val="18"/>
                <w:color w:val="auto"/>
              </w:rPr>
            </w:pPr>
          </w:p>
        </w:tc>
        <w:tc>
          <w:tcPr>
            <w:tcW w:w="1140" w:type="dxa"/>
            <w:vAlign w:val="bottom"/>
            <w:gridSpan w:val="2"/>
          </w:tcPr>
          <w:p>
            <w:pPr>
              <w:jc w:val="right"/>
              <w:ind w:right="181"/>
              <w:spacing w:after="0"/>
              <w:rPr>
                <w:sz w:val="20"/>
                <w:szCs w:val="20"/>
                <w:color w:val="auto"/>
              </w:rPr>
            </w:pPr>
            <w:r>
              <w:rPr>
                <w:rFonts w:ascii="Arial" w:cs="Arial" w:eastAsia="Arial" w:hAnsi="Arial"/>
                <w:sz w:val="18"/>
                <w:szCs w:val="18"/>
                <w:color w:val="auto"/>
              </w:rPr>
              <w:t>2,906</w:t>
            </w:r>
          </w:p>
        </w:tc>
        <w:tc>
          <w:tcPr>
            <w:tcW w:w="28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Arial" w:cs="Arial" w:eastAsia="Arial" w:hAnsi="Arial"/>
                <w:sz w:val="18"/>
                <w:szCs w:val="18"/>
                <w:color w:val="auto"/>
              </w:rPr>
              <w:t>531</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rPr>
              <w:t>8,700</w:t>
            </w:r>
          </w:p>
        </w:tc>
        <w:tc>
          <w:tcPr>
            <w:tcW w:w="3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1,909</w:t>
            </w: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Earnout stock-based compensation expense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1,432</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4,910</w:t>
            </w: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Change in fair value of warrants and convertible promissory notes</w:t>
            </w:r>
          </w:p>
        </w:tc>
        <w:tc>
          <w:tcPr>
            <w:tcW w:w="240" w:type="dxa"/>
            <w:vAlign w:val="bottom"/>
          </w:tcPr>
          <w:p>
            <w:pPr>
              <w:spacing w:after="0"/>
              <w:rPr>
                <w:sz w:val="18"/>
                <w:szCs w:val="18"/>
                <w:color w:val="auto"/>
              </w:rPr>
            </w:pPr>
          </w:p>
        </w:tc>
        <w:tc>
          <w:tcPr>
            <w:tcW w:w="1140" w:type="dxa"/>
            <w:vAlign w:val="bottom"/>
            <w:gridSpan w:val="2"/>
          </w:tcPr>
          <w:p>
            <w:pPr>
              <w:jc w:val="right"/>
              <w:ind w:right="181"/>
              <w:spacing w:after="0"/>
              <w:rPr>
                <w:sz w:val="20"/>
                <w:szCs w:val="20"/>
                <w:color w:val="auto"/>
              </w:rPr>
            </w:pPr>
            <w:r>
              <w:rPr>
                <w:rFonts w:ascii="Arial" w:cs="Arial" w:eastAsia="Arial" w:hAnsi="Arial"/>
                <w:sz w:val="18"/>
                <w:szCs w:val="18"/>
                <w:color w:val="auto"/>
              </w:rPr>
              <w:t>18,232</w:t>
            </w:r>
          </w:p>
        </w:tc>
        <w:tc>
          <w:tcPr>
            <w:tcW w:w="28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Arial" w:cs="Arial" w:eastAsia="Arial" w:hAnsi="Arial"/>
                <w:sz w:val="18"/>
                <w:szCs w:val="18"/>
                <w:color w:val="auto"/>
              </w:rPr>
              <w:t>8,860</w:t>
            </w:r>
          </w:p>
        </w:tc>
        <w:tc>
          <w:tcPr>
            <w:tcW w:w="24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Arial" w:cs="Arial" w:eastAsia="Arial" w:hAnsi="Arial"/>
                <w:sz w:val="18"/>
                <w:szCs w:val="18"/>
                <w:color w:val="auto"/>
              </w:rPr>
              <w:t>(42,811)</w:t>
            </w:r>
          </w:p>
        </w:tc>
        <w:tc>
          <w:tcPr>
            <w:tcW w:w="3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20,528</w:t>
            </w: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on extinguishment of debt and financial obligations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84</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8,179</w:t>
            </w: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Other financing and financial instrument expenses, net</w:t>
            </w:r>
          </w:p>
        </w:tc>
        <w:tc>
          <w:tcPr>
            <w:tcW w:w="240" w:type="dxa"/>
            <w:vAlign w:val="bottom"/>
          </w:tcPr>
          <w:p>
            <w:pPr>
              <w:spacing w:after="0"/>
              <w:rPr>
                <w:sz w:val="18"/>
                <w:szCs w:val="18"/>
                <w:color w:val="auto"/>
              </w:rPr>
            </w:pPr>
          </w:p>
        </w:tc>
        <w:tc>
          <w:tcPr>
            <w:tcW w:w="1140" w:type="dxa"/>
            <w:vAlign w:val="bottom"/>
            <w:gridSpan w:val="2"/>
          </w:tcPr>
          <w:p>
            <w:pPr>
              <w:jc w:val="right"/>
              <w:ind w:right="181"/>
              <w:spacing w:after="0"/>
              <w:rPr>
                <w:sz w:val="20"/>
                <w:szCs w:val="20"/>
                <w:color w:val="auto"/>
              </w:rPr>
            </w:pPr>
            <w:r>
              <w:rPr>
                <w:rFonts w:ascii="Arial" w:cs="Arial" w:eastAsia="Arial" w:hAnsi="Arial"/>
                <w:sz w:val="18"/>
                <w:szCs w:val="18"/>
                <w:color w:val="auto"/>
              </w:rPr>
              <w:t>985</w:t>
            </w:r>
          </w:p>
        </w:tc>
        <w:tc>
          <w:tcPr>
            <w:tcW w:w="28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rPr>
              <w:t>2,753</w:t>
            </w:r>
          </w:p>
        </w:tc>
        <w:tc>
          <w:tcPr>
            <w:tcW w:w="3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compensation and bonuses earned upon closing of the Merger</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1,593</w:t>
            </w: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Public relations fee due upon closing of the Merger</w:t>
            </w:r>
          </w:p>
        </w:tc>
        <w:tc>
          <w:tcPr>
            <w:tcW w:w="240" w:type="dxa"/>
            <w:vAlign w:val="bottom"/>
          </w:tcPr>
          <w:p>
            <w:pPr>
              <w:spacing w:after="0"/>
              <w:rPr>
                <w:sz w:val="18"/>
                <w:szCs w:val="18"/>
                <w:color w:val="auto"/>
              </w:rPr>
            </w:pPr>
          </w:p>
        </w:tc>
        <w:tc>
          <w:tcPr>
            <w:tcW w:w="114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rPr>
              <w:t>250</w:t>
            </w:r>
          </w:p>
        </w:tc>
        <w:tc>
          <w:tcPr>
            <w:tcW w:w="3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on infrequent product repairs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Reduction in force</w:t>
            </w:r>
          </w:p>
        </w:tc>
        <w:tc>
          <w:tcPr>
            <w:tcW w:w="240" w:type="dxa"/>
            <w:vAlign w:val="bottom"/>
          </w:tcPr>
          <w:p>
            <w:pPr>
              <w:spacing w:after="0"/>
              <w:rPr>
                <w:sz w:val="18"/>
                <w:szCs w:val="18"/>
                <w:color w:val="auto"/>
              </w:rPr>
            </w:pPr>
          </w:p>
        </w:tc>
        <w:tc>
          <w:tcPr>
            <w:tcW w:w="1140" w:type="dxa"/>
            <w:vAlign w:val="bottom"/>
            <w:gridSpan w:val="2"/>
          </w:tcPr>
          <w:p>
            <w:pPr>
              <w:jc w:val="right"/>
              <w:ind w:right="181"/>
              <w:spacing w:after="0"/>
              <w:rPr>
                <w:sz w:val="20"/>
                <w:szCs w:val="20"/>
                <w:color w:val="auto"/>
              </w:rPr>
            </w:pPr>
            <w:r>
              <w:rPr>
                <w:rFonts w:ascii="Arial" w:cs="Arial" w:eastAsia="Arial" w:hAnsi="Arial"/>
                <w:sz w:val="18"/>
                <w:szCs w:val="18"/>
                <w:color w:val="auto"/>
              </w:rPr>
              <w:t>217</w:t>
            </w:r>
          </w:p>
        </w:tc>
        <w:tc>
          <w:tcPr>
            <w:tcW w:w="28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rPr>
              <w:t>217</w:t>
            </w:r>
          </w:p>
        </w:tc>
        <w:tc>
          <w:tcPr>
            <w:tcW w:w="3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49"/>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Hardware repair expense related to COVID</w:t>
            </w: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1,110</w:t>
            </w:r>
          </w:p>
        </w:tc>
        <w:tc>
          <w:tcPr>
            <w:tcW w:w="80" w:type="dxa"/>
            <w:vAlign w:val="bottom"/>
            <w:shd w:val="clear" w:color="auto" w:fill="CCEEFF"/>
          </w:tcPr>
          <w:p>
            <w:pPr>
              <w:spacing w:after="0"/>
              <w:rPr>
                <w:sz w:val="21"/>
                <w:szCs w:val="21"/>
                <w:color w:val="auto"/>
              </w:rPr>
            </w:pPr>
          </w:p>
        </w:tc>
      </w:tr>
      <w:tr>
        <w:trPr>
          <w:trHeight w:val="237"/>
        </w:trPr>
        <w:tc>
          <w:tcPr>
            <w:tcW w:w="598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Adjusted EBITDA</w:t>
            </w:r>
          </w:p>
        </w:tc>
        <w:tc>
          <w:tcPr>
            <w:tcW w:w="240" w:type="dxa"/>
            <w:vAlign w:val="bottom"/>
            <w:tcBorders>
              <w:top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(9,126</w:t>
            </w:r>
          </w:p>
        </w:tc>
        <w:tc>
          <w:tcPr>
            <w:tcW w:w="260" w:type="dxa"/>
            <w:vAlign w:val="bottom"/>
            <w:tcBorders>
              <w:top w:val="single" w:sz="8" w:color="CCEEFF"/>
            </w:tcBorders>
          </w:tcPr>
          <w:p>
            <w:pPr>
              <w:jc w:val="right"/>
              <w:ind w:right="121"/>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(10,805</w:t>
            </w:r>
          </w:p>
        </w:tc>
        <w:tc>
          <w:tcPr>
            <w:tcW w:w="220" w:type="dxa"/>
            <w:vAlign w:val="bottom"/>
            <w:tcBorders>
              <w:top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(39,056</w:t>
            </w:r>
          </w:p>
        </w:tc>
        <w:tc>
          <w:tcPr>
            <w:tcW w:w="220" w:type="dxa"/>
            <w:vAlign w:val="bottom"/>
            <w:tcBorders>
              <w:top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(27,928</w:t>
            </w:r>
          </w:p>
        </w:tc>
        <w:tc>
          <w:tcPr>
            <w:tcW w:w="10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01" w:name="page402"/>
    <w:bookmarkEnd w:id="401"/>
    <w:p>
      <w:pPr>
        <w:jc w:val="center"/>
        <w:ind w:right="-99"/>
        <w:spacing w:after="0"/>
        <w:rPr>
          <w:sz w:val="20"/>
          <w:szCs w:val="20"/>
          <w:color w:val="auto"/>
        </w:rPr>
      </w:pPr>
      <w:r>
        <w:rPr>
          <w:rFonts w:ascii="Arial" w:cs="Arial" w:eastAsia="Arial" w:hAnsi="Arial"/>
          <w:sz w:val="18"/>
          <w:szCs w:val="18"/>
          <w:b w:val="1"/>
          <w:bCs w:val="1"/>
          <w:color w:val="auto"/>
        </w:rPr>
        <w:t>PRESTO AUTOMATION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34" w:lineRule="exact"/>
        <w:rPr>
          <w:sz w:val="20"/>
          <w:szCs w:val="20"/>
          <w:color w:val="auto"/>
        </w:rPr>
      </w:pPr>
    </w:p>
    <w:p>
      <w:pPr>
        <w:jc w:val="center"/>
        <w:ind w:left="8540"/>
        <w:spacing w:after="0"/>
        <w:rPr>
          <w:sz w:val="20"/>
          <w:szCs w:val="20"/>
          <w:color w:val="auto"/>
        </w:rPr>
      </w:pPr>
      <w:r>
        <w:rPr>
          <w:rFonts w:ascii="Arial" w:cs="Arial" w:eastAsia="Arial" w:hAnsi="Arial"/>
          <w:sz w:val="18"/>
          <w:szCs w:val="18"/>
          <w:b w:val="1"/>
          <w:bCs w:val="1"/>
          <w:color w:val="auto"/>
        </w:rPr>
        <w:t>Twelve Months Ended</w:t>
      </w:r>
    </w:p>
    <w:p>
      <w:pPr>
        <w:spacing w:after="0" w:line="27" w:lineRule="exact"/>
        <w:rPr>
          <w:sz w:val="20"/>
          <w:szCs w:val="20"/>
          <w:color w:val="auto"/>
        </w:rPr>
      </w:pPr>
    </w:p>
    <w:p>
      <w:pPr>
        <w:jc w:val="center"/>
        <w:ind w:left="8540"/>
        <w:spacing w:after="0"/>
        <w:rPr>
          <w:sz w:val="20"/>
          <w:szCs w:val="20"/>
          <w:color w:val="auto"/>
        </w:rPr>
      </w:pPr>
      <w:r>
        <w:rPr>
          <w:rFonts w:ascii="Arial" w:cs="Arial" w:eastAsia="Arial" w:hAnsi="Arial"/>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(34,480)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(56,314)</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amortization and impairment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1,681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2,397</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8,699</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1,947</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Earnout share stock-based compensation expense to option and RSU holders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4,910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Contra-revenue associated with warrant agreement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1,242</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Noncash expense attributable to fairvalue liabilities assumed in Merger</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Change in fair value of liability classified warrants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5,459</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1,597</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 of warrants and convertible promissory notes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(48,271)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18,932</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Amortization of debt discount and debt issuance costs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3,426</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1,215</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taxes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Loss on extinguishment of debt and financing obligations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8,179</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Paid-in-kind interest expense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5,500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79</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Share and warrant cost on termination of convertible note agreement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2,412</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Forgiveness of PPP Loan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(2,000)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(2,599)</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Change in fair value of unvested founder shares liability</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(189)</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Noncash lease expense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343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Loss on disposal of property and equipment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19</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(314)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(335)</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240</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2,451</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costs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9,060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11,361</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(490)</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1,073</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long-term assets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1,508</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(3,322)</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Vendor financing facility</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(6,792)</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Accrued liabilities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(1,970)</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(3,562)</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(9,186)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(14,854)</w:t>
            </w:r>
          </w:p>
        </w:tc>
      </w:tr>
      <w:tr>
        <w:trPr>
          <w:trHeight w:val="237"/>
        </w:trPr>
        <w:tc>
          <w:tcPr>
            <w:tcW w:w="8680" w:type="dxa"/>
            <w:vAlign w:val="bottom"/>
          </w:tcPr>
          <w:p>
            <w:pPr>
              <w:ind w:left="340"/>
              <w:spacing w:after="0"/>
              <w:rPr>
                <w:sz w:val="20"/>
                <w:szCs w:val="20"/>
                <w:color w:val="auto"/>
              </w:rPr>
            </w:pPr>
            <w:r>
              <w:rPr>
                <w:rFonts w:ascii="Arial" w:cs="Arial" w:eastAsia="Arial" w:hAnsi="Arial"/>
                <w:sz w:val="18"/>
                <w:szCs w:val="18"/>
                <w:color w:val="auto"/>
              </w:rPr>
              <w:t>Other long-term liabilities</w:t>
            </w:r>
          </w:p>
        </w:tc>
        <w:tc>
          <w:tcPr>
            <w:tcW w:w="24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(341)</w:t>
            </w:r>
          </w:p>
        </w:tc>
        <w:tc>
          <w:tcPr>
            <w:tcW w:w="2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(201)</w:t>
            </w:r>
          </w:p>
        </w:tc>
      </w:tr>
      <w:tr>
        <w:trPr>
          <w:trHeight w:val="223"/>
        </w:trPr>
        <w:tc>
          <w:tcPr>
            <w:tcW w:w="8680" w:type="dxa"/>
            <w:vAlign w:val="bottom"/>
            <w:tcBorders>
              <w:top w:val="single" w:sz="8" w:color="CCEEFF"/>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Net cash used in operating activities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(44,532</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(47,299</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Purchase of property and equipment</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(254)</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(260)</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Payments relating to capitalized software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(5,638)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(1,798)</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Investment in non-affiliate</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(2,000)</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5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 of CyborgOps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w:t>
            </w:r>
          </w:p>
        </w:tc>
      </w:tr>
      <w:tr>
        <w:trPr>
          <w:trHeight w:val="210"/>
        </w:trPr>
        <w:tc>
          <w:tcPr>
            <w:tcW w:w="8680" w:type="dxa"/>
            <w:vAlign w:val="bottom"/>
            <w:tcBorders>
              <w:top w:val="single" w:sz="8" w:color="CCEEFF"/>
              <w:bottom w:val="single" w:sz="8" w:color="CCEEFF"/>
            </w:tcBorders>
          </w:tcPr>
          <w:p>
            <w:pPr>
              <w:ind w:left="500"/>
              <w:spacing w:after="0" w:line="203" w:lineRule="exact"/>
              <w:rPr>
                <w:sz w:val="20"/>
                <w:szCs w:val="20"/>
                <w:color w:val="auto"/>
              </w:rPr>
            </w:pPr>
            <w:r>
              <w:rPr>
                <w:rFonts w:ascii="Arial" w:cs="Arial" w:eastAsia="Arial" w:hAnsi="Arial"/>
                <w:sz w:val="18"/>
                <w:szCs w:val="18"/>
                <w:b w:val="1"/>
                <w:bCs w:val="1"/>
                <w:color w:val="auto"/>
              </w:rPr>
              <w:t>Net cash used in investing activities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(7,892</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(2,213</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the exercise of common stock options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579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110</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Proceeds from the issuance of term loans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60,250</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12,600</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 of debt issuance costs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(294)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(1,287)</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Repayment of term loans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(32,980)</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 of penalties and other costs on extinguishment of debt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(6,228)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Proceeds from issuance of convertible promissory notes and embedded warrants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8,150</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Principal payments of financing obligations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(4,573)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(2,376)</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Proceeds from issuance of common stock</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9,846</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Contributions from Merger and PIPE financing, net of transaction costs and other payments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49,840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36"/>
        </w:trPr>
        <w:tc>
          <w:tcPr>
            <w:tcW w:w="8680" w:type="dxa"/>
            <w:vAlign w:val="bottom"/>
          </w:tcPr>
          <w:p>
            <w:pPr>
              <w:ind w:left="180"/>
              <w:spacing w:after="0"/>
              <w:rPr>
                <w:sz w:val="20"/>
                <w:szCs w:val="20"/>
                <w:color w:val="auto"/>
              </w:rPr>
            </w:pPr>
            <w:r>
              <w:rPr>
                <w:rFonts w:ascii="Arial" w:cs="Arial" w:eastAsia="Arial" w:hAnsi="Arial"/>
                <w:sz w:val="18"/>
                <w:szCs w:val="18"/>
                <w:color w:val="auto"/>
              </w:rPr>
              <w:t>Payment of deferred transaction costs</w:t>
            </w:r>
          </w:p>
        </w:tc>
        <w:tc>
          <w:tcPr>
            <w:tcW w:w="24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(1,890)</w:t>
            </w:r>
          </w:p>
        </w:tc>
        <w:tc>
          <w:tcPr>
            <w:tcW w:w="2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(1,577)</w:t>
            </w:r>
          </w:p>
        </w:tc>
      </w:tr>
      <w:tr>
        <w:trPr>
          <w:trHeight w:val="223"/>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Net cash provided by financing activities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74,550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240"/>
          </w:cols>
          <w:pgMar w:left="320" w:top="931" w:right="339" w:bottom="0" w:gutter="0" w:footer="0" w:header="0"/>
        </w:sectPr>
      </w:pPr>
    </w:p>
    <w:p>
      <w:pPr>
        <w:spacing w:after="0" w:line="2" w:lineRule="exact"/>
        <w:rPr>
          <w:sz w:val="20"/>
          <w:szCs w:val="20"/>
          <w:color w:val="auto"/>
        </w:rPr>
      </w:pPr>
    </w:p>
    <w:p>
      <w:pPr>
        <w:ind w:left="180" w:right="2900"/>
        <w:spacing w:after="0" w:line="281" w:lineRule="auto"/>
        <w:rPr>
          <w:sz w:val="20"/>
          <w:szCs w:val="20"/>
          <w:color w:val="auto"/>
        </w:rPr>
      </w:pPr>
      <w:r>
        <w:rPr>
          <w:rFonts w:ascii="Arial" w:cs="Arial" w:eastAsia="Arial" w:hAnsi="Arial"/>
          <w:sz w:val="17"/>
          <w:szCs w:val="17"/>
          <w:color w:val="auto"/>
        </w:rPr>
        <w:t>Net increase (decrease) in cash, cash equivalents and restricted cash Cash and cash equivalents at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13716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Cash, cash equivalents and restricted cash at end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7970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8">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36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22,126</w:t>
            </w:r>
          </w:p>
        </w:tc>
        <w:tc>
          <w:tcPr>
            <w:tcW w:w="32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(33,892)</w:t>
            </w:r>
          </w:p>
        </w:tc>
      </w:tr>
      <w:tr>
        <w:trPr>
          <w:trHeight w:val="230"/>
        </w:trPr>
        <w:tc>
          <w:tcPr>
            <w:tcW w:w="3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3,017</w:t>
            </w:r>
          </w:p>
        </w:tc>
        <w:tc>
          <w:tcPr>
            <w:tcW w:w="32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36,909</w:t>
            </w:r>
          </w:p>
        </w:tc>
      </w:tr>
      <w:tr>
        <w:trPr>
          <w:trHeight w:val="27"/>
        </w:trPr>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25,143</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3,017</w:t>
            </w:r>
          </w:p>
        </w:tc>
        <w:tc>
          <w:tcPr>
            <w:tcW w:w="60" w:type="dxa"/>
            <w:vAlign w:val="bottom"/>
          </w:tcPr>
          <w:p>
            <w:pPr>
              <w:spacing w:after="0"/>
              <w:rPr>
                <w:sz w:val="21"/>
                <w:szCs w:val="21"/>
                <w:color w:val="auto"/>
              </w:rPr>
            </w:pPr>
          </w:p>
        </w:tc>
      </w:tr>
      <w:tr>
        <w:trPr>
          <w:trHeight w:val="21"/>
        </w:trPr>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960" w:space="720"/>
            <w:col w:w="2560"/>
          </w:cols>
          <w:pgMar w:left="320" w:top="931" w:right="339" w:bottom="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Reconciliation of cash, cash equivalents and restricted cash:</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3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15,143</w:t>
            </w: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cash</w:t>
            </w:r>
          </w:p>
        </w:tc>
        <w:tc>
          <w:tcPr>
            <w:tcW w:w="3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10,000</w:t>
            </w: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ind w:left="180"/>
              <w:spacing w:after="0"/>
              <w:rPr>
                <w:sz w:val="20"/>
                <w:szCs w:val="20"/>
                <w:color w:val="auto"/>
              </w:rPr>
            </w:pPr>
            <w:r>
              <w:rPr>
                <w:rFonts w:ascii="Arial" w:cs="Arial" w:eastAsia="Arial" w:hAnsi="Arial"/>
                <w:sz w:val="18"/>
                <w:szCs w:val="18"/>
                <w:color w:val="auto"/>
              </w:rPr>
              <w:t>Total cash, cash equivalents and restricted cash</w:t>
            </w: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25,143</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31" w:right="339" w:bottom="0" w:gutter="0" w:footer="0" w:header="0"/>
          <w:type w:val="continuous"/>
        </w:sectPr>
      </w:pPr>
    </w:p>
    <w:bookmarkStart w:id="402" w:name="page403"/>
    <w:bookmarkEnd w:id="402"/>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43815</wp:posOffset>
            </wp:positionV>
            <wp:extent cx="7132320" cy="171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403" w:name="page404"/>
    <w:bookmarkEnd w:id="403"/>
    <w:p>
      <w:pPr>
        <w:ind w:left="10320"/>
        <w:spacing w:after="0"/>
        <w:rPr>
          <w:sz w:val="20"/>
          <w:szCs w:val="20"/>
          <w:color w:val="auto"/>
        </w:rPr>
      </w:pPr>
      <w:r>
        <w:rPr>
          <w:rFonts w:ascii="Arial" w:cs="Arial" w:eastAsia="Arial" w:hAnsi="Arial"/>
          <w:sz w:val="16"/>
          <w:szCs w:val="16"/>
          <w:b w:val="1"/>
          <w:bCs w:val="1"/>
          <w:color w:val="auto"/>
        </w:rPr>
        <w:t>Exhibit 99.2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Presto Automation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Earnings Call Script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October 10,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Operator</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Greetings, and welcome to the Presto Fiscal Fourth Quarter and Full Year 2023 Earnings Call. As a reminder, this conference is being recorded. It is now my pleasure to introduce your host, Adam Rogers, Vice President of Investor Relations, you may begin.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Adam Rogers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Good afternoon, everyone. I would like to welcome you all to the Presto Automation Fiscal Fourth Quarter and Full Year 2023 earnings conference call. I am Adam Rogers, Head of Investor Relations at Presto.</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Today’s call will include comments from our Chief Executive Officer, Xavier Casanova, and our Chief Accounting Officer, Stanley Mbugua. Xavier and Stanley are joined on the line by Dan Mosher, President of Presto Automation. After our prepared comments, we will open the call for questions. A replay of this call will be made available, and information to access the replay is listed in today's press release.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Before we begin, I'd like to remind everyone that, during today's call, we will be making forward-looking statements regarding future events and financial performance, including our guidance for Fiscal First Quarter of 2024. These forward-looking statements are subject to known and unknown risks and uncertainties. Presto cautions that these statements are not guarantees of future performance.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encourage you to review our most recent reports or any applicable filings, for a complete discussion of these factors and other risks that may affect our future results or the market price of our stock. Finally, we are not obligating ourselves to revise our results or these forward-looking statements in light of new information or future events.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Also, during today's call, we will refer to certain non-GAAP financial measures. Reconciliations of non-GAAP to GAAP measures and certain additional information are included in today's press release. This press release can be viewed and downloaded from our website. And with that, we'll begin by turning the call over to our new CEO, Xavier Casanova.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4" w:name="page405"/>
    <w:bookmarkEnd w:id="404"/>
    <w:p>
      <w:pPr>
        <w:spacing w:after="0"/>
        <w:rPr>
          <w:sz w:val="20"/>
          <w:szCs w:val="20"/>
          <w:color w:val="auto"/>
        </w:rPr>
      </w:pPr>
      <w:r>
        <w:rPr>
          <w:rFonts w:ascii="Arial" w:cs="Arial" w:eastAsia="Arial" w:hAnsi="Arial"/>
          <w:sz w:val="18"/>
          <w:szCs w:val="18"/>
          <w:b w:val="1"/>
          <w:bCs w:val="1"/>
          <w:u w:val="single" w:color="auto"/>
          <w:color w:val="auto"/>
        </w:rPr>
        <w:t>Xavier Casanova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[Xavier Introduction]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Thank you, Adam. And thanks to everyone for joining our Fiscal Fourth Quarter and Full Year 2023 earnings call. I am pleased to be speaking to you today as the new CEO of Presto.</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 joined Presto in 2022 as Chief Product Officer to develop and drive the Company’s innovative solutions. The thing that struck me immediately was the significant opportunity that Presto had in the dynamic and growing restaurant technology sector. In March, I was asked to become Chief Operating Officer.</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these roles, I have seen and heard first-hand the improvements that our AI and automation solutions make to our customers’ businesses and their guests’ dining experiences. Those experiences showed me clearly that Presto Automation is one of the most immediately actionable and scalable applications of AI today. These were also among the main reasons I was delighted to accept the opportunity to lead Presto as CEO in its new phase of development and growth.</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CEO, I intend to tap into my 25 years of experience in founding and building successful enterprise software companies. My knowledge of this business, including how our solutions are deployed and their applications for our customers, alongside my experience in developing high-growth, profitable businesses, will be invaluable for the months and years ahead.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[Xavier approach to the business]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 lead Presto’s experienced and diverse executive leadership team and benefit from having a truly engaged Board of Directors. Collectively, we are committed to harnessing Presto’s technology solutions to aggressively pursue the significant market opportunity available to us. While clear operational and commercial challenges exist, as they do for many other early-stage AI firms, we have a robust plan to (1) scale our Presto Voice business in a sustainable way, (2) continue to engage with our customer base of leading restaurant brands and their guests, and (3) deliver value for our shareholders.</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well as growing our revenue and further developing our technology, we have been laser-focused on reducing our operating expenses and cash burn. Over the last few months, I have taken several steps to operate our business more efficiently. This includes streamlining our operations, reducing costs, and deploying our talent in a way that is more closely aligned with our current business needs and strategic plans. We will continue to evaluate the effectiveness of these initiatives on an ongoing basis.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5" w:name="page406"/>
    <w:bookmarkEnd w:id="405"/>
    <w:p>
      <w:pPr>
        <w:spacing w:after="0"/>
        <w:rPr>
          <w:sz w:val="20"/>
          <w:szCs w:val="20"/>
          <w:color w:val="auto"/>
        </w:rPr>
      </w:pPr>
      <w:r>
        <w:rPr>
          <w:rFonts w:ascii="Arial" w:cs="Arial" w:eastAsia="Arial" w:hAnsi="Arial"/>
          <w:sz w:val="18"/>
          <w:szCs w:val="18"/>
          <w:color w:val="auto"/>
        </w:rPr>
        <w:t>[Business introduction]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 am aware that this may be one of the first Presto earnings call for many investors and analysts, and so I wanted to take a step back to provide a brief overview of Presto.</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Presto provides enterprise-grade AI and automation solutions to the restaurant industry. Our solutions are designed to lower labor costs, improve staff productivity, increase revenue, and enhance the guest experience both in the restaurant and at the drive-thru lane.</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restaurant technology market, while still nascent, continues to evolve in response to the challenges faced by restaurant operators. For example, the restaurant industry today faces increasing margin pressures at an unprecedented level. In an era of high inflation, restaurant operators need to both lower their costs and generate higher revenues to leverage their cost structures. Our solutions help restaurant operators address these concerns with compelling end-to-end solutions that seamlessly integrate into a restaurant’s existing technology stack.</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you may have read, California recently passed a law enforcing a $20 minimum wage for workers at fast-food chains with at least 60 locations across the United States, starting next April. At the same time, nationwide, the restaurant industry struggles to retain workers and has experienced consistently high staff turnover rates.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In fact, just recently, I was speaking to one of our customers in North Carolina, who told me that they had to close their restaurant early at 3pm every day due to a lack of staff before they installed our solution. After going live with Presto, this operator was able to remain open for an additional seven hours </w:t>
      </w:r>
      <w:r>
        <w:rPr>
          <w:rFonts w:ascii="Arial" w:cs="Arial" w:eastAsia="Arial" w:hAnsi="Arial"/>
          <w:sz w:val="18"/>
          <w:szCs w:val="18"/>
          <w:i w:val="1"/>
          <w:iCs w:val="1"/>
          <w:color w:val="auto"/>
        </w:rPr>
        <w:t>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day </w:t>
      </w:r>
      <w:r>
        <w:rPr>
          <w:rFonts w:ascii="Arial" w:cs="Arial" w:eastAsia="Arial" w:hAnsi="Arial"/>
          <w:sz w:val="18"/>
          <w:szCs w:val="18"/>
          <w:color w:val="auto"/>
        </w:rPr>
        <w:t>without increasing staff, showing first-hand the concrete and significant benefits our product provides.</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To support our customers with these challenges, we offer two solutions to restaurant operators. Firstly, Presto Voice, our Voice AI product for QSR drive-thru operators, and secondly, Presto Touch, our pay-at-table tablets, for casual dining chains.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06" w:name="page407"/>
    <w:bookmarkEnd w:id="406"/>
    <w:p>
      <w:pPr>
        <w:jc w:val="both"/>
        <w:spacing w:after="0" w:line="277" w:lineRule="auto"/>
        <w:rPr>
          <w:sz w:val="20"/>
          <w:szCs w:val="20"/>
          <w:color w:val="auto"/>
        </w:rPr>
      </w:pPr>
      <w:r>
        <w:rPr>
          <w:rFonts w:ascii="Arial" w:cs="Arial" w:eastAsia="Arial" w:hAnsi="Arial"/>
          <w:sz w:val="18"/>
          <w:szCs w:val="18"/>
          <w:color w:val="auto"/>
        </w:rPr>
        <w:t>Some of the most recognized restaurant names in the United States are among our customers, including Carl’s Jr., Hardee’s, Del Taco, and Checkers for Presto Voice and Applebee’s, Chili’s, and Red Lobster for Presto Touch.</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[Voice overview]</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Let me start with Presto Voice. We are incredibly excited about the opportunity for our Presto Voice solution. There are about 130,000 drive-thru QSR restaurants in the United States. Approximately 56 million people in the US and Canada visit drive-thrus daily, with the average American spending $1,200 annually at the drive-thru lane. Critically, 58% of US restaurant operators say that they will use technology-enabled solutions to improve efficiency, labor cost management, and revenue growth in the future. These needs present a significant opportunity for us.</w:t>
      </w:r>
    </w:p>
    <w:p>
      <w:pPr>
        <w:spacing w:after="0" w:line="167" w:lineRule="exact"/>
        <w:rPr>
          <w:sz w:val="20"/>
          <w:szCs w:val="20"/>
          <w:color w:val="auto"/>
        </w:rPr>
      </w:pPr>
    </w:p>
    <w:p>
      <w:pPr>
        <w:jc w:val="both"/>
        <w:spacing w:after="0" w:line="314" w:lineRule="auto"/>
        <w:rPr>
          <w:sz w:val="20"/>
          <w:szCs w:val="20"/>
          <w:color w:val="auto"/>
        </w:rPr>
      </w:pPr>
      <w:r>
        <w:rPr>
          <w:rFonts w:ascii="Arial" w:cs="Arial" w:eastAsia="Arial" w:hAnsi="Arial"/>
          <w:sz w:val="16"/>
          <w:szCs w:val="16"/>
          <w:color w:val="auto"/>
        </w:rPr>
        <w:t xml:space="preserve">We developed </w:t>
      </w:r>
      <w:r>
        <w:rPr>
          <w:rFonts w:ascii="Arial" w:cs="Arial" w:eastAsia="Arial" w:hAnsi="Arial"/>
          <w:sz w:val="16"/>
          <w:szCs w:val="16"/>
          <w:b w:val="1"/>
          <w:bCs w:val="1"/>
          <w:color w:val="auto"/>
        </w:rPr>
        <w:t>Presto Voice</w:t>
      </w:r>
      <w:r>
        <w:rPr>
          <w:rFonts w:ascii="Arial" w:cs="Arial" w:eastAsia="Arial" w:hAnsi="Arial"/>
          <w:sz w:val="16"/>
          <w:szCs w:val="16"/>
          <w:color w:val="auto"/>
        </w:rPr>
        <w:t xml:space="preserve"> specifically to address the pressing needs of drive-thru QSR restaurant operators. Presto Voice greets guests, takes an order, populates the order in the restaurant’s point of sale system, and delivers the order to the restaurant’s kitchen display system. Our voice solution can complete drive-thru orders, including large orders with multiple menu modifications and add-ons, with limited on-site restaurant staff intervention.</w:t>
      </w:r>
    </w:p>
    <w:p>
      <w:pPr>
        <w:spacing w:after="0" w:line="14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believe that Presto Voice enables orders to be processed more efficiently and with greater accuracy than other systems available in the market. It upsells on nearly 80% of orders in the drive-thru, which is more reliable than a human. These upsells are accepted by the guest almost 35% of the time resulting in additional revenues to the restaurant. Presto Voice benefits the restaurant staff as well. It removes one of their previous responsibilities of taking orders through their headset. This allows them to enhance their performance in other areas, including fulfilling orders more efficiently and accurately.</w:t>
      </w:r>
    </w:p>
    <w:p>
      <w:pPr>
        <w:spacing w:after="0" w:line="15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Voice AI solution consists of Automated Speech Recognition and Text to Speech engines, Natural Language Processing, and Humans in the Loop. Humans in the Loop is an approach commonly used in the AI industry. Our system currently has Presto human agents operate offsite from the restaurant. Our human agents enter, review, validate, and correct orders received by Presto Voice and make sure that restaurant guests receive accurate orders. Presto human agents will always play a role in ensuring order accuracy, and we believe this is a significant competitive advantage of our solution. However, as the Presto Voice AI evolves, we expect that the level of Presto human input into the process will continue to decrease, further improving our own economics.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07" w:name="page408"/>
    <w:bookmarkEnd w:id="407"/>
    <w:p>
      <w:pPr>
        <w:jc w:val="both"/>
        <w:spacing w:after="0" w:line="255" w:lineRule="auto"/>
        <w:rPr>
          <w:sz w:val="20"/>
          <w:szCs w:val="20"/>
          <w:color w:val="auto"/>
        </w:rPr>
      </w:pPr>
      <w:r>
        <w:rPr>
          <w:rFonts w:ascii="Arial" w:cs="Arial" w:eastAsia="Arial" w:hAnsi="Arial"/>
          <w:sz w:val="18"/>
          <w:szCs w:val="18"/>
          <w:color w:val="auto"/>
        </w:rPr>
        <w:t>We are pleased with the reception Presto Voice has received in the market. As of September 30, 2023, we have rolled out 373 locations with Presto Voice, with an additional 95 currently under contract for installation. We have now signed contracts with 17 CKE franchise groups, one of our major Presto Voice customers. These franchise owners collectively own approximately 700 locations nationwide. This was supported by an agreement with one of the largest CKE franchisees in the United States, StarCorp, to be the exclusive Voice AI vendor across all of its 58 Carl’s Jr locations – something we announced in September. We were delighted that StarCorp decided to launch Presto Voice at full scale following a successful and competitive pilot, which showed that we were able to offer an upsell on 91% of orders.</w:t>
      </w:r>
    </w:p>
    <w:p>
      <w:pPr>
        <w:spacing w:after="0" w:line="19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have also signed new corporate pilots. These pilot programs are key, as we can use them to demonstrate the ROI of our solutions and convert customers to full-scale deployment. This allows us to develop a backlog of rollouts that we can execute in the medium-term. In total, the restaurant groups that we are currently engaged with through a master service or a pilot agreement represent an annual revenue opportunity of over $100 million if fully expanded.</w:t>
      </w:r>
    </w:p>
    <w:p>
      <w:pPr>
        <w:spacing w:after="0" w:line="14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Although Presto Voice has contributed a small percentage of our revenue to date, we expect that it will contribute an increasing proportion of our revenue in the future. This is in part because of the significant growth in the QSR drive-thru market and the operators’ receptiveness to the benefits of new technologies. We are looking forward to executing our business plan to grow our Presto Voice revenue in line with our market opportunity.</w:t>
      </w:r>
    </w:p>
    <w:p>
      <w:pPr>
        <w:spacing w:after="0" w:line="16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Alongside the increase in the proportion of revenue that we expect from Presto Voice, we have a clear plan to increase the profitability of the Voice business. We will do this by realizing greater efficiencies with our Humans in the Loop, which will be achieved through the continued advancement of our technology and an increase in the number of locations in which Presto Voice is installed.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[Touch overview]</w:t>
      </w:r>
    </w:p>
    <w:p>
      <w:pPr>
        <w:spacing w:after="0" w:line="221"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 xml:space="preserve">Now let me provide an overview of Presto Touch. </w:t>
      </w:r>
      <w:r>
        <w:rPr>
          <w:rFonts w:ascii="Arial" w:cs="Arial" w:eastAsia="Arial" w:hAnsi="Arial"/>
          <w:sz w:val="17"/>
          <w:szCs w:val="17"/>
          <w:b w:val="1"/>
          <w:bCs w:val="1"/>
          <w:color w:val="auto"/>
        </w:rPr>
        <w:t>Touch</w:t>
      </w:r>
      <w:r>
        <w:rPr>
          <w:rFonts w:ascii="Arial" w:cs="Arial" w:eastAsia="Arial" w:hAnsi="Arial"/>
          <w:sz w:val="17"/>
          <w:szCs w:val="17"/>
          <w:color w:val="auto"/>
        </w:rPr>
        <w:t xml:space="preserve"> is our pay-at-table solution for casual dining chains. It enables self-service ordering, payment processing, and premium gaming experiences for restaurant guests. It also allows restaurants to operate dining rooms with fewer staff, enables servers to cater to more tables, and equips restaurants with valuable insights. In a highly competitive restaurant market, it is crucial for operators to focus on increasing customer loyalty. This generates repeat restaurant visits and increased check size. Presto Touch is well positioned to help restaurants successfully do that by personalizing guest experiences and providing more guest insights to the restaurant’s marketing team.</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08" w:name="page409"/>
    <w:bookmarkEnd w:id="408"/>
    <w:p>
      <w:pPr>
        <w:jc w:val="both"/>
        <w:spacing w:after="0" w:line="311" w:lineRule="auto"/>
        <w:rPr>
          <w:sz w:val="20"/>
          <w:szCs w:val="20"/>
          <w:color w:val="auto"/>
        </w:rPr>
      </w:pPr>
      <w:r>
        <w:rPr>
          <w:rFonts w:ascii="Arial" w:cs="Arial" w:eastAsia="Arial" w:hAnsi="Arial"/>
          <w:sz w:val="16"/>
          <w:szCs w:val="16"/>
          <w:color w:val="auto"/>
        </w:rPr>
        <w:t>As of June 30, 2023, we have installed over 277,000 Presto Touch tablets at three of the Nation’s largest casual dining restaurants. This has enabled us to develop the human knowledge and account management tools necessary to install, integrate, and educate restaurant operators about our solutions. These core competencies are significant competitive strengths for Presto which have allowed us to penetrate the voice-activated drive-thru market quickly.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[Business competitive strengths]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I hope you’ve seen, we have several competitive strengths that position us to grow our market position which I’d like to reiterate here:</w:t>
      </w:r>
    </w:p>
    <w:p>
      <w:pPr>
        <w:spacing w:after="0" w:line="225" w:lineRule="exact"/>
        <w:rPr>
          <w:sz w:val="20"/>
          <w:szCs w:val="20"/>
          <w:color w:val="auto"/>
        </w:rPr>
      </w:pPr>
    </w:p>
    <w:p>
      <w:pPr>
        <w:ind w:left="660" w:hanging="328"/>
        <w:spacing w:after="0"/>
        <w:tabs>
          <w:tab w:leader="none" w:pos="660" w:val="left"/>
        </w:tabs>
        <w:numPr>
          <w:ilvl w:val="0"/>
          <w:numId w:val="423"/>
        </w:numPr>
        <w:rPr>
          <w:rFonts w:ascii="Arial" w:cs="Arial" w:eastAsia="Arial" w:hAnsi="Arial"/>
          <w:sz w:val="18"/>
          <w:szCs w:val="18"/>
          <w:color w:val="auto"/>
        </w:rPr>
      </w:pPr>
      <w:r>
        <w:rPr>
          <w:rFonts w:ascii="Arial" w:cs="Arial" w:eastAsia="Arial" w:hAnsi="Arial"/>
          <w:sz w:val="18"/>
          <w:szCs w:val="18"/>
          <w:color w:val="auto"/>
        </w:rPr>
        <w:t>First, we are developing an industry-leading technology platform;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23"/>
        </w:numPr>
        <w:rPr>
          <w:rFonts w:ascii="Arial" w:cs="Arial" w:eastAsia="Arial" w:hAnsi="Arial"/>
          <w:sz w:val="18"/>
          <w:szCs w:val="18"/>
          <w:color w:val="auto"/>
        </w:rPr>
      </w:pPr>
      <w:r>
        <w:rPr>
          <w:rFonts w:ascii="Arial" w:cs="Arial" w:eastAsia="Arial" w:hAnsi="Arial"/>
          <w:sz w:val="18"/>
          <w:szCs w:val="18"/>
          <w:color w:val="auto"/>
        </w:rPr>
        <w:t>Second, we have developed a computer-human interface that enables our customers to achieve leading levels of order accuracy;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23"/>
        </w:numPr>
        <w:rPr>
          <w:rFonts w:ascii="Arial" w:cs="Arial" w:eastAsia="Arial" w:hAnsi="Arial"/>
          <w:sz w:val="18"/>
          <w:szCs w:val="18"/>
          <w:color w:val="auto"/>
        </w:rPr>
      </w:pPr>
      <w:r>
        <w:rPr>
          <w:rFonts w:ascii="Arial" w:cs="Arial" w:eastAsia="Arial" w:hAnsi="Arial"/>
          <w:sz w:val="18"/>
          <w:szCs w:val="18"/>
          <w:color w:val="auto"/>
        </w:rPr>
        <w:t>Third, we have a proven ability to scale our platforms for our customers as demonstrated through our heritage in Presto Touch;</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23"/>
        </w:numPr>
        <w:rPr>
          <w:rFonts w:ascii="Arial" w:cs="Arial" w:eastAsia="Arial" w:hAnsi="Arial"/>
          <w:sz w:val="18"/>
          <w:szCs w:val="18"/>
          <w:color w:val="auto"/>
        </w:rPr>
      </w:pPr>
      <w:r>
        <w:rPr>
          <w:rFonts w:ascii="Arial" w:cs="Arial" w:eastAsia="Arial" w:hAnsi="Arial"/>
          <w:sz w:val="18"/>
          <w:szCs w:val="18"/>
          <w:color w:val="auto"/>
        </w:rPr>
        <w:t>Fourth, we have significant experience of navigating the complex and diverse ownership models of most QSR and casual dining restaurants between corporate owners and their franchisees;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23"/>
        </w:numPr>
        <w:rPr>
          <w:rFonts w:ascii="Arial" w:cs="Arial" w:eastAsia="Arial" w:hAnsi="Arial"/>
          <w:sz w:val="18"/>
          <w:szCs w:val="18"/>
          <w:color w:val="auto"/>
        </w:rPr>
      </w:pPr>
      <w:r>
        <w:rPr>
          <w:rFonts w:ascii="Arial" w:cs="Arial" w:eastAsia="Arial" w:hAnsi="Arial"/>
          <w:sz w:val="18"/>
          <w:szCs w:val="18"/>
          <w:color w:val="auto"/>
        </w:rPr>
        <w:t>Fifth, we have a sticky business model with high switching costs, providing increased security of future revenues.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[Business highlights]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While Stanley will cover our financial results in more detail, I am pleased to report that our Full Year 2023 revenue was in line with guidance at $26.1 million. Our Fiscal Fourth Quarter of 2023 revenue decreased by 38.9% to $4.8 million compared to the Fiscal Fourth Quarter of 2022. The main reason for this was a decrease in hardware revenue from Presto Touch.</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Before I turn the presentation over to Stanley, I would like to review a few important agreements that we reached recently.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09" w:name="page410"/>
    <w:bookmarkEnd w:id="409"/>
    <w:p>
      <w:pPr>
        <w:jc w:val="both"/>
        <w:spacing w:after="0" w:line="308" w:lineRule="auto"/>
        <w:rPr>
          <w:sz w:val="20"/>
          <w:szCs w:val="20"/>
          <w:color w:val="auto"/>
        </w:rPr>
      </w:pPr>
      <w:r>
        <w:rPr>
          <w:rFonts w:ascii="Arial" w:cs="Arial" w:eastAsia="Arial" w:hAnsi="Arial"/>
          <w:sz w:val="17"/>
          <w:szCs w:val="17"/>
          <w:color w:val="auto"/>
        </w:rPr>
        <w:t>One of our major shareholders, Cleveland Avenue, has committed to increasing its ownership in the Company, with a $3 million investment in Presto’s Common Stock. The financing for its increased ownership is expected to close on October 16, 2023, subject to customary closing conditions.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In addition, shareholders representing 53% of our issued shares have extended their lock-up commitments through December 23, 2024.</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 am also pleased to share that Presto has revised its credit agreement with Metropolitan Partners Group, which continues to be a supportive lender to us, through a third amendment to its existing credit facility. Metropolitan has also committed to increasing the size of its facility by $3 million. This amendment removes certain covenants but retains those related to minimum unrestricted cash and monthly decrease in operating cash. The amendment will become effective with the investment by Cleveland Avenue and the satisfaction of other conditions that are expected to be achieved on or around that date.</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also pleased to announce that Nathan Cook, a Senior Managing Director of Teneo, a global advisory firm that is supporting us across the business, is joining Presto today as interim CFO. We know that Nathan’s deep experience will be critical to this new phase of growth.</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With that, I would like to hand it over to our Chief Accounting Officer Stanley Mbugua, to review our financial performance for Fiscal 2023 and Q4 2023.</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Stanley Mbugua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 you, Xavier, and once again, thank you, everyone, for joining us today.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It is a pleasure speaking to you today as the Chief Accounting Officer of Presto Automation. I joined the team earlier this year and I look forward to building on the strong trajectory Presto is on and helping to scale the business.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Today, I will walk you through our Fiscal Fourth Quarter and Full Year 2023 results, and then cover our guidance for Fiscal First Quarter of 2024.</w:t>
      </w: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 will talk about certain results on a non-GAAP basis. We show reconciliation to GAAP measures in our recent press release, which is available in the Investor Relations section of our website at presto.com.</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10" w:name="page411"/>
    <w:bookmarkEnd w:id="410"/>
    <w:p>
      <w:pPr>
        <w:jc w:val="both"/>
        <w:spacing w:after="0" w:line="308" w:lineRule="auto"/>
        <w:rPr>
          <w:sz w:val="20"/>
          <w:szCs w:val="20"/>
          <w:color w:val="auto"/>
        </w:rPr>
      </w:pPr>
      <w:r>
        <w:rPr>
          <w:rFonts w:ascii="Arial" w:cs="Arial" w:eastAsia="Arial" w:hAnsi="Arial"/>
          <w:sz w:val="17"/>
          <w:szCs w:val="17"/>
          <w:color w:val="auto"/>
        </w:rPr>
        <w:t>For the Fiscal Fourth Quarter of 2023, we reported revenue of $4.8 million, down 38.9% compared to Fiscal Fourth Quarter of 2022. Transaction revenue increased by 23.4% to $3.2 million compared to Fiscal Fourth Quarter of 2022, due to a successful increase in pricing for our gaming fees.</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Full Year 2023 revenue was in line with our guidance at $26.1 million, compared to $30.4 million in Full Year 2022, a 14.1% decrease mainly due to contract terminations and expirations, a decrease in hardware revenue, and certain renewals at lower prices. Transaction revenue was $12.9 million, up 25.3% from last year, driven by increases in pricing for gaming fees.</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Fiscal Fourth Quarter of 2023, OPEX was $13.7 million compared to $9.6 million for Fiscal Fourth Quarter of 2022. This was primarily driven by the impact of additional costs associated with being a newly public company.</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Full Year 2023 OPEX was $56.9 million compared to $33.8 million in Full Year 2022. The increase was primarily due to three reasons: an increase in stock-based compensation, an increase in Research &amp; Development payroll costs associated with Presto Voice, and costs associated with being a public company, including hiring additional staff and implementing new processes and procedures to address public company compliance requirements.</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Adjusted EBITDA for the Fiscal Fourth Quarter of 2023 was a loss of $9.1 million compared to a loss of $10.8 million in the same quarter of 2022. Full Year 2023 Adjusted EBITDA was a loss of $39.1 million, up from a loss of $27.9 million in Full Year 2022.</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Xavier outlined, we have taken steps throughout the year to reduce our OPEX and cash burn. We are continuing to focus on increasing our operating efficiencies, our headcount and vendor rationalization processes, and detailed initiatives to achieve cost synergies across all functions.</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Now, I would like to finish with our guidance for our Fiscal First Quarter of 2024. We expect revenue to be between $4.8 million and $5.0 million.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With that, Xavier, Dan, and I are ready to take your questions. Operator, please open the lines for any questions.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B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39DFA5"/>
    <w:multiLevelType w:val="hybridMultilevel"/>
    <w:lvl w:ilvl="0">
      <w:lvlJc w:val="left"/>
      <w:lvlText w:val="☐"/>
      <w:numFmt w:val="bullet"/>
      <w:start w:val="1"/>
    </w:lvl>
  </w:abstractNum>
  <w:abstractNum w:abstractNumId="1">
    <w:nsid w:val="2DB88089"/>
    <w:multiLevelType w:val="hybridMultilevel"/>
    <w:lvl w:ilvl="0">
      <w:lvlJc w:val="left"/>
      <w:lvlText w:val="*"/>
      <w:numFmt w:val="bullet"/>
      <w:start w:val="1"/>
    </w:lvl>
  </w:abstractNum>
  <w:abstractNum w:abstractNumId="2">
    <w:nsid w:val="706B674E"/>
    <w:multiLevelType w:val="hybridMultilevel"/>
    <w:lvl w:ilvl="0">
      <w:lvlJc w:val="left"/>
      <w:lvlText w:val="(%1)"/>
      <w:numFmt w:val="lowerLetter"/>
      <w:start w:val="1"/>
    </w:lvl>
    <w:lvl w:ilvl="1">
      <w:lvlJc w:val="left"/>
      <w:lvlText w:val="(%2)"/>
      <w:numFmt w:val="lowerRoman"/>
      <w:start w:val="1"/>
    </w:lvl>
  </w:abstractNum>
  <w:abstractNum w:abstractNumId="3">
    <w:nsid w:val="2C106A57"/>
    <w:multiLevelType w:val="hybridMultilevel"/>
    <w:lvl w:ilvl="0">
      <w:lvlJc w:val="left"/>
      <w:lvlText w:val="(%1)"/>
      <w:numFmt w:val="lowerLetter"/>
      <w:start w:val="1"/>
    </w:lvl>
    <w:lvl w:ilvl="1">
      <w:lvlJc w:val="left"/>
      <w:lvlText w:val="(%2)"/>
      <w:numFmt w:val="lowerRoman"/>
      <w:start w:val="1"/>
    </w:lvl>
  </w:abstractNum>
  <w:abstractNum w:abstractNumId="4">
    <w:nsid w:val="684EED59"/>
    <w:multiLevelType w:val="hybridMultilevel"/>
    <w:lvl w:ilvl="0">
      <w:lvlJc w:val="left"/>
      <w:lvlText w:val="(%1)"/>
      <w:numFmt w:val="lowerLetter"/>
      <w:start w:val="1"/>
    </w:lvl>
  </w:abstractNum>
  <w:abstractNum w:abstractNumId="5">
    <w:nsid w:val="545EE5D3"/>
    <w:multiLevelType w:val="hybridMultilevel"/>
    <w:lvl w:ilvl="0">
      <w:lvlJc w:val="left"/>
      <w:lvlText w:val="%1"/>
      <w:numFmt w:val="lowerLetter"/>
      <w:start w:val="1"/>
    </w:lvl>
    <w:lvl w:ilvl="1">
      <w:lvlJc w:val="left"/>
      <w:lvlText w:val="(%2)"/>
      <w:numFmt w:val="lowerLetter"/>
      <w:start w:val="3"/>
    </w:lvl>
  </w:abstractNum>
  <w:abstractNum w:abstractNumId="6">
    <w:nsid w:val="4A66051"/>
    <w:multiLevelType w:val="hybridMultilevel"/>
    <w:lvl w:ilvl="0">
      <w:lvlJc w:val="left"/>
      <w:lvlText w:val="(%1)"/>
      <w:numFmt w:val="lowerLetter"/>
      <w:start w:val="35"/>
    </w:lvl>
    <w:lvl w:ilvl="1">
      <w:lvlJc w:val="left"/>
      <w:lvlText w:val="%2"/>
      <w:numFmt w:val="lowerLetter"/>
      <w:start w:val="1"/>
    </w:lvl>
  </w:abstractNum>
  <w:abstractNum w:abstractNumId="7">
    <w:nsid w:val="20F4BDAD"/>
    <w:multiLevelType w:val="hybridMultilevel"/>
    <w:lvl w:ilvl="0">
      <w:lvlJc w:val="left"/>
      <w:lvlText w:val="(%1)"/>
      <w:numFmt w:val="lowerLetter"/>
      <w:start w:val="5"/>
    </w:lvl>
  </w:abstractNum>
  <w:abstractNum w:abstractNumId="8">
    <w:nsid w:val="639DEFAC"/>
    <w:multiLevelType w:val="hybridMultilevel"/>
    <w:lvl w:ilvl="0">
      <w:lvlJc w:val="left"/>
      <w:lvlText w:val="(%1)"/>
      <w:numFmt w:val="lowerLetter"/>
      <w:start w:val="8"/>
    </w:lvl>
  </w:abstractNum>
  <w:abstractNum w:abstractNumId="9">
    <w:nsid w:val="501F9786"/>
    <w:multiLevelType w:val="hybridMultilevel"/>
    <w:lvl w:ilvl="0">
      <w:lvlJc w:val="left"/>
      <w:lvlText w:val="(%1)"/>
      <w:numFmt w:val="lowerLetter"/>
      <w:start w:val="10"/>
    </w:lvl>
  </w:abstractNum>
  <w:abstractNum w:abstractNumId="10">
    <w:nsid w:val="6B057295"/>
    <w:multiLevelType w:val="hybridMultilevel"/>
    <w:lvl w:ilvl="0">
      <w:lvlJc w:val="left"/>
      <w:lvlText w:val="(%1)"/>
      <w:numFmt w:val="lowerLetter"/>
      <w:start w:val="13"/>
    </w:lvl>
  </w:abstractNum>
  <w:abstractNum w:abstractNumId="11">
    <w:nsid w:val="2771AC80"/>
    <w:multiLevelType w:val="hybridMultilevel"/>
    <w:lvl w:ilvl="0">
      <w:lvlJc w:val="left"/>
      <w:lvlText w:val="(%1)"/>
      <w:numFmt w:val="lowerLetter"/>
      <w:start w:val="18"/>
    </w:lvl>
  </w:abstractNum>
  <w:abstractNum w:abstractNumId="12">
    <w:nsid w:val="1C4A08EC"/>
    <w:multiLevelType w:val="hybridMultilevel"/>
    <w:lvl w:ilvl="0">
      <w:lvlJc w:val="left"/>
      <w:lvlText w:val="(%1)"/>
      <w:numFmt w:val="lowerLetter"/>
      <w:start w:val="1"/>
    </w:lvl>
  </w:abstractNum>
  <w:abstractNum w:abstractNumId="13">
    <w:nsid w:val="1958BD17"/>
    <w:multiLevelType w:val="hybridMultilevel"/>
    <w:lvl w:ilvl="0">
      <w:lvlJc w:val="left"/>
      <w:lvlText w:val="(%1)"/>
      <w:numFmt w:val="lowerLetter"/>
      <w:start w:val="2"/>
    </w:lvl>
  </w:abstractNum>
  <w:abstractNum w:abstractNumId="14">
    <w:nsid w:val="4E647FE4"/>
    <w:multiLevelType w:val="hybridMultilevel"/>
    <w:lvl w:ilvl="0">
      <w:lvlJc w:val="left"/>
      <w:lvlText w:val="(%1)"/>
      <w:numFmt w:val="lowerLetter"/>
      <w:start w:val="7"/>
    </w:lvl>
  </w:abstractNum>
  <w:abstractNum w:abstractNumId="15">
    <w:nsid w:val="E0BB885"/>
    <w:multiLevelType w:val="hybridMultilevel"/>
    <w:lvl w:ilvl="0">
      <w:lvlJc w:val="left"/>
      <w:lvlText w:val="(%1)"/>
      <w:numFmt w:val="lowerLetter"/>
      <w:start w:val="1"/>
    </w:lvl>
  </w:abstractNum>
  <w:abstractNum w:abstractNumId="16">
    <w:nsid w:val="565976F1"/>
    <w:multiLevelType w:val="hybridMultilevel"/>
    <w:lvl w:ilvl="0">
      <w:lvlJc w:val="left"/>
      <w:lvlText w:val="(%1)"/>
      <w:numFmt w:val="lowerLetter"/>
      <w:start w:val="3"/>
    </w:lvl>
  </w:abstractNum>
  <w:abstractNum w:abstractNumId="17">
    <w:nsid w:val="64212B8C"/>
    <w:multiLevelType w:val="hybridMultilevel"/>
    <w:lvl w:ilvl="0">
      <w:lvlJc w:val="left"/>
      <w:lvlText w:val="(%1)"/>
      <w:numFmt w:val="lowerLetter"/>
      <w:start w:val="4"/>
    </w:lvl>
  </w:abstractNum>
  <w:abstractNum w:abstractNumId="18">
    <w:nsid w:val="5C17530C"/>
    <w:multiLevelType w:val="hybridMultilevel"/>
    <w:lvl w:ilvl="0">
      <w:lvlJc w:val="left"/>
      <w:lvlText w:val="(%1)"/>
      <w:numFmt w:val="lowerLetter"/>
      <w:start w:val="1"/>
    </w:lvl>
  </w:abstractNum>
  <w:abstractNum w:abstractNumId="19">
    <w:nsid w:val="19A52566"/>
    <w:multiLevelType w:val="hybridMultilevel"/>
    <w:lvl w:ilvl="0">
      <w:lvlJc w:val="left"/>
      <w:lvlText w:val="%1"/>
      <w:numFmt w:val="lowerLetter"/>
      <w:start w:val="1"/>
    </w:lvl>
    <w:lvl w:ilvl="1">
      <w:lvlJc w:val="left"/>
      <w:lvlText w:val="(%2)"/>
      <w:numFmt w:val="lowerLetter"/>
      <w:start w:val="2"/>
    </w:lvl>
  </w:abstractNum>
  <w:abstractNum w:abstractNumId="20">
    <w:nsid w:val="335A1DF1"/>
    <w:multiLevelType w:val="hybridMultilevel"/>
    <w:lvl w:ilvl="0">
      <w:lvlJc w:val="left"/>
      <w:lvlText w:val="(%1)"/>
      <w:numFmt w:val="lowerLetter"/>
      <w:start w:val="25"/>
    </w:lvl>
    <w:lvl w:ilvl="1">
      <w:lvlJc w:val="left"/>
      <w:lvlText w:val="(%2)"/>
      <w:numFmt w:val="lowerLetter"/>
      <w:start w:val="3"/>
    </w:lvl>
  </w:abstractNum>
  <w:abstractNum w:abstractNumId="21">
    <w:nsid w:val="28677B7C"/>
    <w:multiLevelType w:val="hybridMultilevel"/>
    <w:lvl w:ilvl="0">
      <w:lvlJc w:val="left"/>
      <w:lvlText w:val="(%1)"/>
      <w:numFmt w:val="lowerLetter"/>
      <w:start w:val="4"/>
    </w:lvl>
  </w:abstractNum>
  <w:abstractNum w:abstractNumId="22">
    <w:nsid w:val="378D97C0"/>
    <w:multiLevelType w:val="hybridMultilevel"/>
    <w:lvl w:ilvl="0">
      <w:lvlJc w:val="left"/>
      <w:lvlText w:val="%1."/>
      <w:numFmt w:val="decimal"/>
      <w:start w:val="1"/>
    </w:lvl>
  </w:abstractNum>
  <w:abstractNum w:abstractNumId="23">
    <w:nsid w:val="1D91467C"/>
    <w:multiLevelType w:val="hybridMultilevel"/>
    <w:lvl w:ilvl="0">
      <w:lvlJc w:val="left"/>
      <w:lvlText w:val="%1."/>
      <w:numFmt w:val="decimal"/>
      <w:start w:val="2"/>
    </w:lvl>
    <w:lvl w:ilvl="1">
      <w:lvlJc w:val="left"/>
      <w:lvlText w:val="(%2)"/>
      <w:numFmt w:val="lowerLetter"/>
      <w:start w:val="1"/>
    </w:lvl>
  </w:abstractNum>
  <w:abstractNum w:abstractNumId="24">
    <w:nsid w:val="316032BB"/>
    <w:multiLevelType w:val="hybridMultilevel"/>
    <w:lvl w:ilvl="0">
      <w:lvlJc w:val="left"/>
      <w:lvlText w:val="%1"/>
      <w:numFmt w:val="lowerLetter"/>
      <w:start w:val="1"/>
    </w:lvl>
    <w:lvl w:ilvl="1">
      <w:lvlJc w:val="left"/>
      <w:lvlText w:val="(%2)"/>
      <w:numFmt w:val="lowerLetter"/>
      <w:start w:val="2"/>
    </w:lvl>
  </w:abstractNum>
  <w:abstractNum w:abstractNumId="25">
    <w:nsid w:val="44344C22"/>
    <w:multiLevelType w:val="hybridMultilevel"/>
    <w:lvl w:ilvl="0">
      <w:lvlJc w:val="left"/>
      <w:lvlText w:val="%1."/>
      <w:numFmt w:val="lowerLetter"/>
      <w:start w:val="1"/>
    </w:lvl>
    <w:lvl w:ilvl="1">
      <w:lvlJc w:val="left"/>
      <w:lvlText w:val="%2"/>
      <w:numFmt w:val="lowerLetter"/>
      <w:start w:val="1"/>
    </w:lvl>
  </w:abstractNum>
  <w:abstractNum w:abstractNumId="26">
    <w:nsid w:val="13CDFCFC"/>
    <w:multiLevelType w:val="hybridMultilevel"/>
    <w:lvl w:ilvl="0">
      <w:lvlJc w:val="left"/>
      <w:lvlText w:val="(%1)"/>
      <w:numFmt w:val="lowerLetter"/>
      <w:start w:val="4"/>
    </w:lvl>
  </w:abstractNum>
  <w:abstractNum w:abstractNumId="27">
    <w:nsid w:val="471745E4"/>
    <w:multiLevelType w:val="hybridMultilevel"/>
    <w:lvl w:ilvl="0">
      <w:lvlJc w:val="left"/>
      <w:lvlText w:val="%1"/>
      <w:numFmt w:val="decimal"/>
      <w:start w:val="1"/>
    </w:lvl>
    <w:lvl w:ilvl="1">
      <w:lvlJc w:val="left"/>
      <w:lvlText w:val="(%2)"/>
      <w:numFmt w:val="lowerLetter"/>
      <w:start w:val="5"/>
    </w:lvl>
  </w:abstractNum>
  <w:abstractNum w:abstractNumId="28">
    <w:nsid w:val="1DDBC66"/>
    <w:multiLevelType w:val="hybridMultilevel"/>
    <w:lvl w:ilvl="0">
      <w:lvlJc w:val="left"/>
      <w:lvlText w:val="%1."/>
      <w:numFmt w:val="decimal"/>
      <w:start w:val="3"/>
    </w:lvl>
    <w:lvl w:ilvl="1">
      <w:lvlJc w:val="left"/>
      <w:lvlText w:val="%2"/>
      <w:numFmt w:val="lowerLetter"/>
      <w:start w:val="1"/>
    </w:lvl>
  </w:abstractNum>
  <w:abstractNum w:abstractNumId="29">
    <w:nsid w:val="30AADFDA"/>
    <w:multiLevelType w:val="hybridMultilevel"/>
    <w:lvl w:ilvl="0">
      <w:lvlJc w:val="left"/>
      <w:lvlText w:val="(%1)"/>
      <w:numFmt w:val="lowerLetter"/>
      <w:start w:val="1"/>
    </w:lvl>
  </w:abstractNum>
  <w:abstractNum w:abstractNumId="30">
    <w:nsid w:val="30EADA61"/>
    <w:multiLevelType w:val="hybridMultilevel"/>
    <w:lvl w:ilvl="0">
      <w:lvlJc w:val="left"/>
      <w:lvlText w:val="%1"/>
      <w:numFmt w:val="lowerLetter"/>
      <w:start w:val="1"/>
    </w:lvl>
    <w:lvl w:ilvl="1">
      <w:lvlJc w:val="left"/>
      <w:lvlText w:val="(%2)"/>
      <w:numFmt w:val="lowerLetter"/>
      <w:start w:val="2"/>
    </w:lvl>
  </w:abstractNum>
  <w:abstractNum w:abstractNumId="31">
    <w:nsid w:val="27179C0B"/>
    <w:multiLevelType w:val="hybridMultilevel"/>
    <w:lvl w:ilvl="0">
      <w:lvlJc w:val="left"/>
      <w:lvlText w:val="(%1)"/>
      <w:numFmt w:val="lowerLetter"/>
      <w:start w:val="61"/>
    </w:lvl>
    <w:lvl w:ilvl="1">
      <w:lvlJc w:val="left"/>
      <w:lvlText w:val="%2"/>
      <w:numFmt w:val="lowerLetter"/>
      <w:start w:val="1"/>
    </w:lvl>
  </w:abstractNum>
  <w:abstractNum w:abstractNumId="32">
    <w:nsid w:val="5E636063"/>
    <w:multiLevelType w:val="hybridMultilevel"/>
    <w:lvl w:ilvl="0">
      <w:lvlJc w:val="left"/>
      <w:lvlText w:val="%1"/>
      <w:numFmt w:val="lowerLetter"/>
      <w:start w:val="1"/>
    </w:lvl>
    <w:lvl w:ilvl="1">
      <w:lvlJc w:val="left"/>
      <w:lvlText w:val="(%2)"/>
      <w:numFmt w:val="lowerLetter"/>
      <w:start w:val="3"/>
    </w:lvl>
  </w:abstractNum>
  <w:abstractNum w:abstractNumId="33">
    <w:nsid w:val="215641AF"/>
    <w:multiLevelType w:val="hybridMultilevel"/>
    <w:lvl w:ilvl="0">
      <w:lvlJc w:val="left"/>
      <w:lvlText w:val="(%1)"/>
      <w:numFmt w:val="lowerLetter"/>
      <w:start w:val="61"/>
    </w:lvl>
    <w:lvl w:ilvl="1">
      <w:lvlJc w:val="left"/>
      <w:lvlText w:val="(%2)"/>
      <w:numFmt w:val="lowerLetter"/>
      <w:start w:val="5"/>
    </w:lvl>
  </w:abstractNum>
  <w:abstractNum w:abstractNumId="34">
    <w:nsid w:val="53280662"/>
    <w:multiLevelType w:val="hybridMultilevel"/>
    <w:lvl w:ilvl="0">
      <w:lvlJc w:val="left"/>
      <w:lvlText w:val="(%1)"/>
      <w:numFmt w:val="lowerLetter"/>
      <w:start w:val="6"/>
    </w:lvl>
  </w:abstractNum>
  <w:abstractNum w:abstractNumId="35">
    <w:nsid w:val="46B24DBC"/>
    <w:multiLevelType w:val="hybridMultilevel"/>
    <w:lvl w:ilvl="0">
      <w:lvlJc w:val="left"/>
      <w:lvlText w:val="%1"/>
      <w:numFmt w:val="decimal"/>
      <w:start w:val="1"/>
    </w:lvl>
    <w:lvl w:ilvl="1">
      <w:lvlJc w:val="left"/>
      <w:lvlText w:val="(%2)"/>
      <w:numFmt w:val="lowerLetter"/>
      <w:start w:val="10"/>
    </w:lvl>
  </w:abstractNum>
  <w:abstractNum w:abstractNumId="36">
    <w:nsid w:val="75B52783"/>
    <w:multiLevelType w:val="hybridMultilevel"/>
    <w:lvl w:ilvl="0">
      <w:lvlJc w:val="left"/>
      <w:lvlText w:val="(%1)"/>
      <w:numFmt w:val="decimal"/>
      <w:start w:val="45"/>
    </w:lvl>
    <w:lvl w:ilvl="1">
      <w:lvlJc w:val="left"/>
      <w:lvlText w:val="(%2)"/>
      <w:numFmt w:val="lowerLetter"/>
      <w:start w:val="11"/>
    </w:lvl>
  </w:abstractNum>
  <w:abstractNum w:abstractNumId="37">
    <w:nsid w:val="57CE66B4"/>
    <w:multiLevelType w:val="hybridMultilevel"/>
    <w:lvl w:ilvl="0">
      <w:lvlJc w:val="left"/>
      <w:lvlText w:val="%1."/>
      <w:numFmt w:val="decimal"/>
      <w:start w:val="4"/>
    </w:lvl>
  </w:abstractNum>
  <w:abstractNum w:abstractNumId="38">
    <w:nsid w:val="67A70B69"/>
    <w:multiLevelType w:val="hybridMultilevel"/>
    <w:lvl w:ilvl="0">
      <w:lvlJc w:val="left"/>
      <w:lvlText w:val="%1."/>
      <w:numFmt w:val="decimal"/>
      <w:start w:val="5"/>
    </w:lvl>
    <w:lvl w:ilvl="1">
      <w:lvlJc w:val="left"/>
      <w:lvlText w:val="(%2)"/>
      <w:numFmt w:val="lowerLetter"/>
      <w:start w:val="1"/>
    </w:lvl>
  </w:abstractNum>
  <w:abstractNum w:abstractNumId="39">
    <w:nsid w:val="5953172F"/>
    <w:multiLevelType w:val="hybridMultilevel"/>
    <w:lvl w:ilvl="0">
      <w:lvlJc w:val="left"/>
      <w:lvlText w:val="(%1)"/>
      <w:numFmt w:val="lowerLetter"/>
      <w:start w:val="2"/>
    </w:lvl>
  </w:abstractNum>
  <w:abstractNum w:abstractNumId="40">
    <w:nsid w:val="27EDFE3A"/>
    <w:multiLevelType w:val="hybridMultilevel"/>
    <w:lvl w:ilvl="0">
      <w:lvlJc w:val="left"/>
      <w:lvlText w:val="(%1)"/>
      <w:numFmt w:val="lowerLetter"/>
      <w:start w:val="4"/>
    </w:lvl>
  </w:abstractNum>
  <w:abstractNum w:abstractNumId="41">
    <w:nsid w:val="52AC7DFF"/>
    <w:multiLevelType w:val="hybridMultilevel"/>
    <w:lvl w:ilvl="0">
      <w:lvlJc w:val="left"/>
      <w:lvlText w:val="%1"/>
      <w:numFmt w:val="lowerLetter"/>
      <w:start w:val="1"/>
    </w:lvl>
    <w:lvl w:ilvl="1">
      <w:lvlJc w:val="left"/>
      <w:lvlText w:val="%2."/>
      <w:numFmt w:val="decimal"/>
      <w:start w:val="6"/>
    </w:lvl>
  </w:abstractNum>
  <w:abstractNum w:abstractNumId="42">
    <w:nsid w:val="C4C3AF"/>
    <w:multiLevelType w:val="hybridMultilevel"/>
    <w:lvl w:ilvl="0">
      <w:lvlJc w:val="left"/>
      <w:lvlText w:val="(%1)"/>
      <w:numFmt w:val="lowerLetter"/>
      <w:start w:val="1"/>
    </w:lvl>
    <w:lvl w:ilvl="1">
      <w:lvlJc w:val="left"/>
      <w:lvlText w:val="%2"/>
      <w:numFmt w:val="decimal"/>
      <w:start w:val="1"/>
    </w:lvl>
  </w:abstractNum>
  <w:abstractNum w:abstractNumId="43">
    <w:nsid w:val="44380727"/>
    <w:multiLevelType w:val="hybridMultilevel"/>
    <w:lvl w:ilvl="0">
      <w:lvlJc w:val="left"/>
      <w:lvlText w:val="(%1)"/>
      <w:numFmt w:val="lowerLetter"/>
      <w:start w:val="4"/>
    </w:lvl>
  </w:abstractNum>
  <w:abstractNum w:abstractNumId="44">
    <w:nsid w:val="6C053B16"/>
    <w:multiLevelType w:val="hybridMultilevel"/>
    <w:lvl w:ilvl="0">
      <w:lvlJc w:val="left"/>
      <w:lvlText w:val="(%1)"/>
      <w:numFmt w:val="lowerLetter"/>
      <w:start w:val="8"/>
    </w:lvl>
  </w:abstractNum>
  <w:abstractNum w:abstractNumId="45">
    <w:nsid w:val="4F294393"/>
    <w:multiLevelType w:val="hybridMultilevel"/>
    <w:lvl w:ilvl="0">
      <w:lvlJc w:val="left"/>
      <w:lvlText w:val="●"/>
      <w:numFmt w:val="bullet"/>
      <w:start w:val="1"/>
    </w:lvl>
  </w:abstractNum>
  <w:abstractNum w:abstractNumId="46">
    <w:nsid w:val="5243BFAC"/>
    <w:multiLevelType w:val="hybridMultilevel"/>
    <w:lvl w:ilvl="0">
      <w:lvlJc w:val="left"/>
      <w:lvlText w:val="%1."/>
      <w:numFmt w:val="decimal"/>
      <w:start w:val="1"/>
    </w:lvl>
    <w:lvl w:ilvl="1">
      <w:lvlJc w:val="left"/>
      <w:lvlText w:val="(%2)"/>
      <w:numFmt w:val="lowerLetter"/>
      <w:start w:val="1"/>
    </w:lvl>
  </w:abstractNum>
  <w:abstractNum w:abstractNumId="47">
    <w:nsid w:val="425EB207"/>
    <w:multiLevelType w:val="hybridMultilevel"/>
    <w:lvl w:ilvl="0">
      <w:lvlJc w:val="left"/>
      <w:lvlText w:val="%1."/>
      <w:numFmt w:val="decimal"/>
      <w:start w:val="3"/>
    </w:lvl>
    <w:lvl w:ilvl="1">
      <w:lvlJc w:val="left"/>
      <w:lvlText w:val="(%2)"/>
      <w:numFmt w:val="lowerLetter"/>
      <w:start w:val="1"/>
    </w:lvl>
  </w:abstractNum>
  <w:abstractNum w:abstractNumId="48">
    <w:nsid w:val="334A6F1F"/>
    <w:multiLevelType w:val="hybridMultilevel"/>
    <w:lvl w:ilvl="0">
      <w:lvlJc w:val="left"/>
      <w:lvlText w:val="(%1)"/>
      <w:numFmt w:val="lowerLetter"/>
      <w:start w:val="2"/>
    </w:lvl>
  </w:abstractNum>
  <w:abstractNum w:abstractNumId="49">
    <w:nsid w:val="2E5B12B8"/>
    <w:multiLevelType w:val="hybridMultilevel"/>
    <w:lvl w:ilvl="0">
      <w:lvlJc w:val="left"/>
      <w:lvlText w:val="(%1)"/>
      <w:numFmt w:val="lowerLetter"/>
      <w:start w:val="3"/>
    </w:lvl>
  </w:abstractNum>
  <w:abstractNum w:abstractNumId="50">
    <w:nsid w:val="5C03D76D"/>
    <w:multiLevelType w:val="hybridMultilevel"/>
    <w:lvl w:ilvl="0">
      <w:lvlJc w:val="left"/>
      <w:lvlText w:val="(%1)"/>
      <w:numFmt w:val="lowerLetter"/>
      <w:start w:val="4"/>
    </w:lvl>
  </w:abstractNum>
  <w:abstractNum w:abstractNumId="51">
    <w:nsid w:val="66A48D11"/>
    <w:multiLevelType w:val="hybridMultilevel"/>
    <w:lvl w:ilvl="0">
      <w:lvlJc w:val="left"/>
      <w:lvlText w:val="(%1)"/>
      <w:numFmt w:val="lowerLetter"/>
      <w:start w:val="1"/>
    </w:lvl>
  </w:abstractNum>
  <w:abstractNum w:abstractNumId="52">
    <w:nsid w:val="56C28E34"/>
    <w:multiLevelType w:val="hybridMultilevel"/>
    <w:lvl w:ilvl="0">
      <w:lvlJc w:val="left"/>
      <w:lvlText w:val="%1."/>
      <w:numFmt w:val="decimal"/>
      <w:start w:val="1"/>
    </w:lvl>
  </w:abstractNum>
  <w:abstractNum w:abstractNumId="53">
    <w:nsid w:val="13916F2D"/>
    <w:multiLevelType w:val="hybridMultilevel"/>
    <w:lvl w:ilvl="0">
      <w:lvlJc w:val="left"/>
      <w:lvlText w:val="%1"/>
      <w:numFmt w:val="lowerLetter"/>
      <w:start w:val="1"/>
    </w:lvl>
    <w:lvl w:ilvl="1">
      <w:lvlJc w:val="left"/>
      <w:lvlText w:val="(%2)"/>
      <w:numFmt w:val="lowerLetter"/>
      <w:start w:val="1"/>
    </w:lvl>
  </w:abstractNum>
  <w:abstractNum w:abstractNumId="54">
    <w:nsid w:val="435D38D"/>
    <w:multiLevelType w:val="hybridMultilevel"/>
    <w:lvl w:ilvl="0">
      <w:lvlJc w:val="left"/>
      <w:lvlText w:val="(%1)"/>
      <w:numFmt w:val="lowerLetter"/>
      <w:start w:val="9"/>
    </w:lvl>
    <w:lvl w:ilvl="1">
      <w:lvlJc w:val="left"/>
      <w:lvlText w:val="%2"/>
      <w:numFmt w:val="lowerLetter"/>
      <w:start w:val="1"/>
    </w:lvl>
  </w:abstractNum>
  <w:abstractNum w:abstractNumId="55">
    <w:nsid w:val="822C0EF"/>
    <w:multiLevelType w:val="hybridMultilevel"/>
    <w:lvl w:ilvl="0">
      <w:lvlJc w:val="left"/>
      <w:lvlText w:val="%1."/>
      <w:numFmt w:val="decimal"/>
      <w:start w:val="3"/>
    </w:lvl>
  </w:abstractNum>
  <w:abstractNum w:abstractNumId="56">
    <w:nsid w:val="57C5BB4F"/>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57">
    <w:nsid w:val="1803D08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6"/>
    </w:lvl>
  </w:abstractNum>
  <w:abstractNum w:abstractNumId="58">
    <w:nsid w:val="4F3A06D4"/>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59">
    <w:nsid w:val="59A377B6"/>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60">
    <w:nsid w:val="48AEB063"/>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0"/>
    </w:lvl>
  </w:abstractNum>
  <w:abstractNum w:abstractNumId="61">
    <w:nsid w:val="24E135"/>
    <w:multiLevelType w:val="hybridMultilevel"/>
    <w:lvl w:ilvl="0">
      <w:lvlJc w:val="left"/>
      <w:lvlText w:val="%1"/>
      <w:numFmt w:val="lowerLetter"/>
      <w:start w:val="1"/>
    </w:lvl>
    <w:lvl w:ilvl="1">
      <w:lvlJc w:val="left"/>
      <w:lvlText w:val="%2."/>
      <w:numFmt w:val="decimal"/>
      <w:start w:val="9"/>
    </w:lvl>
    <w:lvl w:ilvl="2">
      <w:lvlJc w:val="left"/>
      <w:lvlText w:val="(%3)"/>
      <w:numFmt w:val="lowerLetter"/>
      <w:start w:val="1"/>
    </w:lvl>
  </w:abstractNum>
  <w:abstractNum w:abstractNumId="62">
    <w:nsid w:val="BB13C1"/>
    <w:multiLevelType w:val="hybridMultilevel"/>
    <w:lvl w:ilvl="0">
      <w:lvlJc w:val="left"/>
      <w:lvlText w:val="(%1)"/>
      <w:numFmt w:val="lowerLetter"/>
      <w:start w:val="35"/>
    </w:lvl>
    <w:lvl w:ilvl="1">
      <w:lvlJc w:val="left"/>
      <w:lvlText w:val="%2."/>
      <w:numFmt w:val="decimal"/>
      <w:start w:val="10"/>
    </w:lvl>
    <w:lvl w:ilvl="2">
      <w:lvlJc w:val="left"/>
      <w:lvlText w:val="(%3)"/>
      <w:numFmt w:val="lowerLetter"/>
      <w:start w:val="2"/>
    </w:lvl>
  </w:abstractNum>
  <w:abstractNum w:abstractNumId="63">
    <w:nsid w:val="271210C7"/>
    <w:multiLevelType w:val="hybridMultilevel"/>
    <w:lvl w:ilvl="0">
      <w:lvlJc w:val="left"/>
      <w:lvlText w:val="%1."/>
      <w:numFmt w:val="decimal"/>
      <w:start w:val="12"/>
    </w:lvl>
  </w:abstractNum>
  <w:abstractNum w:abstractNumId="64">
    <w:nsid w:val="217B22E4"/>
    <w:multiLevelType w:val="hybridMultilevel"/>
    <w:lvl w:ilvl="0">
      <w:lvlJc w:val="left"/>
      <w:lvlText w:val="%1."/>
      <w:numFmt w:val="decimal"/>
      <w:start w:val="14"/>
    </w:lvl>
  </w:abstractNum>
  <w:abstractNum w:abstractNumId="65">
    <w:nsid w:val="53E31A24"/>
    <w:multiLevelType w:val="hybridMultilevel"/>
    <w:lvl w:ilvl="0">
      <w:lvlJc w:val="left"/>
      <w:lvlText w:val="%1."/>
      <w:numFmt w:val="decimal"/>
      <w:start w:val="1"/>
    </w:lvl>
  </w:abstractNum>
  <w:abstractNum w:abstractNumId="66">
    <w:nsid w:val="6DC45E83"/>
    <w:multiLevelType w:val="hybridMultilevel"/>
    <w:lvl w:ilvl="0">
      <w:lvlJc w:val="left"/>
      <w:lvlText w:val="(%1)"/>
      <w:numFmt w:val="lowerRoman"/>
      <w:start w:val="3"/>
    </w:lvl>
  </w:abstractNum>
  <w:abstractNum w:abstractNumId="67">
    <w:nsid w:val="17304A67"/>
    <w:multiLevelType w:val="hybridMultilevel"/>
    <w:lvl w:ilvl="0">
      <w:lvlJc w:val="left"/>
      <w:lvlText w:val="(%1)"/>
      <w:numFmt w:val="lowerLetter"/>
      <w:start w:val="3"/>
    </w:lvl>
  </w:abstractNum>
  <w:abstractNum w:abstractNumId="68">
    <w:nsid w:val="2BB180D8"/>
    <w:multiLevelType w:val="hybridMultilevel"/>
    <w:lvl w:ilvl="0">
      <w:lvlJc w:val="left"/>
      <w:lvlText w:val="(%1)"/>
      <w:numFmt w:val="lowerRoman"/>
      <w:start w:val="1"/>
    </w:lvl>
  </w:abstractNum>
  <w:abstractNum w:abstractNumId="69">
    <w:nsid w:val="556B69ED"/>
    <w:multiLevelType w:val="hybridMultilevel"/>
    <w:lvl w:ilvl="0">
      <w:lvlJc w:val="left"/>
      <w:lvlText w:val="(%1)"/>
      <w:numFmt w:val="lowerRoman"/>
      <w:start w:val="2"/>
    </w:lvl>
  </w:abstractNum>
  <w:abstractNum w:abstractNumId="70">
    <w:nsid w:val="70836196"/>
    <w:multiLevelType w:val="hybridMultilevel"/>
    <w:lvl w:ilvl="0">
      <w:lvlJc w:val="left"/>
      <w:lvlText w:val="(%1)"/>
      <w:numFmt w:val="lowerLetter"/>
      <w:start w:val="1"/>
    </w:lvl>
  </w:abstractNum>
  <w:abstractNum w:abstractNumId="71">
    <w:nsid w:val="539F7F12"/>
    <w:multiLevelType w:val="hybridMultilevel"/>
    <w:lvl w:ilvl="0">
      <w:lvlJc w:val="left"/>
      <w:lvlText w:val="(%1)"/>
      <w:numFmt w:val="lowerLetter"/>
      <w:start w:val="3"/>
    </w:lvl>
  </w:abstractNum>
  <w:abstractNum w:abstractNumId="72">
    <w:nsid w:val="2817E7EC"/>
    <w:multiLevelType w:val="hybridMultilevel"/>
    <w:lvl w:ilvl="0">
      <w:lvlJc w:val="left"/>
      <w:lvlText w:val="(%1)"/>
      <w:numFmt w:val="lowerLetter"/>
      <w:start w:val="14"/>
    </w:lvl>
  </w:abstractNum>
  <w:abstractNum w:abstractNumId="73">
    <w:nsid w:val="71482545"/>
    <w:multiLevelType w:val="hybridMultilevel"/>
    <w:lvl w:ilvl="0">
      <w:lvlJc w:val="left"/>
      <w:lvlText w:val="(%1)"/>
      <w:numFmt w:val="lowerLetter"/>
      <w:start w:val="1"/>
    </w:lvl>
  </w:abstractNum>
  <w:abstractNum w:abstractNumId="74">
    <w:nsid w:val="17D78639"/>
    <w:multiLevelType w:val="hybridMultilevel"/>
    <w:lvl w:ilvl="0">
      <w:lvlJc w:val="left"/>
      <w:lvlText w:val="(%1)"/>
      <w:numFmt w:val="lowerLetter"/>
      <w:start w:val="7"/>
    </w:lvl>
  </w:abstractNum>
  <w:abstractNum w:abstractNumId="75">
    <w:nsid w:val="141D2302"/>
    <w:multiLevelType w:val="hybridMultilevel"/>
    <w:lvl w:ilvl="0">
      <w:lvlJc w:val="left"/>
      <w:lvlText w:val="(%1)"/>
      <w:numFmt w:val="lowerLetter"/>
      <w:start w:val="1"/>
    </w:lvl>
  </w:abstractNum>
  <w:abstractNum w:abstractNumId="76">
    <w:nsid w:val="407168D8"/>
    <w:multiLevelType w:val="hybridMultilevel"/>
    <w:lvl w:ilvl="0">
      <w:lvlJc w:val="left"/>
      <w:lvlText w:val="(%1)"/>
      <w:numFmt w:val="lowerLetter"/>
      <w:start w:val="5"/>
    </w:lvl>
  </w:abstractNum>
  <w:abstractNum w:abstractNumId="77">
    <w:nsid w:val="6A1B45E5"/>
    <w:multiLevelType w:val="hybridMultilevel"/>
    <w:lvl w:ilvl="0">
      <w:lvlJc w:val="left"/>
      <w:lvlText w:val="(%1)"/>
      <w:numFmt w:val="lowerLetter"/>
      <w:start w:val="1"/>
    </w:lvl>
    <w:lvl w:ilvl="1">
      <w:lvlJc w:val="left"/>
      <w:lvlText w:val="(%2)"/>
      <w:numFmt w:val="lowerRoman"/>
      <w:start w:val="1"/>
    </w:lvl>
  </w:abstractNum>
  <w:abstractNum w:abstractNumId="78">
    <w:nsid w:val="567BD50A"/>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abstractNum>
  <w:abstractNum w:abstractNumId="79">
    <w:nsid w:val="73BBD7F8"/>
    <w:multiLevelType w:val="hybridMultilevel"/>
    <w:lvl w:ilvl="0">
      <w:lvlJc w:val="left"/>
      <w:lvlText w:val="%1"/>
      <w:numFmt w:val="lowerLetter"/>
      <w:start w:val="1"/>
    </w:lvl>
    <w:lvl w:ilvl="1">
      <w:lvlJc w:val="left"/>
      <w:lvlText w:val="(%2)"/>
      <w:numFmt w:val="lowerLetter"/>
      <w:start w:val="4"/>
    </w:lvl>
    <w:lvl w:ilvl="2">
      <w:lvlJc w:val="left"/>
      <w:lvlText w:val="%3"/>
      <w:numFmt w:val="lowerLetter"/>
      <w:start w:val="1"/>
    </w:lvl>
  </w:abstractNum>
  <w:abstractNum w:abstractNumId="80">
    <w:nsid w:val="1876589D"/>
    <w:multiLevelType w:val="hybridMultilevel"/>
    <w:lvl w:ilvl="0">
      <w:lvlJc w:val="left"/>
      <w:lvlText w:val="(%1)"/>
      <w:numFmt w:val="lowerLetter"/>
      <w:start w:val="4"/>
    </w:lvl>
    <w:lvl w:ilvl="1">
      <w:lvlJc w:val="left"/>
      <w:lvlText w:val="%2"/>
      <w:numFmt w:val="lowerLetter"/>
      <w:start w:val="1"/>
    </w:lvl>
    <w:lvl w:ilvl="2">
      <w:lvlJc w:val="left"/>
      <w:lvlText w:val="%3"/>
      <w:numFmt w:val="lowerLetter"/>
      <w:start w:val="1"/>
    </w:lvl>
  </w:abstractNum>
  <w:abstractNum w:abstractNumId="81">
    <w:nsid w:val="327FAC77"/>
    <w:multiLevelType w:val="hybridMultilevel"/>
    <w:lvl w:ilvl="0">
      <w:lvlJc w:val="left"/>
      <w:lvlText w:val="(%1)"/>
      <w:numFmt w:val="lowerLetter"/>
      <w:start w:val="1"/>
    </w:lvl>
    <w:lvl w:ilvl="1">
      <w:lvlJc w:val="left"/>
      <w:lvlText w:val="(%2)"/>
      <w:numFmt w:val="lowerRoman"/>
      <w:start w:val="1"/>
    </w:lvl>
  </w:abstractNum>
  <w:abstractNum w:abstractNumId="82">
    <w:nsid w:val="5A606509"/>
    <w:multiLevelType w:val="hybridMultilevel"/>
    <w:lvl w:ilvl="0">
      <w:lvlJc w:val="left"/>
      <w:lvlText w:val="(%1)"/>
      <w:numFmt w:val="lowerLetter"/>
      <w:start w:val="3"/>
    </w:lvl>
  </w:abstractNum>
  <w:abstractNum w:abstractNumId="83">
    <w:nsid w:val="6F38E6D1"/>
    <w:multiLevelType w:val="hybridMultilevel"/>
    <w:lvl w:ilvl="0">
      <w:lvlJc w:val="left"/>
      <w:lvlText w:val="(%1)"/>
      <w:numFmt w:val="lowerLetter"/>
      <w:start w:val="1"/>
    </w:lvl>
  </w:abstractNum>
  <w:abstractNum w:abstractNumId="84">
    <w:nsid w:val="46111BA5"/>
    <w:multiLevelType w:val="hybridMultilevel"/>
    <w:lvl w:ilvl="0">
      <w:lvlJc w:val="left"/>
      <w:lvlText w:val="(%1)"/>
      <w:numFmt w:val="lowerLetter"/>
      <w:start w:val="1"/>
    </w:lvl>
  </w:abstractNum>
  <w:abstractNum w:abstractNumId="85">
    <w:nsid w:val="5E963896"/>
    <w:multiLevelType w:val="hybridMultilevel"/>
    <w:lvl w:ilvl="0">
      <w:lvlJc w:val="left"/>
      <w:lvlText w:val="(%1)"/>
      <w:numFmt w:val="lowerLetter"/>
      <w:start w:val="5"/>
    </w:lvl>
  </w:abstractNum>
  <w:abstractNum w:abstractNumId="86">
    <w:nsid w:val="775BA7C1"/>
    <w:multiLevelType w:val="hybridMultilevel"/>
    <w:lvl w:ilvl="0">
      <w:lvlJc w:val="left"/>
      <w:lvlText w:val="(%1)"/>
      <w:numFmt w:val="lowerLetter"/>
      <w:start w:val="1"/>
    </w:lvl>
  </w:abstractNum>
  <w:abstractNum w:abstractNumId="87">
    <w:nsid w:val="1DD6D6F4"/>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88">
    <w:nsid w:val="769A091F"/>
    <w:multiLevelType w:val="hybridMultilevel"/>
    <w:lvl w:ilvl="0">
      <w:lvlJc w:val="left"/>
      <w:lvlText w:val="(%1)"/>
      <w:numFmt w:val="upperLetter"/>
      <w:start w:val="2"/>
    </w:lvl>
    <w:lvl w:ilvl="1">
      <w:lvlJc w:val="left"/>
      <w:lvlText w:val="(%2)"/>
      <w:numFmt w:val="decimal"/>
      <w:start w:val="1"/>
    </w:lvl>
  </w:abstractNum>
  <w:abstractNum w:abstractNumId="89">
    <w:nsid w:val="4695AE95"/>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4"/>
    </w:lvl>
  </w:abstractNum>
  <w:abstractNum w:abstractNumId="90">
    <w:nsid w:val="777A4EAA"/>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91">
    <w:nsid w:val="3F48B982"/>
    <w:multiLevelType w:val="hybridMultilevel"/>
    <w:lvl w:ilvl="0">
      <w:lvlJc w:val="left"/>
      <w:lvlText w:val="(%1)"/>
      <w:numFmt w:val="lowerLetter"/>
      <w:start w:val="8"/>
    </w:lvl>
    <w:lvl w:ilvl="1">
      <w:lvlJc w:val="left"/>
      <w:lvlText w:val="%2"/>
      <w:numFmt w:val="lowerLetter"/>
      <w:start w:val="1"/>
    </w:lvl>
    <w:lvl w:ilvl="2">
      <w:lvlJc w:val="left"/>
      <w:lvlText w:val="%3"/>
      <w:numFmt w:val="upperLetter"/>
      <w:start w:val="1"/>
    </w:lvl>
  </w:abstractNum>
  <w:abstractNum w:abstractNumId="92">
    <w:nsid w:val="46BA8FCA"/>
    <w:multiLevelType w:val="hybridMultilevel"/>
    <w:lvl w:ilvl="0">
      <w:lvlJc w:val="left"/>
      <w:lvlText w:val="(%1)"/>
      <w:numFmt w:val="lowerLetter"/>
      <w:start w:val="1"/>
    </w:lvl>
  </w:abstractNum>
  <w:abstractNum w:abstractNumId="93">
    <w:nsid w:val="7835626C"/>
    <w:multiLevelType w:val="hybridMultilevel"/>
    <w:lvl w:ilvl="0">
      <w:lvlJc w:val="left"/>
      <w:lvlText w:val="(%1)"/>
      <w:numFmt w:val="lowerLetter"/>
      <w:start w:val="1"/>
    </w:lvl>
    <w:lvl w:ilvl="1">
      <w:lvlJc w:val="left"/>
      <w:lvlText w:val="(%2)"/>
      <w:numFmt w:val="lowerRoman"/>
      <w:start w:val="1"/>
    </w:lvl>
  </w:abstractNum>
  <w:abstractNum w:abstractNumId="94">
    <w:nsid w:val="665ACA49"/>
    <w:multiLevelType w:val="hybridMultilevel"/>
    <w:lvl w:ilvl="0">
      <w:lvlJc w:val="left"/>
      <w:lvlText w:val="(%1)"/>
      <w:numFmt w:val="lowerLetter"/>
      <w:start w:val="2"/>
    </w:lvl>
  </w:abstractNum>
  <w:abstractNum w:abstractNumId="95">
    <w:nsid w:val="6835B2AE"/>
    <w:multiLevelType w:val="hybridMultilevel"/>
    <w:lvl w:ilvl="0">
      <w:lvlJc w:val="left"/>
      <w:lvlText w:val="(%1)"/>
      <w:numFmt w:val="lowerLetter"/>
      <w:start w:val="1"/>
    </w:lvl>
  </w:abstractNum>
  <w:abstractNum w:abstractNumId="96">
    <w:nsid w:val="4C187C90"/>
    <w:multiLevelType w:val="hybridMultilevel"/>
    <w:lvl w:ilvl="0">
      <w:lvlJc w:val="left"/>
      <w:lvlText w:val="(%1)"/>
      <w:numFmt w:val="lowerLetter"/>
      <w:start w:val="1"/>
    </w:lvl>
    <w:lvl w:ilvl="1">
      <w:lvlJc w:val="left"/>
      <w:lvlText w:val="(%2)"/>
      <w:numFmt w:val="lowerRoman"/>
      <w:start w:val="1"/>
    </w:lvl>
  </w:abstractNum>
  <w:abstractNum w:abstractNumId="97">
    <w:nsid w:val="541F28CD"/>
    <w:multiLevelType w:val="hybridMultilevel"/>
    <w:lvl w:ilvl="0">
      <w:lvlJc w:val="left"/>
      <w:lvlText w:val="%1"/>
      <w:numFmt w:val="lowerLetter"/>
      <w:start w:val="1"/>
    </w:lvl>
    <w:lvl w:ilvl="1">
      <w:lvlJc w:val="left"/>
      <w:lvlText w:val="(%2)"/>
      <w:numFmt w:val="lowerLetter"/>
      <w:start w:val="4"/>
    </w:lvl>
    <w:lvl w:ilvl="2">
      <w:lvlJc w:val="left"/>
      <w:lvlText w:val="%3"/>
      <w:numFmt w:val="lowerRoman"/>
      <w:start w:val="1"/>
    </w:lvl>
  </w:abstractNum>
  <w:abstractNum w:abstractNumId="98">
    <w:nsid w:val="7F65FD16"/>
    <w:multiLevelType w:val="hybridMultilevel"/>
    <w:lvl w:ilvl="0">
      <w:lvlJc w:val="left"/>
      <w:lvlText w:val="(%1)"/>
      <w:numFmt w:val="lowerLetter"/>
      <w:start w:val="26"/>
    </w:lvl>
    <w:lvl w:ilvl="1">
      <w:lvlJc w:val="left"/>
      <w:lvlText w:val="(%2)"/>
      <w:numFmt w:val="lowerLetter"/>
      <w:start w:val="5"/>
    </w:lvl>
    <w:lvl w:ilvl="2">
      <w:lvlJc w:val="left"/>
      <w:lvlText w:val="(%3)"/>
      <w:numFmt w:val="lowerRoman"/>
      <w:start w:val="1"/>
    </w:lvl>
  </w:abstractNum>
  <w:abstractNum w:abstractNumId="99">
    <w:nsid w:val="77C9FD68"/>
    <w:multiLevelType w:val="hybridMultilevel"/>
    <w:lvl w:ilvl="0">
      <w:lvlJc w:val="left"/>
      <w:lvlText w:val="%1"/>
      <w:numFmt w:val="lowerLetter"/>
      <w:start w:val="1"/>
    </w:lvl>
    <w:lvl w:ilvl="1">
      <w:lvlJc w:val="left"/>
      <w:lvlText w:val="(%2)"/>
      <w:numFmt w:val="lowerLetter"/>
      <w:start w:val="22"/>
    </w:lvl>
  </w:abstractNum>
  <w:abstractNum w:abstractNumId="100">
    <w:nsid w:val="298A92BA"/>
    <w:multiLevelType w:val="hybridMultilevel"/>
    <w:lvl w:ilvl="0">
      <w:lvlJc w:val="left"/>
      <w:lvlText w:val="(%1)"/>
      <w:numFmt w:val="lowerLetter"/>
      <w:start w:val="8"/>
    </w:lvl>
    <w:lvl w:ilvl="1">
      <w:lvlJc w:val="left"/>
      <w:lvlText w:val="(%2)"/>
      <w:numFmt w:val="lowerLetter"/>
      <w:start w:val="9"/>
    </w:lvl>
  </w:abstractNum>
  <w:abstractNum w:abstractNumId="101">
    <w:nsid w:val="6FE95EAC"/>
    <w:multiLevelType w:val="hybridMultilevel"/>
    <w:lvl w:ilvl="0">
      <w:lvlJc w:val="left"/>
      <w:lvlText w:val="%1"/>
      <w:numFmt w:val="lowerLetter"/>
      <w:start w:val="1"/>
    </w:lvl>
    <w:lvl w:ilvl="1">
      <w:lvlJc w:val="left"/>
      <w:lvlText w:val="(%2)"/>
      <w:numFmt w:val="lowerLetter"/>
      <w:start w:val="35"/>
    </w:lvl>
  </w:abstractNum>
  <w:abstractNum w:abstractNumId="102">
    <w:nsid w:val="4B697C7A"/>
    <w:multiLevelType w:val="hybridMultilevel"/>
    <w:lvl w:ilvl="0">
      <w:lvlJc w:val="left"/>
      <w:lvlText w:val="(%1)"/>
      <w:numFmt w:val="lowerLetter"/>
      <w:start w:val="13"/>
    </w:lvl>
    <w:lvl w:ilvl="1">
      <w:lvlJc w:val="left"/>
      <w:lvlText w:val="%2"/>
      <w:numFmt w:val="lowerLetter"/>
      <w:start w:val="1"/>
    </w:lvl>
  </w:abstractNum>
  <w:abstractNum w:abstractNumId="103">
    <w:nsid w:val="51A27AA6"/>
    <w:multiLevelType w:val="hybridMultilevel"/>
    <w:lvl w:ilvl="0">
      <w:lvlJc w:val="left"/>
      <w:lvlText w:val="(%1)"/>
      <w:numFmt w:val="lowerLetter"/>
      <w:start w:val="14"/>
    </w:lvl>
  </w:abstractNum>
  <w:abstractNum w:abstractNumId="104">
    <w:nsid w:val="613183F2"/>
    <w:multiLevelType w:val="hybridMultilevel"/>
    <w:lvl w:ilvl="0">
      <w:lvlJc w:val="left"/>
      <w:lvlText w:val="(%1)"/>
      <w:numFmt w:val="lowerLetter"/>
      <w:start w:val="24"/>
    </w:lvl>
  </w:abstractNum>
  <w:abstractNum w:abstractNumId="105">
    <w:nsid w:val="634102B4"/>
    <w:multiLevelType w:val="hybridMultilevel"/>
    <w:lvl w:ilvl="0">
      <w:lvlJc w:val="left"/>
      <w:lvlText w:val="(%1)"/>
      <w:numFmt w:val="lowerLetter"/>
      <w:start w:val="1"/>
    </w:lvl>
  </w:abstractNum>
  <w:abstractNum w:abstractNumId="106">
    <w:nsid w:val="65BF9DA8"/>
    <w:multiLevelType w:val="hybridMultilevel"/>
    <w:lvl w:ilvl="0">
      <w:lvlJc w:val="left"/>
      <w:lvlText w:val="(%1)"/>
      <w:numFmt w:val="lowerLetter"/>
      <w:start w:val="2"/>
    </w:lvl>
  </w:abstractNum>
  <w:abstractNum w:abstractNumId="107">
    <w:nsid w:val="21A2ECCA"/>
    <w:multiLevelType w:val="hybridMultilevel"/>
    <w:lvl w:ilvl="0">
      <w:lvlJc w:val="left"/>
      <w:lvlText w:val="(%1)"/>
      <w:numFmt w:val="lowerLetter"/>
      <w:start w:val="6"/>
    </w:lvl>
  </w:abstractNum>
  <w:abstractNum w:abstractNumId="108">
    <w:nsid w:val="4D5C4899"/>
    <w:multiLevelType w:val="hybridMultilevel"/>
    <w:lvl w:ilvl="0">
      <w:lvlJc w:val="left"/>
      <w:lvlText w:val="(%1)"/>
      <w:numFmt w:val="lowerLetter"/>
      <w:start w:val="1"/>
    </w:lvl>
  </w:abstractNum>
  <w:abstractNum w:abstractNumId="109">
    <w:nsid w:val="3C3B72B2"/>
    <w:multiLevelType w:val="hybridMultilevel"/>
    <w:lvl w:ilvl="0">
      <w:lvlJc w:val="left"/>
      <w:lvlText w:val="(%1)"/>
      <w:numFmt w:val="lowerLetter"/>
      <w:start w:val="5"/>
    </w:lvl>
  </w:abstractNum>
  <w:abstractNum w:abstractNumId="110">
    <w:nsid w:val="155EC4C2"/>
    <w:multiLevelType w:val="hybridMultilevel"/>
    <w:lvl w:ilvl="0">
      <w:lvlJc w:val="left"/>
      <w:lvlText w:val="(%1)"/>
      <w:numFmt w:val="lowerLetter"/>
      <w:start w:val="1"/>
    </w:lvl>
  </w:abstractNum>
  <w:abstractNum w:abstractNumId="111">
    <w:nsid w:val="65D2A137"/>
    <w:multiLevelType w:val="hybridMultilevel"/>
    <w:lvl w:ilvl="0">
      <w:lvlJc w:val="left"/>
      <w:lvlText w:val="(%1)"/>
      <w:numFmt w:val="lowerLetter"/>
      <w:start w:val="1"/>
    </w:lvl>
  </w:abstractNum>
  <w:abstractNum w:abstractNumId="112">
    <w:nsid w:val="6EBB1F2A"/>
    <w:multiLevelType w:val="hybridMultilevel"/>
    <w:lvl w:ilvl="0">
      <w:lvlJc w:val="left"/>
      <w:lvlText w:val="(%1)"/>
      <w:numFmt w:val="lowerLetter"/>
      <w:start w:val="1"/>
    </w:lvl>
  </w:abstractNum>
  <w:abstractNum w:abstractNumId="113">
    <w:nsid w:val="6FBF29CB"/>
    <w:multiLevelType w:val="hybridMultilevel"/>
    <w:lvl w:ilvl="0">
      <w:lvlJc w:val="left"/>
      <w:lvlText w:val="(%1)"/>
      <w:numFmt w:val="lowerLetter"/>
      <w:start w:val="7"/>
    </w:lvl>
  </w:abstractNum>
  <w:abstractNum w:abstractNumId="114">
    <w:nsid w:val="550B8808"/>
    <w:multiLevelType w:val="hybridMultilevel"/>
    <w:lvl w:ilvl="0">
      <w:lvlJc w:val="left"/>
      <w:lvlText w:val="(%1)"/>
      <w:numFmt w:val="lowerLetter"/>
      <w:start w:val="1"/>
    </w:lvl>
    <w:lvl w:ilvl="1">
      <w:lvlJc w:val="left"/>
      <w:lvlText w:val="(%2)"/>
      <w:numFmt w:val="lowerRoman"/>
      <w:start w:val="1"/>
    </w:lvl>
  </w:abstractNum>
  <w:abstractNum w:abstractNumId="115">
    <w:nsid w:val="34CC3ACF"/>
    <w:multiLevelType w:val="hybridMultilevel"/>
    <w:lvl w:ilvl="0">
      <w:lvlJc w:val="left"/>
      <w:lvlText w:val="(%1)"/>
      <w:numFmt w:val="lowerLetter"/>
      <w:start w:val="1"/>
    </w:lvl>
  </w:abstractNum>
  <w:abstractNum w:abstractNumId="116">
    <w:nsid w:val="4E556261"/>
    <w:multiLevelType w:val="hybridMultilevel"/>
    <w:lvl w:ilvl="0">
      <w:lvlJc w:val="left"/>
      <w:lvlText w:val="(%1)"/>
      <w:numFmt w:val="lowerLetter"/>
      <w:start w:val="4"/>
    </w:lvl>
    <w:lvl w:ilvl="1">
      <w:lvlJc w:val="left"/>
      <w:lvlText w:val="(%2)"/>
      <w:numFmt w:val="lowerRoman"/>
      <w:start w:val="1"/>
    </w:lvl>
  </w:abstractNum>
  <w:abstractNum w:abstractNumId="117">
    <w:nsid w:val="4C672FC9"/>
    <w:multiLevelType w:val="hybridMultilevel"/>
    <w:lvl w:ilvl="0">
      <w:lvlJc w:val="left"/>
      <w:lvlText w:val="(%1)"/>
      <w:numFmt w:val="lowerLetter"/>
      <w:start w:val="1"/>
    </w:lvl>
  </w:abstractNum>
  <w:abstractNum w:abstractNumId="118">
    <w:nsid w:val="52A311C3"/>
    <w:multiLevelType w:val="hybridMultilevel"/>
    <w:lvl w:ilvl="0">
      <w:lvlJc w:val="left"/>
      <w:lvlText w:val="(%1)"/>
      <w:numFmt w:val="lowerLetter"/>
      <w:start w:val="4"/>
    </w:lvl>
  </w:abstractNum>
  <w:abstractNum w:abstractNumId="119">
    <w:nsid w:val="44EF6B80"/>
    <w:multiLevelType w:val="hybridMultilevel"/>
    <w:lvl w:ilvl="0">
      <w:lvlJc w:val="left"/>
      <w:lvlText w:val="(%1)"/>
      <w:numFmt w:val="lowerLetter"/>
      <w:start w:val="1"/>
    </w:lvl>
  </w:abstractNum>
  <w:abstractNum w:abstractNumId="120">
    <w:nsid w:val="12FCDE5E"/>
    <w:multiLevelType w:val="hybridMultilevel"/>
    <w:lvl w:ilvl="0">
      <w:lvlJc w:val="left"/>
      <w:lvlText w:val="(%1)"/>
      <w:numFmt w:val="lowerLetter"/>
      <w:start w:val="1"/>
    </w:lvl>
  </w:abstractNum>
  <w:abstractNum w:abstractNumId="121">
    <w:nsid w:val="4A1D606E"/>
    <w:multiLevelType w:val="hybridMultilevel"/>
    <w:lvl w:ilvl="0">
      <w:lvlJc w:val="left"/>
      <w:lvlText w:val="(%1)"/>
      <w:numFmt w:val="lowerLetter"/>
      <w:start w:val="4"/>
    </w:lvl>
  </w:abstractNum>
  <w:abstractNum w:abstractNumId="122">
    <w:nsid w:val="4382503"/>
    <w:multiLevelType w:val="hybridMultilevel"/>
    <w:lvl w:ilvl="0">
      <w:lvlJc w:val="left"/>
      <w:lvlText w:val="(%1)"/>
      <w:numFmt w:val="lowerLetter"/>
      <w:start w:val="3"/>
    </w:lvl>
    <w:lvl w:ilvl="1">
      <w:lvlJc w:val="left"/>
      <w:lvlText w:val="(%2)"/>
      <w:numFmt w:val="lowerLetter"/>
      <w:start w:val="1"/>
    </w:lvl>
  </w:abstractNum>
  <w:abstractNum w:abstractNumId="123">
    <w:nsid w:val="59B76E28"/>
    <w:multiLevelType w:val="hybridMultilevel"/>
    <w:lvl w:ilvl="0">
      <w:lvlJc w:val="left"/>
      <w:lvlText w:val="(%1)"/>
      <w:numFmt w:val="lowerLetter"/>
      <w:start w:val="2"/>
    </w:lvl>
  </w:abstractNum>
  <w:abstractNum w:abstractNumId="124">
    <w:nsid w:val="4252C2DA"/>
    <w:multiLevelType w:val="hybridMultilevel"/>
    <w:lvl w:ilvl="0">
      <w:lvlJc w:val="left"/>
      <w:lvlText w:val="(%1)"/>
      <w:numFmt w:val="lowerLetter"/>
      <w:start w:val="1"/>
    </w:lvl>
  </w:abstractNum>
  <w:abstractNum w:abstractNumId="125">
    <w:nsid w:val="6A92EF4C"/>
    <w:multiLevelType w:val="hybridMultilevel"/>
    <w:lvl w:ilvl="0">
      <w:lvlJc w:val="left"/>
      <w:lvlText w:val="(%1)"/>
      <w:numFmt w:val="lowerLetter"/>
      <w:start w:val="1"/>
    </w:lvl>
    <w:lvl w:ilvl="1">
      <w:lvlJc w:val="left"/>
      <w:lvlText w:val="(%2)"/>
      <w:numFmt w:val="lowerRoman"/>
      <w:start w:val="1"/>
    </w:lvl>
  </w:abstractNum>
  <w:abstractNum w:abstractNumId="126">
    <w:nsid w:val="41ED20D7"/>
    <w:multiLevelType w:val="hybridMultilevel"/>
    <w:lvl w:ilvl="0">
      <w:lvlJc w:val="left"/>
      <w:lvlText w:val="(%1)"/>
      <w:numFmt w:val="lowerLetter"/>
      <w:start w:val="1"/>
    </w:lvl>
  </w:abstractNum>
  <w:abstractNum w:abstractNumId="127">
    <w:nsid w:val="E6B3F6A"/>
    <w:multiLevelType w:val="hybridMultilevel"/>
    <w:lvl w:ilvl="0">
      <w:lvlJc w:val="left"/>
      <w:lvlText w:val="(%1)"/>
      <w:numFmt w:val="lowerLetter"/>
      <w:start w:val="2"/>
    </w:lvl>
  </w:abstractNum>
  <w:abstractNum w:abstractNumId="128">
    <w:nsid w:val="3EB21819"/>
    <w:multiLevelType w:val="hybridMultilevel"/>
    <w:lvl w:ilvl="0">
      <w:lvlJc w:val="left"/>
      <w:lvlText w:val="(%1)"/>
      <w:numFmt w:val="lowerLetter"/>
      <w:start w:val="1"/>
    </w:lvl>
  </w:abstractNum>
  <w:abstractNum w:abstractNumId="129">
    <w:nsid w:val="41531DED"/>
    <w:multiLevelType w:val="hybridMultilevel"/>
    <w:lvl w:ilvl="0">
      <w:lvlJc w:val="left"/>
      <w:lvlText w:val="%1"/>
      <w:numFmt w:val="decimal"/>
      <w:start w:val="1"/>
    </w:lvl>
    <w:lvl w:ilvl="1">
      <w:lvlJc w:val="left"/>
      <w:lvlText w:val="(%2)"/>
      <w:numFmt w:val="lowerLetter"/>
      <w:start w:val="1"/>
    </w:lvl>
  </w:abstractNum>
  <w:abstractNum w:abstractNumId="130">
    <w:nsid w:val="6353CD2"/>
    <w:multiLevelType w:val="hybridMultilevel"/>
    <w:lvl w:ilvl="0">
      <w:lvlJc w:val="left"/>
      <w:lvlText w:val="(%1)"/>
      <w:numFmt w:val="decimal"/>
      <w:start w:val="3"/>
    </w:lvl>
    <w:lvl w:ilvl="1">
      <w:lvlJc w:val="left"/>
      <w:lvlText w:val="(%2)"/>
      <w:numFmt w:val="lowerLetter"/>
      <w:start w:val="2"/>
    </w:lvl>
  </w:abstractNum>
  <w:abstractNum w:abstractNumId="131">
    <w:nsid w:val="683CAAD3"/>
    <w:multiLevelType w:val="hybridMultilevel"/>
    <w:lvl w:ilvl="0">
      <w:lvlJc w:val="left"/>
      <w:lvlText w:val="(%1)"/>
      <w:numFmt w:val="lowerLetter"/>
      <w:start w:val="4"/>
    </w:lvl>
  </w:abstractNum>
  <w:abstractNum w:abstractNumId="132">
    <w:nsid w:val="313C7C99"/>
    <w:multiLevelType w:val="hybridMultilevel"/>
    <w:lvl w:ilvl="0">
      <w:lvlJc w:val="left"/>
      <w:lvlText w:val="(%1)"/>
      <w:numFmt w:val="lowerLetter"/>
      <w:start w:val="6"/>
    </w:lvl>
  </w:abstractNum>
  <w:abstractNum w:abstractNumId="133">
    <w:nsid w:val="519EB94C"/>
    <w:multiLevelType w:val="hybridMultilevel"/>
    <w:lvl w:ilvl="0">
      <w:lvlJc w:val="left"/>
      <w:lvlText w:val="(%1)"/>
      <w:numFmt w:val="lowerLetter"/>
      <w:start w:val="11"/>
    </w:lvl>
  </w:abstractNum>
  <w:abstractNum w:abstractNumId="134">
    <w:nsid w:val="39DF2579"/>
    <w:multiLevelType w:val="hybridMultilevel"/>
    <w:lvl w:ilvl="0">
      <w:lvlJc w:val="left"/>
      <w:lvlText w:val="(%1)"/>
      <w:numFmt w:val="lowerLetter"/>
      <w:start w:val="1"/>
    </w:lvl>
  </w:abstractNum>
  <w:abstractNum w:abstractNumId="135">
    <w:nsid w:val="126E008B"/>
    <w:multiLevelType w:val="hybridMultilevel"/>
    <w:lvl w:ilvl="0">
      <w:lvlJc w:val="left"/>
      <w:lvlText w:val="(%1)"/>
      <w:numFmt w:val="lowerLetter"/>
      <w:start w:val="2"/>
    </w:lvl>
  </w:abstractNum>
  <w:abstractNum w:abstractNumId="136">
    <w:nsid w:val="34DFBC00"/>
    <w:multiLevelType w:val="hybridMultilevel"/>
    <w:lvl w:ilvl="0">
      <w:lvlJc w:val="left"/>
      <w:lvlText w:val="(%1)"/>
      <w:numFmt w:val="upperLetter"/>
      <w:start w:val="4"/>
    </w:lvl>
  </w:abstractNum>
  <w:abstractNum w:abstractNumId="137">
    <w:nsid w:val="1F9EC322"/>
    <w:multiLevelType w:val="hybridMultilevel"/>
    <w:lvl w:ilvl="0">
      <w:lvlJc w:val="left"/>
      <w:lvlText w:val="(%1)"/>
      <w:numFmt w:val="lowerLetter"/>
      <w:start w:val="2"/>
    </w:lvl>
  </w:abstractNum>
  <w:abstractNum w:abstractNumId="138">
    <w:nsid w:val="3410ED56"/>
    <w:multiLevelType w:val="hybridMultilevel"/>
    <w:lvl w:ilvl="0">
      <w:lvlJc w:val="left"/>
      <w:lvlText w:val="(%1)"/>
      <w:numFmt w:val="lowerLetter"/>
      <w:start w:val="1"/>
    </w:lvl>
    <w:lvl w:ilvl="1">
      <w:lvlJc w:val="left"/>
      <w:lvlText w:val="(%2)"/>
      <w:numFmt w:val="lowerRoman"/>
      <w:start w:val="1"/>
    </w:lvl>
  </w:abstractNum>
  <w:abstractNum w:abstractNumId="139">
    <w:nsid w:val="23C049A"/>
    <w:multiLevelType w:val="hybridMultilevel"/>
    <w:lvl w:ilvl="0">
      <w:lvlJc w:val="left"/>
      <w:lvlText w:val="%1"/>
      <w:numFmt w:val="lowerLetter"/>
      <w:start w:val="1"/>
    </w:lvl>
    <w:lvl w:ilvl="1">
      <w:lvlJc w:val="left"/>
      <w:lvlText w:val="(%2)"/>
      <w:numFmt w:val="lowerRoman"/>
      <w:start w:val="9"/>
    </w:lvl>
  </w:abstractNum>
  <w:abstractNum w:abstractNumId="140">
    <w:nsid w:val="5BDA35D4"/>
    <w:multiLevelType w:val="hybridMultilevel"/>
    <w:lvl w:ilvl="0">
      <w:lvlJc w:val="left"/>
      <w:lvlText w:val="(%1)"/>
      <w:numFmt w:val="lowerLetter"/>
      <w:start w:val="2"/>
    </w:lvl>
    <w:lvl w:ilvl="1">
      <w:lvlJc w:val="left"/>
      <w:lvlText w:val="%2"/>
      <w:numFmt w:val="lowerRoman"/>
      <w:start w:val="1"/>
    </w:lvl>
  </w:abstractNum>
  <w:abstractNum w:abstractNumId="141">
    <w:nsid w:val="496FB218"/>
    <w:multiLevelType w:val="hybridMultilevel"/>
    <w:lvl w:ilvl="0">
      <w:lvlJc w:val="left"/>
      <w:lvlText w:val="(%1)"/>
      <w:numFmt w:val="lowerLetter"/>
      <w:start w:val="1"/>
    </w:lvl>
  </w:abstractNum>
  <w:abstractNum w:abstractNumId="142">
    <w:nsid w:val="680EA5D1"/>
    <w:multiLevelType w:val="hybridMultilevel"/>
    <w:lvl w:ilvl="0">
      <w:lvlJc w:val="left"/>
      <w:lvlText w:val="(%1)"/>
      <w:numFmt w:val="lowerLetter"/>
      <w:start w:val="2"/>
    </w:lvl>
  </w:abstractNum>
  <w:abstractNum w:abstractNumId="143">
    <w:nsid w:val="4A9554FE"/>
    <w:multiLevelType w:val="hybridMultilevel"/>
    <w:lvl w:ilvl="0">
      <w:lvlJc w:val="left"/>
      <w:lvlText w:val="(%1)"/>
      <w:numFmt w:val="lowerLetter"/>
      <w:start w:val="1"/>
    </w:lvl>
    <w:lvl w:ilvl="1">
      <w:lvlJc w:val="left"/>
      <w:lvlText w:val="(%2)"/>
      <w:numFmt w:val="lowerRoman"/>
      <w:start w:val="1"/>
    </w:lvl>
  </w:abstractNum>
  <w:abstractNum w:abstractNumId="144">
    <w:nsid w:val="392EDBE4"/>
    <w:multiLevelType w:val="hybridMultilevel"/>
    <w:lvl w:ilvl="0">
      <w:lvlJc w:val="left"/>
      <w:lvlText w:val="(%1)"/>
      <w:numFmt w:val="lowerLetter"/>
      <w:start w:val="2"/>
    </w:lvl>
  </w:abstractNum>
  <w:abstractNum w:abstractNumId="145">
    <w:nsid w:val="3D1A2DD9"/>
    <w:multiLevelType w:val="hybridMultilevel"/>
    <w:lvl w:ilvl="0">
      <w:lvlJc w:val="left"/>
      <w:lvlText w:val="%1"/>
      <w:numFmt w:val="lowerLetter"/>
      <w:start w:val="1"/>
    </w:lvl>
    <w:lvl w:ilvl="1">
      <w:lvlJc w:val="left"/>
      <w:lvlText w:val="(%2)"/>
      <w:numFmt w:val="lowerLetter"/>
      <w:start w:val="1"/>
    </w:lvl>
  </w:abstractNum>
  <w:abstractNum w:abstractNumId="146">
    <w:nsid w:val="7F618FCD"/>
    <w:multiLevelType w:val="hybridMultilevel"/>
    <w:lvl w:ilvl="0">
      <w:lvlJc w:val="left"/>
      <w:lvlText w:val="(%1)"/>
      <w:numFmt w:val="lowerLetter"/>
      <w:start w:val="9"/>
    </w:lvl>
    <w:lvl w:ilvl="1">
      <w:lvlJc w:val="left"/>
      <w:lvlText w:val="%2"/>
      <w:numFmt w:val="lowerLetter"/>
      <w:start w:val="1"/>
    </w:lvl>
  </w:abstractNum>
  <w:abstractNum w:abstractNumId="147">
    <w:nsid w:val="7843E45"/>
    <w:multiLevelType w:val="hybridMultilevel"/>
    <w:lvl w:ilvl="0">
      <w:lvlJc w:val="left"/>
      <w:lvlText w:val="%1"/>
      <w:numFmt w:val="lowerLetter"/>
      <w:start w:val="1"/>
    </w:lvl>
    <w:lvl w:ilvl="1">
      <w:lvlJc w:val="left"/>
      <w:lvlText w:val="(%2)"/>
      <w:numFmt w:val="lowerLetter"/>
      <w:start w:val="4"/>
    </w:lvl>
  </w:abstractNum>
  <w:abstractNum w:abstractNumId="148">
    <w:nsid w:val="9815DA3"/>
    <w:multiLevelType w:val="hybridMultilevel"/>
    <w:lvl w:ilvl="0">
      <w:lvlJc w:val="left"/>
      <w:lvlText w:val="(%1)"/>
      <w:numFmt w:val="lowerLetter"/>
      <w:start w:val="1"/>
    </w:lvl>
    <w:lvl w:ilvl="1">
      <w:lvlJc w:val="left"/>
      <w:lvlText w:val="%2"/>
      <w:numFmt w:val="lowerLetter"/>
      <w:start w:val="1"/>
    </w:lvl>
  </w:abstractNum>
  <w:abstractNum w:abstractNumId="149">
    <w:nsid w:val="5204A191"/>
    <w:multiLevelType w:val="hybridMultilevel"/>
    <w:lvl w:ilvl="0">
      <w:lvlJc w:val="left"/>
      <w:lvlText w:val="(%1)"/>
      <w:numFmt w:val="lowerLetter"/>
      <w:start w:val="1"/>
    </w:lvl>
  </w:abstractNum>
  <w:abstractNum w:abstractNumId="150">
    <w:nsid w:val="4C73A9C6"/>
    <w:multiLevelType w:val="hybridMultilevel"/>
    <w:lvl w:ilvl="0">
      <w:lvlJc w:val="left"/>
      <w:lvlText w:val="(%1)"/>
      <w:numFmt w:val="lowerLetter"/>
      <w:start w:val="2"/>
    </w:lvl>
  </w:abstractNum>
  <w:abstractNum w:abstractNumId="151">
    <w:nsid w:val="1C7E3C01"/>
    <w:multiLevelType w:val="hybridMultilevel"/>
    <w:lvl w:ilvl="0">
      <w:lvlJc w:val="left"/>
      <w:lvlText w:val="(%1)"/>
      <w:numFmt w:val="lowerLetter"/>
      <w:start w:val="1"/>
    </w:lvl>
  </w:abstractNum>
  <w:abstractNum w:abstractNumId="152">
    <w:nsid w:val="1C2201FF"/>
    <w:multiLevelType w:val="hybridMultilevel"/>
    <w:lvl w:ilvl="0">
      <w:lvlJc w:val="left"/>
      <w:lvlText w:val="(%1)"/>
      <w:numFmt w:val="lowerLetter"/>
      <w:start w:val="1"/>
    </w:lvl>
    <w:lvl w:ilvl="1">
      <w:lvlJc w:val="left"/>
      <w:lvlText w:val="(%2)"/>
      <w:numFmt w:val="lowerLetter"/>
      <w:start w:val="9"/>
    </w:lvl>
  </w:abstractNum>
  <w:abstractNum w:abstractNumId="153">
    <w:nsid w:val="50ABCEC9"/>
    <w:multiLevelType w:val="hybridMultilevel"/>
    <w:lvl w:ilvl="0">
      <w:lvlJc w:val="left"/>
      <w:lvlText w:val="(%1)"/>
      <w:numFmt w:val="lowerRoman"/>
      <w:start w:val="2"/>
    </w:lvl>
  </w:abstractNum>
  <w:abstractNum w:abstractNumId="154">
    <w:nsid w:val="7635AA2A"/>
    <w:multiLevelType w:val="hybridMultilevel"/>
    <w:lvl w:ilvl="0">
      <w:lvlJc w:val="left"/>
      <w:lvlText w:val="%1"/>
      <w:numFmt w:val="upperLetter"/>
      <w:start w:val="1"/>
    </w:lvl>
    <w:lvl w:ilvl="1">
      <w:lvlJc w:val="left"/>
      <w:lvlText w:val="(%2)"/>
      <w:numFmt w:val="lowerLetter"/>
      <w:start w:val="3"/>
    </w:lvl>
  </w:abstractNum>
  <w:abstractNum w:abstractNumId="155">
    <w:nsid w:val="5E74C4D9"/>
    <w:multiLevelType w:val="hybridMultilevel"/>
    <w:lvl w:ilvl="0">
      <w:lvlJc w:val="left"/>
      <w:lvlText w:val="(%1)"/>
      <w:numFmt w:val="upperLetter"/>
      <w:start w:val="2"/>
    </w:lvl>
    <w:lvl w:ilvl="1">
      <w:lvlJc w:val="left"/>
      <w:lvlText w:val="%2"/>
      <w:numFmt w:val="lowerLetter"/>
      <w:start w:val="1"/>
    </w:lvl>
  </w:abstractNum>
  <w:abstractNum w:abstractNumId="156">
    <w:nsid w:val="3B3EBE15"/>
    <w:multiLevelType w:val="hybridMultilevel"/>
    <w:lvl w:ilvl="0">
      <w:lvlJc w:val="left"/>
      <w:lvlText w:val="%1"/>
      <w:numFmt w:val="lowerLetter"/>
      <w:start w:val="1"/>
    </w:lvl>
    <w:lvl w:ilvl="1">
      <w:lvlJc w:val="left"/>
      <w:lvlText w:val="(%2)"/>
      <w:numFmt w:val="lowerLetter"/>
      <w:start w:val="35"/>
    </w:lvl>
  </w:abstractNum>
  <w:abstractNum w:abstractNumId="157">
    <w:nsid w:val="3822CB01"/>
    <w:multiLevelType w:val="hybridMultilevel"/>
    <w:lvl w:ilvl="0">
      <w:lvlJc w:val="left"/>
      <w:lvlText w:val="(%1)"/>
      <w:numFmt w:val="lowerLetter"/>
      <w:start w:val="5"/>
    </w:lvl>
    <w:lvl w:ilvl="1">
      <w:lvlJc w:val="left"/>
      <w:lvlText w:val="%2"/>
      <w:numFmt w:val="lowerLetter"/>
      <w:start w:val="1"/>
    </w:lvl>
  </w:abstractNum>
  <w:abstractNum w:abstractNumId="158">
    <w:nsid w:val="6CE00443"/>
    <w:multiLevelType w:val="hybridMultilevel"/>
    <w:lvl w:ilvl="0">
      <w:lvlJc w:val="left"/>
      <w:lvlText w:val="(%1)"/>
      <w:numFmt w:val="lowerLetter"/>
      <w:start w:val="1"/>
    </w:lvl>
  </w:abstractNum>
  <w:abstractNum w:abstractNumId="159">
    <w:nsid w:val="79F0D62F"/>
    <w:multiLevelType w:val="hybridMultilevel"/>
    <w:lvl w:ilvl="0">
      <w:lvlJc w:val="left"/>
      <w:lvlText w:val="1"/>
      <w:numFmt w:val="bullet"/>
      <w:start w:val="1"/>
    </w:lvl>
  </w:abstractNum>
  <w:abstractNum w:abstractNumId="160">
    <w:nsid w:val="7975E8EE"/>
    <w:multiLevelType w:val="hybridMultilevel"/>
    <w:lvl w:ilvl="0">
      <w:lvlJc w:val="left"/>
      <w:lvlText w:val="(%1)"/>
      <w:numFmt w:val="decimal"/>
      <w:start w:val="3"/>
    </w:lvl>
  </w:abstractNum>
  <w:abstractNum w:abstractNumId="161">
    <w:nsid w:val="73154115"/>
    <w:multiLevelType w:val="hybridMultilevel"/>
    <w:lvl w:ilvl="0">
      <w:lvlJc w:val="left"/>
      <w:lvlText w:val="2"/>
      <w:numFmt w:val="bullet"/>
      <w:start w:val="1"/>
    </w:lvl>
  </w:abstractNum>
  <w:abstractNum w:abstractNumId="162">
    <w:nsid w:val="622D8102"/>
    <w:multiLevelType w:val="hybridMultilevel"/>
    <w:lvl w:ilvl="0">
      <w:lvlJc w:val="left"/>
      <w:lvlText w:val="3"/>
      <w:numFmt w:val="bullet"/>
      <w:start w:val="1"/>
    </w:lvl>
  </w:abstractNum>
  <w:abstractNum w:abstractNumId="163">
    <w:nsid w:val="2AB26587"/>
    <w:multiLevelType w:val="hybridMultilevel"/>
    <w:lvl w:ilvl="0">
      <w:lvlJc w:val="left"/>
      <w:lvlText w:val="4"/>
      <w:numFmt w:val="bullet"/>
      <w:start w:val="1"/>
    </w:lvl>
  </w:abstractNum>
  <w:abstractNum w:abstractNumId="164">
    <w:nsid w:val="44B3FA61"/>
    <w:multiLevelType w:val="hybridMultilevel"/>
    <w:lvl w:ilvl="0">
      <w:lvlJc w:val="left"/>
      <w:lvlText w:val="5"/>
      <w:numFmt w:val="bullet"/>
      <w:start w:val="1"/>
    </w:lvl>
  </w:abstractNum>
  <w:abstractNum w:abstractNumId="165">
    <w:nsid w:val="1C0CA67C"/>
    <w:multiLevelType w:val="hybridMultilevel"/>
    <w:lvl w:ilvl="0">
      <w:lvlJc w:val="left"/>
      <w:lvlText w:val="%1."/>
      <w:numFmt w:val="decimal"/>
      <w:start w:val="1"/>
    </w:lvl>
    <w:lvl w:ilvl="1">
      <w:lvlJc w:val="left"/>
      <w:lvlText w:val="(%2)"/>
      <w:numFmt w:val="lowerLetter"/>
      <w:start w:val="1"/>
    </w:lvl>
  </w:abstractNum>
  <w:abstractNum w:abstractNumId="166">
    <w:nsid w:val="3D206613"/>
    <w:multiLevelType w:val="hybridMultilevel"/>
    <w:lvl w:ilvl="0">
      <w:lvlJc w:val="left"/>
      <w:lvlText w:val="(%1)"/>
      <w:numFmt w:val="lowerLetter"/>
      <w:start w:val="2"/>
    </w:lvl>
  </w:abstractNum>
  <w:abstractNum w:abstractNumId="167">
    <w:nsid w:val="7993B662"/>
    <w:multiLevelType w:val="hybridMultilevel"/>
    <w:lvl w:ilvl="0">
      <w:lvlJc w:val="left"/>
      <w:lvlText w:val="(%1)"/>
      <w:numFmt w:val="lowerLetter"/>
      <w:start w:val="4"/>
    </w:lvl>
  </w:abstractNum>
  <w:abstractNum w:abstractNumId="168">
    <w:nsid w:val="3BAB699E"/>
    <w:multiLevelType w:val="hybridMultilevel"/>
    <w:lvl w:ilvl="0">
      <w:lvlJc w:val="left"/>
      <w:lvlText w:val="(%1)"/>
      <w:numFmt w:val="lowerLetter"/>
      <w:start w:val="5"/>
    </w:lvl>
  </w:abstractNum>
  <w:abstractNum w:abstractNumId="169">
    <w:nsid w:val="71315369"/>
    <w:multiLevelType w:val="hybridMultilevel"/>
    <w:lvl w:ilvl="0">
      <w:lvlJc w:val="left"/>
      <w:lvlText w:val="%1"/>
      <w:numFmt w:val="lowerLetter"/>
      <w:start w:val="1"/>
    </w:lvl>
    <w:lvl w:ilvl="1">
      <w:lvlJc w:val="left"/>
      <w:lvlText w:val="(%2)"/>
      <w:numFmt w:val="lowerLetter"/>
      <w:start w:val="6"/>
    </w:lvl>
  </w:abstractNum>
  <w:abstractNum w:abstractNumId="170">
    <w:nsid w:val="7BCFBAFC"/>
    <w:multiLevelType w:val="hybridMultilevel"/>
    <w:lvl w:ilvl="0">
      <w:lvlJc w:val="left"/>
      <w:lvlText w:val="(%1)"/>
      <w:numFmt w:val="lowerLetter"/>
      <w:start w:val="35"/>
    </w:lvl>
    <w:lvl w:ilvl="1">
      <w:lvlJc w:val="left"/>
      <w:lvlText w:val="%2"/>
      <w:numFmt w:val="lowerLetter"/>
      <w:start w:val="1"/>
    </w:lvl>
  </w:abstractNum>
  <w:abstractNum w:abstractNumId="171">
    <w:nsid w:val="17859F72"/>
    <w:multiLevelType w:val="hybridMultilevel"/>
    <w:lvl w:ilvl="0">
      <w:lvlJc w:val="left"/>
      <w:lvlText w:val="(%1)"/>
      <w:numFmt w:val="lowerLetter"/>
      <w:start w:val="24"/>
    </w:lvl>
    <w:lvl w:ilvl="1">
      <w:lvlJc w:val="left"/>
      <w:lvlText w:val="%2"/>
      <w:numFmt w:val="lowerLetter"/>
      <w:start w:val="1"/>
    </w:lvl>
  </w:abstractNum>
  <w:abstractNum w:abstractNumId="172">
    <w:nsid w:val="3AA10581"/>
    <w:multiLevelType w:val="hybridMultilevel"/>
    <w:lvl w:ilvl="0">
      <w:lvlJc w:val="left"/>
      <w:lvlText w:val="%1"/>
      <w:numFmt w:val="decimal"/>
      <w:start w:val="1"/>
    </w:lvl>
    <w:lvl w:ilvl="1">
      <w:lvlJc w:val="left"/>
      <w:lvlText w:val="(%2)"/>
      <w:numFmt w:val="lowerLetter"/>
      <w:start w:val="7"/>
    </w:lvl>
  </w:abstractNum>
  <w:abstractNum w:abstractNumId="173">
    <w:nsid w:val="63DE60CD"/>
    <w:multiLevelType w:val="hybridMultilevel"/>
    <w:lvl w:ilvl="0">
      <w:lvlJc w:val="left"/>
      <w:lvlText w:val="%1."/>
      <w:numFmt w:val="decimal"/>
      <w:start w:val="2"/>
    </w:lvl>
    <w:lvl w:ilvl="1">
      <w:lvlJc w:val="left"/>
      <w:lvlText w:val="(%2)"/>
      <w:numFmt w:val="lowerLetter"/>
      <w:start w:val="1"/>
    </w:lvl>
  </w:abstractNum>
  <w:abstractNum w:abstractNumId="174">
    <w:nsid w:val="621AF471"/>
    <w:multiLevelType w:val="hybridMultilevel"/>
    <w:lvl w:ilvl="0">
      <w:lvlJc w:val="left"/>
      <w:lvlText w:val="(%1)"/>
      <w:numFmt w:val="lowerLetter"/>
      <w:start w:val="2"/>
    </w:lvl>
    <w:lvl w:ilvl="1">
      <w:lvlJc w:val="left"/>
      <w:lvlText w:val="(%2)"/>
      <w:numFmt w:val="lowerRoman"/>
      <w:start w:val="1"/>
    </w:lvl>
  </w:abstractNum>
  <w:abstractNum w:abstractNumId="175">
    <w:nsid w:val="73CFE165"/>
    <w:multiLevelType w:val="hybridMultilevel"/>
    <w:lvl w:ilvl="0">
      <w:lvlJc w:val="left"/>
      <w:lvlText w:val="%1"/>
      <w:numFmt w:val="decimal"/>
      <w:start w:val="1"/>
    </w:lvl>
    <w:lvl w:ilvl="1">
      <w:lvlJc w:val="left"/>
      <w:lvlText w:val="(%2)"/>
      <w:numFmt w:val="lowerRoman"/>
      <w:start w:val="3"/>
    </w:lvl>
  </w:abstractNum>
  <w:abstractNum w:abstractNumId="176">
    <w:nsid w:val="20F88EA6"/>
    <w:multiLevelType w:val="hybridMultilevel"/>
    <w:lvl w:ilvl="0">
      <w:lvlJc w:val="left"/>
      <w:lvlText w:val="(%1)"/>
      <w:numFmt w:val="decimal"/>
      <w:start w:val="5"/>
    </w:lvl>
    <w:lvl w:ilvl="1">
      <w:lvlJc w:val="left"/>
      <w:lvlText w:val="%2"/>
      <w:numFmt w:val="lowerRoman"/>
      <w:start w:val="1"/>
    </w:lvl>
  </w:abstractNum>
  <w:abstractNum w:abstractNumId="177">
    <w:nsid w:val="617C843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2"/>
    </w:lvl>
  </w:abstractNum>
  <w:abstractNum w:abstractNumId="178">
    <w:nsid w:val="7B541FAB"/>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179">
    <w:nsid w:val="2A79EC49"/>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180">
    <w:nsid w:val="338125CF"/>
    <w:multiLevelType w:val="hybridMultilevel"/>
    <w:lvl w:ilvl="0">
      <w:lvlJc w:val="left"/>
      <w:lvlText w:val="(%1)"/>
      <w:numFmt w:val="lowerLetter"/>
      <w:start w:val="2"/>
    </w:lvl>
    <w:lvl w:ilvl="1">
      <w:lvlJc w:val="left"/>
      <w:lvlText w:val="(%2)"/>
      <w:numFmt w:val="lowerRoman"/>
      <w:start w:val="1"/>
    </w:lvl>
  </w:abstractNum>
  <w:abstractNum w:abstractNumId="181">
    <w:nsid w:val="47C7C971"/>
    <w:multiLevelType w:val="hybridMultilevel"/>
    <w:lvl w:ilvl="0">
      <w:lvlJc w:val="left"/>
      <w:lvlText w:val="%1"/>
      <w:numFmt w:val="decimal"/>
      <w:start w:val="1"/>
    </w:lvl>
    <w:lvl w:ilvl="1">
      <w:lvlJc w:val="left"/>
      <w:lvlText w:val="(%2)"/>
      <w:numFmt w:val="lowerLetter"/>
      <w:start w:val="3"/>
    </w:lvl>
  </w:abstractNum>
  <w:abstractNum w:abstractNumId="182">
    <w:nsid w:val="46F8284B"/>
    <w:multiLevelType w:val="hybridMultilevel"/>
    <w:lvl w:ilvl="0">
      <w:lvlJc w:val="left"/>
      <w:lvlText w:val="%1."/>
      <w:numFmt w:val="decimal"/>
      <w:start w:val="5"/>
    </w:lvl>
    <w:lvl w:ilvl="1">
      <w:lvlJc w:val="left"/>
      <w:lvlText w:val="%2"/>
      <w:numFmt w:val="lowerLetter"/>
      <w:start w:val="1"/>
    </w:lvl>
  </w:abstractNum>
  <w:abstractNum w:abstractNumId="183">
    <w:nsid w:val="4FA327CE"/>
    <w:multiLevelType w:val="hybridMultilevel"/>
    <w:lvl w:ilvl="0">
      <w:lvlJc w:val="left"/>
      <w:lvlText w:val="%1."/>
      <w:numFmt w:val="decimal"/>
      <w:start w:val="6"/>
    </w:lvl>
    <w:lvl w:ilvl="1">
      <w:lvlJc w:val="left"/>
      <w:lvlText w:val="(%2)"/>
      <w:numFmt w:val="lowerLetter"/>
      <w:start w:val="1"/>
    </w:lvl>
  </w:abstractNum>
  <w:abstractNum w:abstractNumId="184">
    <w:nsid w:val="1873983A"/>
    <w:multiLevelType w:val="hybridMultilevel"/>
    <w:lvl w:ilvl="0">
      <w:lvlJc w:val="left"/>
      <w:lvlText w:val="%1."/>
      <w:numFmt w:val="decimal"/>
      <w:start w:val="8"/>
    </w:lvl>
  </w:abstractNum>
  <w:abstractNum w:abstractNumId="185">
    <w:nsid w:val="3D2DD275"/>
    <w:multiLevelType w:val="hybridMultilevel"/>
    <w:lvl w:ilvl="0">
      <w:lvlJc w:val="left"/>
      <w:lvlText w:val="%1."/>
      <w:numFmt w:val="decimal"/>
      <w:start w:val="12"/>
    </w:lvl>
  </w:abstractNum>
  <w:abstractNum w:abstractNumId="186">
    <w:nsid w:val="2E17ECA7"/>
    <w:multiLevelType w:val="hybridMultilevel"/>
    <w:lvl w:ilvl="0">
      <w:lvlJc w:val="left"/>
      <w:lvlText w:val="%1."/>
      <w:numFmt w:val="decimal"/>
      <w:start w:val="16"/>
    </w:lvl>
    <w:lvl w:ilvl="1">
      <w:lvlJc w:val="left"/>
      <w:lvlText w:val="(%2)"/>
      <w:numFmt w:val="lowerLetter"/>
      <w:start w:val="1"/>
    </w:lvl>
  </w:abstractNum>
  <w:abstractNum w:abstractNumId="187">
    <w:nsid w:val="53B2564F"/>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8"/>
    </w:lvl>
  </w:abstractNum>
  <w:abstractNum w:abstractNumId="188">
    <w:nsid w:val="75509D76"/>
    <w:multiLevelType w:val="hybridMultilevel"/>
    <w:lvl w:ilvl="0">
      <w:lvlJc w:val="left"/>
      <w:lvlText w:val="%1"/>
      <w:numFmt w:val="lowerLetter"/>
      <w:start w:val="1"/>
    </w:lvl>
    <w:lvl w:ilvl="1">
      <w:lvlJc w:val="left"/>
      <w:lvlText w:val="%2."/>
      <w:numFmt w:val="decimal"/>
      <w:start w:val="18"/>
    </w:lvl>
    <w:lvl w:ilvl="2">
      <w:lvlJc w:val="left"/>
      <w:lvlText w:val="(%3)"/>
      <w:numFmt w:val="lowerLetter"/>
      <w:start w:val="1"/>
    </w:lvl>
  </w:abstractNum>
  <w:abstractNum w:abstractNumId="189">
    <w:nsid w:val="1AF7F0EA"/>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2"/>
    </w:lvl>
  </w:abstractNum>
  <w:abstractNum w:abstractNumId="190">
    <w:nsid w:val="4DA32C7E"/>
    <w:multiLevelType w:val="hybridMultilevel"/>
    <w:lvl w:ilvl="0">
      <w:lvlJc w:val="left"/>
      <w:lvlText w:val="%1"/>
      <w:numFmt w:val="lowerRoman"/>
      <w:start w:val="1"/>
    </w:lvl>
    <w:lvl w:ilvl="1">
      <w:lvlJc w:val="left"/>
      <w:lvlText w:val="(%2)"/>
      <w:numFmt w:val="lowerLetter"/>
      <w:start w:val="4"/>
    </w:lvl>
  </w:abstractNum>
  <w:abstractNum w:abstractNumId="191">
    <w:nsid w:val="6EC68664"/>
    <w:multiLevelType w:val="hybridMultilevel"/>
    <w:lvl w:ilvl="0">
      <w:lvlJc w:val="left"/>
      <w:lvlText w:val="(%1)"/>
      <w:numFmt w:val="lowerRoman"/>
      <w:start w:val="4"/>
    </w:lvl>
    <w:lvl w:ilvl="1">
      <w:lvlJc w:val="left"/>
      <w:lvlText w:val="(%2)"/>
      <w:numFmt w:val="lowerLetter"/>
      <w:start w:val="6"/>
    </w:lvl>
  </w:abstractNum>
  <w:abstractNum w:abstractNumId="192">
    <w:nsid w:val="E0D31FF"/>
    <w:multiLevelType w:val="hybridMultilevel"/>
    <w:lvl w:ilvl="0">
      <w:lvlJc w:val="left"/>
      <w:lvlText w:val="%1"/>
      <w:numFmt w:val="decimal"/>
      <w:start w:val="1"/>
    </w:lvl>
    <w:lvl w:ilvl="1">
      <w:lvlJc w:val="left"/>
      <w:lvlText w:val="(%2)"/>
      <w:numFmt w:val="lowerLetter"/>
      <w:start w:val="7"/>
    </w:lvl>
  </w:abstractNum>
  <w:abstractNum w:abstractNumId="193">
    <w:nsid w:val="2FD0AD81"/>
    <w:multiLevelType w:val="hybridMultilevel"/>
    <w:lvl w:ilvl="0">
      <w:lvlJc w:val="left"/>
      <w:lvlText w:val="%1."/>
      <w:numFmt w:val="decimal"/>
      <w:start w:val="19"/>
    </w:lvl>
    <w:lvl w:ilvl="1">
      <w:lvlJc w:val="left"/>
      <w:lvlText w:val="(%2)"/>
      <w:numFmt w:val="lowerLetter"/>
      <w:start w:val="1"/>
    </w:lvl>
  </w:abstractNum>
  <w:abstractNum w:abstractNumId="194">
    <w:nsid w:val="1978EBEB"/>
    <w:multiLevelType w:val="hybridMultilevel"/>
    <w:lvl w:ilvl="0">
      <w:lvlJc w:val="left"/>
      <w:lvlText w:val="(%1)"/>
      <w:numFmt w:val="lowerLetter"/>
      <w:start w:val="2"/>
    </w:lvl>
  </w:abstractNum>
  <w:abstractNum w:abstractNumId="195">
    <w:nsid w:val="52C12C61"/>
    <w:multiLevelType w:val="hybridMultilevel"/>
    <w:lvl w:ilvl="0">
      <w:lvlJc w:val="left"/>
      <w:lvlText w:val="(%1)"/>
      <w:numFmt w:val="lowerLetter"/>
      <w:start w:val="9"/>
    </w:lvl>
  </w:abstractNum>
  <w:abstractNum w:abstractNumId="196">
    <w:nsid w:val="4BDD53FD"/>
    <w:multiLevelType w:val="hybridMultilevel"/>
    <w:lvl w:ilvl="0">
      <w:lvlJc w:val="left"/>
      <w:lvlText w:val="(%1)"/>
      <w:numFmt w:val="lowerLetter"/>
      <w:start w:val="14"/>
    </w:lvl>
  </w:abstractNum>
  <w:abstractNum w:abstractNumId="197">
    <w:nsid w:val="569951FE"/>
    <w:multiLevelType w:val="hybridMultilevel"/>
    <w:lvl w:ilvl="0">
      <w:lvlJc w:val="left"/>
      <w:lvlText w:val="(%1)"/>
      <w:numFmt w:val="lowerLetter"/>
      <w:start w:val="18"/>
    </w:lvl>
  </w:abstractNum>
  <w:abstractNum w:abstractNumId="198">
    <w:nsid w:val="4C54E2C3"/>
    <w:multiLevelType w:val="hybridMultilevel"/>
    <w:lvl w:ilvl="0">
      <w:lvlJc w:val="left"/>
      <w:lvlText w:val="%1."/>
      <w:numFmt w:val="decimal"/>
      <w:start w:val="2"/>
    </w:lvl>
  </w:abstractNum>
  <w:abstractNum w:abstractNumId="199">
    <w:nsid w:val="788BD9B"/>
    <w:multiLevelType w:val="hybridMultilevel"/>
    <w:lvl w:ilvl="0">
      <w:lvlJc w:val="left"/>
      <w:lvlText w:val="%1."/>
      <w:numFmt w:val="decimal"/>
      <w:start w:val="1"/>
    </w:lvl>
    <w:lvl w:ilvl="1">
      <w:lvlJc w:val="left"/>
      <w:lvlText w:val="(%2)"/>
      <w:numFmt w:val="lowerLetter"/>
      <w:start w:val="1"/>
    </w:lvl>
  </w:abstractNum>
  <w:abstractNum w:abstractNumId="200">
    <w:nsid w:val="47CAA567"/>
    <w:multiLevelType w:val="hybridMultilevel"/>
    <w:lvl w:ilvl="0">
      <w:lvlJc w:val="left"/>
      <w:lvlText w:val="(%1)"/>
      <w:numFmt w:val="lowerLetter"/>
      <w:start w:val="2"/>
    </w:lvl>
  </w:abstractNum>
  <w:abstractNum w:abstractNumId="201">
    <w:nsid w:val="48249DBF"/>
    <w:multiLevelType w:val="hybridMultilevel"/>
    <w:lvl w:ilvl="0">
      <w:lvlJc w:val="left"/>
      <w:lvlText w:val="(%1)"/>
      <w:numFmt w:val="lowerLetter"/>
      <w:start w:val="4"/>
    </w:lvl>
  </w:abstractNum>
  <w:abstractNum w:abstractNumId="202">
    <w:nsid w:val="1F0E5D0D"/>
    <w:multiLevelType w:val="hybridMultilevel"/>
    <w:lvl w:ilvl="0">
      <w:lvlJc w:val="left"/>
      <w:lvlText w:val="(%1)"/>
      <w:numFmt w:val="lowerLetter"/>
      <w:start w:val="5"/>
    </w:lvl>
  </w:abstractNum>
  <w:abstractNum w:abstractNumId="203">
    <w:nsid w:val="26BAAE9"/>
    <w:multiLevelType w:val="hybridMultilevel"/>
    <w:lvl w:ilvl="0">
      <w:lvlJc w:val="left"/>
      <w:lvlText w:val="%1"/>
      <w:numFmt w:val="lowerLetter"/>
      <w:start w:val="1"/>
    </w:lvl>
    <w:lvl w:ilvl="1">
      <w:lvlJc w:val="left"/>
      <w:lvlText w:val="(%2)"/>
      <w:numFmt w:val="lowerLetter"/>
      <w:start w:val="6"/>
    </w:lvl>
  </w:abstractNum>
  <w:abstractNum w:abstractNumId="204">
    <w:nsid w:val="2C02FE8C"/>
    <w:multiLevelType w:val="hybridMultilevel"/>
    <w:lvl w:ilvl="0">
      <w:lvlJc w:val="left"/>
      <w:lvlText w:val="(%1)"/>
      <w:numFmt w:val="lowerLetter"/>
      <w:start w:val="35"/>
    </w:lvl>
    <w:lvl w:ilvl="1">
      <w:lvlJc w:val="left"/>
      <w:lvlText w:val="%2"/>
      <w:numFmt w:val="lowerLetter"/>
      <w:start w:val="1"/>
    </w:lvl>
  </w:abstractNum>
  <w:abstractNum w:abstractNumId="205">
    <w:nsid w:val="129517E"/>
    <w:multiLevelType w:val="hybridMultilevel"/>
    <w:lvl w:ilvl="0">
      <w:lvlJc w:val="left"/>
      <w:lvlText w:val="(%1)"/>
      <w:numFmt w:val="lowerLetter"/>
      <w:start w:val="24"/>
    </w:lvl>
    <w:lvl w:ilvl="1">
      <w:lvlJc w:val="left"/>
      <w:lvlText w:val="%2"/>
      <w:numFmt w:val="lowerLetter"/>
      <w:start w:val="1"/>
    </w:lvl>
  </w:abstractNum>
  <w:abstractNum w:abstractNumId="206">
    <w:nsid w:val="763B8C4E"/>
    <w:multiLevelType w:val="hybridMultilevel"/>
    <w:lvl w:ilvl="0">
      <w:lvlJc w:val="left"/>
      <w:lvlText w:val="%1"/>
      <w:numFmt w:val="decimal"/>
      <w:start w:val="1"/>
    </w:lvl>
    <w:lvl w:ilvl="1">
      <w:lvlJc w:val="left"/>
      <w:lvlText w:val="(%2)"/>
      <w:numFmt w:val="lowerLetter"/>
      <w:start w:val="7"/>
    </w:lvl>
  </w:abstractNum>
  <w:abstractNum w:abstractNumId="207">
    <w:nsid w:val="4CFB8D32"/>
    <w:multiLevelType w:val="hybridMultilevel"/>
    <w:lvl w:ilvl="0">
      <w:lvlJc w:val="left"/>
      <w:lvlText w:val="%1."/>
      <w:numFmt w:val="decimal"/>
      <w:start w:val="2"/>
    </w:lvl>
    <w:lvl w:ilvl="1">
      <w:lvlJc w:val="left"/>
      <w:lvlText w:val="(%2)"/>
      <w:numFmt w:val="lowerLetter"/>
      <w:start w:val="1"/>
    </w:lvl>
  </w:abstractNum>
  <w:abstractNum w:abstractNumId="208">
    <w:nsid w:val="62A5D5BD"/>
    <w:multiLevelType w:val="hybridMultilevel"/>
    <w:lvl w:ilvl="0">
      <w:lvlJc w:val="left"/>
      <w:lvlText w:val="(%1)"/>
      <w:numFmt w:val="lowerLetter"/>
      <w:start w:val="2"/>
    </w:lvl>
    <w:lvl w:ilvl="1">
      <w:lvlJc w:val="left"/>
      <w:lvlText w:val="(%2)"/>
      <w:numFmt w:val="lowerRoman"/>
      <w:start w:val="1"/>
    </w:lvl>
  </w:abstractNum>
  <w:abstractNum w:abstractNumId="209">
    <w:nsid w:val="718FABF9"/>
    <w:multiLevelType w:val="hybridMultilevel"/>
    <w:lvl w:ilvl="0">
      <w:lvlJc w:val="left"/>
      <w:lvlText w:val="%1"/>
      <w:numFmt w:val="decimal"/>
      <w:start w:val="1"/>
    </w:lvl>
    <w:lvl w:ilvl="1">
      <w:lvlJc w:val="left"/>
      <w:lvlText w:val="(%2)"/>
      <w:numFmt w:val="lowerRoman"/>
      <w:start w:val="3"/>
    </w:lvl>
  </w:abstractNum>
  <w:abstractNum w:abstractNumId="210">
    <w:nsid w:val="7775797C"/>
    <w:multiLevelType w:val="hybridMultilevel"/>
    <w:lvl w:ilvl="0">
      <w:lvlJc w:val="left"/>
      <w:lvlText w:val="(%1)"/>
      <w:numFmt w:val="decimal"/>
      <w:start w:val="5"/>
    </w:lvl>
    <w:lvl w:ilvl="1">
      <w:lvlJc w:val="left"/>
      <w:lvlText w:val="%2"/>
      <w:numFmt w:val="lowerRoman"/>
      <w:start w:val="1"/>
    </w:lvl>
  </w:abstractNum>
  <w:abstractNum w:abstractNumId="211">
    <w:nsid w:val="1626FB8C"/>
    <w:multiLevelType w:val="hybridMultilevel"/>
    <w:lvl w:ilvl="0">
      <w:lvlJc w:val="left"/>
      <w:lvlText w:val="(%1)"/>
      <w:numFmt w:val="lowerRoman"/>
      <w:start w:val="5"/>
    </w:lvl>
  </w:abstractNum>
  <w:abstractNum w:abstractNumId="212">
    <w:nsid w:val="3957756A"/>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213">
    <w:nsid w:val="3E6DA1C7"/>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9"/>
    </w:lvl>
  </w:abstractNum>
  <w:abstractNum w:abstractNumId="214">
    <w:nsid w:val="65CA235B"/>
    <w:multiLevelType w:val="hybridMultilevel"/>
    <w:lvl w:ilvl="0">
      <w:lvlJc w:val="left"/>
      <w:lvlText w:val="(%1)"/>
      <w:numFmt w:val="lowerRoman"/>
      <w:start w:val="2"/>
    </w:lvl>
  </w:abstractNum>
  <w:abstractNum w:abstractNumId="215">
    <w:nsid w:val="51CB0DA4"/>
    <w:multiLevelType w:val="hybridMultilevel"/>
    <w:lvl w:ilvl="0">
      <w:lvlJc w:val="left"/>
      <w:lvlText w:val="%1"/>
      <w:numFmt w:val="decimal"/>
      <w:start w:val="1"/>
    </w:lvl>
    <w:lvl w:ilvl="1">
      <w:lvlJc w:val="left"/>
      <w:lvlText w:val="(%2)"/>
      <w:numFmt w:val="lowerLetter"/>
      <w:start w:val="3"/>
    </w:lvl>
  </w:abstractNum>
  <w:abstractNum w:abstractNumId="216">
    <w:nsid w:val="7B9B743C"/>
    <w:multiLevelType w:val="hybridMultilevel"/>
    <w:lvl w:ilvl="0">
      <w:lvlJc w:val="left"/>
      <w:lvlText w:val="%1."/>
      <w:numFmt w:val="decimal"/>
      <w:start w:val="5"/>
    </w:lvl>
    <w:lvl w:ilvl="1">
      <w:lvlJc w:val="left"/>
      <w:lvlText w:val="%2"/>
      <w:numFmt w:val="lowerLetter"/>
      <w:start w:val="1"/>
    </w:lvl>
  </w:abstractNum>
  <w:abstractNum w:abstractNumId="217">
    <w:nsid w:val="13E21002"/>
    <w:multiLevelType w:val="hybridMultilevel"/>
    <w:lvl w:ilvl="0">
      <w:lvlJc w:val="left"/>
      <w:lvlText w:val="%1."/>
      <w:numFmt w:val="decimal"/>
      <w:start w:val="7"/>
    </w:lvl>
    <w:lvl w:ilvl="1">
      <w:lvlJc w:val="left"/>
      <w:lvlText w:val="(%2)"/>
      <w:numFmt w:val="lowerLetter"/>
      <w:start w:val="1"/>
    </w:lvl>
  </w:abstractNum>
  <w:abstractNum w:abstractNumId="218">
    <w:nsid w:val="257D63F4"/>
    <w:multiLevelType w:val="hybridMultilevel"/>
    <w:lvl w:ilvl="0">
      <w:lvlJc w:val="left"/>
      <w:lvlText w:val="%1."/>
      <w:numFmt w:val="decimal"/>
      <w:start w:val="9"/>
    </w:lvl>
  </w:abstractNum>
  <w:abstractNum w:abstractNumId="219">
    <w:nsid w:val="70EC11B2"/>
    <w:multiLevelType w:val="hybridMultilevel"/>
    <w:lvl w:ilvl="0">
      <w:lvlJc w:val="left"/>
      <w:lvlText w:val="%1."/>
      <w:numFmt w:val="decimal"/>
      <w:start w:val="13"/>
    </w:lvl>
    <w:lvl w:ilvl="1">
      <w:lvlJc w:val="left"/>
      <w:lvlText w:val="(%2)"/>
      <w:numFmt w:val="lowerLetter"/>
      <w:start w:val="1"/>
    </w:lvl>
  </w:abstractNum>
  <w:abstractNum w:abstractNumId="220">
    <w:nsid w:val="2EDA00ED"/>
    <w:multiLevelType w:val="hybridMultilevel"/>
    <w:lvl w:ilvl="0">
      <w:lvlJc w:val="left"/>
      <w:lvlText w:val="(%1)"/>
      <w:numFmt w:val="lowerLetter"/>
      <w:start w:val="3"/>
    </w:lvl>
  </w:abstractNum>
  <w:abstractNum w:abstractNumId="221">
    <w:nsid w:val="73209072"/>
    <w:multiLevelType w:val="hybridMultilevel"/>
    <w:lvl w:ilvl="0">
      <w:lvlJc w:val="left"/>
      <w:lvlText w:val="%1"/>
      <w:numFmt w:val="lowerLetter"/>
      <w:start w:val="1"/>
    </w:lvl>
    <w:lvl w:ilvl="1">
      <w:lvlJc w:val="left"/>
      <w:lvlText w:val="%2."/>
      <w:numFmt w:val="decimal"/>
      <w:start w:val="18"/>
    </w:lvl>
    <w:lvl w:ilvl="2">
      <w:lvlJc w:val="left"/>
      <w:lvlText w:val="(%3)"/>
      <w:numFmt w:val="lowerLetter"/>
      <w:start w:val="1"/>
    </w:lvl>
  </w:abstractNum>
  <w:abstractNum w:abstractNumId="222">
    <w:nsid w:val="5FB29816"/>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2"/>
    </w:lvl>
  </w:abstractNum>
  <w:abstractNum w:abstractNumId="223">
    <w:nsid w:val="3CE732EC"/>
    <w:multiLevelType w:val="hybridMultilevel"/>
    <w:lvl w:ilvl="0">
      <w:lvlJc w:val="left"/>
      <w:lvlText w:val="(%1)"/>
      <w:numFmt w:val="lowerLetter"/>
      <w:start w:val="6"/>
    </w:lvl>
  </w:abstractNum>
  <w:abstractNum w:abstractNumId="224">
    <w:nsid w:val="22F13DF3"/>
    <w:multiLevelType w:val="hybridMultilevel"/>
    <w:lvl w:ilvl="0">
      <w:lvlJc w:val="left"/>
      <w:lvlText w:val="%1."/>
      <w:numFmt w:val="decimal"/>
      <w:start w:val="19"/>
    </w:lvl>
    <w:lvl w:ilvl="1">
      <w:lvlJc w:val="left"/>
      <w:lvlText w:val="(%2)"/>
      <w:numFmt w:val="lowerLetter"/>
      <w:start w:val="1"/>
    </w:lvl>
  </w:abstractNum>
  <w:abstractNum w:abstractNumId="225">
    <w:nsid w:val="792B8401"/>
    <w:multiLevelType w:val="hybridMultilevel"/>
    <w:lvl w:ilvl="0">
      <w:lvlJc w:val="left"/>
      <w:lvlText w:val="(%1)"/>
      <w:numFmt w:val="lowerLetter"/>
      <w:start w:val="7"/>
    </w:lvl>
  </w:abstractNum>
  <w:abstractNum w:abstractNumId="226">
    <w:nsid w:val="FA85F4D"/>
    <w:multiLevelType w:val="hybridMultilevel"/>
    <w:lvl w:ilvl="0">
      <w:lvlJc w:val="left"/>
      <w:lvlText w:val="(%1)"/>
      <w:numFmt w:val="lowerLetter"/>
      <w:start w:val="14"/>
    </w:lvl>
  </w:abstractNum>
  <w:abstractNum w:abstractNumId="227">
    <w:nsid w:val="6ECE91F0"/>
    <w:multiLevelType w:val="hybridMultilevel"/>
    <w:lvl w:ilvl="0">
      <w:lvlJc w:val="left"/>
      <w:lvlText w:val="(%1)"/>
      <w:numFmt w:val="lowerLetter"/>
      <w:start w:val="18"/>
    </w:lvl>
  </w:abstractNum>
  <w:abstractNum w:abstractNumId="228">
    <w:nsid w:val="4FC4D600"/>
    <w:multiLevelType w:val="hybridMultilevel"/>
    <w:lvl w:ilvl="0">
      <w:lvlJc w:val="left"/>
      <w:lvlText w:val="%1."/>
      <w:numFmt w:val="decimal"/>
      <w:start w:val="2"/>
    </w:lvl>
  </w:abstractNum>
  <w:abstractNum w:abstractNumId="229">
    <w:nsid w:val="5BFD4210"/>
    <w:multiLevelType w:val="hybridMultilevel"/>
    <w:lvl w:ilvl="0">
      <w:lvlJc w:val="left"/>
      <w:lvlText w:val="%1."/>
      <w:numFmt w:val="decimal"/>
      <w:start w:val="1"/>
    </w:lvl>
    <w:lvl w:ilvl="1">
      <w:lvlJc w:val="left"/>
      <w:lvlText w:val="(%2)"/>
      <w:numFmt w:val="lowerLetter"/>
      <w:start w:val="1"/>
    </w:lvl>
  </w:abstractNum>
  <w:abstractNum w:abstractNumId="230">
    <w:nsid w:val="76574F8B"/>
    <w:multiLevelType w:val="hybridMultilevel"/>
    <w:lvl w:ilvl="0">
      <w:lvlJc w:val="left"/>
      <w:lvlText w:val="(%1)"/>
      <w:numFmt w:val="lowerLetter"/>
      <w:start w:val="2"/>
    </w:lvl>
  </w:abstractNum>
  <w:abstractNum w:abstractNumId="231">
    <w:nsid w:val="178F7B67"/>
    <w:multiLevelType w:val="hybridMultilevel"/>
    <w:lvl w:ilvl="0">
      <w:lvlJc w:val="left"/>
      <w:lvlText w:val="(%1)"/>
      <w:numFmt w:val="lowerLetter"/>
      <w:start w:val="4"/>
    </w:lvl>
  </w:abstractNum>
  <w:abstractNum w:abstractNumId="232">
    <w:nsid w:val="2421DFCF"/>
    <w:multiLevelType w:val="hybridMultilevel"/>
    <w:lvl w:ilvl="0">
      <w:lvlJc w:val="left"/>
      <w:lvlText w:val="(%1)"/>
      <w:numFmt w:val="lowerLetter"/>
      <w:start w:val="5"/>
    </w:lvl>
  </w:abstractNum>
  <w:abstractNum w:abstractNumId="233">
    <w:nsid w:val="1565AC99"/>
    <w:multiLevelType w:val="hybridMultilevel"/>
    <w:lvl w:ilvl="0">
      <w:lvlJc w:val="left"/>
      <w:lvlText w:val="%1"/>
      <w:numFmt w:val="lowerLetter"/>
      <w:start w:val="1"/>
    </w:lvl>
    <w:lvl w:ilvl="1">
      <w:lvlJc w:val="left"/>
      <w:lvlText w:val="(%2)"/>
      <w:numFmt w:val="lowerLetter"/>
      <w:start w:val="6"/>
    </w:lvl>
  </w:abstractNum>
  <w:abstractNum w:abstractNumId="234">
    <w:nsid w:val="19FB2650"/>
    <w:multiLevelType w:val="hybridMultilevel"/>
    <w:lvl w:ilvl="0">
      <w:lvlJc w:val="left"/>
      <w:lvlText w:val="(%1)"/>
      <w:numFmt w:val="lowerLetter"/>
      <w:start w:val="35"/>
    </w:lvl>
    <w:lvl w:ilvl="1">
      <w:lvlJc w:val="left"/>
      <w:lvlText w:val="%2"/>
      <w:numFmt w:val="lowerLetter"/>
      <w:start w:val="1"/>
    </w:lvl>
  </w:abstractNum>
  <w:abstractNum w:abstractNumId="235">
    <w:nsid w:val="5024DE5B"/>
    <w:multiLevelType w:val="hybridMultilevel"/>
    <w:lvl w:ilvl="0">
      <w:lvlJc w:val="left"/>
      <w:lvlText w:val="(%1)"/>
      <w:numFmt w:val="lowerLetter"/>
      <w:start w:val="24"/>
    </w:lvl>
    <w:lvl w:ilvl="1">
      <w:lvlJc w:val="left"/>
      <w:lvlText w:val="%2"/>
      <w:numFmt w:val="lowerLetter"/>
      <w:start w:val="1"/>
    </w:lvl>
  </w:abstractNum>
  <w:abstractNum w:abstractNumId="236">
    <w:nsid w:val="168EFE17"/>
    <w:multiLevelType w:val="hybridMultilevel"/>
    <w:lvl w:ilvl="0">
      <w:lvlJc w:val="left"/>
      <w:lvlText w:val="%1"/>
      <w:numFmt w:val="decimal"/>
      <w:start w:val="1"/>
    </w:lvl>
    <w:lvl w:ilvl="1">
      <w:lvlJc w:val="left"/>
      <w:lvlText w:val="(%2)"/>
      <w:numFmt w:val="lowerLetter"/>
      <w:start w:val="7"/>
    </w:lvl>
  </w:abstractNum>
  <w:abstractNum w:abstractNumId="237">
    <w:nsid w:val="1036B29F"/>
    <w:multiLevelType w:val="hybridMultilevel"/>
    <w:lvl w:ilvl="0">
      <w:lvlJc w:val="left"/>
      <w:lvlText w:val="%1."/>
      <w:numFmt w:val="decimal"/>
      <w:start w:val="2"/>
    </w:lvl>
    <w:lvl w:ilvl="1">
      <w:lvlJc w:val="left"/>
      <w:lvlText w:val="(%2)"/>
      <w:numFmt w:val="lowerLetter"/>
      <w:start w:val="1"/>
    </w:lvl>
  </w:abstractNum>
  <w:abstractNum w:abstractNumId="238">
    <w:nsid w:val="1D206B8E"/>
    <w:multiLevelType w:val="hybridMultilevel"/>
    <w:lvl w:ilvl="0">
      <w:lvlJc w:val="left"/>
      <w:lvlText w:val="(%1)"/>
      <w:numFmt w:val="lowerLetter"/>
      <w:start w:val="2"/>
    </w:lvl>
    <w:lvl w:ilvl="1">
      <w:lvlJc w:val="left"/>
      <w:lvlText w:val="(%2)"/>
      <w:numFmt w:val="lowerRoman"/>
      <w:start w:val="1"/>
    </w:lvl>
  </w:abstractNum>
  <w:abstractNum w:abstractNumId="239">
    <w:nsid w:val="7934D3D4"/>
    <w:multiLevelType w:val="hybridMultilevel"/>
    <w:lvl w:ilvl="0">
      <w:lvlJc w:val="left"/>
      <w:lvlText w:val="%1"/>
      <w:numFmt w:val="decimal"/>
      <w:start w:val="1"/>
    </w:lvl>
    <w:lvl w:ilvl="1">
      <w:lvlJc w:val="left"/>
      <w:lvlText w:val="(%2)"/>
      <w:numFmt w:val="lowerRoman"/>
      <w:start w:val="3"/>
    </w:lvl>
  </w:abstractNum>
  <w:abstractNum w:abstractNumId="240">
    <w:nsid w:val="1C65E98"/>
    <w:multiLevelType w:val="hybridMultilevel"/>
    <w:lvl w:ilvl="0">
      <w:lvlJc w:val="left"/>
      <w:lvlText w:val="(%1)"/>
      <w:numFmt w:val="decimal"/>
      <w:start w:val="5"/>
    </w:lvl>
    <w:lvl w:ilvl="1">
      <w:lvlJc w:val="left"/>
      <w:lvlText w:val="%2"/>
      <w:numFmt w:val="lowerRoman"/>
      <w:start w:val="1"/>
    </w:lvl>
  </w:abstractNum>
  <w:abstractNum w:abstractNumId="241">
    <w:nsid w:val="1495E50A"/>
    <w:multiLevelType w:val="hybridMultilevel"/>
    <w:lvl w:ilvl="0">
      <w:lvlJc w:val="left"/>
      <w:lvlText w:val="%1"/>
      <w:numFmt w:val="lowerLetter"/>
      <w:start w:val="1"/>
    </w:lvl>
    <w:lvl w:ilvl="1">
      <w:lvlJc w:val="left"/>
      <w:lvlText w:val="(%2)"/>
      <w:numFmt w:val="lowerLetter"/>
      <w:start w:val="22"/>
    </w:lvl>
  </w:abstractNum>
  <w:abstractNum w:abstractNumId="242">
    <w:nsid w:val="F5BCF61"/>
    <w:multiLevelType w:val="hybridMultilevel"/>
    <w:lvl w:ilvl="0">
      <w:lvlJc w:val="left"/>
      <w:lvlText w:val="(%1)"/>
      <w:numFmt w:val="lowerLetter"/>
      <w:start w:val="3"/>
    </w:lvl>
    <w:lvl w:ilvl="1">
      <w:lvlJc w:val="left"/>
      <w:lvlText w:val="%2"/>
      <w:numFmt w:val="lowerLetter"/>
      <w:start w:val="1"/>
    </w:lvl>
  </w:abstractNum>
  <w:abstractNum w:abstractNumId="243">
    <w:nsid w:val="3B1DD403"/>
    <w:multiLevelType w:val="hybridMultilevel"/>
    <w:lvl w:ilvl="0">
      <w:lvlJc w:val="left"/>
      <w:lvlText w:val="%1"/>
      <w:numFmt w:val="decimal"/>
      <w:start w:val="1"/>
    </w:lvl>
    <w:lvl w:ilvl="1">
      <w:lvlJc w:val="left"/>
      <w:lvlText w:val="(%2)"/>
      <w:numFmt w:val="lowerLetter"/>
      <w:start w:val="4"/>
    </w:lvl>
  </w:abstractNum>
  <w:abstractNum w:abstractNumId="244">
    <w:nsid w:val="530386D1"/>
    <w:multiLevelType w:val="hybridMultilevel"/>
    <w:lvl w:ilvl="0">
      <w:lvlJc w:val="left"/>
      <w:lvlText w:val="%1."/>
      <w:numFmt w:val="decimal"/>
      <w:start w:val="3"/>
    </w:lvl>
    <w:lvl w:ilvl="1">
      <w:lvlJc w:val="left"/>
      <w:lvlText w:val="(%2)"/>
      <w:numFmt w:val="lowerLetter"/>
      <w:start w:val="1"/>
    </w:lvl>
  </w:abstractNum>
  <w:abstractNum w:abstractNumId="245">
    <w:nsid w:val="7525F2BC"/>
    <w:multiLevelType w:val="hybridMultilevel"/>
    <w:lvl w:ilvl="0">
      <w:lvlJc w:val="left"/>
      <w:lvlText w:val="(%1)"/>
      <w:numFmt w:val="lowerLetter"/>
      <w:start w:val="2"/>
    </w:lvl>
    <w:lvl w:ilvl="1">
      <w:lvlJc w:val="left"/>
      <w:lvlText w:val="(%2)"/>
      <w:numFmt w:val="lowerRoman"/>
      <w:start w:val="1"/>
    </w:lvl>
  </w:abstractNum>
  <w:abstractNum w:abstractNumId="246">
    <w:nsid w:val="CE8E1A7"/>
    <w:multiLevelType w:val="hybridMultilevel"/>
    <w:lvl w:ilvl="0">
      <w:lvlJc w:val="left"/>
      <w:lvlText w:val="%1"/>
      <w:numFmt w:val="decimal"/>
      <w:start w:val="1"/>
    </w:lvl>
    <w:lvl w:ilvl="1">
      <w:lvlJc w:val="left"/>
      <w:lvlText w:val="(%2)"/>
      <w:numFmt w:val="lowerLetter"/>
      <w:start w:val="3"/>
    </w:lvl>
  </w:abstractNum>
  <w:abstractNum w:abstractNumId="247">
    <w:nsid w:val="4E9EFB0D"/>
    <w:multiLevelType w:val="hybridMultilevel"/>
    <w:lvl w:ilvl="0">
      <w:lvlJc w:val="left"/>
      <w:lvlText w:val="%1."/>
      <w:numFmt w:val="decimal"/>
      <w:start w:val="5"/>
    </w:lvl>
    <w:lvl w:ilvl="1">
      <w:lvlJc w:val="left"/>
      <w:lvlText w:val="%2"/>
      <w:numFmt w:val="lowerLetter"/>
      <w:start w:val="1"/>
    </w:lvl>
  </w:abstractNum>
  <w:abstractNum w:abstractNumId="248">
    <w:nsid w:val="90802BE"/>
    <w:multiLevelType w:val="hybridMultilevel"/>
    <w:lvl w:ilvl="0">
      <w:lvlJc w:val="left"/>
      <w:lvlText w:val="%1."/>
      <w:numFmt w:val="decimal"/>
      <w:start w:val="6"/>
    </w:lvl>
    <w:lvl w:ilvl="1">
      <w:lvlJc w:val="left"/>
      <w:lvlText w:val="(%2)"/>
      <w:numFmt w:val="lowerLetter"/>
      <w:start w:val="1"/>
    </w:lvl>
  </w:abstractNum>
  <w:abstractNum w:abstractNumId="249">
    <w:nsid w:val="3266459B"/>
    <w:multiLevelType w:val="hybridMultilevel"/>
    <w:lvl w:ilvl="0">
      <w:lvlJc w:val="left"/>
      <w:lvlText w:val="%1."/>
      <w:numFmt w:val="decimal"/>
      <w:start w:val="8"/>
    </w:lvl>
  </w:abstractNum>
  <w:abstractNum w:abstractNumId="250">
    <w:nsid w:val="3F8B0CBF"/>
    <w:multiLevelType w:val="hybridMultilevel"/>
    <w:lvl w:ilvl="0">
      <w:lvlJc w:val="left"/>
      <w:lvlText w:val="%1."/>
      <w:numFmt w:val="decimal"/>
      <w:start w:val="12"/>
    </w:lvl>
  </w:abstractNum>
  <w:abstractNum w:abstractNumId="251">
    <w:nsid w:val="37E203AB"/>
    <w:multiLevelType w:val="hybridMultilevel"/>
    <w:lvl w:ilvl="0">
      <w:lvlJc w:val="left"/>
      <w:lvlText w:val="%1."/>
      <w:numFmt w:val="decimal"/>
      <w:start w:val="16"/>
    </w:lvl>
    <w:lvl w:ilvl="1">
      <w:lvlJc w:val="left"/>
      <w:lvlText w:val="(%2)"/>
      <w:numFmt w:val="lowerLetter"/>
      <w:start w:val="1"/>
    </w:lvl>
  </w:abstractNum>
  <w:abstractNum w:abstractNumId="252">
    <w:nsid w:val="2586D60E"/>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8"/>
    </w:lvl>
  </w:abstractNum>
  <w:abstractNum w:abstractNumId="253">
    <w:nsid w:val="1F3DA4D5"/>
    <w:multiLevelType w:val="hybridMultilevel"/>
    <w:lvl w:ilvl="0">
      <w:lvlJc w:val="left"/>
      <w:lvlText w:val="%1"/>
      <w:numFmt w:val="lowerLetter"/>
      <w:start w:val="1"/>
    </w:lvl>
    <w:lvl w:ilvl="1">
      <w:lvlJc w:val="left"/>
      <w:lvlText w:val="%2."/>
      <w:numFmt w:val="decimal"/>
      <w:start w:val="18"/>
    </w:lvl>
    <w:lvl w:ilvl="2">
      <w:lvlJc w:val="left"/>
      <w:lvlText w:val="(%3)"/>
      <w:numFmt w:val="lowerLetter"/>
      <w:start w:val="1"/>
    </w:lvl>
  </w:abstractNum>
  <w:abstractNum w:abstractNumId="254">
    <w:nsid w:val="74C93698"/>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2"/>
    </w:lvl>
  </w:abstractNum>
  <w:abstractNum w:abstractNumId="255">
    <w:nsid w:val="48781401"/>
    <w:multiLevelType w:val="hybridMultilevel"/>
    <w:lvl w:ilvl="0">
      <w:lvlJc w:val="left"/>
      <w:lvlText w:val="%1"/>
      <w:numFmt w:val="lowerRoman"/>
      <w:start w:val="1"/>
    </w:lvl>
    <w:lvl w:ilvl="1">
      <w:lvlJc w:val="left"/>
      <w:lvlText w:val="(%2)"/>
      <w:numFmt w:val="lowerLetter"/>
      <w:start w:val="4"/>
    </w:lvl>
  </w:abstractNum>
  <w:abstractNum w:abstractNumId="256">
    <w:nsid w:val="186928D6"/>
    <w:multiLevelType w:val="hybridMultilevel"/>
    <w:lvl w:ilvl="0">
      <w:lvlJc w:val="left"/>
      <w:lvlText w:val="(%1)"/>
      <w:numFmt w:val="lowerRoman"/>
      <w:start w:val="4"/>
    </w:lvl>
    <w:lvl w:ilvl="1">
      <w:lvlJc w:val="left"/>
      <w:lvlText w:val="(%2)"/>
      <w:numFmt w:val="lowerLetter"/>
      <w:start w:val="6"/>
    </w:lvl>
  </w:abstractNum>
  <w:abstractNum w:abstractNumId="257">
    <w:nsid w:val="47195E5"/>
    <w:multiLevelType w:val="hybridMultilevel"/>
    <w:lvl w:ilvl="0">
      <w:lvlJc w:val="left"/>
      <w:lvlText w:val="%1"/>
      <w:numFmt w:val="decimal"/>
      <w:start w:val="1"/>
    </w:lvl>
    <w:lvl w:ilvl="1">
      <w:lvlJc w:val="left"/>
      <w:lvlText w:val="(%2)"/>
      <w:numFmt w:val="lowerLetter"/>
      <w:start w:val="8"/>
    </w:lvl>
  </w:abstractNum>
  <w:abstractNum w:abstractNumId="258">
    <w:nsid w:val="3746A5F2"/>
    <w:multiLevelType w:val="hybridMultilevel"/>
    <w:lvl w:ilvl="0">
      <w:lvlJc w:val="left"/>
      <w:lvlText w:val="%1."/>
      <w:numFmt w:val="decimal"/>
      <w:start w:val="19"/>
    </w:lvl>
    <w:lvl w:ilvl="1">
      <w:lvlJc w:val="left"/>
      <w:lvlText w:val="(%2)"/>
      <w:numFmt w:val="lowerLetter"/>
      <w:start w:val="1"/>
    </w:lvl>
  </w:abstractNum>
  <w:abstractNum w:abstractNumId="259">
    <w:nsid w:val="682DFED6"/>
    <w:multiLevelType w:val="hybridMultilevel"/>
    <w:lvl w:ilvl="0">
      <w:lvlJc w:val="left"/>
      <w:lvlText w:val="(%1)"/>
      <w:numFmt w:val="lowerLetter"/>
      <w:start w:val="3"/>
    </w:lvl>
  </w:abstractNum>
  <w:abstractNum w:abstractNumId="260">
    <w:nsid w:val="606ED7F6"/>
    <w:multiLevelType w:val="hybridMultilevel"/>
    <w:lvl w:ilvl="0">
      <w:lvlJc w:val="left"/>
      <w:lvlText w:val="(%1)"/>
      <w:numFmt w:val="lowerLetter"/>
      <w:start w:val="7"/>
    </w:lvl>
  </w:abstractNum>
  <w:abstractNum w:abstractNumId="261">
    <w:nsid w:val="2D9DF57D"/>
    <w:multiLevelType w:val="hybridMultilevel"/>
    <w:lvl w:ilvl="0">
      <w:lvlJc w:val="left"/>
      <w:lvlText w:val="(%1)"/>
      <w:numFmt w:val="lowerLetter"/>
      <w:start w:val="14"/>
    </w:lvl>
  </w:abstractNum>
  <w:abstractNum w:abstractNumId="262">
    <w:nsid w:val="7FBD7A3E"/>
    <w:multiLevelType w:val="hybridMultilevel"/>
    <w:lvl w:ilvl="0">
      <w:lvlJc w:val="left"/>
      <w:lvlText w:val="(%1)"/>
      <w:numFmt w:val="lowerLetter"/>
      <w:start w:val="18"/>
    </w:lvl>
  </w:abstractNum>
  <w:abstractNum w:abstractNumId="263">
    <w:nsid w:val="490B7C5"/>
    <w:multiLevelType w:val="hybridMultilevel"/>
    <w:lvl w:ilvl="0">
      <w:lvlJc w:val="left"/>
      <w:lvlText w:val="%1."/>
      <w:numFmt w:val="decimal"/>
      <w:start w:val="2"/>
    </w:lvl>
  </w:abstractNum>
  <w:abstractNum w:abstractNumId="264">
    <w:nsid w:val="4303A216"/>
    <w:multiLevelType w:val="hybridMultilevel"/>
    <w:lvl w:ilvl="0">
      <w:lvlJc w:val="left"/>
      <w:lvlText w:val="%1."/>
      <w:numFmt w:val="decimal"/>
      <w:start w:val="1"/>
    </w:lvl>
    <w:lvl w:ilvl="1">
      <w:lvlJc w:val="left"/>
      <w:lvlText w:val="(%2)"/>
      <w:numFmt w:val="lowerLetter"/>
      <w:start w:val="1"/>
    </w:lvl>
  </w:abstractNum>
  <w:abstractNum w:abstractNumId="265">
    <w:nsid w:val="19B8A08E"/>
    <w:multiLevelType w:val="hybridMultilevel"/>
    <w:lvl w:ilvl="0">
      <w:lvlJc w:val="left"/>
      <w:lvlText w:val="(%1)"/>
      <w:numFmt w:val="lowerLetter"/>
      <w:start w:val="2"/>
    </w:lvl>
  </w:abstractNum>
  <w:abstractNum w:abstractNumId="266">
    <w:nsid w:val="54B59621"/>
    <w:multiLevelType w:val="hybridMultilevel"/>
    <w:lvl w:ilvl="0">
      <w:lvlJc w:val="left"/>
      <w:lvlText w:val="(%1)"/>
      <w:numFmt w:val="lowerLetter"/>
      <w:start w:val="4"/>
    </w:lvl>
  </w:abstractNum>
  <w:abstractNum w:abstractNumId="267">
    <w:nsid w:val="5992A02E"/>
    <w:multiLevelType w:val="hybridMultilevel"/>
    <w:lvl w:ilvl="0">
      <w:lvlJc w:val="left"/>
      <w:lvlText w:val="(%1)"/>
      <w:numFmt w:val="lowerLetter"/>
      <w:start w:val="5"/>
    </w:lvl>
  </w:abstractNum>
  <w:abstractNum w:abstractNumId="268">
    <w:nsid w:val="29EF532D"/>
    <w:multiLevelType w:val="hybridMultilevel"/>
    <w:lvl w:ilvl="0">
      <w:lvlJc w:val="left"/>
      <w:lvlText w:val="%1"/>
      <w:numFmt w:val="lowerLetter"/>
      <w:start w:val="1"/>
    </w:lvl>
    <w:lvl w:ilvl="1">
      <w:lvlJc w:val="left"/>
      <w:lvlText w:val="(%2)"/>
      <w:numFmt w:val="lowerLetter"/>
      <w:start w:val="6"/>
    </w:lvl>
  </w:abstractNum>
  <w:abstractNum w:abstractNumId="269">
    <w:nsid w:val="71D601AF"/>
    <w:multiLevelType w:val="hybridMultilevel"/>
    <w:lvl w:ilvl="0">
      <w:lvlJc w:val="left"/>
      <w:lvlText w:val="(%1)"/>
      <w:numFmt w:val="lowerLetter"/>
      <w:start w:val="35"/>
    </w:lvl>
    <w:lvl w:ilvl="1">
      <w:lvlJc w:val="left"/>
      <w:lvlText w:val="%2"/>
      <w:numFmt w:val="lowerLetter"/>
      <w:start w:val="1"/>
    </w:lvl>
  </w:abstractNum>
  <w:abstractNum w:abstractNumId="270">
    <w:nsid w:val="52C77402"/>
    <w:multiLevelType w:val="hybridMultilevel"/>
    <w:lvl w:ilvl="0">
      <w:lvlJc w:val="left"/>
      <w:lvlText w:val="(%1)"/>
      <w:numFmt w:val="lowerLetter"/>
      <w:start w:val="24"/>
    </w:lvl>
    <w:lvl w:ilvl="1">
      <w:lvlJc w:val="left"/>
      <w:lvlText w:val="%2"/>
      <w:numFmt w:val="lowerLetter"/>
      <w:start w:val="1"/>
    </w:lvl>
  </w:abstractNum>
  <w:abstractNum w:abstractNumId="271">
    <w:nsid w:val="2BB5B1C6"/>
    <w:multiLevelType w:val="hybridMultilevel"/>
    <w:lvl w:ilvl="0">
      <w:lvlJc w:val="left"/>
      <w:lvlText w:val="%1"/>
      <w:numFmt w:val="decimal"/>
      <w:start w:val="1"/>
    </w:lvl>
    <w:lvl w:ilvl="1">
      <w:lvlJc w:val="left"/>
      <w:lvlText w:val="(%2)"/>
      <w:numFmt w:val="lowerLetter"/>
      <w:start w:val="7"/>
    </w:lvl>
  </w:abstractNum>
  <w:abstractNum w:abstractNumId="272">
    <w:nsid w:val="66BE6B9"/>
    <w:multiLevelType w:val="hybridMultilevel"/>
    <w:lvl w:ilvl="0">
      <w:lvlJc w:val="left"/>
      <w:lvlText w:val="%1."/>
      <w:numFmt w:val="decimal"/>
      <w:start w:val="2"/>
    </w:lvl>
    <w:lvl w:ilvl="1">
      <w:lvlJc w:val="left"/>
      <w:lvlText w:val="(%2)"/>
      <w:numFmt w:val="lowerLetter"/>
      <w:start w:val="1"/>
    </w:lvl>
  </w:abstractNum>
  <w:abstractNum w:abstractNumId="273">
    <w:nsid w:val="62234363"/>
    <w:multiLevelType w:val="hybridMultilevel"/>
    <w:lvl w:ilvl="0">
      <w:lvlJc w:val="left"/>
      <w:lvlText w:val="(%1)"/>
      <w:numFmt w:val="lowerLetter"/>
      <w:start w:val="2"/>
    </w:lvl>
    <w:lvl w:ilvl="1">
      <w:lvlJc w:val="left"/>
      <w:lvlText w:val="(%2)"/>
      <w:numFmt w:val="lowerRoman"/>
      <w:start w:val="1"/>
    </w:lvl>
  </w:abstractNum>
  <w:abstractNum w:abstractNumId="274">
    <w:nsid w:val="66D385C9"/>
    <w:multiLevelType w:val="hybridMultilevel"/>
    <w:lvl w:ilvl="0">
      <w:lvlJc w:val="left"/>
      <w:lvlText w:val="%1"/>
      <w:numFmt w:val="decimal"/>
      <w:start w:val="1"/>
    </w:lvl>
    <w:lvl w:ilvl="1">
      <w:lvlJc w:val="left"/>
      <w:lvlText w:val="(%2)"/>
      <w:numFmt w:val="lowerRoman"/>
      <w:start w:val="3"/>
    </w:lvl>
  </w:abstractNum>
  <w:abstractNum w:abstractNumId="275">
    <w:nsid w:val="596F6D8A"/>
    <w:multiLevelType w:val="hybridMultilevel"/>
    <w:lvl w:ilvl="0">
      <w:lvlJc w:val="left"/>
      <w:lvlText w:val="(%1)"/>
      <w:numFmt w:val="decimal"/>
      <w:start w:val="5"/>
    </w:lvl>
    <w:lvl w:ilvl="1">
      <w:lvlJc w:val="left"/>
      <w:lvlText w:val="%2"/>
      <w:numFmt w:val="lowerRoman"/>
      <w:start w:val="1"/>
    </w:lvl>
  </w:abstractNum>
  <w:abstractNum w:abstractNumId="276">
    <w:nsid w:val="5749361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2"/>
    </w:lvl>
  </w:abstractNum>
  <w:abstractNum w:abstractNumId="277">
    <w:nsid w:val="73BC6770"/>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278">
    <w:nsid w:val="280E6897"/>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279">
    <w:nsid w:val="605138DE"/>
    <w:multiLevelType w:val="hybridMultilevel"/>
    <w:lvl w:ilvl="0">
      <w:lvlJc w:val="left"/>
      <w:lvlText w:val="(%1)"/>
      <w:numFmt w:val="lowerLetter"/>
      <w:start w:val="2"/>
    </w:lvl>
    <w:lvl w:ilvl="1">
      <w:lvlJc w:val="left"/>
      <w:lvlText w:val="(%2)"/>
      <w:numFmt w:val="lowerRoman"/>
      <w:start w:val="1"/>
    </w:lvl>
  </w:abstractNum>
  <w:abstractNum w:abstractNumId="280">
    <w:nsid w:val="2622AD0C"/>
    <w:multiLevelType w:val="hybridMultilevel"/>
    <w:lvl w:ilvl="0">
      <w:lvlJc w:val="left"/>
      <w:lvlText w:val="%1"/>
      <w:numFmt w:val="decimal"/>
      <w:start w:val="1"/>
    </w:lvl>
    <w:lvl w:ilvl="1">
      <w:lvlJc w:val="left"/>
      <w:lvlText w:val="(%2)"/>
      <w:numFmt w:val="lowerLetter"/>
      <w:start w:val="3"/>
    </w:lvl>
  </w:abstractNum>
  <w:abstractNum w:abstractNumId="281">
    <w:nsid w:val="67997556"/>
    <w:multiLevelType w:val="hybridMultilevel"/>
    <w:lvl w:ilvl="0">
      <w:lvlJc w:val="left"/>
      <w:lvlText w:val="%1."/>
      <w:numFmt w:val="decimal"/>
      <w:start w:val="5"/>
    </w:lvl>
    <w:lvl w:ilvl="1">
      <w:lvlJc w:val="left"/>
      <w:lvlText w:val="%2"/>
      <w:numFmt w:val="lowerLetter"/>
      <w:start w:val="1"/>
    </w:lvl>
  </w:abstractNum>
  <w:abstractNum w:abstractNumId="282">
    <w:nsid w:val="18333C89"/>
    <w:multiLevelType w:val="hybridMultilevel"/>
    <w:lvl w:ilvl="0">
      <w:lvlJc w:val="left"/>
      <w:lvlText w:val="%1."/>
      <w:numFmt w:val="decimal"/>
      <w:start w:val="6"/>
    </w:lvl>
    <w:lvl w:ilvl="1">
      <w:lvlJc w:val="left"/>
      <w:lvlText w:val="(%2)"/>
      <w:numFmt w:val="lowerLetter"/>
      <w:start w:val="1"/>
    </w:lvl>
  </w:abstractNum>
  <w:abstractNum w:abstractNumId="283">
    <w:nsid w:val="4BA9831A"/>
    <w:multiLevelType w:val="hybridMultilevel"/>
    <w:lvl w:ilvl="0">
      <w:lvlJc w:val="left"/>
      <w:lvlText w:val="%1"/>
      <w:numFmt w:val="decimal"/>
      <w:start w:val="1"/>
    </w:lvl>
    <w:lvl w:ilvl="1">
      <w:lvlJc w:val="left"/>
      <w:lvlText w:val="(%2)"/>
      <w:numFmt w:val="lowerLetter"/>
      <w:start w:val="4"/>
    </w:lvl>
  </w:abstractNum>
  <w:abstractNum w:abstractNumId="284">
    <w:nsid w:val="6D71A2B"/>
    <w:multiLevelType w:val="hybridMultilevel"/>
    <w:lvl w:ilvl="0">
      <w:lvlJc w:val="left"/>
      <w:lvlText w:val="%1."/>
      <w:numFmt w:val="decimal"/>
      <w:start w:val="8"/>
    </w:lvl>
    <w:lvl w:ilvl="1">
      <w:lvlJc w:val="left"/>
      <w:lvlText w:val="%2"/>
      <w:numFmt w:val="lowerLetter"/>
      <w:start w:val="1"/>
    </w:lvl>
  </w:abstractNum>
  <w:abstractNum w:abstractNumId="285">
    <w:nsid w:val="CFC7321"/>
    <w:multiLevelType w:val="hybridMultilevel"/>
    <w:lvl w:ilvl="0">
      <w:lvlJc w:val="left"/>
      <w:lvlText w:val="%1."/>
      <w:numFmt w:val="decimal"/>
      <w:start w:val="11"/>
    </w:lvl>
  </w:abstractNum>
  <w:abstractNum w:abstractNumId="286">
    <w:nsid w:val="1421971B"/>
    <w:multiLevelType w:val="hybridMultilevel"/>
    <w:lvl w:ilvl="0">
      <w:lvlJc w:val="left"/>
      <w:lvlText w:val="%1."/>
      <w:numFmt w:val="decimal"/>
      <w:start w:val="15"/>
    </w:lvl>
    <w:lvl w:ilvl="1">
      <w:lvlJc w:val="left"/>
      <w:lvlText w:val="(%2)"/>
      <w:numFmt w:val="lowerLetter"/>
      <w:start w:val="1"/>
    </w:lvl>
  </w:abstractNum>
  <w:abstractNum w:abstractNumId="287">
    <w:nsid w:val="1F404301"/>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7"/>
    </w:lvl>
  </w:abstractNum>
  <w:abstractNum w:abstractNumId="288">
    <w:nsid w:val="116E0907"/>
    <w:multiLevelType w:val="hybridMultilevel"/>
    <w:lvl w:ilvl="0">
      <w:lvlJc w:val="left"/>
      <w:lvlText w:val="%1"/>
      <w:numFmt w:val="lowerLetter"/>
      <w:start w:val="1"/>
    </w:lvl>
    <w:lvl w:ilvl="1">
      <w:lvlJc w:val="left"/>
      <w:lvlText w:val="%2."/>
      <w:numFmt w:val="decimal"/>
      <w:start w:val="18"/>
    </w:lvl>
    <w:lvl w:ilvl="2">
      <w:lvlJc w:val="left"/>
      <w:lvlText w:val="(%3)"/>
      <w:numFmt w:val="lowerLetter"/>
      <w:start w:val="1"/>
    </w:lvl>
  </w:abstractNum>
  <w:abstractNum w:abstractNumId="289">
    <w:nsid w:val="4B683D0D"/>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290">
    <w:nsid w:val="76E41D8"/>
    <w:multiLevelType w:val="hybridMultilevel"/>
    <w:lvl w:ilvl="0">
      <w:lvlJc w:val="left"/>
      <w:lvlText w:val="%1"/>
      <w:numFmt w:val="lowerRoman"/>
      <w:start w:val="1"/>
    </w:lvl>
    <w:lvl w:ilvl="1">
      <w:lvlJc w:val="left"/>
      <w:lvlText w:val="(%2)"/>
      <w:numFmt w:val="lowerLetter"/>
      <w:start w:val="2"/>
    </w:lvl>
  </w:abstractNum>
  <w:abstractNum w:abstractNumId="291">
    <w:nsid w:val="71DCE0FD"/>
    <w:multiLevelType w:val="hybridMultilevel"/>
    <w:lvl w:ilvl="0">
      <w:lvlJc w:val="left"/>
      <w:lvlText w:val="(%1)"/>
      <w:numFmt w:val="lowerRoman"/>
      <w:start w:val="4"/>
    </w:lvl>
    <w:lvl w:ilvl="1">
      <w:lvlJc w:val="left"/>
      <w:lvlText w:val="(%2)"/>
      <w:numFmt w:val="lowerLetter"/>
      <w:start w:val="6"/>
    </w:lvl>
  </w:abstractNum>
  <w:abstractNum w:abstractNumId="292">
    <w:nsid w:val="7906328B"/>
    <w:multiLevelType w:val="hybridMultilevel"/>
    <w:lvl w:ilvl="0">
      <w:lvlJc w:val="left"/>
      <w:lvlText w:val="(%1)"/>
      <w:numFmt w:val="lowerLetter"/>
      <w:start w:val="7"/>
    </w:lvl>
  </w:abstractNum>
  <w:abstractNum w:abstractNumId="293">
    <w:nsid w:val="72BBC16"/>
    <w:multiLevelType w:val="hybridMultilevel"/>
    <w:lvl w:ilvl="0">
      <w:lvlJc w:val="left"/>
      <w:lvlText w:val="%1."/>
      <w:numFmt w:val="decimal"/>
      <w:start w:val="19"/>
    </w:lvl>
    <w:lvl w:ilvl="1">
      <w:lvlJc w:val="left"/>
      <w:lvlText w:val="(%2)"/>
      <w:numFmt w:val="lowerLetter"/>
      <w:start w:val="1"/>
    </w:lvl>
  </w:abstractNum>
  <w:abstractNum w:abstractNumId="294">
    <w:nsid w:val="766D98C2"/>
    <w:multiLevelType w:val="hybridMultilevel"/>
    <w:lvl w:ilvl="0">
      <w:lvlJc w:val="left"/>
      <w:lvlText w:val="(%1)"/>
      <w:numFmt w:val="lowerLetter"/>
      <w:start w:val="6"/>
    </w:lvl>
  </w:abstractNum>
  <w:abstractNum w:abstractNumId="295">
    <w:nsid w:val="3C09D4A1"/>
    <w:multiLevelType w:val="hybridMultilevel"/>
    <w:lvl w:ilvl="0">
      <w:lvlJc w:val="left"/>
      <w:lvlText w:val="(%1)"/>
      <w:numFmt w:val="lowerLetter"/>
      <w:start w:val="12"/>
    </w:lvl>
  </w:abstractNum>
  <w:abstractNum w:abstractNumId="296">
    <w:nsid w:val="20E45CA4"/>
    <w:multiLevelType w:val="hybridMultilevel"/>
    <w:lvl w:ilvl="0">
      <w:lvlJc w:val="left"/>
      <w:lvlText w:val="(%1)"/>
      <w:numFmt w:val="lowerLetter"/>
      <w:start w:val="18"/>
    </w:lvl>
  </w:abstractNum>
  <w:abstractNum w:abstractNumId="297">
    <w:nsid w:val="4B232EE3"/>
    <w:multiLevelType w:val="hybridMultilevel"/>
    <w:lvl w:ilvl="0">
      <w:lvlJc w:val="left"/>
      <w:lvlText w:val="%1."/>
      <w:numFmt w:val="decimal"/>
      <w:start w:val="1"/>
    </w:lvl>
  </w:abstractNum>
  <w:abstractNum w:abstractNumId="298">
    <w:nsid w:val="159C74CF"/>
    <w:multiLevelType w:val="hybridMultilevel"/>
    <w:lvl w:ilvl="0">
      <w:lvlJc w:val="left"/>
      <w:lvlText w:val="%1."/>
      <w:numFmt w:val="decimal"/>
      <w:start w:val="2"/>
    </w:lvl>
  </w:abstractNum>
  <w:abstractNum w:abstractNumId="299">
    <w:nsid w:val="4AD3AFD2"/>
    <w:multiLevelType w:val="hybridMultilevel"/>
    <w:lvl w:ilvl="0">
      <w:lvlJc w:val="left"/>
      <w:lvlText w:val="%1."/>
      <w:numFmt w:val="decimal"/>
      <w:start w:val="1"/>
    </w:lvl>
    <w:lvl w:ilvl="1">
      <w:lvlJc w:val="left"/>
      <w:lvlText w:val="(%2)"/>
      <w:numFmt w:val="lowerLetter"/>
      <w:start w:val="1"/>
    </w:lvl>
  </w:abstractNum>
  <w:abstractNum w:abstractNumId="300">
    <w:nsid w:val="3CF93092"/>
    <w:multiLevelType w:val="hybridMultilevel"/>
    <w:lvl w:ilvl="0">
      <w:lvlJc w:val="left"/>
      <w:lvlText w:val="(%1)"/>
      <w:numFmt w:val="lowerLetter"/>
      <w:start w:val="2"/>
    </w:lvl>
  </w:abstractNum>
  <w:abstractNum w:abstractNumId="301">
    <w:nsid w:val="6863E8D2"/>
    <w:multiLevelType w:val="hybridMultilevel"/>
    <w:lvl w:ilvl="0">
      <w:lvlJc w:val="left"/>
      <w:lvlText w:val="(%1)"/>
      <w:numFmt w:val="lowerLetter"/>
      <w:start w:val="4"/>
    </w:lvl>
  </w:abstractNum>
  <w:abstractNum w:abstractNumId="302">
    <w:nsid w:val="76896198"/>
    <w:multiLevelType w:val="hybridMultilevel"/>
    <w:lvl w:ilvl="0">
      <w:lvlJc w:val="left"/>
      <w:lvlText w:val="(%1)"/>
      <w:numFmt w:val="lowerLetter"/>
      <w:start w:val="5"/>
    </w:lvl>
  </w:abstractNum>
  <w:abstractNum w:abstractNumId="303">
    <w:nsid w:val="4365174B"/>
    <w:multiLevelType w:val="hybridMultilevel"/>
    <w:lvl w:ilvl="0">
      <w:lvlJc w:val="left"/>
      <w:lvlText w:val="%1"/>
      <w:numFmt w:val="lowerLetter"/>
      <w:start w:val="1"/>
    </w:lvl>
    <w:lvl w:ilvl="1">
      <w:lvlJc w:val="left"/>
      <w:lvlText w:val="(%2)"/>
      <w:numFmt w:val="lowerLetter"/>
      <w:start w:val="6"/>
    </w:lvl>
  </w:abstractNum>
  <w:abstractNum w:abstractNumId="304">
    <w:nsid w:val="4A872C35"/>
    <w:multiLevelType w:val="hybridMultilevel"/>
    <w:lvl w:ilvl="0">
      <w:lvlJc w:val="left"/>
      <w:lvlText w:val="(%1)"/>
      <w:numFmt w:val="lowerLetter"/>
      <w:start w:val="35"/>
    </w:lvl>
    <w:lvl w:ilvl="1">
      <w:lvlJc w:val="left"/>
      <w:lvlText w:val="%2"/>
      <w:numFmt w:val="lowerLetter"/>
      <w:start w:val="1"/>
    </w:lvl>
  </w:abstractNum>
  <w:abstractNum w:abstractNumId="305">
    <w:nsid w:val="5D5CE761"/>
    <w:multiLevelType w:val="hybridMultilevel"/>
    <w:lvl w:ilvl="0">
      <w:lvlJc w:val="left"/>
      <w:lvlText w:val="%1"/>
      <w:numFmt w:val="decimal"/>
      <w:start w:val="1"/>
    </w:lvl>
    <w:lvl w:ilvl="1">
      <w:lvlJc w:val="left"/>
      <w:lvlText w:val="(%2)"/>
      <w:numFmt w:val="lowerLetter"/>
      <w:start w:val="7"/>
    </w:lvl>
  </w:abstractNum>
  <w:abstractNum w:abstractNumId="306">
    <w:nsid w:val="1CD484D5"/>
    <w:multiLevelType w:val="hybridMultilevel"/>
    <w:lvl w:ilvl="0">
      <w:lvlJc w:val="left"/>
      <w:lvlText w:val="%1."/>
      <w:numFmt w:val="decimal"/>
      <w:start w:val="2"/>
    </w:lvl>
    <w:lvl w:ilvl="1">
      <w:lvlJc w:val="left"/>
      <w:lvlText w:val="(%2)"/>
      <w:numFmt w:val="lowerLetter"/>
      <w:start w:val="1"/>
    </w:lvl>
  </w:abstractNum>
  <w:abstractNum w:abstractNumId="307">
    <w:nsid w:val="21D06255"/>
    <w:multiLevelType w:val="hybridMultilevel"/>
    <w:lvl w:ilvl="0">
      <w:lvlJc w:val="left"/>
      <w:lvlText w:val="%1"/>
      <w:numFmt w:val="decimal"/>
      <w:start w:val="1"/>
    </w:lvl>
    <w:lvl w:ilvl="1">
      <w:lvlJc w:val="left"/>
      <w:lvlText w:val="(%2)"/>
      <w:numFmt w:val="lowerLetter"/>
      <w:start w:val="2"/>
    </w:lvl>
  </w:abstractNum>
  <w:abstractNum w:abstractNumId="308">
    <w:nsid w:val="51194ED1"/>
    <w:multiLevelType w:val="hybridMultilevel"/>
    <w:lvl w:ilvl="0">
      <w:lvlJc w:val="left"/>
      <w:lvlText w:val="%1."/>
      <w:numFmt w:val="decimal"/>
      <w:start w:val="3"/>
    </w:lvl>
    <w:lvl w:ilvl="1">
      <w:lvlJc w:val="left"/>
      <w:lvlText w:val="(%2)"/>
      <w:numFmt w:val="lowerLetter"/>
      <w:start w:val="1"/>
    </w:lvl>
  </w:abstractNum>
  <w:abstractNum w:abstractNumId="309">
    <w:nsid w:val="44E2ED6C"/>
    <w:multiLevelType w:val="hybridMultilevel"/>
    <w:lvl w:ilvl="0">
      <w:lvlJc w:val="left"/>
      <w:lvlText w:val="(%1)"/>
      <w:numFmt w:val="lowerLetter"/>
      <w:start w:val="2"/>
    </w:lvl>
    <w:lvl w:ilvl="1">
      <w:lvlJc w:val="left"/>
      <w:lvlText w:val="(%2)"/>
      <w:numFmt w:val="lowerRoman"/>
      <w:start w:val="1"/>
    </w:lvl>
  </w:abstractNum>
  <w:abstractNum w:abstractNumId="310">
    <w:nsid w:val="2219B33"/>
    <w:multiLevelType w:val="hybridMultilevel"/>
    <w:lvl w:ilvl="0">
      <w:lvlJc w:val="left"/>
      <w:lvlText w:val="%1"/>
      <w:numFmt w:val="decimal"/>
      <w:start w:val="1"/>
    </w:lvl>
    <w:lvl w:ilvl="1">
      <w:lvlJc w:val="left"/>
      <w:lvlText w:val="(%2)"/>
      <w:numFmt w:val="lowerLetter"/>
      <w:start w:val="3"/>
    </w:lvl>
  </w:abstractNum>
  <w:abstractNum w:abstractNumId="311">
    <w:nsid w:val="773BFBDD"/>
    <w:multiLevelType w:val="hybridMultilevel"/>
    <w:lvl w:ilvl="0">
      <w:lvlJc w:val="left"/>
      <w:lvlText w:val="%1."/>
      <w:numFmt w:val="decimal"/>
      <w:start w:val="5"/>
    </w:lvl>
    <w:lvl w:ilvl="1">
      <w:lvlJc w:val="left"/>
      <w:lvlText w:val="%2"/>
      <w:numFmt w:val="lowerLetter"/>
      <w:start w:val="1"/>
    </w:lvl>
  </w:abstractNum>
  <w:abstractNum w:abstractNumId="312">
    <w:nsid w:val="2C7C62C2"/>
    <w:multiLevelType w:val="hybridMultilevel"/>
    <w:lvl w:ilvl="0">
      <w:lvlJc w:val="left"/>
      <w:lvlText w:val="%1."/>
      <w:numFmt w:val="decimal"/>
      <w:start w:val="7"/>
    </w:lvl>
    <w:lvl w:ilvl="1">
      <w:lvlJc w:val="left"/>
      <w:lvlText w:val="(%2)"/>
      <w:numFmt w:val="lowerLetter"/>
      <w:start w:val="1"/>
    </w:lvl>
  </w:abstractNum>
  <w:abstractNum w:abstractNumId="313">
    <w:nsid w:val="1A54D7BC"/>
    <w:multiLevelType w:val="hybridMultilevel"/>
    <w:lvl w:ilvl="0">
      <w:lvlJc w:val="left"/>
      <w:lvlText w:val="%1."/>
      <w:numFmt w:val="decimal"/>
      <w:start w:val="9"/>
    </w:lvl>
  </w:abstractNum>
  <w:abstractNum w:abstractNumId="314">
    <w:nsid w:val="42E57EF7"/>
    <w:multiLevelType w:val="hybridMultilevel"/>
    <w:lvl w:ilvl="0">
      <w:lvlJc w:val="left"/>
      <w:lvlText w:val="%1."/>
      <w:numFmt w:val="decimal"/>
      <w:start w:val="13"/>
    </w:lvl>
    <w:lvl w:ilvl="1">
      <w:lvlJc w:val="left"/>
      <w:lvlText w:val="(%2)"/>
      <w:numFmt w:val="lowerLetter"/>
      <w:start w:val="1"/>
    </w:lvl>
  </w:abstractNum>
  <w:abstractNum w:abstractNumId="315">
    <w:nsid w:val="33537CED"/>
    <w:multiLevelType w:val="hybridMultilevel"/>
    <w:lvl w:ilvl="0">
      <w:lvlJc w:val="left"/>
      <w:lvlText w:val="(%1)"/>
      <w:numFmt w:val="lowerLetter"/>
      <w:start w:val="3"/>
    </w:lvl>
  </w:abstractNum>
  <w:abstractNum w:abstractNumId="316">
    <w:nsid w:val="27514ADE"/>
    <w:multiLevelType w:val="hybridMultilevel"/>
    <w:lvl w:ilvl="0">
      <w:lvlJc w:val="left"/>
      <w:lvlText w:val="%1"/>
      <w:numFmt w:val="lowerLetter"/>
      <w:start w:val="1"/>
    </w:lvl>
    <w:lvl w:ilvl="1">
      <w:lvlJc w:val="left"/>
      <w:lvlText w:val="%2."/>
      <w:numFmt w:val="decimal"/>
      <w:start w:val="18"/>
    </w:lvl>
    <w:lvl w:ilvl="2">
      <w:lvlJc w:val="left"/>
      <w:lvlText w:val="(%3)"/>
      <w:numFmt w:val="lowerLetter"/>
      <w:start w:val="1"/>
    </w:lvl>
  </w:abstractNum>
  <w:abstractNum w:abstractNumId="317">
    <w:nsid w:val="57071613"/>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2"/>
    </w:lvl>
  </w:abstractNum>
  <w:abstractNum w:abstractNumId="318">
    <w:nsid w:val="5293BFEF"/>
    <w:multiLevelType w:val="hybridMultilevel"/>
    <w:lvl w:ilvl="0">
      <w:lvlJc w:val="left"/>
      <w:lvlText w:val="(%1)"/>
      <w:numFmt w:val="lowerLetter"/>
      <w:start w:val="6"/>
    </w:lvl>
  </w:abstractNum>
  <w:abstractNum w:abstractNumId="319">
    <w:nsid w:val="38BF53E5"/>
    <w:multiLevelType w:val="hybridMultilevel"/>
    <w:lvl w:ilvl="0">
      <w:lvlJc w:val="left"/>
      <w:lvlText w:val="%1."/>
      <w:numFmt w:val="decimal"/>
      <w:start w:val="19"/>
    </w:lvl>
    <w:lvl w:ilvl="1">
      <w:lvlJc w:val="left"/>
      <w:lvlText w:val="(%2)"/>
      <w:numFmt w:val="lowerLetter"/>
      <w:start w:val="1"/>
    </w:lvl>
  </w:abstractNum>
  <w:abstractNum w:abstractNumId="320">
    <w:nsid w:val="226F5320"/>
    <w:multiLevelType w:val="hybridMultilevel"/>
    <w:lvl w:ilvl="0">
      <w:lvlJc w:val="left"/>
      <w:lvlText w:val="(%1)"/>
      <w:numFmt w:val="lowerLetter"/>
      <w:start w:val="7"/>
    </w:lvl>
  </w:abstractNum>
  <w:abstractNum w:abstractNumId="321">
    <w:nsid w:val="5A0201C7"/>
    <w:multiLevelType w:val="hybridMultilevel"/>
    <w:lvl w:ilvl="0">
      <w:lvlJc w:val="left"/>
      <w:lvlText w:val="(%1)"/>
      <w:numFmt w:val="lowerLetter"/>
      <w:start w:val="15"/>
    </w:lvl>
  </w:abstractNum>
  <w:abstractNum w:abstractNumId="322">
    <w:nsid w:val="2A9C34E2"/>
    <w:multiLevelType w:val="hybridMultilevel"/>
    <w:lvl w:ilvl="0">
      <w:lvlJc w:val="left"/>
      <w:lvlText w:val="%1."/>
      <w:numFmt w:val="decimal"/>
      <w:start w:val="2"/>
    </w:lvl>
  </w:abstractNum>
  <w:abstractNum w:abstractNumId="323">
    <w:nsid w:val="1B7585AB"/>
    <w:multiLevelType w:val="hybridMultilevel"/>
    <w:lvl w:ilvl="0">
      <w:lvlJc w:val="left"/>
      <w:lvlText w:val="%1."/>
      <w:numFmt w:val="decimal"/>
      <w:start w:val="1"/>
    </w:lvl>
    <w:lvl w:ilvl="1">
      <w:lvlJc w:val="left"/>
      <w:lvlText w:val="(%2)"/>
      <w:numFmt w:val="lowerLetter"/>
      <w:start w:val="1"/>
    </w:lvl>
  </w:abstractNum>
  <w:abstractNum w:abstractNumId="324">
    <w:nsid w:val="612DBDDD"/>
    <w:multiLevelType w:val="hybridMultilevel"/>
    <w:lvl w:ilvl="0">
      <w:lvlJc w:val="left"/>
      <w:lvlText w:val="(%1)"/>
      <w:numFmt w:val="lowerLetter"/>
      <w:start w:val="2"/>
    </w:lvl>
  </w:abstractNum>
  <w:abstractNum w:abstractNumId="325">
    <w:nsid w:val="2109CDA4"/>
    <w:multiLevelType w:val="hybridMultilevel"/>
    <w:lvl w:ilvl="0">
      <w:lvlJc w:val="left"/>
      <w:lvlText w:val="(%1)"/>
      <w:numFmt w:val="lowerLetter"/>
      <w:start w:val="4"/>
    </w:lvl>
  </w:abstractNum>
  <w:abstractNum w:abstractNumId="326">
    <w:nsid w:val="577F5A4D"/>
    <w:multiLevelType w:val="hybridMultilevel"/>
    <w:lvl w:ilvl="0">
      <w:lvlJc w:val="left"/>
      <w:lvlText w:val="(%1)"/>
      <w:numFmt w:val="lowerLetter"/>
      <w:start w:val="5"/>
    </w:lvl>
  </w:abstractNum>
  <w:abstractNum w:abstractNumId="327">
    <w:nsid w:val="2121A81"/>
    <w:multiLevelType w:val="hybridMultilevel"/>
    <w:lvl w:ilvl="0">
      <w:lvlJc w:val="left"/>
      <w:lvlText w:val="%1"/>
      <w:numFmt w:val="lowerLetter"/>
      <w:start w:val="1"/>
    </w:lvl>
    <w:lvl w:ilvl="1">
      <w:lvlJc w:val="left"/>
      <w:lvlText w:val="(%2)"/>
      <w:numFmt w:val="lowerLetter"/>
      <w:start w:val="6"/>
    </w:lvl>
  </w:abstractNum>
  <w:abstractNum w:abstractNumId="328">
    <w:nsid w:val="6C2CFC88"/>
    <w:multiLevelType w:val="hybridMultilevel"/>
    <w:lvl w:ilvl="0">
      <w:lvlJc w:val="left"/>
      <w:lvlText w:val="(%1)"/>
      <w:numFmt w:val="lowerLetter"/>
      <w:start w:val="35"/>
    </w:lvl>
    <w:lvl w:ilvl="1">
      <w:lvlJc w:val="left"/>
      <w:lvlText w:val="%2"/>
      <w:numFmt w:val="lowerLetter"/>
      <w:start w:val="1"/>
    </w:lvl>
  </w:abstractNum>
  <w:abstractNum w:abstractNumId="329">
    <w:nsid w:val="6D1BCF1C"/>
    <w:multiLevelType w:val="hybridMultilevel"/>
    <w:lvl w:ilvl="0">
      <w:lvlJc w:val="left"/>
      <w:lvlText w:val="%1"/>
      <w:numFmt w:val="decimal"/>
      <w:start w:val="1"/>
    </w:lvl>
    <w:lvl w:ilvl="1">
      <w:lvlJc w:val="left"/>
      <w:lvlText w:val="(%2)"/>
      <w:numFmt w:val="lowerLetter"/>
      <w:start w:val="7"/>
    </w:lvl>
  </w:abstractNum>
  <w:abstractNum w:abstractNumId="330">
    <w:nsid w:val="4CE5CA53"/>
    <w:multiLevelType w:val="hybridMultilevel"/>
    <w:lvl w:ilvl="0">
      <w:lvlJc w:val="left"/>
      <w:lvlText w:val="%1."/>
      <w:numFmt w:val="decimal"/>
      <w:start w:val="2"/>
    </w:lvl>
    <w:lvl w:ilvl="1">
      <w:lvlJc w:val="left"/>
      <w:lvlText w:val="(%2)"/>
      <w:numFmt w:val="lowerLetter"/>
      <w:start w:val="1"/>
    </w:lvl>
  </w:abstractNum>
  <w:abstractNum w:abstractNumId="331">
    <w:nsid w:val="29262D1A"/>
    <w:multiLevelType w:val="hybridMultilevel"/>
    <w:lvl w:ilvl="0">
      <w:lvlJc w:val="left"/>
      <w:lvlText w:val="%1"/>
      <w:numFmt w:val="decimal"/>
      <w:start w:val="1"/>
    </w:lvl>
    <w:lvl w:ilvl="1">
      <w:lvlJc w:val="left"/>
      <w:lvlText w:val="(%2)"/>
      <w:numFmt w:val="lowerLetter"/>
      <w:start w:val="2"/>
    </w:lvl>
  </w:abstractNum>
  <w:abstractNum w:abstractNumId="332">
    <w:nsid w:val="557FB7EE"/>
    <w:multiLevelType w:val="hybridMultilevel"/>
    <w:lvl w:ilvl="0">
      <w:lvlJc w:val="left"/>
      <w:lvlText w:val="%1."/>
      <w:numFmt w:val="decimal"/>
      <w:start w:val="3"/>
    </w:lvl>
    <w:lvl w:ilvl="1">
      <w:lvlJc w:val="left"/>
      <w:lvlText w:val="(%2)"/>
      <w:numFmt w:val="lowerLetter"/>
      <w:start w:val="1"/>
    </w:lvl>
  </w:abstractNum>
  <w:abstractNum w:abstractNumId="333">
    <w:nsid w:val="436F2BEB"/>
    <w:multiLevelType w:val="hybridMultilevel"/>
    <w:lvl w:ilvl="0">
      <w:lvlJc w:val="left"/>
      <w:lvlText w:val="(%1)"/>
      <w:numFmt w:val="lowerLetter"/>
      <w:start w:val="2"/>
    </w:lvl>
    <w:lvl w:ilvl="1">
      <w:lvlJc w:val="left"/>
      <w:lvlText w:val="(%2)"/>
      <w:numFmt w:val="lowerRoman"/>
      <w:start w:val="1"/>
    </w:lvl>
  </w:abstractNum>
  <w:abstractNum w:abstractNumId="334">
    <w:nsid w:val="6C8B4466"/>
    <w:multiLevelType w:val="hybridMultilevel"/>
    <w:lvl w:ilvl="0">
      <w:lvlJc w:val="left"/>
      <w:lvlText w:val="%1"/>
      <w:numFmt w:val="decimal"/>
      <w:start w:val="1"/>
    </w:lvl>
    <w:lvl w:ilvl="1">
      <w:lvlJc w:val="left"/>
      <w:lvlText w:val="(%2)"/>
      <w:numFmt w:val="lowerLetter"/>
      <w:start w:val="3"/>
    </w:lvl>
  </w:abstractNum>
  <w:abstractNum w:abstractNumId="335">
    <w:nsid w:val="2006E424"/>
    <w:multiLevelType w:val="hybridMultilevel"/>
    <w:lvl w:ilvl="0">
      <w:lvlJc w:val="left"/>
      <w:lvlText w:val="%1."/>
      <w:numFmt w:val="decimal"/>
      <w:start w:val="5"/>
    </w:lvl>
    <w:lvl w:ilvl="1">
      <w:lvlJc w:val="left"/>
      <w:lvlText w:val="%2"/>
      <w:numFmt w:val="lowerLetter"/>
      <w:start w:val="1"/>
    </w:lvl>
  </w:abstractNum>
  <w:abstractNum w:abstractNumId="336">
    <w:nsid w:val="20CC134C"/>
    <w:multiLevelType w:val="hybridMultilevel"/>
    <w:lvl w:ilvl="0">
      <w:lvlJc w:val="left"/>
      <w:lvlText w:val="%1."/>
      <w:numFmt w:val="decimal"/>
      <w:start w:val="7"/>
    </w:lvl>
    <w:lvl w:ilvl="1">
      <w:lvlJc w:val="left"/>
      <w:lvlText w:val="(%2)"/>
      <w:numFmt w:val="lowerLetter"/>
      <w:start w:val="1"/>
    </w:lvl>
  </w:abstractNum>
  <w:abstractNum w:abstractNumId="337">
    <w:nsid w:val="95FC93B"/>
    <w:multiLevelType w:val="hybridMultilevel"/>
    <w:lvl w:ilvl="0">
      <w:lvlJc w:val="left"/>
      <w:lvlText w:val="%1."/>
      <w:numFmt w:val="decimal"/>
      <w:start w:val="9"/>
    </w:lvl>
  </w:abstractNum>
  <w:abstractNum w:abstractNumId="338">
    <w:nsid w:val="41D74679"/>
    <w:multiLevelType w:val="hybridMultilevel"/>
    <w:lvl w:ilvl="0">
      <w:lvlJc w:val="left"/>
      <w:lvlText w:val="%1."/>
      <w:numFmt w:val="decimal"/>
      <w:start w:val="13"/>
    </w:lvl>
    <w:lvl w:ilvl="1">
      <w:lvlJc w:val="left"/>
      <w:lvlText w:val="(%2)"/>
      <w:numFmt w:val="lowerLetter"/>
      <w:start w:val="1"/>
    </w:lvl>
  </w:abstractNum>
  <w:abstractNum w:abstractNumId="339">
    <w:nsid w:val="71E5621E"/>
    <w:multiLevelType w:val="hybridMultilevel"/>
    <w:lvl w:ilvl="0">
      <w:lvlJc w:val="left"/>
      <w:lvlText w:val="(%1)"/>
      <w:numFmt w:val="lowerLetter"/>
      <w:start w:val="3"/>
    </w:lvl>
  </w:abstractNum>
  <w:abstractNum w:abstractNumId="340">
    <w:nsid w:val="4E42B6A8"/>
    <w:multiLevelType w:val="hybridMultilevel"/>
    <w:lvl w:ilvl="0">
      <w:lvlJc w:val="left"/>
      <w:lvlText w:val="%1"/>
      <w:numFmt w:val="lowerLetter"/>
      <w:start w:val="1"/>
    </w:lvl>
    <w:lvl w:ilvl="1">
      <w:lvlJc w:val="left"/>
      <w:lvlText w:val="%2."/>
      <w:numFmt w:val="decimal"/>
      <w:start w:val="18"/>
    </w:lvl>
    <w:lvl w:ilvl="2">
      <w:lvlJc w:val="left"/>
      <w:lvlText w:val="(%3)"/>
      <w:numFmt w:val="lowerLetter"/>
      <w:start w:val="1"/>
    </w:lvl>
  </w:abstractNum>
  <w:abstractNum w:abstractNumId="341">
    <w:nsid w:val="43F8E1AC"/>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2"/>
    </w:lvl>
  </w:abstractNum>
  <w:abstractNum w:abstractNumId="342">
    <w:nsid w:val="69215DFB"/>
    <w:multiLevelType w:val="hybridMultilevel"/>
    <w:lvl w:ilvl="0">
      <w:lvlJc w:val="left"/>
      <w:lvlText w:val="(%1)"/>
      <w:numFmt w:val="lowerLetter"/>
      <w:start w:val="6"/>
    </w:lvl>
  </w:abstractNum>
  <w:abstractNum w:abstractNumId="343">
    <w:nsid w:val="7ABF196A"/>
    <w:multiLevelType w:val="hybridMultilevel"/>
    <w:lvl w:ilvl="0">
      <w:lvlJc w:val="left"/>
      <w:lvlText w:val="%1."/>
      <w:numFmt w:val="decimal"/>
      <w:start w:val="19"/>
    </w:lvl>
    <w:lvl w:ilvl="1">
      <w:lvlJc w:val="left"/>
      <w:lvlText w:val="(%2)"/>
      <w:numFmt w:val="lowerLetter"/>
      <w:start w:val="1"/>
    </w:lvl>
  </w:abstractNum>
  <w:abstractNum w:abstractNumId="344">
    <w:nsid w:val="5E4DB968"/>
    <w:multiLevelType w:val="hybridMultilevel"/>
    <w:lvl w:ilvl="0">
      <w:lvlJc w:val="left"/>
      <w:lvlText w:val="(%1)"/>
      <w:numFmt w:val="lowerLetter"/>
      <w:start w:val="7"/>
    </w:lvl>
  </w:abstractNum>
  <w:abstractNum w:abstractNumId="345">
    <w:nsid w:val="2C06DCF3"/>
    <w:multiLevelType w:val="hybridMultilevel"/>
    <w:lvl w:ilvl="0">
      <w:lvlJc w:val="left"/>
      <w:lvlText w:val="(%1)"/>
      <w:numFmt w:val="lowerLetter"/>
      <w:start w:val="15"/>
    </w:lvl>
  </w:abstractNum>
  <w:abstractNum w:abstractNumId="346">
    <w:nsid w:val="2E129658"/>
    <w:multiLevelType w:val="hybridMultilevel"/>
    <w:lvl w:ilvl="0">
      <w:lvlJc w:val="left"/>
      <w:lvlText w:val="%1."/>
      <w:numFmt w:val="decimal"/>
      <w:start w:val="2"/>
    </w:lvl>
  </w:abstractNum>
  <w:abstractNum w:abstractNumId="347">
    <w:nsid w:val="59F0446"/>
    <w:multiLevelType w:val="hybridMultilevel"/>
    <w:lvl w:ilvl="0">
      <w:lvlJc w:val="left"/>
      <w:lvlText w:val="%1."/>
      <w:numFmt w:val="decimal"/>
      <w:start w:val="1"/>
    </w:lvl>
    <w:lvl w:ilvl="1">
      <w:lvlJc w:val="left"/>
      <w:lvlText w:val="(%2)"/>
      <w:numFmt w:val="lowerLetter"/>
      <w:start w:val="1"/>
    </w:lvl>
  </w:abstractNum>
  <w:abstractNum w:abstractNumId="348">
    <w:nsid w:val="30DF306"/>
    <w:multiLevelType w:val="hybridMultilevel"/>
    <w:lvl w:ilvl="0">
      <w:lvlJc w:val="left"/>
      <w:lvlText w:val="(%1)"/>
      <w:numFmt w:val="lowerLetter"/>
      <w:start w:val="2"/>
    </w:lvl>
  </w:abstractNum>
  <w:abstractNum w:abstractNumId="349">
    <w:nsid w:val="A65647"/>
    <w:multiLevelType w:val="hybridMultilevel"/>
    <w:lvl w:ilvl="0">
      <w:lvlJc w:val="left"/>
      <w:lvlText w:val="(%1)"/>
      <w:numFmt w:val="lowerLetter"/>
      <w:start w:val="4"/>
    </w:lvl>
  </w:abstractNum>
  <w:abstractNum w:abstractNumId="350">
    <w:nsid w:val="3E5E582B"/>
    <w:multiLevelType w:val="hybridMultilevel"/>
    <w:lvl w:ilvl="0">
      <w:lvlJc w:val="left"/>
      <w:lvlText w:val="B"/>
      <w:numFmt w:val="bullet"/>
      <w:start w:val="1"/>
    </w:lvl>
  </w:abstractNum>
  <w:abstractNum w:abstractNumId="351">
    <w:nsid w:val="257D4626"/>
    <w:multiLevelType w:val="hybridMultilevel"/>
    <w:lvl w:ilvl="0">
      <w:lvlJc w:val="left"/>
      <w:lvlText w:val="(%1)"/>
      <w:numFmt w:val="lowerLetter"/>
      <w:start w:val="5"/>
    </w:lvl>
  </w:abstractNum>
  <w:abstractNum w:abstractNumId="352">
    <w:nsid w:val="5AA8580E"/>
    <w:multiLevelType w:val="hybridMultilevel"/>
    <w:lvl w:ilvl="0">
      <w:lvlJc w:val="left"/>
      <w:lvlText w:val="%1"/>
      <w:numFmt w:val="lowerLetter"/>
      <w:start w:val="1"/>
    </w:lvl>
    <w:lvl w:ilvl="1">
      <w:lvlJc w:val="left"/>
      <w:lvlText w:val="(%2)"/>
      <w:numFmt w:val="lowerLetter"/>
      <w:start w:val="6"/>
    </w:lvl>
  </w:abstractNum>
  <w:abstractNum w:abstractNumId="353">
    <w:nsid w:val="68FA8D0D"/>
    <w:multiLevelType w:val="hybridMultilevel"/>
    <w:lvl w:ilvl="0">
      <w:lvlJc w:val="left"/>
      <w:lvlText w:val="(%1)"/>
      <w:numFmt w:val="lowerLetter"/>
      <w:start w:val="35"/>
    </w:lvl>
    <w:lvl w:ilvl="1">
      <w:lvlJc w:val="left"/>
      <w:lvlText w:val="%2"/>
      <w:numFmt w:val="lowerLetter"/>
      <w:start w:val="1"/>
    </w:lvl>
  </w:abstractNum>
  <w:abstractNum w:abstractNumId="354">
    <w:nsid w:val="40F2CBD2"/>
    <w:multiLevelType w:val="hybridMultilevel"/>
    <w:lvl w:ilvl="0">
      <w:lvlJc w:val="left"/>
      <w:lvlText w:val="%1"/>
      <w:numFmt w:val="decimal"/>
      <w:start w:val="1"/>
    </w:lvl>
    <w:lvl w:ilvl="1">
      <w:lvlJc w:val="left"/>
      <w:lvlText w:val="(%2)"/>
      <w:numFmt w:val="lowerLetter"/>
      <w:start w:val="7"/>
    </w:lvl>
  </w:abstractNum>
  <w:abstractNum w:abstractNumId="355">
    <w:nsid w:val="3BD615EB"/>
    <w:multiLevelType w:val="hybridMultilevel"/>
    <w:lvl w:ilvl="0">
      <w:lvlJc w:val="left"/>
      <w:lvlText w:val="%1."/>
      <w:numFmt w:val="decimal"/>
      <w:start w:val="2"/>
    </w:lvl>
    <w:lvl w:ilvl="1">
      <w:lvlJc w:val="left"/>
      <w:lvlText w:val="(%2)"/>
      <w:numFmt w:val="lowerLetter"/>
      <w:start w:val="1"/>
    </w:lvl>
  </w:abstractNum>
  <w:abstractNum w:abstractNumId="356">
    <w:nsid w:val="A045AB2"/>
    <w:multiLevelType w:val="hybridMultilevel"/>
    <w:lvl w:ilvl="0">
      <w:lvlJc w:val="left"/>
      <w:lvlText w:val="%1"/>
      <w:numFmt w:val="decimal"/>
      <w:start w:val="1"/>
    </w:lvl>
    <w:lvl w:ilvl="1">
      <w:lvlJc w:val="left"/>
      <w:lvlText w:val="(%2)"/>
      <w:numFmt w:val="lowerLetter"/>
      <w:start w:val="2"/>
    </w:lvl>
  </w:abstractNum>
  <w:abstractNum w:abstractNumId="357">
    <w:nsid w:val="1872261F"/>
    <w:multiLevelType w:val="hybridMultilevel"/>
    <w:lvl w:ilvl="0">
      <w:lvlJc w:val="left"/>
      <w:lvlText w:val="%1."/>
      <w:numFmt w:val="decimal"/>
      <w:start w:val="3"/>
    </w:lvl>
    <w:lvl w:ilvl="1">
      <w:lvlJc w:val="left"/>
      <w:lvlText w:val="(%2)"/>
      <w:numFmt w:val="lowerLetter"/>
      <w:start w:val="1"/>
    </w:lvl>
  </w:abstractNum>
  <w:abstractNum w:abstractNumId="358">
    <w:nsid w:val="3DE8306C"/>
    <w:multiLevelType w:val="hybridMultilevel"/>
    <w:lvl w:ilvl="0">
      <w:lvlJc w:val="left"/>
      <w:lvlText w:val="(%1)"/>
      <w:numFmt w:val="lowerLetter"/>
      <w:start w:val="2"/>
    </w:lvl>
    <w:lvl w:ilvl="1">
      <w:lvlJc w:val="left"/>
      <w:lvlText w:val="(%2)"/>
      <w:numFmt w:val="lowerRoman"/>
      <w:start w:val="1"/>
    </w:lvl>
  </w:abstractNum>
  <w:abstractNum w:abstractNumId="359">
    <w:nsid w:val="7631573A"/>
    <w:multiLevelType w:val="hybridMultilevel"/>
    <w:lvl w:ilvl="0">
      <w:lvlJc w:val="left"/>
      <w:lvlText w:val="%1"/>
      <w:numFmt w:val="decimal"/>
      <w:start w:val="1"/>
    </w:lvl>
    <w:lvl w:ilvl="1">
      <w:lvlJc w:val="left"/>
      <w:lvlText w:val="(%2)"/>
      <w:numFmt w:val="lowerLetter"/>
      <w:start w:val="3"/>
    </w:lvl>
  </w:abstractNum>
  <w:abstractNum w:abstractNumId="360">
    <w:nsid w:val="58DF53B"/>
    <w:multiLevelType w:val="hybridMultilevel"/>
    <w:lvl w:ilvl="0">
      <w:lvlJc w:val="left"/>
      <w:lvlText w:val="%1."/>
      <w:numFmt w:val="decimal"/>
      <w:start w:val="5"/>
    </w:lvl>
    <w:lvl w:ilvl="1">
      <w:lvlJc w:val="left"/>
      <w:lvlText w:val="%2"/>
      <w:numFmt w:val="lowerLetter"/>
      <w:start w:val="1"/>
    </w:lvl>
  </w:abstractNum>
  <w:abstractNum w:abstractNumId="361">
    <w:nsid w:val="ACDFAC0"/>
    <w:multiLevelType w:val="hybridMultilevel"/>
    <w:lvl w:ilvl="0">
      <w:lvlJc w:val="left"/>
      <w:lvlText w:val="%1."/>
      <w:numFmt w:val="decimal"/>
      <w:start w:val="6"/>
    </w:lvl>
    <w:lvl w:ilvl="1">
      <w:lvlJc w:val="left"/>
      <w:lvlText w:val="(%2)"/>
      <w:numFmt w:val="lowerLetter"/>
      <w:start w:val="1"/>
    </w:lvl>
  </w:abstractNum>
  <w:abstractNum w:abstractNumId="362">
    <w:nsid w:val="1F578454"/>
    <w:multiLevelType w:val="hybridMultilevel"/>
    <w:lvl w:ilvl="0">
      <w:lvlJc w:val="left"/>
      <w:lvlText w:val="%1"/>
      <w:numFmt w:val="decimal"/>
      <w:start w:val="1"/>
    </w:lvl>
    <w:lvl w:ilvl="1">
      <w:lvlJc w:val="left"/>
      <w:lvlText w:val="(%2)"/>
      <w:numFmt w:val="lowerLetter"/>
      <w:start w:val="4"/>
    </w:lvl>
  </w:abstractNum>
  <w:abstractNum w:abstractNumId="363">
    <w:nsid w:val="5B0DAD2A"/>
    <w:multiLevelType w:val="hybridMultilevel"/>
    <w:lvl w:ilvl="0">
      <w:lvlJc w:val="left"/>
      <w:lvlText w:val="%1."/>
      <w:numFmt w:val="decimal"/>
      <w:start w:val="8"/>
    </w:lvl>
    <w:lvl w:ilvl="1">
      <w:lvlJc w:val="left"/>
      <w:lvlText w:val="%2"/>
      <w:numFmt w:val="lowerLetter"/>
      <w:start w:val="1"/>
    </w:lvl>
  </w:abstractNum>
  <w:abstractNum w:abstractNumId="364">
    <w:nsid w:val="4E3D26AB"/>
    <w:multiLevelType w:val="hybridMultilevel"/>
    <w:lvl w:ilvl="0">
      <w:lvlJc w:val="left"/>
      <w:lvlText w:val="%1."/>
      <w:numFmt w:val="decimal"/>
      <w:start w:val="11"/>
    </w:lvl>
  </w:abstractNum>
  <w:abstractNum w:abstractNumId="365">
    <w:nsid w:val="BE2C8BA"/>
    <w:multiLevelType w:val="hybridMultilevel"/>
    <w:lvl w:ilvl="0">
      <w:lvlJc w:val="left"/>
      <w:lvlText w:val="%1."/>
      <w:numFmt w:val="decimal"/>
      <w:start w:val="16"/>
    </w:lvl>
    <w:lvl w:ilvl="1">
      <w:lvlJc w:val="left"/>
      <w:lvlText w:val="(%2)"/>
      <w:numFmt w:val="lowerLetter"/>
      <w:start w:val="1"/>
    </w:lvl>
  </w:abstractNum>
  <w:abstractNum w:abstractNumId="366">
    <w:nsid w:val="7B14914E"/>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8"/>
    </w:lvl>
  </w:abstractNum>
  <w:abstractNum w:abstractNumId="367">
    <w:nsid w:val="6F0939F8"/>
    <w:multiLevelType w:val="hybridMultilevel"/>
    <w:lvl w:ilvl="0">
      <w:lvlJc w:val="left"/>
      <w:lvlText w:val="%1"/>
      <w:numFmt w:val="lowerLetter"/>
      <w:start w:val="1"/>
    </w:lvl>
    <w:lvl w:ilvl="1">
      <w:lvlJc w:val="left"/>
      <w:lvlText w:val="%2."/>
      <w:numFmt w:val="decimal"/>
      <w:start w:val="18"/>
    </w:lvl>
    <w:lvl w:ilvl="2">
      <w:lvlJc w:val="left"/>
      <w:lvlText w:val="(%3)"/>
      <w:numFmt w:val="lowerLetter"/>
      <w:start w:val="1"/>
    </w:lvl>
  </w:abstractNum>
  <w:abstractNum w:abstractNumId="368">
    <w:nsid w:val="154291F6"/>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2"/>
    </w:lvl>
  </w:abstractNum>
  <w:abstractNum w:abstractNumId="369">
    <w:nsid w:val="3CEBD7C7"/>
    <w:multiLevelType w:val="hybridMultilevel"/>
    <w:lvl w:ilvl="0">
      <w:lvlJc w:val="left"/>
      <w:lvlText w:val="%1"/>
      <w:numFmt w:val="lowerRoman"/>
      <w:start w:val="1"/>
    </w:lvl>
    <w:lvl w:ilvl="1">
      <w:lvlJc w:val="left"/>
      <w:lvlText w:val="(%2)"/>
      <w:numFmt w:val="lowerLetter"/>
      <w:start w:val="4"/>
    </w:lvl>
  </w:abstractNum>
  <w:abstractNum w:abstractNumId="370">
    <w:nsid w:val="60EE9C16"/>
    <w:multiLevelType w:val="hybridMultilevel"/>
    <w:lvl w:ilvl="0">
      <w:lvlJc w:val="left"/>
      <w:lvlText w:val="(%1)"/>
      <w:numFmt w:val="lowerRoman"/>
      <w:start w:val="4"/>
    </w:lvl>
    <w:lvl w:ilvl="1">
      <w:lvlJc w:val="left"/>
      <w:lvlText w:val="(%2)"/>
      <w:numFmt w:val="lowerLetter"/>
      <w:start w:val="6"/>
    </w:lvl>
  </w:abstractNum>
  <w:abstractNum w:abstractNumId="371">
    <w:nsid w:val="6385489E"/>
    <w:multiLevelType w:val="hybridMultilevel"/>
    <w:lvl w:ilvl="0">
      <w:lvlJc w:val="left"/>
      <w:lvlText w:val="%1"/>
      <w:numFmt w:val="decimal"/>
      <w:start w:val="1"/>
    </w:lvl>
    <w:lvl w:ilvl="1">
      <w:lvlJc w:val="left"/>
      <w:lvlText w:val="(%2)"/>
      <w:numFmt w:val="lowerLetter"/>
      <w:start w:val="9"/>
    </w:lvl>
  </w:abstractNum>
  <w:abstractNum w:abstractNumId="372">
    <w:nsid w:val="E4B973"/>
    <w:multiLevelType w:val="hybridMultilevel"/>
    <w:lvl w:ilvl="0">
      <w:lvlJc w:val="left"/>
      <w:lvlText w:val="%1."/>
      <w:numFmt w:val="decimal"/>
      <w:start w:val="19"/>
    </w:lvl>
    <w:lvl w:ilvl="1">
      <w:lvlJc w:val="left"/>
      <w:lvlText w:val="(%2)"/>
      <w:numFmt w:val="lowerLetter"/>
      <w:start w:val="1"/>
    </w:lvl>
  </w:abstractNum>
  <w:abstractNum w:abstractNumId="373">
    <w:nsid w:val="4A0FFA11"/>
    <w:multiLevelType w:val="hybridMultilevel"/>
    <w:lvl w:ilvl="0">
      <w:lvlJc w:val="left"/>
      <w:lvlText w:val="(%1)"/>
      <w:numFmt w:val="lowerLetter"/>
      <w:start w:val="4"/>
    </w:lvl>
  </w:abstractNum>
  <w:abstractNum w:abstractNumId="374">
    <w:nsid w:val="5E446208"/>
    <w:multiLevelType w:val="hybridMultilevel"/>
    <w:lvl w:ilvl="0">
      <w:lvlJc w:val="left"/>
      <w:lvlText w:val="(%1)"/>
      <w:numFmt w:val="lowerLetter"/>
      <w:start w:val="9"/>
    </w:lvl>
  </w:abstractNum>
  <w:abstractNum w:abstractNumId="375">
    <w:nsid w:val="5F3272DB"/>
    <w:multiLevelType w:val="hybridMultilevel"/>
    <w:lvl w:ilvl="0">
      <w:lvlJc w:val="left"/>
      <w:lvlText w:val="(%1)"/>
      <w:numFmt w:val="lowerLetter"/>
      <w:start w:val="15"/>
    </w:lvl>
  </w:abstractNum>
  <w:abstractNum w:abstractNumId="376">
    <w:nsid w:val="7616D704"/>
    <w:multiLevelType w:val="hybridMultilevel"/>
    <w:lvl w:ilvl="0">
      <w:lvlJc w:val="left"/>
      <w:lvlText w:val="%1."/>
      <w:numFmt w:val="decimal"/>
      <w:start w:val="2"/>
    </w:lvl>
  </w:abstractNum>
  <w:abstractNum w:abstractNumId="377">
    <w:nsid w:val="C56F860"/>
    <w:multiLevelType w:val="hybridMultilevel"/>
    <w:lvl w:ilvl="0">
      <w:lvlJc w:val="left"/>
      <w:lvlText w:val="%1."/>
      <w:numFmt w:val="decimal"/>
      <w:start w:val="1"/>
    </w:lvl>
    <w:lvl w:ilvl="1">
      <w:lvlJc w:val="left"/>
      <w:lvlText w:val="(%2)"/>
      <w:numFmt w:val="lowerLetter"/>
      <w:start w:val="1"/>
    </w:lvl>
  </w:abstractNum>
  <w:abstractNum w:abstractNumId="378">
    <w:nsid w:val="64D17722"/>
    <w:multiLevelType w:val="hybridMultilevel"/>
    <w:lvl w:ilvl="0">
      <w:lvlJc w:val="left"/>
      <w:lvlText w:val="(%1)"/>
      <w:numFmt w:val="lowerLetter"/>
      <w:start w:val="2"/>
    </w:lvl>
  </w:abstractNum>
  <w:abstractNum w:abstractNumId="379">
    <w:nsid w:val="7924CA0A"/>
    <w:multiLevelType w:val="hybridMultilevel"/>
    <w:lvl w:ilvl="0">
      <w:lvlJc w:val="left"/>
      <w:lvlText w:val="(%1)"/>
      <w:numFmt w:val="lowerLetter"/>
      <w:start w:val="4"/>
    </w:lvl>
  </w:abstractNum>
  <w:abstractNum w:abstractNumId="380">
    <w:nsid w:val="CFD4EA7"/>
    <w:multiLevelType w:val="hybridMultilevel"/>
    <w:lvl w:ilvl="0">
      <w:lvlJc w:val="left"/>
      <w:lvlText w:val="(%1)"/>
      <w:numFmt w:val="lowerLetter"/>
      <w:start w:val="5"/>
    </w:lvl>
  </w:abstractNum>
  <w:abstractNum w:abstractNumId="381">
    <w:nsid w:val="232FCF4D"/>
    <w:multiLevelType w:val="hybridMultilevel"/>
    <w:lvl w:ilvl="0">
      <w:lvlJc w:val="left"/>
      <w:lvlText w:val="%1"/>
      <w:numFmt w:val="lowerLetter"/>
      <w:start w:val="1"/>
    </w:lvl>
    <w:lvl w:ilvl="1">
      <w:lvlJc w:val="left"/>
      <w:lvlText w:val="(%2)"/>
      <w:numFmt w:val="lowerLetter"/>
      <w:start w:val="6"/>
    </w:lvl>
  </w:abstractNum>
  <w:abstractNum w:abstractNumId="382">
    <w:nsid w:val="1EA21031"/>
    <w:multiLevelType w:val="hybridMultilevel"/>
    <w:lvl w:ilvl="0">
      <w:lvlJc w:val="left"/>
      <w:lvlText w:val="(%1)"/>
      <w:numFmt w:val="lowerLetter"/>
      <w:start w:val="35"/>
    </w:lvl>
    <w:lvl w:ilvl="1">
      <w:lvlJc w:val="left"/>
      <w:lvlText w:val="%2"/>
      <w:numFmt w:val="lowerLetter"/>
      <w:start w:val="1"/>
    </w:lvl>
  </w:abstractNum>
  <w:abstractNum w:abstractNumId="383">
    <w:nsid w:val="67A5A6B5"/>
    <w:multiLevelType w:val="hybridMultilevel"/>
    <w:lvl w:ilvl="0">
      <w:lvlJc w:val="left"/>
      <w:lvlText w:val="%1"/>
      <w:numFmt w:val="decimal"/>
      <w:start w:val="1"/>
    </w:lvl>
    <w:lvl w:ilvl="1">
      <w:lvlJc w:val="left"/>
      <w:lvlText w:val="(%2)"/>
      <w:numFmt w:val="lowerLetter"/>
      <w:start w:val="7"/>
    </w:lvl>
  </w:abstractNum>
  <w:abstractNum w:abstractNumId="384">
    <w:nsid w:val="C2A5C5B"/>
    <w:multiLevelType w:val="hybridMultilevel"/>
    <w:lvl w:ilvl="0">
      <w:lvlJc w:val="left"/>
      <w:lvlText w:val="%1."/>
      <w:numFmt w:val="decimal"/>
      <w:start w:val="2"/>
    </w:lvl>
    <w:lvl w:ilvl="1">
      <w:lvlJc w:val="left"/>
      <w:lvlText w:val="(%2)"/>
      <w:numFmt w:val="lowerLetter"/>
      <w:start w:val="1"/>
    </w:lvl>
  </w:abstractNum>
  <w:abstractNum w:abstractNumId="385">
    <w:nsid w:val="5F94DC03"/>
    <w:multiLevelType w:val="hybridMultilevel"/>
    <w:lvl w:ilvl="0">
      <w:lvlJc w:val="left"/>
      <w:lvlText w:val="%1"/>
      <w:numFmt w:val="decimal"/>
      <w:start w:val="1"/>
    </w:lvl>
    <w:lvl w:ilvl="1">
      <w:lvlJc w:val="left"/>
      <w:lvlText w:val="(%2)"/>
      <w:numFmt w:val="lowerLetter"/>
      <w:start w:val="2"/>
    </w:lvl>
  </w:abstractNum>
  <w:abstractNum w:abstractNumId="386">
    <w:nsid w:val="237BBCA0"/>
    <w:multiLevelType w:val="hybridMultilevel"/>
    <w:lvl w:ilvl="0">
      <w:lvlJc w:val="left"/>
      <w:lvlText w:val="%1."/>
      <w:numFmt w:val="decimal"/>
      <w:start w:val="3"/>
    </w:lvl>
    <w:lvl w:ilvl="1">
      <w:lvlJc w:val="left"/>
      <w:lvlText w:val="(%2)"/>
      <w:numFmt w:val="lowerLetter"/>
      <w:start w:val="1"/>
    </w:lvl>
  </w:abstractNum>
  <w:abstractNum w:abstractNumId="387">
    <w:nsid w:val="162EB70D"/>
    <w:multiLevelType w:val="hybridMultilevel"/>
    <w:lvl w:ilvl="0">
      <w:lvlJc w:val="left"/>
      <w:lvlText w:val="(%1)"/>
      <w:numFmt w:val="lowerLetter"/>
      <w:start w:val="2"/>
    </w:lvl>
    <w:lvl w:ilvl="1">
      <w:lvlJc w:val="left"/>
      <w:lvlText w:val="(%2)"/>
      <w:numFmt w:val="lowerRoman"/>
      <w:start w:val="1"/>
    </w:lvl>
  </w:abstractNum>
  <w:abstractNum w:abstractNumId="388">
    <w:nsid w:val="78070222"/>
    <w:multiLevelType w:val="hybridMultilevel"/>
    <w:lvl w:ilvl="0">
      <w:lvlJc w:val="left"/>
      <w:lvlText w:val="%1"/>
      <w:numFmt w:val="decimal"/>
      <w:start w:val="1"/>
    </w:lvl>
    <w:lvl w:ilvl="1">
      <w:lvlJc w:val="left"/>
      <w:lvlText w:val="(%2)"/>
      <w:numFmt w:val="lowerLetter"/>
      <w:start w:val="3"/>
    </w:lvl>
  </w:abstractNum>
  <w:abstractNum w:abstractNumId="389">
    <w:nsid w:val="6163ED0D"/>
    <w:multiLevelType w:val="hybridMultilevel"/>
    <w:lvl w:ilvl="0">
      <w:lvlJc w:val="left"/>
      <w:lvlText w:val="%1."/>
      <w:numFmt w:val="decimal"/>
      <w:start w:val="5"/>
    </w:lvl>
    <w:lvl w:ilvl="1">
      <w:lvlJc w:val="left"/>
      <w:lvlText w:val="%2"/>
      <w:numFmt w:val="lowerLetter"/>
      <w:start w:val="1"/>
    </w:lvl>
  </w:abstractNum>
  <w:abstractNum w:abstractNumId="390">
    <w:nsid w:val="C600E47"/>
    <w:multiLevelType w:val="hybridMultilevel"/>
    <w:lvl w:ilvl="0">
      <w:lvlJc w:val="left"/>
      <w:lvlText w:val="%1."/>
      <w:numFmt w:val="decimal"/>
      <w:start w:val="7"/>
    </w:lvl>
    <w:lvl w:ilvl="1">
      <w:lvlJc w:val="left"/>
      <w:lvlText w:val="(%2)"/>
      <w:numFmt w:val="lowerLetter"/>
      <w:start w:val="1"/>
    </w:lvl>
  </w:abstractNum>
  <w:abstractNum w:abstractNumId="391">
    <w:nsid w:val="7D94F75D"/>
    <w:multiLevelType w:val="hybridMultilevel"/>
    <w:lvl w:ilvl="0">
      <w:lvlJc w:val="left"/>
      <w:lvlText w:val="%1."/>
      <w:numFmt w:val="decimal"/>
      <w:start w:val="9"/>
    </w:lvl>
  </w:abstractNum>
  <w:abstractNum w:abstractNumId="392">
    <w:nsid w:val="6C31E7CD"/>
    <w:multiLevelType w:val="hybridMultilevel"/>
    <w:lvl w:ilvl="0">
      <w:lvlJc w:val="left"/>
      <w:lvlText w:val="%1."/>
      <w:numFmt w:val="decimal"/>
      <w:start w:val="13"/>
    </w:lvl>
    <w:lvl w:ilvl="1">
      <w:lvlJc w:val="left"/>
      <w:lvlText w:val="(%2)"/>
      <w:numFmt w:val="lowerLetter"/>
      <w:start w:val="1"/>
    </w:lvl>
  </w:abstractNum>
  <w:abstractNum w:abstractNumId="393">
    <w:nsid w:val="2BB7929B"/>
    <w:multiLevelType w:val="hybridMultilevel"/>
    <w:lvl w:ilvl="0">
      <w:lvlJc w:val="left"/>
      <w:lvlText w:val="(%1)"/>
      <w:numFmt w:val="lowerLetter"/>
      <w:start w:val="3"/>
    </w:lvl>
  </w:abstractNum>
  <w:abstractNum w:abstractNumId="394">
    <w:nsid w:val="58A2A487"/>
    <w:multiLevelType w:val="hybridMultilevel"/>
    <w:lvl w:ilvl="0">
      <w:lvlJc w:val="left"/>
      <w:lvlText w:val="%1"/>
      <w:numFmt w:val="lowerLetter"/>
      <w:start w:val="1"/>
    </w:lvl>
    <w:lvl w:ilvl="1">
      <w:lvlJc w:val="left"/>
      <w:lvlText w:val="%2."/>
      <w:numFmt w:val="decimal"/>
      <w:start w:val="18"/>
    </w:lvl>
    <w:lvl w:ilvl="2">
      <w:lvlJc w:val="left"/>
      <w:lvlText w:val="(%3)"/>
      <w:numFmt w:val="lowerLetter"/>
      <w:start w:val="1"/>
    </w:lvl>
  </w:abstractNum>
  <w:abstractNum w:abstractNumId="395">
    <w:nsid w:val="3A6F0E78"/>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2"/>
    </w:lvl>
  </w:abstractNum>
  <w:abstractNum w:abstractNumId="396">
    <w:nsid w:val="379A5B56"/>
    <w:multiLevelType w:val="hybridMultilevel"/>
    <w:lvl w:ilvl="0">
      <w:lvlJc w:val="left"/>
      <w:lvlText w:val="(%1)"/>
      <w:numFmt w:val="lowerLetter"/>
      <w:start w:val="6"/>
    </w:lvl>
  </w:abstractNum>
  <w:abstractNum w:abstractNumId="397">
    <w:nsid w:val="53B735D5"/>
    <w:multiLevelType w:val="hybridMultilevel"/>
    <w:lvl w:ilvl="0">
      <w:lvlJc w:val="left"/>
      <w:lvlText w:val="%1."/>
      <w:numFmt w:val="decimal"/>
      <w:start w:val="19"/>
    </w:lvl>
    <w:lvl w:ilvl="1">
      <w:lvlJc w:val="left"/>
      <w:lvlText w:val="(%2)"/>
      <w:numFmt w:val="lowerLetter"/>
      <w:start w:val="1"/>
    </w:lvl>
  </w:abstractNum>
  <w:abstractNum w:abstractNumId="398">
    <w:nsid w:val="29784870"/>
    <w:multiLevelType w:val="hybridMultilevel"/>
    <w:lvl w:ilvl="0">
      <w:lvlJc w:val="left"/>
      <w:lvlText w:val="(%1)"/>
      <w:numFmt w:val="lowerLetter"/>
      <w:start w:val="7"/>
    </w:lvl>
  </w:abstractNum>
  <w:abstractNum w:abstractNumId="399">
    <w:nsid w:val="4CDCED4C"/>
    <w:multiLevelType w:val="hybridMultilevel"/>
    <w:lvl w:ilvl="0">
      <w:lvlJc w:val="left"/>
      <w:lvlText w:val="(%1)"/>
      <w:numFmt w:val="lowerLetter"/>
      <w:start w:val="15"/>
    </w:lvl>
  </w:abstractNum>
  <w:abstractNum w:abstractNumId="400">
    <w:nsid w:val="10A30D9C"/>
    <w:multiLevelType w:val="hybridMultilevel"/>
    <w:lvl w:ilvl="0">
      <w:lvlJc w:val="left"/>
      <w:lvlText w:val="%1."/>
      <w:numFmt w:val="decimal"/>
      <w:start w:val="2"/>
    </w:lvl>
  </w:abstractNum>
  <w:abstractNum w:abstractNumId="401">
    <w:nsid w:val="A66E486"/>
    <w:multiLevelType w:val="hybridMultilevel"/>
    <w:lvl w:ilvl="0">
      <w:lvlJc w:val="left"/>
      <w:lvlText w:val="%1."/>
      <w:numFmt w:val="decimal"/>
      <w:start w:val="1"/>
    </w:lvl>
  </w:abstractNum>
  <w:abstractNum w:abstractNumId="402">
    <w:nsid w:val="306235EA"/>
    <w:multiLevelType w:val="hybridMultilevel"/>
    <w:lvl w:ilvl="0">
      <w:lvlJc w:val="left"/>
      <w:lvlText w:val="%1."/>
      <w:numFmt w:val="decimal"/>
      <w:start w:val="2"/>
    </w:lvl>
  </w:abstractNum>
  <w:abstractNum w:abstractNumId="403">
    <w:nsid w:val="1187C70F"/>
    <w:multiLevelType w:val="hybridMultilevel"/>
    <w:lvl w:ilvl="0">
      <w:lvlJc w:val="left"/>
      <w:lvlText w:val="●"/>
      <w:numFmt w:val="bullet"/>
      <w:start w:val="1"/>
    </w:lvl>
  </w:abstractNum>
  <w:abstractNum w:abstractNumId="404">
    <w:nsid w:val="5476DE98"/>
    <w:multiLevelType w:val="hybridMultilevel"/>
    <w:lvl w:ilvl="0">
      <w:lvlJc w:val="left"/>
      <w:lvlText w:val="●"/>
      <w:numFmt w:val="bullet"/>
      <w:start w:val="1"/>
    </w:lvl>
  </w:abstractNum>
  <w:abstractNum w:abstractNumId="405">
    <w:nsid w:val="EA697F2"/>
    <w:multiLevelType w:val="hybridMultilevel"/>
    <w:lvl w:ilvl="0">
      <w:lvlJc w:val="left"/>
      <w:lvlText w:val="%1."/>
      <w:numFmt w:val="decimal"/>
      <w:start w:val="3"/>
    </w:lvl>
  </w:abstractNum>
  <w:abstractNum w:abstractNumId="406">
    <w:nsid w:val="70BA39EB"/>
    <w:multiLevelType w:val="hybridMultilevel"/>
    <w:lvl w:ilvl="0">
      <w:lvlJc w:val="left"/>
      <w:lvlText w:val="%1."/>
      <w:numFmt w:val="decimal"/>
      <w:start w:val="4"/>
    </w:lvl>
  </w:abstractNum>
  <w:abstractNum w:abstractNumId="407">
    <w:nsid w:val="4A8DB59C"/>
    <w:multiLevelType w:val="hybridMultilevel"/>
    <w:lvl w:ilvl="0">
      <w:lvlJc w:val="left"/>
      <w:lvlText w:val="%1."/>
      <w:numFmt w:val="decimal"/>
      <w:start w:val="8"/>
    </w:lvl>
  </w:abstractNum>
  <w:abstractNum w:abstractNumId="408">
    <w:nsid w:val="1AFD9053"/>
    <w:multiLevelType w:val="hybridMultilevel"/>
    <w:lvl w:ilvl="0">
      <w:lvlJc w:val="left"/>
      <w:lvlText w:val="%1"/>
      <w:numFmt w:val="decimal"/>
      <w:start w:val="1"/>
    </w:lvl>
    <w:lvl w:ilvl="1">
      <w:lvlJc w:val="left"/>
      <w:lvlText w:val="%2)"/>
      <w:numFmt w:val="lowerLetter"/>
      <w:start w:val="1"/>
    </w:lvl>
  </w:abstractNum>
  <w:abstractNum w:abstractNumId="409">
    <w:nsid w:val="558BB10D"/>
    <w:multiLevelType w:val="hybridMultilevel"/>
    <w:lvl w:ilvl="0">
      <w:lvlJc w:val="left"/>
      <w:lvlText w:val="2"/>
      <w:numFmt w:val="bullet"/>
      <w:start w:val="1"/>
    </w:lvl>
  </w:abstractNum>
  <w:abstractNum w:abstractNumId="410">
    <w:nsid w:val="43B27FA7"/>
    <w:multiLevelType w:val="hybridMultilevel"/>
    <w:lvl w:ilvl="0">
      <w:lvlJc w:val="left"/>
      <w:lvlText w:val="3"/>
      <w:numFmt w:val="bullet"/>
      <w:start w:val="1"/>
    </w:lvl>
    <w:lvl w:ilvl="1">
      <w:lvlJc w:val="left"/>
      <w:lvlText w:val="(%2)"/>
      <w:numFmt w:val="lowerLetter"/>
      <w:start w:val="2"/>
    </w:lvl>
  </w:abstractNum>
  <w:abstractNum w:abstractNumId="411">
    <w:nsid w:val="27FADEFA"/>
    <w:multiLevelType w:val="hybridMultilevel"/>
    <w:lvl w:ilvl="0">
      <w:lvlJc w:val="left"/>
      <w:lvlText w:val="4"/>
      <w:numFmt w:val="bullet"/>
      <w:start w:val="1"/>
    </w:lvl>
  </w:abstractNum>
  <w:abstractNum w:abstractNumId="412">
    <w:nsid w:val="78BB805A"/>
    <w:multiLevelType w:val="hybridMultilevel"/>
    <w:lvl w:ilvl="0">
      <w:lvlJc w:val="left"/>
      <w:lvlText w:val="5"/>
      <w:numFmt w:val="bullet"/>
      <w:start w:val="1"/>
    </w:lvl>
  </w:abstractNum>
  <w:abstractNum w:abstractNumId="413">
    <w:nsid w:val="62548FD8"/>
    <w:multiLevelType w:val="hybridMultilevel"/>
    <w:lvl w:ilvl="0">
      <w:lvlJc w:val="left"/>
      <w:lvlText w:val="6"/>
      <w:numFmt w:val="bullet"/>
      <w:start w:val="1"/>
    </w:lvl>
  </w:abstractNum>
  <w:abstractNum w:abstractNumId="414">
    <w:nsid w:val="FA085B0"/>
    <w:multiLevelType w:val="hybridMultilevel"/>
    <w:lvl w:ilvl="0">
      <w:lvlJc w:val="left"/>
      <w:lvlText w:val="7"/>
      <w:numFmt w:val="bullet"/>
      <w:start w:val="1"/>
    </w:lvl>
  </w:abstractNum>
  <w:abstractNum w:abstractNumId="415">
    <w:nsid w:val="4E5DCB5"/>
    <w:multiLevelType w:val="hybridMultilevel"/>
    <w:lvl w:ilvl="0">
      <w:lvlJc w:val="left"/>
      <w:lvlText w:val="8"/>
      <w:numFmt w:val="bullet"/>
      <w:start w:val="1"/>
    </w:lvl>
  </w:abstractNum>
  <w:abstractNum w:abstractNumId="416">
    <w:nsid w:val="41E96BDB"/>
    <w:multiLevelType w:val="hybridMultilevel"/>
    <w:lvl w:ilvl="0">
      <w:lvlJc w:val="left"/>
      <w:lvlText w:val="9"/>
      <w:numFmt w:val="bullet"/>
      <w:start w:val="1"/>
    </w:lvl>
  </w:abstractNum>
  <w:abstractNum w:abstractNumId="417">
    <w:nsid w:val="331C4250"/>
    <w:multiLevelType w:val="hybridMultilevel"/>
    <w:lvl w:ilvl="0">
      <w:lvlJc w:val="left"/>
      <w:lvlText w:val="●"/>
      <w:numFmt w:val="bullet"/>
      <w:start w:val="1"/>
    </w:lvl>
  </w:abstractNum>
  <w:abstractNum w:abstractNumId="418">
    <w:nsid w:val="1B1493C2"/>
    <w:multiLevelType w:val="hybridMultilevel"/>
    <w:lvl w:ilvl="0">
      <w:lvlJc w:val="left"/>
      <w:lvlText w:val="%1"/>
      <w:numFmt w:val="decimal"/>
      <w:start w:val="1"/>
    </w:lvl>
    <w:lvl w:ilvl="1">
      <w:lvlJc w:val="left"/>
      <w:lvlText w:val="●"/>
      <w:numFmt w:val="bullet"/>
      <w:start w:val="1"/>
    </w:lvl>
  </w:abstractNum>
  <w:abstractNum w:abstractNumId="419">
    <w:nsid w:val="39F06DFD"/>
    <w:multiLevelType w:val="hybridMultilevel"/>
    <w:lvl w:ilvl="0">
      <w:lvlJc w:val="left"/>
      <w:lvlText w:val="2"/>
      <w:numFmt w:val="bullet"/>
      <w:start w:val="1"/>
    </w:lvl>
  </w:abstractNum>
  <w:abstractNum w:abstractNumId="420">
    <w:nsid w:val="14802F5D"/>
    <w:multiLevelType w:val="hybridMultilevel"/>
    <w:lvl w:ilvl="0">
      <w:lvlJc w:val="left"/>
      <w:lvlText w:val="●"/>
      <w:numFmt w:val="bullet"/>
      <w:start w:val="1"/>
    </w:lvl>
  </w:abstractNum>
  <w:abstractNum w:abstractNumId="421">
    <w:nsid w:val="2774A209"/>
    <w:multiLevelType w:val="hybridMultilevel"/>
    <w:lvl w:ilvl="0">
      <w:lvlJc w:val="left"/>
      <w:lvlText w:val="*"/>
      <w:numFmt w:val="bullet"/>
      <w:start w:val="1"/>
    </w:lvl>
  </w:abstractNum>
  <w:abstractNum w:abstractNumId="422">
    <w:nsid w:val="37856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png"/><Relationship Id="rId173" Type="http://schemas.openxmlformats.org/officeDocument/2006/relationships/image" Target="media/image165.pn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png"/><Relationship Id="rId178" Type="http://schemas.openxmlformats.org/officeDocument/2006/relationships/image" Target="media/image170.png"/><Relationship Id="rId179"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png"/><Relationship Id="rId183" Type="http://schemas.openxmlformats.org/officeDocument/2006/relationships/image" Target="media/image175.png"/><Relationship Id="rId184" Type="http://schemas.openxmlformats.org/officeDocument/2006/relationships/image" Target="media/image176.pn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png"/><Relationship Id="rId191" Type="http://schemas.openxmlformats.org/officeDocument/2006/relationships/image" Target="media/image183.png"/><Relationship Id="rId192" Type="http://schemas.openxmlformats.org/officeDocument/2006/relationships/image" Target="media/image184.png"/><Relationship Id="rId193" Type="http://schemas.openxmlformats.org/officeDocument/2006/relationships/image" Target="media/image185.png"/><Relationship Id="rId194" Type="http://schemas.openxmlformats.org/officeDocument/2006/relationships/image" Target="media/image186.png"/><Relationship Id="rId195" Type="http://schemas.openxmlformats.org/officeDocument/2006/relationships/image" Target="media/image187.png"/><Relationship Id="rId196" Type="http://schemas.openxmlformats.org/officeDocument/2006/relationships/image" Target="media/image188.png"/><Relationship Id="rId197" Type="http://schemas.openxmlformats.org/officeDocument/2006/relationships/image" Target="media/image189.png"/><Relationship Id="rId198" Type="http://schemas.openxmlformats.org/officeDocument/2006/relationships/image" Target="media/image190.png"/><Relationship Id="rId199" Type="http://schemas.openxmlformats.org/officeDocument/2006/relationships/image" Target="media/image191.png"/><Relationship Id="rId200" Type="http://schemas.openxmlformats.org/officeDocument/2006/relationships/image" Target="media/image192.png"/><Relationship Id="rId201" Type="http://schemas.openxmlformats.org/officeDocument/2006/relationships/image" Target="media/image193.png"/><Relationship Id="rId202" Type="http://schemas.openxmlformats.org/officeDocument/2006/relationships/image" Target="media/image194.png"/><Relationship Id="rId203" Type="http://schemas.openxmlformats.org/officeDocument/2006/relationships/image" Target="media/image195.png"/><Relationship Id="rId204" Type="http://schemas.openxmlformats.org/officeDocument/2006/relationships/image" Target="media/image196.png"/><Relationship Id="rId205" Type="http://schemas.openxmlformats.org/officeDocument/2006/relationships/image" Target="media/image197.png"/><Relationship Id="rId206" Type="http://schemas.openxmlformats.org/officeDocument/2006/relationships/image" Target="media/image198.png"/><Relationship Id="rId207" Type="http://schemas.openxmlformats.org/officeDocument/2006/relationships/image" Target="media/image199.png"/><Relationship Id="rId208" Type="http://schemas.openxmlformats.org/officeDocument/2006/relationships/image" Target="media/image200.png"/><Relationship Id="rId209" Type="http://schemas.openxmlformats.org/officeDocument/2006/relationships/image" Target="media/image201.png"/><Relationship Id="rId210" Type="http://schemas.openxmlformats.org/officeDocument/2006/relationships/image" Target="media/image202.png"/><Relationship Id="rId211" Type="http://schemas.openxmlformats.org/officeDocument/2006/relationships/image" Target="media/image203.png"/><Relationship Id="rId212" Type="http://schemas.openxmlformats.org/officeDocument/2006/relationships/image" Target="media/image204.png"/><Relationship Id="rId213" Type="http://schemas.openxmlformats.org/officeDocument/2006/relationships/image" Target="media/image205.png"/><Relationship Id="rId214" Type="http://schemas.openxmlformats.org/officeDocument/2006/relationships/image" Target="media/image206.png"/><Relationship Id="rId215" Type="http://schemas.openxmlformats.org/officeDocument/2006/relationships/image" Target="media/image207.png"/><Relationship Id="rId216" Type="http://schemas.openxmlformats.org/officeDocument/2006/relationships/image" Target="media/image208.png"/><Relationship Id="rId217" Type="http://schemas.openxmlformats.org/officeDocument/2006/relationships/image" Target="media/image209.png"/><Relationship Id="rId218" Type="http://schemas.openxmlformats.org/officeDocument/2006/relationships/image" Target="media/image210.png"/><Relationship Id="rId219" Type="http://schemas.openxmlformats.org/officeDocument/2006/relationships/image" Target="media/image211.png"/><Relationship Id="rId220" Type="http://schemas.openxmlformats.org/officeDocument/2006/relationships/image" Target="media/image212.png"/><Relationship Id="rId221" Type="http://schemas.openxmlformats.org/officeDocument/2006/relationships/image" Target="media/image213.png"/><Relationship Id="rId222" Type="http://schemas.openxmlformats.org/officeDocument/2006/relationships/image" Target="media/image214.png"/><Relationship Id="rId223" Type="http://schemas.openxmlformats.org/officeDocument/2006/relationships/image" Target="media/image215.png"/><Relationship Id="rId224" Type="http://schemas.openxmlformats.org/officeDocument/2006/relationships/image" Target="media/image216.png"/><Relationship Id="rId225" Type="http://schemas.openxmlformats.org/officeDocument/2006/relationships/image" Target="media/image217.png"/><Relationship Id="rId226" Type="http://schemas.openxmlformats.org/officeDocument/2006/relationships/image" Target="media/image218.png"/><Relationship Id="rId227" Type="http://schemas.openxmlformats.org/officeDocument/2006/relationships/image" Target="media/image219.png"/><Relationship Id="rId228" Type="http://schemas.openxmlformats.org/officeDocument/2006/relationships/image" Target="media/image220.png"/><Relationship Id="rId229" Type="http://schemas.openxmlformats.org/officeDocument/2006/relationships/image" Target="media/image221.png"/><Relationship Id="rId230" Type="http://schemas.openxmlformats.org/officeDocument/2006/relationships/image" Target="media/image222.png"/><Relationship Id="rId231" Type="http://schemas.openxmlformats.org/officeDocument/2006/relationships/image" Target="media/image223.png"/><Relationship Id="rId232" Type="http://schemas.openxmlformats.org/officeDocument/2006/relationships/image" Target="media/image224.png"/><Relationship Id="rId233" Type="http://schemas.openxmlformats.org/officeDocument/2006/relationships/image" Target="media/image225.png"/><Relationship Id="rId234" Type="http://schemas.openxmlformats.org/officeDocument/2006/relationships/image" Target="media/image226.png"/><Relationship Id="rId235" Type="http://schemas.openxmlformats.org/officeDocument/2006/relationships/image" Target="media/image227.png"/><Relationship Id="rId236" Type="http://schemas.openxmlformats.org/officeDocument/2006/relationships/image" Target="media/image228.png"/><Relationship Id="rId237" Type="http://schemas.openxmlformats.org/officeDocument/2006/relationships/image" Target="media/image229.png"/><Relationship Id="rId238" Type="http://schemas.openxmlformats.org/officeDocument/2006/relationships/image" Target="media/image230.png"/><Relationship Id="rId239" Type="http://schemas.openxmlformats.org/officeDocument/2006/relationships/image" Target="media/image231.png"/><Relationship Id="rId240" Type="http://schemas.openxmlformats.org/officeDocument/2006/relationships/image" Target="media/image232.png"/><Relationship Id="rId241" Type="http://schemas.openxmlformats.org/officeDocument/2006/relationships/image" Target="media/image233.png"/><Relationship Id="rId242" Type="http://schemas.openxmlformats.org/officeDocument/2006/relationships/image" Target="media/image234.png"/><Relationship Id="rId243" Type="http://schemas.openxmlformats.org/officeDocument/2006/relationships/image" Target="media/image235.png"/><Relationship Id="rId244" Type="http://schemas.openxmlformats.org/officeDocument/2006/relationships/image" Target="media/image236.png"/><Relationship Id="rId245" Type="http://schemas.openxmlformats.org/officeDocument/2006/relationships/image" Target="media/image237.png"/><Relationship Id="rId246" Type="http://schemas.openxmlformats.org/officeDocument/2006/relationships/image" Target="media/image238.png"/><Relationship Id="rId247" Type="http://schemas.openxmlformats.org/officeDocument/2006/relationships/image" Target="media/image239.png"/><Relationship Id="rId248" Type="http://schemas.openxmlformats.org/officeDocument/2006/relationships/image" Target="media/image240.png"/><Relationship Id="rId249" Type="http://schemas.openxmlformats.org/officeDocument/2006/relationships/image" Target="media/image241.png"/><Relationship Id="rId250" Type="http://schemas.openxmlformats.org/officeDocument/2006/relationships/image" Target="media/image242.png"/><Relationship Id="rId251" Type="http://schemas.openxmlformats.org/officeDocument/2006/relationships/image" Target="media/image243.png"/><Relationship Id="rId252" Type="http://schemas.openxmlformats.org/officeDocument/2006/relationships/image" Target="media/image244.png"/><Relationship Id="rId253" Type="http://schemas.openxmlformats.org/officeDocument/2006/relationships/image" Target="media/image245.png"/><Relationship Id="rId254" Type="http://schemas.openxmlformats.org/officeDocument/2006/relationships/image" Target="media/image246.png"/><Relationship Id="rId255" Type="http://schemas.openxmlformats.org/officeDocument/2006/relationships/image" Target="media/image247.png"/><Relationship Id="rId256" Type="http://schemas.openxmlformats.org/officeDocument/2006/relationships/image" Target="media/image248.png"/><Relationship Id="rId257" Type="http://schemas.openxmlformats.org/officeDocument/2006/relationships/image" Target="media/image249.png"/><Relationship Id="rId258" Type="http://schemas.openxmlformats.org/officeDocument/2006/relationships/image" Target="media/image250.png"/><Relationship Id="rId259" Type="http://schemas.openxmlformats.org/officeDocument/2006/relationships/image" Target="media/image251.png"/><Relationship Id="rId260" Type="http://schemas.openxmlformats.org/officeDocument/2006/relationships/image" Target="media/image252.png"/><Relationship Id="rId261" Type="http://schemas.openxmlformats.org/officeDocument/2006/relationships/image" Target="media/image253.png"/><Relationship Id="rId262" Type="http://schemas.openxmlformats.org/officeDocument/2006/relationships/image" Target="media/image254.png"/><Relationship Id="rId263" Type="http://schemas.openxmlformats.org/officeDocument/2006/relationships/image" Target="media/image255.png"/><Relationship Id="rId264" Type="http://schemas.openxmlformats.org/officeDocument/2006/relationships/image" Target="media/image256.png"/><Relationship Id="rId265" Type="http://schemas.openxmlformats.org/officeDocument/2006/relationships/image" Target="media/image257.png"/><Relationship Id="rId266" Type="http://schemas.openxmlformats.org/officeDocument/2006/relationships/image" Target="media/image258.png"/><Relationship Id="rId267" Type="http://schemas.openxmlformats.org/officeDocument/2006/relationships/image" Target="media/image259.png"/><Relationship Id="rId268" Type="http://schemas.openxmlformats.org/officeDocument/2006/relationships/image" Target="media/image260.png"/><Relationship Id="rId269" Type="http://schemas.openxmlformats.org/officeDocument/2006/relationships/image" Target="media/image261.png"/><Relationship Id="rId270" Type="http://schemas.openxmlformats.org/officeDocument/2006/relationships/image" Target="media/image262.png"/><Relationship Id="rId271" Type="http://schemas.openxmlformats.org/officeDocument/2006/relationships/image" Target="media/image263.png"/><Relationship Id="rId272" Type="http://schemas.openxmlformats.org/officeDocument/2006/relationships/image" Target="media/image264.png"/><Relationship Id="rId273" Type="http://schemas.openxmlformats.org/officeDocument/2006/relationships/image" Target="media/image265.png"/><Relationship Id="rId274" Type="http://schemas.openxmlformats.org/officeDocument/2006/relationships/image" Target="media/image266.png"/><Relationship Id="rId275" Type="http://schemas.openxmlformats.org/officeDocument/2006/relationships/image" Target="media/image267.png"/><Relationship Id="rId276" Type="http://schemas.openxmlformats.org/officeDocument/2006/relationships/image" Target="media/image268.png"/><Relationship Id="rId277" Type="http://schemas.openxmlformats.org/officeDocument/2006/relationships/image" Target="media/image269.png"/><Relationship Id="rId278" Type="http://schemas.openxmlformats.org/officeDocument/2006/relationships/image" Target="media/image270.png"/><Relationship Id="rId279" Type="http://schemas.openxmlformats.org/officeDocument/2006/relationships/image" Target="media/image271.png"/><Relationship Id="rId280" Type="http://schemas.openxmlformats.org/officeDocument/2006/relationships/image" Target="media/image272.png"/><Relationship Id="rId281" Type="http://schemas.openxmlformats.org/officeDocument/2006/relationships/image" Target="media/image273.png"/><Relationship Id="rId282" Type="http://schemas.openxmlformats.org/officeDocument/2006/relationships/image" Target="media/image274.png"/><Relationship Id="rId283" Type="http://schemas.openxmlformats.org/officeDocument/2006/relationships/image" Target="media/image275.png"/><Relationship Id="rId284" Type="http://schemas.openxmlformats.org/officeDocument/2006/relationships/image" Target="media/image276.png"/><Relationship Id="rId285" Type="http://schemas.openxmlformats.org/officeDocument/2006/relationships/image" Target="media/image277.png"/><Relationship Id="rId286" Type="http://schemas.openxmlformats.org/officeDocument/2006/relationships/image" Target="media/image278.png"/><Relationship Id="rId287" Type="http://schemas.openxmlformats.org/officeDocument/2006/relationships/image" Target="media/image279.png"/><Relationship Id="rId288" Type="http://schemas.openxmlformats.org/officeDocument/2006/relationships/image" Target="media/image280.png"/><Relationship Id="rId289" Type="http://schemas.openxmlformats.org/officeDocument/2006/relationships/image" Target="media/image281.png"/><Relationship Id="rId290" Type="http://schemas.openxmlformats.org/officeDocument/2006/relationships/image" Target="media/image282.png"/><Relationship Id="rId291" Type="http://schemas.openxmlformats.org/officeDocument/2006/relationships/image" Target="media/image283.png"/><Relationship Id="rId292" Type="http://schemas.openxmlformats.org/officeDocument/2006/relationships/image" Target="media/image284.png"/><Relationship Id="rId293" Type="http://schemas.openxmlformats.org/officeDocument/2006/relationships/image" Target="media/image285.png"/><Relationship Id="rId294" Type="http://schemas.openxmlformats.org/officeDocument/2006/relationships/image" Target="media/image286.png"/><Relationship Id="rId295" Type="http://schemas.openxmlformats.org/officeDocument/2006/relationships/image" Target="media/image287.png"/><Relationship Id="rId296" Type="http://schemas.openxmlformats.org/officeDocument/2006/relationships/image" Target="media/image288.png"/><Relationship Id="rId297" Type="http://schemas.openxmlformats.org/officeDocument/2006/relationships/image" Target="media/image289.png"/><Relationship Id="rId298" Type="http://schemas.openxmlformats.org/officeDocument/2006/relationships/image" Target="media/image290.png"/><Relationship Id="rId299" Type="http://schemas.openxmlformats.org/officeDocument/2006/relationships/image" Target="media/image291.png"/><Relationship Id="rId300" Type="http://schemas.openxmlformats.org/officeDocument/2006/relationships/image" Target="media/image292.png"/><Relationship Id="rId301" Type="http://schemas.openxmlformats.org/officeDocument/2006/relationships/image" Target="media/image293.png"/><Relationship Id="rId302" Type="http://schemas.openxmlformats.org/officeDocument/2006/relationships/image" Target="media/image294.png"/><Relationship Id="rId303" Type="http://schemas.openxmlformats.org/officeDocument/2006/relationships/image" Target="media/image295.png"/><Relationship Id="rId304" Type="http://schemas.openxmlformats.org/officeDocument/2006/relationships/image" Target="media/image296.png"/><Relationship Id="rId305" Type="http://schemas.openxmlformats.org/officeDocument/2006/relationships/image" Target="media/image297.png"/><Relationship Id="rId306" Type="http://schemas.openxmlformats.org/officeDocument/2006/relationships/image" Target="media/image298.png"/><Relationship Id="rId307" Type="http://schemas.openxmlformats.org/officeDocument/2006/relationships/image" Target="media/image299.png"/><Relationship Id="rId308" Type="http://schemas.openxmlformats.org/officeDocument/2006/relationships/image" Target="media/image300.png"/><Relationship Id="rId309" Type="http://schemas.openxmlformats.org/officeDocument/2006/relationships/image" Target="media/image301.png"/><Relationship Id="rId310" Type="http://schemas.openxmlformats.org/officeDocument/2006/relationships/image" Target="media/image302.png"/><Relationship Id="rId311" Type="http://schemas.openxmlformats.org/officeDocument/2006/relationships/image" Target="media/image303.png"/><Relationship Id="rId312" Type="http://schemas.openxmlformats.org/officeDocument/2006/relationships/image" Target="media/image304.png"/><Relationship Id="rId313" Type="http://schemas.openxmlformats.org/officeDocument/2006/relationships/image" Target="media/image305.png"/><Relationship Id="rId314" Type="http://schemas.openxmlformats.org/officeDocument/2006/relationships/image" Target="media/image306.png"/><Relationship Id="rId315" Type="http://schemas.openxmlformats.org/officeDocument/2006/relationships/image" Target="media/image307.png"/><Relationship Id="rId316" Type="http://schemas.openxmlformats.org/officeDocument/2006/relationships/image" Target="media/image308.png"/><Relationship Id="rId317" Type="http://schemas.openxmlformats.org/officeDocument/2006/relationships/image" Target="media/image309.png"/><Relationship Id="rId318" Type="http://schemas.openxmlformats.org/officeDocument/2006/relationships/image" Target="media/image310.png"/><Relationship Id="rId319" Type="http://schemas.openxmlformats.org/officeDocument/2006/relationships/image" Target="media/image311.png"/><Relationship Id="rId320" Type="http://schemas.openxmlformats.org/officeDocument/2006/relationships/image" Target="media/image312.png"/><Relationship Id="rId321" Type="http://schemas.openxmlformats.org/officeDocument/2006/relationships/image" Target="media/image313.png"/><Relationship Id="rId322" Type="http://schemas.openxmlformats.org/officeDocument/2006/relationships/image" Target="media/image314.png"/><Relationship Id="rId323" Type="http://schemas.openxmlformats.org/officeDocument/2006/relationships/image" Target="media/image315.png"/><Relationship Id="rId324" Type="http://schemas.openxmlformats.org/officeDocument/2006/relationships/image" Target="media/image316.png"/><Relationship Id="rId325" Type="http://schemas.openxmlformats.org/officeDocument/2006/relationships/image" Target="media/image317.png"/><Relationship Id="rId326" Type="http://schemas.openxmlformats.org/officeDocument/2006/relationships/image" Target="media/image318.png"/><Relationship Id="rId327" Type="http://schemas.openxmlformats.org/officeDocument/2006/relationships/image" Target="media/image319.png"/><Relationship Id="rId328" Type="http://schemas.openxmlformats.org/officeDocument/2006/relationships/image" Target="media/image320.png"/><Relationship Id="rId329" Type="http://schemas.openxmlformats.org/officeDocument/2006/relationships/image" Target="media/image321.png"/><Relationship Id="rId330" Type="http://schemas.openxmlformats.org/officeDocument/2006/relationships/image" Target="media/image322.png"/><Relationship Id="rId331" Type="http://schemas.openxmlformats.org/officeDocument/2006/relationships/image" Target="media/image323.png"/><Relationship Id="rId332" Type="http://schemas.openxmlformats.org/officeDocument/2006/relationships/image" Target="media/image324.png"/><Relationship Id="rId333" Type="http://schemas.openxmlformats.org/officeDocument/2006/relationships/image" Target="media/image325.png"/><Relationship Id="rId334" Type="http://schemas.openxmlformats.org/officeDocument/2006/relationships/image" Target="media/image326.png"/><Relationship Id="rId335" Type="http://schemas.openxmlformats.org/officeDocument/2006/relationships/image" Target="media/image327.png"/><Relationship Id="rId336" Type="http://schemas.openxmlformats.org/officeDocument/2006/relationships/image" Target="media/image328.png"/><Relationship Id="rId337" Type="http://schemas.openxmlformats.org/officeDocument/2006/relationships/image" Target="media/image329.png"/><Relationship Id="rId338" Type="http://schemas.openxmlformats.org/officeDocument/2006/relationships/image" Target="media/image330.png"/><Relationship Id="rId339" Type="http://schemas.openxmlformats.org/officeDocument/2006/relationships/image" Target="media/image331.png"/><Relationship Id="rId340" Type="http://schemas.openxmlformats.org/officeDocument/2006/relationships/image" Target="media/image332.png"/><Relationship Id="rId341" Type="http://schemas.openxmlformats.org/officeDocument/2006/relationships/image" Target="media/image333.png"/><Relationship Id="rId342" Type="http://schemas.openxmlformats.org/officeDocument/2006/relationships/image" Target="media/image334.png"/><Relationship Id="rId343" Type="http://schemas.openxmlformats.org/officeDocument/2006/relationships/image" Target="media/image335.png"/><Relationship Id="rId344" Type="http://schemas.openxmlformats.org/officeDocument/2006/relationships/image" Target="media/image336.png"/><Relationship Id="rId345" Type="http://schemas.openxmlformats.org/officeDocument/2006/relationships/image" Target="media/image337.png"/><Relationship Id="rId346" Type="http://schemas.openxmlformats.org/officeDocument/2006/relationships/image" Target="media/image338.png"/><Relationship Id="rId347" Type="http://schemas.openxmlformats.org/officeDocument/2006/relationships/image" Target="media/image339.png"/><Relationship Id="rId348" Type="http://schemas.openxmlformats.org/officeDocument/2006/relationships/image" Target="media/image340.png"/><Relationship Id="rId349" Type="http://schemas.openxmlformats.org/officeDocument/2006/relationships/image" Target="media/image341.png"/><Relationship Id="rId350" Type="http://schemas.openxmlformats.org/officeDocument/2006/relationships/image" Target="media/image342.png"/><Relationship Id="rId351" Type="http://schemas.openxmlformats.org/officeDocument/2006/relationships/image" Target="media/image343.png"/><Relationship Id="rId352" Type="http://schemas.openxmlformats.org/officeDocument/2006/relationships/image" Target="media/image344.png"/><Relationship Id="rId353" Type="http://schemas.openxmlformats.org/officeDocument/2006/relationships/image" Target="media/image345.png"/><Relationship Id="rId354" Type="http://schemas.openxmlformats.org/officeDocument/2006/relationships/image" Target="media/image346.png"/><Relationship Id="rId355" Type="http://schemas.openxmlformats.org/officeDocument/2006/relationships/image" Target="media/image347.png"/><Relationship Id="rId356" Type="http://schemas.openxmlformats.org/officeDocument/2006/relationships/image" Target="media/image348.png"/><Relationship Id="rId357" Type="http://schemas.openxmlformats.org/officeDocument/2006/relationships/image" Target="media/image349.png"/><Relationship Id="rId358" Type="http://schemas.openxmlformats.org/officeDocument/2006/relationships/image" Target="media/image350.png"/><Relationship Id="rId359" Type="http://schemas.openxmlformats.org/officeDocument/2006/relationships/image" Target="media/image351.png"/><Relationship Id="rId360" Type="http://schemas.openxmlformats.org/officeDocument/2006/relationships/image" Target="media/image352.png"/><Relationship Id="rId361" Type="http://schemas.openxmlformats.org/officeDocument/2006/relationships/image" Target="media/image353.png"/><Relationship Id="rId362" Type="http://schemas.openxmlformats.org/officeDocument/2006/relationships/image" Target="media/image354.png"/><Relationship Id="rId363" Type="http://schemas.openxmlformats.org/officeDocument/2006/relationships/image" Target="media/image355.png"/><Relationship Id="rId364" Type="http://schemas.openxmlformats.org/officeDocument/2006/relationships/image" Target="media/image356.png"/><Relationship Id="rId365" Type="http://schemas.openxmlformats.org/officeDocument/2006/relationships/image" Target="media/image357.png"/><Relationship Id="rId366" Type="http://schemas.openxmlformats.org/officeDocument/2006/relationships/image" Target="media/image358.png"/><Relationship Id="rId367" Type="http://schemas.openxmlformats.org/officeDocument/2006/relationships/image" Target="media/image359.png"/><Relationship Id="rId368" Type="http://schemas.openxmlformats.org/officeDocument/2006/relationships/image" Target="media/image360.png"/><Relationship Id="rId369" Type="http://schemas.openxmlformats.org/officeDocument/2006/relationships/image" Target="media/image361.png"/><Relationship Id="rId370" Type="http://schemas.openxmlformats.org/officeDocument/2006/relationships/image" Target="media/image362.png"/><Relationship Id="rId371" Type="http://schemas.openxmlformats.org/officeDocument/2006/relationships/image" Target="media/image363.png"/><Relationship Id="rId372" Type="http://schemas.openxmlformats.org/officeDocument/2006/relationships/image" Target="media/image364.png"/><Relationship Id="rId373" Type="http://schemas.openxmlformats.org/officeDocument/2006/relationships/image" Target="media/image365.png"/><Relationship Id="rId374" Type="http://schemas.openxmlformats.org/officeDocument/2006/relationships/image" Target="media/image366.png"/><Relationship Id="rId375" Type="http://schemas.openxmlformats.org/officeDocument/2006/relationships/image" Target="media/image367.png"/><Relationship Id="rId376" Type="http://schemas.openxmlformats.org/officeDocument/2006/relationships/image" Target="media/image368.png"/><Relationship Id="rId377" Type="http://schemas.openxmlformats.org/officeDocument/2006/relationships/image" Target="media/image369.png"/><Relationship Id="rId378" Type="http://schemas.openxmlformats.org/officeDocument/2006/relationships/image" Target="media/image370.png"/><Relationship Id="rId379" Type="http://schemas.openxmlformats.org/officeDocument/2006/relationships/image" Target="media/image371.png"/><Relationship Id="rId380" Type="http://schemas.openxmlformats.org/officeDocument/2006/relationships/image" Target="media/image372.png"/><Relationship Id="rId381" Type="http://schemas.openxmlformats.org/officeDocument/2006/relationships/image" Target="media/image373.png"/><Relationship Id="rId382" Type="http://schemas.openxmlformats.org/officeDocument/2006/relationships/image" Target="media/image374.png"/><Relationship Id="rId383" Type="http://schemas.openxmlformats.org/officeDocument/2006/relationships/image" Target="media/image375.png"/><Relationship Id="rId384" Type="http://schemas.openxmlformats.org/officeDocument/2006/relationships/image" Target="media/image376.png"/><Relationship Id="rId385" Type="http://schemas.openxmlformats.org/officeDocument/2006/relationships/image" Target="media/image377.png"/><Relationship Id="rId386" Type="http://schemas.openxmlformats.org/officeDocument/2006/relationships/image" Target="media/image378.png"/><Relationship Id="rId387" Type="http://schemas.openxmlformats.org/officeDocument/2006/relationships/image" Target="media/image379.png"/><Relationship Id="rId388" Type="http://schemas.openxmlformats.org/officeDocument/2006/relationships/image" Target="media/image380.png"/><Relationship Id="rId389" Type="http://schemas.openxmlformats.org/officeDocument/2006/relationships/image" Target="media/image381.png"/><Relationship Id="rId390" Type="http://schemas.openxmlformats.org/officeDocument/2006/relationships/image" Target="media/image382.png"/><Relationship Id="rId391" Type="http://schemas.openxmlformats.org/officeDocument/2006/relationships/image" Target="media/image383.png"/><Relationship Id="rId392" Type="http://schemas.openxmlformats.org/officeDocument/2006/relationships/image" Target="media/image384.png"/><Relationship Id="rId393" Type="http://schemas.openxmlformats.org/officeDocument/2006/relationships/image" Target="media/image385.png"/><Relationship Id="rId394" Type="http://schemas.openxmlformats.org/officeDocument/2006/relationships/image" Target="media/image386.jpeg"/><Relationship Id="rId395" Type="http://schemas.openxmlformats.org/officeDocument/2006/relationships/image" Target="media/image387.png"/><Relationship Id="rId396" Type="http://schemas.openxmlformats.org/officeDocument/2006/relationships/image" Target="media/image388.jpeg"/><Relationship Id="rId397" Type="http://schemas.openxmlformats.org/officeDocument/2006/relationships/image" Target="media/image389.png"/><Relationship Id="rId398" Type="http://schemas.openxmlformats.org/officeDocument/2006/relationships/image" Target="media/image390.jpeg"/><Relationship Id="rId399" Type="http://schemas.openxmlformats.org/officeDocument/2006/relationships/image" Target="media/image391.png"/><Relationship Id="rId400" Type="http://schemas.openxmlformats.org/officeDocument/2006/relationships/image" Target="media/image392.jpeg"/><Relationship Id="rId401" Type="http://schemas.openxmlformats.org/officeDocument/2006/relationships/image" Target="media/image393.png"/><Relationship Id="rId402" Type="http://schemas.openxmlformats.org/officeDocument/2006/relationships/image" Target="media/image394.jpeg"/><Relationship Id="rId403" Type="http://schemas.openxmlformats.org/officeDocument/2006/relationships/image" Target="media/image395.png"/><Relationship Id="rId404" Type="http://schemas.openxmlformats.org/officeDocument/2006/relationships/image" Target="media/image396.jpeg"/><Relationship Id="rId405" Type="http://schemas.openxmlformats.org/officeDocument/2006/relationships/image" Target="media/image397.png"/><Relationship Id="rId406" Type="http://schemas.openxmlformats.org/officeDocument/2006/relationships/image" Target="media/image398.jpeg"/><Relationship Id="rId407" Type="http://schemas.openxmlformats.org/officeDocument/2006/relationships/image" Target="media/image399.png"/><Relationship Id="rId408" Type="http://schemas.openxmlformats.org/officeDocument/2006/relationships/image" Target="media/image400.jpeg"/><Relationship Id="rId409" Type="http://schemas.openxmlformats.org/officeDocument/2006/relationships/image" Target="media/image401.png"/><Relationship Id="rId410" Type="http://schemas.openxmlformats.org/officeDocument/2006/relationships/image" Target="media/image402.jpeg"/><Relationship Id="rId411" Type="http://schemas.openxmlformats.org/officeDocument/2006/relationships/image" Target="media/image403.png"/><Relationship Id="rId412" Type="http://schemas.openxmlformats.org/officeDocument/2006/relationships/image" Target="media/image404.jpeg"/><Relationship Id="rId413" Type="http://schemas.openxmlformats.org/officeDocument/2006/relationships/image" Target="media/image405.png"/><Relationship Id="rId414" Type="http://schemas.openxmlformats.org/officeDocument/2006/relationships/image" Target="media/image406.jpeg"/><Relationship Id="rId415" Type="http://schemas.openxmlformats.org/officeDocument/2006/relationships/image" Target="media/image407.png"/><Relationship Id="rId416" Type="http://schemas.openxmlformats.org/officeDocument/2006/relationships/image" Target="media/image408.jpeg"/><Relationship Id="rId417" Type="http://schemas.openxmlformats.org/officeDocument/2006/relationships/image" Target="media/image409.png"/><Relationship Id="rId418" Type="http://schemas.openxmlformats.org/officeDocument/2006/relationships/image" Target="media/image410.jpeg"/><Relationship Id="rId419" Type="http://schemas.openxmlformats.org/officeDocument/2006/relationships/image" Target="media/image411.png"/><Relationship Id="rId420" Type="http://schemas.openxmlformats.org/officeDocument/2006/relationships/image" Target="media/image412.png"/><Relationship Id="rId421" Type="http://schemas.openxmlformats.org/officeDocument/2006/relationships/image" Target="media/image413.png"/><Relationship Id="rId422" Type="http://schemas.openxmlformats.org/officeDocument/2006/relationships/image" Target="media/image414.png"/><Relationship Id="rId423" Type="http://schemas.openxmlformats.org/officeDocument/2006/relationships/image" Target="media/image415.png"/><Relationship Id="rId424" Type="http://schemas.openxmlformats.org/officeDocument/2006/relationships/image" Target="media/image416.png"/><Relationship Id="rId425" Type="http://schemas.openxmlformats.org/officeDocument/2006/relationships/image" Target="media/image417.png"/><Relationship Id="rId426" Type="http://schemas.openxmlformats.org/officeDocument/2006/relationships/image" Target="media/image418.png"/><Relationship Id="rId427" Type="http://schemas.openxmlformats.org/officeDocument/2006/relationships/image" Target="media/image419.png"/><Relationship Id="rId428" Type="http://schemas.openxmlformats.org/officeDocument/2006/relationships/image" Target="media/image420.png"/><Relationship Id="rId429" Type="http://schemas.openxmlformats.org/officeDocument/2006/relationships/image" Target="media/image421.png"/><Relationship Id="rId430" Type="http://schemas.openxmlformats.org/officeDocument/2006/relationships/image" Target="media/image422.png"/><Relationship Id="rId431" Type="http://schemas.openxmlformats.org/officeDocument/2006/relationships/image" Target="media/image423.png"/><Relationship Id="rId432" Type="http://schemas.openxmlformats.org/officeDocument/2006/relationships/image" Target="media/image424.png"/><Relationship Id="rId433" Type="http://schemas.openxmlformats.org/officeDocument/2006/relationships/image" Target="media/image425.png"/><Relationship Id="rId434" Type="http://schemas.openxmlformats.org/officeDocument/2006/relationships/image" Target="media/image426.png"/><Relationship Id="rId435" Type="http://schemas.openxmlformats.org/officeDocument/2006/relationships/image" Target="media/image427.png"/><Relationship Id="rId436" Type="http://schemas.openxmlformats.org/officeDocument/2006/relationships/image" Target="media/image428.png"/><Relationship Id="rId437" Type="http://schemas.openxmlformats.org/officeDocument/2006/relationships/image" Target="media/image429.png"/><Relationship Id="rId438" Type="http://schemas.openxmlformats.org/officeDocument/2006/relationships/image" Target="media/image430.png"/><Relationship Id="rId439" Type="http://schemas.openxmlformats.org/officeDocument/2006/relationships/image" Target="media/image431.png"/><Relationship Id="rId440" Type="http://schemas.openxmlformats.org/officeDocument/2006/relationships/image" Target="media/image432.png"/><Relationship Id="rId441" Type="http://schemas.openxmlformats.org/officeDocument/2006/relationships/image" Target="media/image433.png"/><Relationship Id="rId442" Type="http://schemas.openxmlformats.org/officeDocument/2006/relationships/image" Target="media/image434.png"/><Relationship Id="rId443" Type="http://schemas.openxmlformats.org/officeDocument/2006/relationships/image" Target="media/image435.png"/><Relationship Id="rId444" Type="http://schemas.openxmlformats.org/officeDocument/2006/relationships/image" Target="media/image436.png"/><Relationship Id="rId445" Type="http://schemas.openxmlformats.org/officeDocument/2006/relationships/image" Target="media/image437.png"/><Relationship Id="rId446" Type="http://schemas.openxmlformats.org/officeDocument/2006/relationships/image" Target="media/image438.png"/><Relationship Id="rId447" Type="http://schemas.openxmlformats.org/officeDocument/2006/relationships/image" Target="media/image439.png"/><Relationship Id="rId18" Type="http://schemas.openxmlformats.org/officeDocument/2006/relationships/hyperlink" Target="http://www.sec.gov/Archives/edgar/data/1822145/000155837023005593/prst-20230331xex10d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2023-10-11T06:51:53Z</dcterms:created>
  <dcterms:modified xsi:type="dcterms:W3CDTF">2023-10-11T06:51:53Z</dcterms:modified>
</cp:coreProperties>
</file>