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6736d5_8k.htm"/>
      <w:bookmarkStart w:id="1" w:name="kstm246736d5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3_edei--DocumentType_c20240229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earliest event reported: </w:t>
      </w:r>
      <w:bookmarkStart w:id="3" w:name="xdx_908_edei--DocumentPeriodEndDate_c202"/>
      <w:bookmarkEnd w:id="3"/>
      <w:r>
        <w:rPr>
          <w:rFonts w:ascii="Times New Roman;Times;Serif" w:hAnsi="Times New Roman;Times;Serif"/>
          <w:b w:val="false"/>
          <w:i w:val="false"/>
          <w:caps w:val="false"/>
          <w:smallCaps w:val="false"/>
          <w:sz w:val="20"/>
        </w:rPr>
        <w:t>February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bookmarkStart w:id="4" w:name="xdx_909_edei--EntityRegistrantName_c2024"/>
      <w:bookmarkEnd w:id="4"/>
      <w:r>
        <w:rPr>
          <w:rFonts w:ascii="Times New Roman;Times;Serif" w:hAnsi="Times New Roman;Times;Serif"/>
          <w:b/>
          <w:i w:val="false"/>
          <w:caps w:val="false"/>
          <w:smallCaps w:val="false"/>
          <w:sz w:val="28"/>
        </w:rPr>
        <w:t>Presto Automation Inc.</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485" w:type="dxa"/>
        <w:jc w:val="left"/>
        <w:tblInd w:w="0" w:type="dxa"/>
        <w:tblLayout w:type="fixed"/>
        <w:tblCellMar>
          <w:top w:w="0" w:type="dxa"/>
          <w:left w:w="0" w:type="dxa"/>
          <w:bottom w:w="28" w:type="dxa"/>
          <w:right w:w="0" w:type="dxa"/>
        </w:tblCellMar>
      </w:tblPr>
      <w:tblGrid>
        <w:gridCol w:w="2720"/>
        <w:gridCol w:w="60"/>
        <w:gridCol w:w="2765"/>
        <w:gridCol w:w="60"/>
        <w:gridCol w:w="1880"/>
      </w:tblGrid>
      <w:tr>
        <w:trPr/>
        <w:tc>
          <w:tcPr>
            <w:tcW w:w="2720" w:type="dxa"/>
            <w:tcBorders>
              <w:bottom w:val="single" w:sz="12" w:space="0" w:color="000000"/>
            </w:tcBorders>
            <w:vAlign w:val="center"/>
          </w:tcPr>
          <w:p>
            <w:pPr>
              <w:pStyle w:val="TableContents"/>
              <w:bidi w:val="0"/>
              <w:spacing w:before="0" w:after="283"/>
              <w:jc w:val="center"/>
              <w:rPr>
                <w:b/>
              </w:rPr>
            </w:pPr>
            <w:bookmarkStart w:id="5" w:name="xdx_907_edei--EntityIncorporationStateCo"/>
            <w:bookmarkEnd w:id="5"/>
            <w:r>
              <w:rPr>
                <w:b/>
              </w:rPr>
              <w:t>Delaware</w:t>
            </w:r>
          </w:p>
        </w:tc>
        <w:tc>
          <w:tcPr>
            <w:tcW w:w="60" w:type="dxa"/>
            <w:tcBorders/>
            <w:tcMar>
              <w:bottom w:w="0" w:type="dxa"/>
            </w:tcMar>
            <w:vAlign w:val="center"/>
          </w:tcPr>
          <w:p>
            <w:pPr>
              <w:pStyle w:val="TableContents"/>
              <w:bidi w:val="0"/>
              <w:spacing w:before="0" w:after="283"/>
              <w:jc w:val="left"/>
              <w:rPr/>
            </w:pPr>
            <w:r>
              <w:rPr/>
              <w:t> </w:t>
            </w:r>
          </w:p>
        </w:tc>
        <w:tc>
          <w:tcPr>
            <w:tcW w:w="2765" w:type="dxa"/>
            <w:tcBorders>
              <w:bottom w:val="single" w:sz="12" w:space="0" w:color="000000"/>
            </w:tcBorders>
            <w:vAlign w:val="center"/>
          </w:tcPr>
          <w:p>
            <w:pPr>
              <w:pStyle w:val="TableContents"/>
              <w:bidi w:val="0"/>
              <w:spacing w:before="0" w:after="283"/>
              <w:jc w:val="center"/>
              <w:rPr>
                <w:b/>
              </w:rPr>
            </w:pPr>
            <w:bookmarkStart w:id="6" w:name="xdx_90B_edei--EntityFileNumber_c20240229"/>
            <w:bookmarkEnd w:id="6"/>
            <w:r>
              <w:rPr>
                <w:b/>
              </w:rPr>
              <w:t>001-39830</w:t>
            </w:r>
          </w:p>
        </w:tc>
        <w:tc>
          <w:tcPr>
            <w:tcW w:w="60" w:type="dxa"/>
            <w:tcBorders/>
            <w:tcMar>
              <w:bottom w:w="0" w:type="dxa"/>
            </w:tcMar>
            <w:vAlign w:val="center"/>
          </w:tcPr>
          <w:p>
            <w:pPr>
              <w:pStyle w:val="TableContents"/>
              <w:bidi w:val="0"/>
              <w:spacing w:before="0" w:after="283"/>
              <w:jc w:val="left"/>
              <w:rPr/>
            </w:pPr>
            <w:r>
              <w:rPr/>
              <w:t> </w:t>
            </w:r>
          </w:p>
        </w:tc>
        <w:tc>
          <w:tcPr>
            <w:tcW w:w="1880" w:type="dxa"/>
            <w:tcBorders>
              <w:bottom w:val="single" w:sz="12" w:space="0" w:color="000000"/>
            </w:tcBorders>
            <w:vAlign w:val="center"/>
          </w:tcPr>
          <w:p>
            <w:pPr>
              <w:pStyle w:val="TableContents"/>
              <w:bidi w:val="0"/>
              <w:spacing w:before="0" w:after="283"/>
              <w:jc w:val="center"/>
              <w:rPr>
                <w:b/>
              </w:rPr>
            </w:pPr>
            <w:bookmarkStart w:id="7" w:name="xdx_909_edei--EntityTaxIdentificationNum"/>
            <w:bookmarkEnd w:id="7"/>
            <w:r>
              <w:rPr>
                <w:b/>
              </w:rPr>
              <w:t>84-2968594</w:t>
            </w:r>
          </w:p>
        </w:tc>
      </w:tr>
      <w:tr>
        <w:trPr/>
        <w:tc>
          <w:tcPr>
            <w:tcW w:w="2720" w:type="dxa"/>
            <w:tcBorders/>
            <w:tcMar>
              <w:bottom w:w="0" w:type="dxa"/>
            </w:tcMar>
            <w:vAlign w:val="center"/>
          </w:tcPr>
          <w:p>
            <w:pPr>
              <w:pStyle w:val="TableContents"/>
              <w:bidi w:val="0"/>
              <w:spacing w:before="0" w:after="283"/>
              <w:jc w:val="center"/>
              <w:rPr>
                <w:b/>
              </w:rPr>
            </w:pPr>
            <w:r>
              <w:rPr>
                <w:b/>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765" w:type="dxa"/>
            <w:tcBorders/>
            <w:tcMar>
              <w:bottom w:w="0" w:type="dxa"/>
            </w:tcMar>
            <w:vAlign w:val="center"/>
          </w:tcPr>
          <w:p>
            <w:pPr>
              <w:pStyle w:val="TableContents"/>
              <w:bidi w:val="0"/>
              <w:spacing w:before="0" w:after="283"/>
              <w:jc w:val="center"/>
              <w:rPr>
                <w:b/>
              </w:rPr>
            </w:pPr>
            <w:r>
              <w:rPr>
                <w:b/>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880" w:type="dxa"/>
            <w:tcBorders/>
            <w:tcMar>
              <w:bottom w:w="0" w:type="dxa"/>
            </w:tcMar>
            <w:vAlign w:val="center"/>
          </w:tcPr>
          <w:p>
            <w:pPr>
              <w:pStyle w:val="TableContents"/>
              <w:bidi w:val="0"/>
              <w:spacing w:before="0" w:after="283"/>
              <w:jc w:val="center"/>
              <w:rPr>
                <w:b/>
              </w:rPr>
            </w:pPr>
            <w:r>
              <w:rPr>
                <w:b/>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3290"/>
        <w:gridCol w:w="60"/>
        <w:gridCol w:w="935"/>
      </w:tblGrid>
      <w:tr>
        <w:trPr/>
        <w:tc>
          <w:tcPr>
            <w:tcW w:w="3290" w:type="dxa"/>
            <w:tcBorders>
              <w:bottom w:val="single" w:sz="12" w:space="0" w:color="000000"/>
            </w:tcBorders>
            <w:vAlign w:val="center"/>
          </w:tcPr>
          <w:p>
            <w:pPr>
              <w:pStyle w:val="TableContents"/>
              <w:bidi w:val="0"/>
              <w:spacing w:before="0" w:after="0"/>
              <w:ind w:left="16" w:right="16" w:hanging="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985 Industrial Road</w:t>
            </w:r>
          </w:p>
          <w:p>
            <w:pPr>
              <w:pStyle w:val="TableContents"/>
              <w:bidi w:val="0"/>
              <w:spacing w:before="0" w:after="0"/>
              <w:ind w:left="16" w:right="16" w:hanging="0"/>
              <w:jc w:val="center"/>
              <w:rPr>
                <w:rFonts w:ascii="Times New Roman;Times;Serif" w:hAnsi="Times New Roman;Times;Serif"/>
                <w:b/>
                <w:i w:val="false"/>
                <w:caps w:val="false"/>
                <w:smallCaps w:val="false"/>
                <w:sz w:val="20"/>
              </w:rPr>
            </w:pPr>
            <w:bookmarkStart w:id="9" w:name="xdx_907_edei--EntityAddressCityOrTown_c2"/>
            <w:bookmarkEnd w:id="9"/>
            <w:r>
              <w:rPr>
                <w:rFonts w:ascii="Times New Roman;Times;Serif" w:hAnsi="Times New Roman;Times;Serif"/>
                <w:b/>
                <w:i w:val="false"/>
                <w:caps w:val="false"/>
                <w:smallCaps w:val="false"/>
                <w:sz w:val="20"/>
              </w:rPr>
              <w:t xml:space="preserve">San Carlos, </w:t>
            </w:r>
            <w:bookmarkStart w:id="10" w:name="xdx_906_edei--EntityAddressStateOrProvin"/>
            <w:bookmarkEnd w:id="10"/>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left"/>
              <w:rPr/>
            </w:pPr>
            <w:r>
              <w:rPr/>
              <w:t> </w:t>
            </w:r>
          </w:p>
        </w:tc>
        <w:tc>
          <w:tcPr>
            <w:tcW w:w="935" w:type="dxa"/>
            <w:tcBorders>
              <w:bottom w:val="single" w:sz="12" w:space="0" w:color="000000"/>
            </w:tcBorders>
            <w:vAlign w:val="center"/>
          </w:tcPr>
          <w:p>
            <w:pPr>
              <w:pStyle w:val="TableContents"/>
              <w:bidi w:val="0"/>
              <w:spacing w:before="0" w:after="283"/>
              <w:jc w:val="center"/>
              <w:rPr>
                <w:b/>
                <w:sz w:val="20"/>
              </w:rPr>
            </w:pPr>
            <w:bookmarkStart w:id="11" w:name="xdx_900_edei--EntityAddressPostalZipCode"/>
            <w:bookmarkEnd w:id="11"/>
            <w:r>
              <w:rPr>
                <w:b/>
                <w:sz w:val="20"/>
              </w:rPr>
              <w:t>94070</w:t>
            </w:r>
          </w:p>
        </w:tc>
      </w:tr>
      <w:tr>
        <w:trPr/>
        <w:tc>
          <w:tcPr>
            <w:tcW w:w="3290" w:type="dxa"/>
            <w:tcBorders/>
            <w:tcMar>
              <w:bottom w:w="0" w:type="dxa"/>
            </w:tcMar>
            <w:vAlign w:val="center"/>
          </w:tcPr>
          <w:p>
            <w:pPr>
              <w:pStyle w:val="TableContents"/>
              <w:bidi w:val="0"/>
              <w:spacing w:before="0" w:after="283"/>
              <w:jc w:val="center"/>
              <w:rPr>
                <w:b/>
                <w:sz w:val="20"/>
              </w:rPr>
            </w:pPr>
            <w:r>
              <w:rPr>
                <w:b/>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35" w:type="dxa"/>
            <w:tcBorders/>
            <w:tcMar>
              <w:bottom w:w="0" w:type="dxa"/>
            </w:tcMar>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tbl>
      <w:tblPr>
        <w:tblW w:w="5225" w:type="dxa"/>
        <w:jc w:val="left"/>
        <w:tblInd w:w="0" w:type="dxa"/>
        <w:tblLayout w:type="fixed"/>
        <w:tblCellMar>
          <w:top w:w="0" w:type="dxa"/>
          <w:left w:w="0" w:type="dxa"/>
          <w:bottom w:w="28" w:type="dxa"/>
          <w:right w:w="0" w:type="dxa"/>
        </w:tblCellMar>
      </w:tblPr>
      <w:tblGrid>
        <w:gridCol w:w="5225"/>
      </w:tblGrid>
      <w:tr>
        <w:trPr/>
        <w:tc>
          <w:tcPr>
            <w:tcW w:w="5225" w:type="dxa"/>
            <w:tcBorders>
              <w:bottom w:val="single" w:sz="12" w:space="0" w:color="000000"/>
            </w:tcBorders>
            <w:vAlign w:val="center"/>
          </w:tcPr>
          <w:p>
            <w:pPr>
              <w:pStyle w:val="TableContents"/>
              <w:bidi w:val="0"/>
              <w:spacing w:before="0" w:after="283"/>
              <w:jc w:val="center"/>
              <w:rPr>
                <w:b/>
                <w:sz w:val="20"/>
              </w:rPr>
            </w:pPr>
            <w:r>
              <w:rPr>
                <w:b/>
                <w:sz w:val="20"/>
              </w:rPr>
              <w:t>(</w:t>
            </w:r>
            <w:bookmarkStart w:id="12" w:name="xdx_907_edei--CityAreaCode_c20240229__20"/>
            <w:bookmarkEnd w:id="12"/>
            <w:r>
              <w:rPr>
                <w:b/>
                <w:sz w:val="20"/>
              </w:rPr>
              <w:t xml:space="preserve">650) </w:t>
            </w:r>
            <w:bookmarkStart w:id="13" w:name="xdx_906_edei--LocalPhoneNumber_c20240229"/>
            <w:bookmarkEnd w:id="13"/>
            <w:r>
              <w:rPr>
                <w:b/>
                <w:sz w:val="20"/>
              </w:rPr>
              <w:t>817-9012</w:t>
            </w:r>
          </w:p>
        </w:tc>
      </w:tr>
      <w:tr>
        <w:trPr/>
        <w:tc>
          <w:tcPr>
            <w:tcW w:w="5225" w:type="dxa"/>
            <w:tcBorders/>
            <w:tcMar>
              <w:bottom w:w="0" w:type="dxa"/>
            </w:tcMar>
            <w:vAlign w:val="center"/>
          </w:tcPr>
          <w:p>
            <w:pPr>
              <w:pStyle w:val="TableContents"/>
              <w:bidi w:val="0"/>
              <w:spacing w:before="0" w:after="283"/>
              <w:jc w:val="center"/>
              <w:rPr>
                <w:b/>
                <w:sz w:val="20"/>
              </w:rPr>
            </w:pPr>
            <w:r>
              <w:rPr>
                <w:b/>
                <w:sz w:val="20"/>
              </w:rPr>
              <w:t>(Registrant’s telephone number, including area code)</w:t>
            </w:r>
          </w:p>
        </w:tc>
      </w:tr>
      <w:tr>
        <w:trPr/>
        <w:tc>
          <w:tcPr>
            <w:tcW w:w="5225" w:type="dxa"/>
            <w:tcBorders/>
            <w:tcMar>
              <w:bottom w:w="0" w:type="dxa"/>
            </w:tcMar>
            <w:vAlign w:val="center"/>
          </w:tcPr>
          <w:p>
            <w:pPr>
              <w:pStyle w:val="TableContents"/>
              <w:bidi w:val="0"/>
              <w:spacing w:before="0" w:after="283"/>
              <w:jc w:val="left"/>
              <w:rPr/>
            </w:pPr>
            <w:r>
              <w:rPr/>
              <w:t> </w:t>
            </w:r>
          </w:p>
        </w:tc>
      </w:tr>
      <w:tr>
        <w:trPr/>
        <w:tc>
          <w:tcPr>
            <w:tcW w:w="5225" w:type="dxa"/>
            <w:tcBorders>
              <w:bottom w:val="single" w:sz="12" w:space="0" w:color="000000"/>
            </w:tcBorders>
            <w:vAlign w:val="center"/>
          </w:tcPr>
          <w:p>
            <w:pPr>
              <w:pStyle w:val="TableContents"/>
              <w:bidi w:val="0"/>
              <w:spacing w:before="0" w:after="283"/>
              <w:jc w:val="center"/>
              <w:rPr>
                <w:b/>
                <w:sz w:val="20"/>
              </w:rPr>
            </w:pPr>
            <w:r>
              <w:rPr>
                <w:b/>
                <w:sz w:val="20"/>
              </w:rPr>
              <w:t>N/A</w:t>
            </w:r>
          </w:p>
        </w:tc>
      </w:tr>
      <w:tr>
        <w:trPr/>
        <w:tc>
          <w:tcPr>
            <w:tcW w:w="5225" w:type="dxa"/>
            <w:tcBorders/>
            <w:tcMar>
              <w:bottom w:w="0" w:type="dxa"/>
            </w:tcMar>
            <w:vAlign w:val="center"/>
          </w:tcPr>
          <w:p>
            <w:pPr>
              <w:pStyle w:val="TableContents"/>
              <w:bidi w:val="0"/>
              <w:spacing w:before="0" w:after="283"/>
              <w:jc w:val="center"/>
              <w:rPr>
                <w:b/>
                <w:sz w:val="20"/>
              </w:rPr>
            </w:pPr>
            <w:r>
              <w:rPr>
                <w:b/>
                <w:sz w:val="20"/>
              </w:rPr>
              <w:t>(Former name or former address if changed since last report)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5_edei--WrittenCommunications_c202"/>
            <w:bookmarkEnd w:id="14"/>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E_edei--SolicitingMaterial_c202402"/>
            <w:bookmarkEnd w:id="15"/>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2_edei--PreCommencementTenderOffer"/>
            <w:bookmarkEnd w:id="16"/>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11"/>
        <w:gridCol w:w="60"/>
        <w:gridCol w:w="998"/>
        <w:gridCol w:w="60"/>
        <w:gridCol w:w="3076"/>
      </w:tblGrid>
      <w:tr>
        <w:trPr/>
        <w:tc>
          <w:tcPr>
            <w:tcW w:w="6011"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998" w:type="dxa"/>
            <w:tcBorders>
              <w:bottom w:val="single" w:sz="8" w:space="0" w:color="000000"/>
            </w:tcBorders>
            <w:vAlign w:val="center"/>
          </w:tcPr>
          <w:p>
            <w:pPr>
              <w:pStyle w:val="TableContents"/>
              <w:bidi w:val="0"/>
              <w:spacing w:before="0" w:after="283"/>
              <w:jc w:val="center"/>
              <w:rPr>
                <w:b/>
              </w:rPr>
            </w:pPr>
            <w:r>
              <w:rPr>
                <w:b/>
              </w:rPr>
              <w:t>Trading</w:t>
              <w:br/>
              <w:t>Symbol(s)</w:t>
            </w:r>
          </w:p>
        </w:tc>
        <w:tc>
          <w:tcPr>
            <w:tcW w:w="60" w:type="dxa"/>
            <w:tcBorders/>
            <w:tcMar>
              <w:bottom w:w="0" w:type="dxa"/>
            </w:tcMar>
            <w:vAlign w:val="center"/>
          </w:tcPr>
          <w:p>
            <w:pPr>
              <w:pStyle w:val="TableContents"/>
              <w:bidi w:val="0"/>
              <w:spacing w:before="0" w:after="283"/>
              <w:jc w:val="center"/>
              <w:rPr/>
            </w:pPr>
            <w:r>
              <w:rPr/>
              <w:t> </w:t>
            </w:r>
          </w:p>
        </w:tc>
        <w:tc>
          <w:tcPr>
            <w:tcW w:w="3076" w:type="dxa"/>
            <w:tcBorders>
              <w:bottom w:val="single" w:sz="8" w:space="0" w:color="000000"/>
            </w:tcBorders>
            <w:vAlign w:val="center"/>
          </w:tcPr>
          <w:p>
            <w:pPr>
              <w:pStyle w:val="TableContents"/>
              <w:bidi w:val="0"/>
              <w:spacing w:before="0" w:after="283"/>
              <w:jc w:val="center"/>
              <w:rPr>
                <w:b/>
              </w:rPr>
            </w:pPr>
            <w:r>
              <w:rPr>
                <w:b/>
              </w:rPr>
              <w:t xml:space="preserve">Name of each exchange on which </w:t>
              <w:br/>
              <w:t>registered</w:t>
            </w:r>
          </w:p>
        </w:tc>
      </w:tr>
      <w:tr>
        <w:trPr/>
        <w:tc>
          <w:tcPr>
            <w:tcW w:w="6011" w:type="dxa"/>
            <w:tcBorders/>
            <w:shd w:fill="CCEEFF" w:val="clear"/>
            <w:tcMar>
              <w:bottom w:w="0" w:type="dxa"/>
            </w:tcMar>
            <w:vAlign w:val="center"/>
          </w:tcPr>
          <w:p>
            <w:pPr>
              <w:pStyle w:val="TableContents"/>
              <w:bidi w:val="0"/>
              <w:spacing w:before="0" w:after="283"/>
              <w:jc w:val="center"/>
              <w:rPr/>
            </w:pPr>
            <w:bookmarkStart w:id="18" w:name="xdx_906_edei--Security12bTitle_c20240229"/>
            <w:bookmarkEnd w:id="18"/>
            <w:r>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98" w:type="dxa"/>
            <w:tcBorders/>
            <w:shd w:fill="CCEEFF" w:val="clear"/>
            <w:tcMar>
              <w:bottom w:w="0" w:type="dxa"/>
            </w:tcMar>
            <w:vAlign w:val="center"/>
          </w:tcPr>
          <w:p>
            <w:pPr>
              <w:pStyle w:val="TableContents"/>
              <w:bidi w:val="0"/>
              <w:spacing w:before="0" w:after="283"/>
              <w:jc w:val="center"/>
              <w:rPr/>
            </w:pPr>
            <w:bookmarkStart w:id="19" w:name="xdx_906_edei--TradingSymbol_c20240229__2"/>
            <w:bookmarkEnd w:id="19"/>
            <w:r>
              <w:rPr/>
              <w:t>PRST</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076" w:type="dxa"/>
            <w:tcBorders/>
            <w:shd w:fill="CCEEFF" w:val="clear"/>
            <w:tcMar>
              <w:bottom w:w="0" w:type="dxa"/>
            </w:tcMar>
            <w:vAlign w:val="center"/>
          </w:tcPr>
          <w:p>
            <w:pPr>
              <w:pStyle w:val="TableContents"/>
              <w:bidi w:val="0"/>
              <w:spacing w:before="0" w:after="283"/>
              <w:jc w:val="center"/>
              <w:rPr/>
            </w:pPr>
            <w:bookmarkStart w:id="20" w:name="xdx_905_edei--SecurityExchangeName_c2024"/>
            <w:bookmarkEnd w:id="20"/>
            <w:r>
              <w:rPr/>
              <w:t>The Nasdaq Stock Market LLC</w:t>
            </w:r>
          </w:p>
        </w:tc>
      </w:tr>
      <w:tr>
        <w:trPr/>
        <w:tc>
          <w:tcPr>
            <w:tcW w:w="6011" w:type="dxa"/>
            <w:tcBorders/>
            <w:shd w:fill="FFFFFF" w:val="clear"/>
            <w:tcMar>
              <w:bottom w:w="0" w:type="dxa"/>
            </w:tcMar>
            <w:vAlign w:val="center"/>
          </w:tcPr>
          <w:p>
            <w:pPr>
              <w:pStyle w:val="TableContents"/>
              <w:bidi w:val="0"/>
              <w:spacing w:before="0" w:after="283"/>
              <w:jc w:val="center"/>
              <w:rPr/>
            </w:pPr>
            <w:bookmarkStart w:id="21" w:name="xdx_905_edei--Security12bTitle_c20240229"/>
            <w:bookmarkEnd w:id="21"/>
            <w:r>
              <w:rPr/>
              <w:t>Warrants, each whole warrant exercisable for one share of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98" w:type="dxa"/>
            <w:tcBorders/>
            <w:shd w:fill="FFFFFF" w:val="clear"/>
            <w:tcMar>
              <w:bottom w:w="0" w:type="dxa"/>
            </w:tcMar>
            <w:vAlign w:val="center"/>
          </w:tcPr>
          <w:p>
            <w:pPr>
              <w:pStyle w:val="TableContents"/>
              <w:bidi w:val="0"/>
              <w:spacing w:before="0" w:after="283"/>
              <w:jc w:val="center"/>
              <w:rPr/>
            </w:pPr>
            <w:bookmarkStart w:id="22" w:name="xdx_90E_edei--TradingSymbol_c20240229__2"/>
            <w:bookmarkEnd w:id="22"/>
            <w:r>
              <w:rPr/>
              <w:t>PRSTW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076" w:type="dxa"/>
            <w:tcBorders/>
            <w:shd w:fill="FFFFFF" w:val="clear"/>
            <w:tcMar>
              <w:bottom w:w="0" w:type="dxa"/>
            </w:tcMar>
            <w:vAlign w:val="center"/>
          </w:tcPr>
          <w:p>
            <w:pPr>
              <w:pStyle w:val="TableContents"/>
              <w:bidi w:val="0"/>
              <w:spacing w:before="0" w:after="283"/>
              <w:jc w:val="center"/>
              <w:rPr/>
            </w:pPr>
            <w:bookmarkStart w:id="23" w:name="xdx_908_edei--SecurityExchangeName_c2024"/>
            <w:bookmarkEnd w:id="23"/>
            <w:r>
              <w:rPr/>
              <w:t>The Nasdaq Stock Market LLC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A_edei--EntityEmergingGrowthCompan"/>
      <w:bookmarkEnd w:id="24"/>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0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29, 2024, Presto Automation Inc. (the “Company”) entered into a securities purchase agreements (the “Purchase Agreement”) with several investors (the “Purchasers”) relating to the issuance and sale of an aggregate of 8,533,000 shares of the Company’s common stock, par value $0.0001 per share (the “Offering”). The Offering closed on March 4, 2024.</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Purchase Agreement, the were Company issued 8,533,000 shares of common stock at an offering price of $0.25. The aggregate gross proceeds to the Company from the Offering approximately $2,100,000, before deducting placement agent fees and other estimated Offering expenses payable by the Company.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was made pursuant to the Company’s effective shelf registration statement on Form S-3 (Registration No. 333-275112), which was previously filed with the Securities and Exchange Commission (the “SEC”) on October 20, 2023 and declared effective on October 30, 2023, and a prospectus supplement, dated February 29, 2024, and accompanying prospectus, dated October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Triggering of Antidilution Adjustments</w:t>
      </w:r>
    </w:p>
    <w:p>
      <w:pPr>
        <w:pStyle w:val="TextBody"/>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Offering triggered anti-dilution adjustment provisions </w:t>
      </w:r>
      <w:r>
        <w:rPr>
          <w:rFonts w:ascii="Times New Roman;Times;Serif" w:hAnsi="Times New Roman;Times;Serif"/>
          <w:b w:val="false"/>
          <w:i w:val="false"/>
          <w:caps w:val="false"/>
          <w:smallCaps w:val="false"/>
          <w:sz w:val="20"/>
        </w:rPr>
        <w:t>in the CA Purchase Agreement, the Third Amendment Conversion Warrants and the November 2023 Purchase Agreements (each as defined below)</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October 10, 2023, the Company entered into a Securities Purchase Agreement (the “CA Purchase Agreement”) with Presto CA LLC (“CA”), pursuant to which the Company sold 1,500,000 shares of Common Stock, at a purchase price of $2.00 per share, for an aggregate purchase price of $3.0 million (the “Private Placement”). CA is affiliated with Cleveland Avenue LLC, and Keith Kravcik, a director of Presto, is the Chief Investment Officer of Cleveland Avenue’s various Investment Funds, including the funds invested in CA. The Private Placement closed on October 16, 2023. The CA Purchase Agreement includes anti-dilution provisions relating to future issuances or deemed issuances of the Company’s Common Stock from October 16, 2023 to April 1, 2024 at a price per share below $2.00, which would require the Company to issue additional shares of Common Stock to CA, upon the terms and subject to the conditions contained in the CA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Also on </w:t>
      </w:r>
      <w:r>
        <w:rPr>
          <w:rFonts w:ascii="Times New Roman;Times;Serif" w:hAnsi="Times New Roman;Times;Serif"/>
          <w:b w:val="false"/>
          <w:i w:val="false"/>
          <w:caps w:val="false"/>
          <w:smallCaps w:val="false"/>
          <w:sz w:val="20"/>
        </w:rPr>
        <w:t>October 10, 2023, </w:t>
      </w:r>
      <w:r>
        <w:rPr>
          <w:rFonts w:ascii="Times New Roman;Times;Serif" w:hAnsi="Times New Roman;Times;Serif"/>
          <w:b w:val="false"/>
          <w:i w:val="false"/>
          <w:caps w:val="false"/>
          <w:smallCaps w:val="false"/>
          <w:sz w:val="20"/>
          <w:shd w:fill="FFFFFF" w:val="clear"/>
        </w:rPr>
        <w:t>the Company </w:t>
      </w:r>
      <w:r>
        <w:rPr>
          <w:rFonts w:ascii="Times New Roman;Times;Serif" w:hAnsi="Times New Roman;Times;Serif"/>
          <w:b w:val="false"/>
          <w:i w:val="false"/>
          <w:caps w:val="false"/>
          <w:smallCaps w:val="false"/>
          <w:sz w:val="20"/>
        </w:rPr>
        <w:t>entered into a Third Amendment (the “Third Amendment”) to the Credit Agreement. </w:t>
      </w:r>
      <w:r>
        <w:rPr>
          <w:rFonts w:ascii="Times New Roman;Times;Serif" w:hAnsi="Times New Roman;Times;Serif"/>
          <w:b w:val="false"/>
          <w:i w:val="false"/>
          <w:caps w:val="false"/>
          <w:smallCaps w:val="false"/>
          <w:sz w:val="20"/>
          <w:shd w:fill="FFFFFF" w:val="clear"/>
        </w:rPr>
        <w:t>Pursuant to the Third Amendment, the Lenders agreed to, among other things, exchange an aggregate of $6,000,000 of accrued and previously capitalized interest for warrants to purchase 3,000,000 shares of Common Stock at a purchase price of $0.01 per share (the “Third Amendment Conversion Warrants”). The Third Amendment Conversion Warrants are subject to anti-dilution provisions relating to future issuances or deemed issuances of the Company’s Common Stock from October 16, 2023 to April 1, 2024 originally at a price per share below $2.00, upon the terms and subject to the conditions contained in the Third Amendment Conversion Warrants.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on November 17, 2023, the Company entered into Common Stock purchase agreements (the “November 2023 Purchase Agreements”) with several investors (the “November 2023 Purchasers”) relating to the issuance and sale of an aggregate of 7,750,000 shares of the Company’s Common Stock (the “November 2023 Offering”). The November 2023 Offering closed on November 21, 2023. Of those shares, 3,000,000 were issued to the Lead Investor at a price of $1.00 per share together with an additional 750,000 shares issued to an entity affiliated with the Lead Investor for zero consideration (resulting in an average purchase price of $0.80 per share) and the 4,000,000 shares were issued to other investors.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29, 2024, the Company entered into Securities Purchase Agreements (the “Note Purchase Agreements”) with several investors (the “Note Purchasers”) relating to the issuance and sale (the “Notes Offering”) of an aggregate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11"/>
        <w:gridCol w:w="9994"/>
      </w:tblGrid>
      <w:tr>
        <w:trPr/>
        <w:tc>
          <w:tcPr>
            <w:tcW w:w="211" w:type="dxa"/>
            <w:tcBorders/>
            <w:shd w:fill="FFFFFF" w:val="clear"/>
            <w:vAlign w:val="center"/>
          </w:tcPr>
          <w:p>
            <w:pPr>
              <w:pStyle w:val="TableContents"/>
              <w:bidi w:val="0"/>
              <w:spacing w:before="0" w:after="283"/>
              <w:jc w:val="left"/>
              <w:rPr>
                <w:sz w:val="20"/>
              </w:rPr>
            </w:pPr>
            <w:r>
              <w:rPr>
                <w:sz w:val="20"/>
              </w:rPr>
              <w:t>(1)</w:t>
            </w:r>
          </w:p>
        </w:tc>
        <w:tc>
          <w:tcPr>
            <w:tcW w:w="9994" w:type="dxa"/>
            <w:tcBorders/>
            <w:shd w:fill="FFFFFF" w:val="clear"/>
            <w:vAlign w:val="center"/>
          </w:tcPr>
          <w:p>
            <w:pPr>
              <w:pStyle w:val="TableContents"/>
              <w:bidi w:val="0"/>
              <w:spacing w:before="0" w:after="283"/>
              <w:jc w:val="both"/>
              <w:rPr>
                <w:sz w:val="20"/>
              </w:rPr>
            </w:pPr>
            <w:r>
              <w:rPr>
                <w:sz w:val="20"/>
              </w:rPr>
              <w:t>$6.0 million principal amount of subordinated notes (the “Notes”) in consideration for a cash investment of $6.0 million from a number of investors consisting of (i) a lead investor (the “Notes Lead Investor”) who purchased $3.0 million of the Notes, (ii) Remus Capital Series B II, L.P. (“Remus Capital”), an entity controlled by our Chairman and under common control with other entities that beneficially owned 25.2% of our outstanding shares of Common Stock prior to the Notes Offering, which purchased $2.675 million of the Notes, and (iii) various other investors,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16"/>
        <w:gridCol w:w="9989"/>
      </w:tblGrid>
      <w:tr>
        <w:trPr/>
        <w:tc>
          <w:tcPr>
            <w:tcW w:w="216" w:type="dxa"/>
            <w:tcBorders/>
            <w:shd w:fill="FFFFFF" w:val="clear"/>
            <w:vAlign w:val="center"/>
          </w:tcPr>
          <w:p>
            <w:pPr>
              <w:pStyle w:val="TableContents"/>
              <w:bidi w:val="0"/>
              <w:spacing w:before="0" w:after="283"/>
              <w:jc w:val="left"/>
              <w:rPr>
                <w:sz w:val="20"/>
              </w:rPr>
            </w:pPr>
            <w:r>
              <w:rPr>
                <w:sz w:val="20"/>
              </w:rPr>
              <w:t>(2)</w:t>
            </w:r>
          </w:p>
        </w:tc>
        <w:tc>
          <w:tcPr>
            <w:tcW w:w="9989" w:type="dxa"/>
            <w:tcBorders/>
            <w:shd w:fill="FFFFFF" w:val="clear"/>
            <w:vAlign w:val="center"/>
          </w:tcPr>
          <w:p>
            <w:pPr>
              <w:pStyle w:val="TableContents"/>
              <w:bidi w:val="0"/>
              <w:spacing w:before="0" w:after="283"/>
              <w:jc w:val="both"/>
              <w:rPr>
                <w:sz w:val="20"/>
              </w:rPr>
            </w:pPr>
            <w:r>
              <w:rPr>
                <w:sz w:val="20"/>
              </w:rPr>
              <w:t>$3.0 million principal amount of subordinated notes issued to the Notes Lead Investor in exchange for forfeiting 3,000,000 shares of our Common Stock that the Notes Lead Investor had purchased on November 21, 2023 at a price of $1.00 per share together with all shares of Common Stock that would be issuable in respect of such shares as a result of this financing, totaling 4,500,000 additional shares.</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Notes Offering, the Lenders, CA and the holders of 3,000,000 out of the 4,000,000 shares issued in the November 2023 Offering that were not being forfeited agreed that the “New Issuance Price” for the purpose of anti-dilution protection regarding the Notes Offering would be $0.40 and not $0.25. A summary of the impact of the anti-dilution protection is set forth below:</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118"/>
        <w:gridCol w:w="1390"/>
        <w:gridCol w:w="2542"/>
        <w:gridCol w:w="2560"/>
        <w:gridCol w:w="2595"/>
      </w:tblGrid>
      <w:tr>
        <w:trPr/>
        <w:tc>
          <w:tcPr>
            <w:tcW w:w="111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13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Subject Security</w:t>
            </w:r>
          </w:p>
        </w:tc>
        <w:tc>
          <w:tcPr>
            <w:tcW w:w="254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Impact of November 17 Offering</w:t>
            </w:r>
          </w:p>
        </w:tc>
        <w:tc>
          <w:tcPr>
            <w:tcW w:w="25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Impact of Notes Offering</w:t>
            </w:r>
          </w:p>
        </w:tc>
        <w:tc>
          <w:tcPr>
            <w:tcW w:w="25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b/>
                <w:sz w:val="20"/>
              </w:rPr>
            </w:pPr>
            <w:r>
              <w:rPr>
                <w:b/>
                <w:sz w:val="20"/>
              </w:rPr>
              <w:t>Impact of Current</w:t>
              <w:br/>
              <w:t>Offering</w:t>
            </w:r>
          </w:p>
        </w:tc>
      </w:tr>
      <w:tr>
        <w:trPr/>
        <w:tc>
          <w:tcPr>
            <w:tcW w:w="1118" w:type="dxa"/>
            <w:tcBorders>
              <w:left w:val="single" w:sz="8" w:space="0" w:color="000000"/>
              <w:bottom w:val="single" w:sz="8" w:space="0" w:color="000000"/>
              <w:right w:val="single" w:sz="8" w:space="0" w:color="000000"/>
            </w:tcBorders>
            <w:tcMar>
              <w:top w:w="0" w:type="dxa"/>
              <w:left w:w="118" w:type="dxa"/>
              <w:bottom w:w="108" w:type="dxa"/>
              <w:right w:w="118" w:type="dxa"/>
            </w:tcMar>
            <w:vAlign w:val="center"/>
          </w:tcPr>
          <w:p>
            <w:pPr>
              <w:pStyle w:val="TableContents"/>
              <w:bidi w:val="0"/>
              <w:spacing w:before="0" w:after="283"/>
              <w:jc w:val="left"/>
              <w:rPr>
                <w:sz w:val="20"/>
              </w:rPr>
            </w:pPr>
            <w:r>
              <w:rPr>
                <w:sz w:val="20"/>
              </w:rPr>
              <w:t>Lenders</w:t>
            </w:r>
          </w:p>
        </w:tc>
        <w:tc>
          <w:tcPr>
            <w:tcW w:w="1390" w:type="dxa"/>
            <w:tcBorders>
              <w:bottom w:val="single" w:sz="8" w:space="0" w:color="000000"/>
              <w:right w:val="single" w:sz="8" w:space="0" w:color="000000"/>
            </w:tcBorders>
            <w:tcMar>
              <w:top w:w="0" w:type="dxa"/>
              <w:left w:w="0" w:type="dxa"/>
              <w:bottom w:w="108" w:type="dxa"/>
              <w:right w:w="118" w:type="dxa"/>
            </w:tcMar>
            <w:vAlign w:val="center"/>
          </w:tcPr>
          <w:p>
            <w:pPr>
              <w:pStyle w:val="TableContents"/>
              <w:bidi w:val="0"/>
              <w:spacing w:before="0" w:after="283"/>
              <w:jc w:val="left"/>
              <w:rPr>
                <w:sz w:val="20"/>
              </w:rPr>
            </w:pPr>
            <w:r>
              <w:rPr>
                <w:sz w:val="20"/>
              </w:rPr>
              <w:t>Third Amendment Conversion Warrants</w:t>
            </w:r>
          </w:p>
        </w:tc>
        <w:tc>
          <w:tcPr>
            <w:tcW w:w="2542" w:type="dxa"/>
            <w:tcBorders>
              <w:bottom w:val="single" w:sz="8" w:space="0" w:color="000000"/>
              <w:right w:val="single" w:sz="8" w:space="0" w:color="000000"/>
            </w:tcBorders>
            <w:tcMar>
              <w:top w:w="0" w:type="dxa"/>
              <w:left w:w="0" w:type="dxa"/>
              <w:bottom w:w="108" w:type="dxa"/>
              <w:right w:w="11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the number of shares underlying the Third Amendment Conversion Warrants from 3,000,000 to 6,000,000 shares.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 in the Applicable Price (as defined in the Third Amendment Conversion Warrants) to from $2.00 to $1.00.</w:t>
            </w:r>
          </w:p>
        </w:tc>
        <w:tc>
          <w:tcPr>
            <w:tcW w:w="2560" w:type="dxa"/>
            <w:tcBorders>
              <w:bottom w:val="single" w:sz="8" w:space="0" w:color="000000"/>
              <w:right w:val="single" w:sz="8" w:space="0" w:color="000000"/>
            </w:tcBorders>
            <w:tcMar>
              <w:top w:w="0" w:type="dxa"/>
              <w:left w:w="0" w:type="dxa"/>
              <w:bottom w:w="108" w:type="dxa"/>
              <w:right w:w="11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in the number of shares underlying the Third Amendment Conversion Warrants from 6,000,000 to 15,000,000 shares.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 in the Applicable Price to from $1.00 to $0.40.</w:t>
            </w:r>
          </w:p>
        </w:tc>
        <w:tc>
          <w:tcPr>
            <w:tcW w:w="2595" w:type="dxa"/>
            <w:tcBorders>
              <w:bottom w:val="single" w:sz="8" w:space="0" w:color="000000"/>
              <w:right w:val="single" w:sz="8" w:space="0" w:color="000000"/>
            </w:tcBorders>
            <w:tcMar>
              <w:top w:w="0" w:type="dxa"/>
              <w:left w:w="0" w:type="dxa"/>
            </w:tcMar>
            <w:vAlign w:val="center"/>
          </w:tcPr>
          <w:p>
            <w:pPr>
              <w:pStyle w:val="TableContents"/>
              <w:bidi w:val="0"/>
              <w:jc w:val="left"/>
              <w:rPr>
                <w:sz w:val="20"/>
              </w:rPr>
            </w:pPr>
            <w:r>
              <w:rPr>
                <w:sz w:val="20"/>
              </w:rPr>
              <w:t>Increase in the number of shares underlying the Third Amendment Conversion Warrants from 15,000,000 to 24,000,000 shares.</w:t>
            </w:r>
          </w:p>
          <w:p>
            <w:pPr>
              <w:pStyle w:val="TableContents"/>
              <w:bidi w:val="0"/>
              <w:spacing w:before="0" w:after="283"/>
              <w:jc w:val="left"/>
              <w:rPr>
                <w:sz w:val="20"/>
              </w:rPr>
            </w:pPr>
            <w:r>
              <w:rPr>
                <w:sz w:val="20"/>
              </w:rPr>
              <w:t>Reduction in the Applicable Price from $0.40 to $0.25. </w:t>
            </w:r>
          </w:p>
        </w:tc>
      </w:tr>
      <w:tr>
        <w:trPr/>
        <w:tc>
          <w:tcPr>
            <w:tcW w:w="1118" w:type="dxa"/>
            <w:tcBorders>
              <w:left w:val="single" w:sz="8" w:space="0" w:color="000000"/>
              <w:bottom w:val="single" w:sz="8" w:space="0" w:color="000000"/>
              <w:right w:val="single" w:sz="8" w:space="0" w:color="000000"/>
            </w:tcBorders>
            <w:tcMar>
              <w:top w:w="0" w:type="dxa"/>
              <w:left w:w="118" w:type="dxa"/>
              <w:bottom w:w="108" w:type="dxa"/>
              <w:right w:w="118" w:type="dxa"/>
            </w:tcMar>
            <w:vAlign w:val="center"/>
          </w:tcPr>
          <w:p>
            <w:pPr>
              <w:pStyle w:val="TableContents"/>
              <w:bidi w:val="0"/>
              <w:spacing w:before="0" w:after="283"/>
              <w:jc w:val="left"/>
              <w:rPr>
                <w:sz w:val="20"/>
              </w:rPr>
            </w:pPr>
            <w:r>
              <w:rPr>
                <w:sz w:val="20"/>
              </w:rPr>
              <w:t xml:space="preserve">CA </w:t>
            </w:r>
          </w:p>
        </w:tc>
        <w:tc>
          <w:tcPr>
            <w:tcW w:w="1390" w:type="dxa"/>
            <w:tcBorders>
              <w:bottom w:val="single" w:sz="8" w:space="0" w:color="000000"/>
              <w:right w:val="single" w:sz="8" w:space="0" w:color="000000"/>
            </w:tcBorders>
            <w:tcMar>
              <w:top w:w="0" w:type="dxa"/>
              <w:left w:w="0" w:type="dxa"/>
              <w:bottom w:w="108" w:type="dxa"/>
              <w:right w:w="118" w:type="dxa"/>
            </w:tcMar>
            <w:vAlign w:val="center"/>
          </w:tcPr>
          <w:p>
            <w:pPr>
              <w:pStyle w:val="TableContents"/>
              <w:bidi w:val="0"/>
              <w:spacing w:before="0" w:after="283"/>
              <w:jc w:val="left"/>
              <w:rPr>
                <w:sz w:val="20"/>
              </w:rPr>
            </w:pPr>
            <w:r>
              <w:rPr>
                <w:sz w:val="20"/>
              </w:rPr>
              <w:t>Common Stock</w:t>
            </w:r>
          </w:p>
        </w:tc>
        <w:tc>
          <w:tcPr>
            <w:tcW w:w="2542" w:type="dxa"/>
            <w:tcBorders>
              <w:bottom w:val="single" w:sz="8" w:space="0" w:color="000000"/>
              <w:right w:val="single" w:sz="8" w:space="0" w:color="000000"/>
            </w:tcBorders>
            <w:tcMar>
              <w:top w:w="0" w:type="dxa"/>
              <w:left w:w="0" w:type="dxa"/>
              <w:bottom w:w="108" w:type="dxa"/>
              <w:right w:w="11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 in New Issuance Price from $2.00 to $1.00.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1,500,000 additional shares.</w:t>
            </w:r>
          </w:p>
        </w:tc>
        <w:tc>
          <w:tcPr>
            <w:tcW w:w="2560" w:type="dxa"/>
            <w:tcBorders>
              <w:bottom w:val="single" w:sz="8" w:space="0" w:color="000000"/>
              <w:right w:val="single" w:sz="8" w:space="0" w:color="000000"/>
            </w:tcBorders>
            <w:tcMar>
              <w:top w:w="0" w:type="dxa"/>
              <w:left w:w="0" w:type="dxa"/>
              <w:bottom w:w="108" w:type="dxa"/>
              <w:right w:w="11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 of New Issuance price from $1.00 to $0.40.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4,500,000 additional shares</w:t>
            </w:r>
          </w:p>
        </w:tc>
        <w:tc>
          <w:tcPr>
            <w:tcW w:w="2595" w:type="dxa"/>
            <w:tcBorders>
              <w:bottom w:val="single" w:sz="8" w:space="0" w:color="000000"/>
              <w:right w:val="single" w:sz="8" w:space="0" w:color="000000"/>
            </w:tcBorders>
            <w:tcMar>
              <w:top w:w="0" w:type="dxa"/>
              <w:left w:w="0" w:type="dxa"/>
            </w:tcMar>
            <w:vAlign w:val="center"/>
          </w:tcPr>
          <w:p>
            <w:pPr>
              <w:pStyle w:val="TableContents"/>
              <w:bidi w:val="0"/>
              <w:jc w:val="left"/>
              <w:rPr>
                <w:sz w:val="20"/>
              </w:rPr>
            </w:pPr>
            <w:r>
              <w:rPr>
                <w:sz w:val="20"/>
              </w:rPr>
              <w:t>Issuance of 4,500,000 additional shares.</w:t>
            </w:r>
          </w:p>
          <w:p>
            <w:pPr>
              <w:pStyle w:val="TableContents"/>
              <w:bidi w:val="0"/>
              <w:spacing w:before="0" w:after="283"/>
              <w:jc w:val="left"/>
              <w:rPr>
                <w:sz w:val="20"/>
              </w:rPr>
            </w:pPr>
            <w:r>
              <w:rPr>
                <w:sz w:val="20"/>
              </w:rPr>
              <w:t>Reduction of New Issuance Price from $0.40 to $0.25. </w:t>
            </w:r>
          </w:p>
        </w:tc>
      </w:tr>
      <w:tr>
        <w:trPr/>
        <w:tc>
          <w:tcPr>
            <w:tcW w:w="1118" w:type="dxa"/>
            <w:tcBorders>
              <w:left w:val="single" w:sz="8" w:space="0" w:color="000000"/>
              <w:right w:val="single" w:sz="8" w:space="0" w:color="000000"/>
            </w:tcBorders>
            <w:tcMar>
              <w:top w:w="0" w:type="dxa"/>
              <w:left w:w="118" w:type="dxa"/>
              <w:bottom w:w="0" w:type="dxa"/>
              <w:right w:w="118" w:type="dxa"/>
            </w:tcMar>
            <w:vAlign w:val="center"/>
          </w:tcPr>
          <w:p>
            <w:pPr>
              <w:pStyle w:val="TableContents"/>
              <w:bidi w:val="0"/>
              <w:spacing w:before="0" w:after="283"/>
              <w:jc w:val="left"/>
              <w:rPr>
                <w:sz w:val="20"/>
              </w:rPr>
            </w:pPr>
            <w:r>
              <w:rPr>
                <w:sz w:val="20"/>
              </w:rPr>
              <w:t>November 2023 Purchasers</w:t>
            </w:r>
          </w:p>
        </w:tc>
        <w:tc>
          <w:tcPr>
            <w:tcW w:w="1390" w:type="dxa"/>
            <w:tcBorders>
              <w:right w:val="single" w:sz="8" w:space="0" w:color="000000"/>
            </w:tcBorders>
            <w:tcMar>
              <w:top w:w="0" w:type="dxa"/>
              <w:left w:w="0" w:type="dxa"/>
              <w:bottom w:w="0" w:type="dxa"/>
              <w:right w:w="118" w:type="dxa"/>
            </w:tcMar>
            <w:vAlign w:val="center"/>
          </w:tcPr>
          <w:p>
            <w:pPr>
              <w:pStyle w:val="TableContents"/>
              <w:bidi w:val="0"/>
              <w:spacing w:before="0" w:after="283"/>
              <w:jc w:val="left"/>
              <w:rPr>
                <w:sz w:val="20"/>
              </w:rPr>
            </w:pPr>
            <w:r>
              <w:rPr>
                <w:sz w:val="20"/>
              </w:rPr>
              <w:t>Common Stock (3,000,000 shares)</w:t>
            </w:r>
          </w:p>
        </w:tc>
        <w:tc>
          <w:tcPr>
            <w:tcW w:w="2542" w:type="dxa"/>
            <w:tcBorders>
              <w:right w:val="single" w:sz="8" w:space="0" w:color="000000"/>
            </w:tcBorders>
            <w:tcMar>
              <w:top w:w="0" w:type="dxa"/>
              <w:left w:w="0" w:type="dxa"/>
              <w:bottom w:w="0" w:type="dxa"/>
              <w:right w:w="118" w:type="dxa"/>
            </w:tcMar>
            <w:vAlign w:val="center"/>
          </w:tcPr>
          <w:p>
            <w:pPr>
              <w:pStyle w:val="TableContents"/>
              <w:bidi w:val="0"/>
              <w:spacing w:before="0" w:after="283"/>
              <w:jc w:val="left"/>
              <w:rPr>
                <w:sz w:val="20"/>
              </w:rPr>
            </w:pPr>
            <w:r>
              <w:rPr>
                <w:sz w:val="20"/>
              </w:rPr>
              <w:t>n/a</w:t>
            </w:r>
          </w:p>
        </w:tc>
        <w:tc>
          <w:tcPr>
            <w:tcW w:w="2560" w:type="dxa"/>
            <w:tcBorders>
              <w:right w:val="single" w:sz="8" w:space="0" w:color="000000"/>
            </w:tcBorders>
            <w:tcMar>
              <w:top w:w="0" w:type="dxa"/>
              <w:left w:w="0" w:type="dxa"/>
              <w:bottom w:w="0" w:type="dxa"/>
              <w:right w:w="11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 of New Issuance Price from $1.00 to $0.40.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4,500,000 additional shares.</w:t>
            </w:r>
          </w:p>
        </w:tc>
        <w:tc>
          <w:tcPr>
            <w:tcW w:w="2595" w:type="dxa"/>
            <w:tcBorders>
              <w:right w:val="single" w:sz="8" w:space="0" w:color="000000"/>
            </w:tcBorders>
            <w:tcMar>
              <w:top w:w="0" w:type="dxa"/>
              <w:left w:w="0" w:type="dxa"/>
              <w:bottom w:w="0" w:type="dxa"/>
            </w:tcMar>
            <w:vAlign w:val="center"/>
          </w:tcPr>
          <w:p>
            <w:pPr>
              <w:pStyle w:val="TableContents"/>
              <w:bidi w:val="0"/>
              <w:jc w:val="left"/>
              <w:rPr>
                <w:sz w:val="20"/>
              </w:rPr>
            </w:pPr>
            <w:r>
              <w:rPr>
                <w:sz w:val="20"/>
              </w:rPr>
              <w:t>Issuance of 4,500,000 additional shares.</w:t>
            </w:r>
          </w:p>
          <w:p>
            <w:pPr>
              <w:pStyle w:val="TableContents"/>
              <w:bidi w:val="0"/>
              <w:spacing w:before="0" w:after="283"/>
              <w:jc w:val="left"/>
              <w:rPr>
                <w:sz w:val="20"/>
              </w:rPr>
            </w:pPr>
            <w:r>
              <w:rPr>
                <w:sz w:val="20"/>
              </w:rPr>
              <w:t>Reduction of New issuance Price from $0.40 to $0.25 </w:t>
            </w:r>
          </w:p>
        </w:tc>
      </w:tr>
      <w:tr>
        <w:trPr/>
        <w:tc>
          <w:tcPr>
            <w:tcW w:w="1118" w:type="dxa"/>
            <w:tcBorders>
              <w:left w:val="single" w:sz="8" w:space="0" w:color="000000"/>
              <w:bottom w:val="single" w:sz="8" w:space="0" w:color="000000"/>
              <w:right w:val="single" w:sz="8" w:space="0" w:color="000000"/>
            </w:tcBorders>
            <w:tcMar>
              <w:top w:w="0" w:type="dxa"/>
              <w:left w:w="118" w:type="dxa"/>
              <w:bottom w:w="108" w:type="dxa"/>
              <w:right w:w="118" w:type="dxa"/>
            </w:tcMar>
            <w:vAlign w:val="center"/>
          </w:tcPr>
          <w:p>
            <w:pPr>
              <w:pStyle w:val="TableContents"/>
              <w:bidi w:val="0"/>
              <w:spacing w:before="0" w:after="283"/>
              <w:jc w:val="left"/>
              <w:rPr/>
            </w:pPr>
            <w:r>
              <w:rPr/>
              <w:t> </w:t>
            </w:r>
          </w:p>
        </w:tc>
        <w:tc>
          <w:tcPr>
            <w:tcW w:w="1390" w:type="dxa"/>
            <w:tcBorders>
              <w:bottom w:val="single" w:sz="8" w:space="0" w:color="000000"/>
              <w:right w:val="single" w:sz="8" w:space="0" w:color="000000"/>
            </w:tcBorders>
            <w:tcMar>
              <w:top w:w="0" w:type="dxa"/>
              <w:left w:w="0" w:type="dxa"/>
              <w:bottom w:w="108" w:type="dxa"/>
              <w:right w:w="118" w:type="dxa"/>
            </w:tcMar>
            <w:vAlign w:val="center"/>
          </w:tcPr>
          <w:p>
            <w:pPr>
              <w:pStyle w:val="TableContents"/>
              <w:bidi w:val="0"/>
              <w:spacing w:before="0" w:after="283"/>
              <w:jc w:val="left"/>
              <w:rPr>
                <w:sz w:val="20"/>
              </w:rPr>
            </w:pPr>
            <w:r>
              <w:rPr>
                <w:sz w:val="20"/>
              </w:rPr>
              <w:t>Common Stock (1,000,000 shares)</w:t>
            </w:r>
          </w:p>
        </w:tc>
        <w:tc>
          <w:tcPr>
            <w:tcW w:w="2542" w:type="dxa"/>
            <w:tcBorders>
              <w:bottom w:val="single" w:sz="8" w:space="0" w:color="000000"/>
              <w:right w:val="single" w:sz="8" w:space="0" w:color="000000"/>
            </w:tcBorders>
            <w:tcMar>
              <w:top w:w="0" w:type="dxa"/>
              <w:left w:w="0" w:type="dxa"/>
              <w:bottom w:w="108" w:type="dxa"/>
              <w:right w:w="118" w:type="dxa"/>
            </w:tcMar>
            <w:vAlign w:val="center"/>
          </w:tcPr>
          <w:p>
            <w:pPr>
              <w:pStyle w:val="TableContents"/>
              <w:bidi w:val="0"/>
              <w:spacing w:before="0" w:after="283"/>
              <w:jc w:val="left"/>
              <w:rPr>
                <w:sz w:val="20"/>
              </w:rPr>
            </w:pPr>
            <w:r>
              <w:rPr>
                <w:sz w:val="20"/>
              </w:rPr>
              <w:t>n/a</w:t>
            </w:r>
          </w:p>
        </w:tc>
        <w:tc>
          <w:tcPr>
            <w:tcW w:w="2560" w:type="dxa"/>
            <w:tcBorders>
              <w:bottom w:val="single" w:sz="8" w:space="0" w:color="000000"/>
              <w:right w:val="single" w:sz="8" w:space="0" w:color="000000"/>
            </w:tcBorders>
            <w:tcMar>
              <w:top w:w="0" w:type="dxa"/>
              <w:left w:w="0" w:type="dxa"/>
              <w:bottom w:w="108" w:type="dxa"/>
              <w:right w:w="11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Reduction of New Issuance Price from $1.00 to $0.25.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3,000,000 additional shares.</w:t>
            </w:r>
          </w:p>
        </w:tc>
        <w:tc>
          <w:tcPr>
            <w:tcW w:w="25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r>
              <w:rPr/>
              <w:t>n/a</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issuances, the Company’s outstanding shares will increase from 90.0 million to 99.0 million, and there will be outstanding an additional 9.0 million warrants to purchase Common Stock for $0.01 per share.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2024 the Company issued to Remus Capital a subordinated convertible note in the principal amount of $960,000 (the “March Note”) in consideration for a cash investment of $960,000 from Remus Capital.</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PIK Interest</w:t>
      </w:r>
      <w:r>
        <w:rPr>
          <w:rFonts w:ascii="Times New Roman;Times;Serif" w:hAnsi="Times New Roman;Times;Serif"/>
          <w:b w:val="false"/>
          <w:i w:val="false"/>
          <w:caps w:val="false"/>
          <w:smallCaps w:val="false"/>
          <w:sz w:val="20"/>
        </w:rPr>
        <w:t>. Interest on the March Note accrues monthly by increasing principal at a rate of 7.5% per annum. The interest rate shall increase to 12% in the case of an event of default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The March Note is convertible into 3,840,000 shares of Common Stock at the option of the holder at an initial conversion price of $0.25 per share.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March Note shall convert mandatorily into Common Stock at the then prevailing conversion price immediately prior to (a) a Restructuring Transaction, and (b) a Change of Control Transaction with a financial investor. For these purposes: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10"/>
        <w:gridCol w:w="10095"/>
      </w:tblGrid>
      <w:tr>
        <w:trPr/>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shd w:fill="FFFFFF" w:val="clear"/>
            <w:vAlign w:val="center"/>
          </w:tcPr>
          <w:p>
            <w:pPr>
              <w:pStyle w:val="TableContents"/>
              <w:bidi w:val="0"/>
              <w:spacing w:before="0" w:after="283"/>
              <w:jc w:val="both"/>
              <w:rPr/>
            </w:pPr>
            <w:r>
              <w:rPr/>
              <w:t>“</w:t>
            </w:r>
            <w:r>
              <w:rPr>
                <w:sz w:val="20"/>
              </w:rPr>
              <w:t>Restructuring Transaction” is any transaction or series of transactions which has the effect of (i) forgiving, reducing, or modifying the principal balance of, or otherwise adjusting the amount of, the indebtedness (the “Senior Indebtedness”) outstanding under the Credit Agreement (“Credit Agreement”) dated as of September 21, 2022, as amended on March 31, 2023 and May 22, 2023, with the Agent, Metropolitan Levered Partners Fund VII, LP, Metropolitan Partners Fund VII, LP, Metropolitan Offshore Partners Fund VII, LP and CEOF Holdings LP (collectively, the “Lenders”) with Metropolitan Partners Group Administration, LLC, as agent (the “Agent”), and the other parties thereto, (ii) exchanging all or any portion of the Senior Indebtedness for any other instrument or security, (iii) the exercise of any rights or remedies by the administrative agent or any lender under the Credit Agreement and related documents, or (iv) replacing or refinancing the Senior Indebtedness, in whole or in part.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10"/>
        <w:gridCol w:w="10095"/>
      </w:tblGrid>
      <w:tr>
        <w:trPr/>
        <w:tc>
          <w:tcPr>
            <w:tcW w:w="110"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95" w:type="dxa"/>
            <w:tcBorders/>
            <w:shd w:fill="FFFFFF" w:val="clear"/>
            <w:vAlign w:val="center"/>
          </w:tcPr>
          <w:p>
            <w:pPr>
              <w:pStyle w:val="TableContents"/>
              <w:bidi w:val="0"/>
              <w:spacing w:before="0" w:after="283"/>
              <w:jc w:val="both"/>
              <w:rPr/>
            </w:pPr>
            <w:r>
              <w:rPr/>
              <w:t>“</w:t>
            </w:r>
            <w:r>
              <w:rPr>
                <w:sz w:val="20"/>
              </w:rPr>
              <w:t>Change of Control” means (i) consolidations, mergers and reorganizations in which a majority of the voting power of the Company after the transaction changes, (ii) the transfer to a person or group of 20% of the voting power of the Company, (iii) the acquisition of beneficial ownership of 25% of the voting power or economic interests of the Company on a fully diluted basis or the acquisition of the power to elect a majority of the board, or (iv) the sale of transact of all or substantially all of the assets of the Company. A Change of Control is not triggered if the transaction is to or involves a strategic investor as opposed to a financial investor.</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Anti-dilution Protection.</w:t>
      </w:r>
      <w:r>
        <w:rPr>
          <w:rFonts w:ascii="Times New Roman;Times;Serif" w:hAnsi="Times New Roman;Times;Serif"/>
          <w:b w:val="false"/>
          <w:i w:val="false"/>
          <w:caps w:val="false"/>
          <w:smallCaps w:val="false"/>
          <w:sz w:val="20"/>
        </w:rPr>
        <w:t xml:space="preserve"> The March Note allows the holder to convert the principal into common equity at the then-priced round in the event that no less than $8,000,000 gross cash proceeds are raised from an issuance of common stock by the Company on or prior to March 15, 2024.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Cap</w:t>
      </w:r>
      <w:r>
        <w:rPr>
          <w:rFonts w:ascii="Times New Roman;Times;Serif" w:hAnsi="Times New Roman;Times;Serif"/>
          <w:b w:val="false"/>
          <w:i w:val="false"/>
          <w:caps w:val="false"/>
          <w:smallCaps w:val="false"/>
          <w:sz w:val="20"/>
        </w:rPr>
        <w:t>. Pursuant to Nasdaq Listing Rule 5635(d), the total number of shares of Common Stock that can be issued upon conversion of the March Note) is limited to 19.99% of the outstanding shares of the Company (the “Conversion Share Cap”) at the time of the conversion of the March Note. Absent the Conversion Share Cap, the total number of shares issuable under the March Note is 3,840,000.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Subordination</w:t>
      </w:r>
      <w:r>
        <w:rPr>
          <w:rFonts w:ascii="Times New Roman;Times;Serif" w:hAnsi="Times New Roman;Times;Serif"/>
          <w:b w:val="false"/>
          <w:i w:val="false"/>
          <w:caps w:val="false"/>
          <w:smallCaps w:val="false"/>
          <w:sz w:val="20"/>
        </w:rPr>
        <w:t>. The March Note is subject to the terms and conditions of the Senior Indebtedness and addition provisions set forth in the March Note, including, without limitation, (i) the March Note is subordinated to the prior payment in cash in full of the Senior Indebtedness, and (ii) no principal or interest may be paid in cash on the March Note prior to the repayment in cash in full of the Senior Indebtedness.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Registration Rights Agreement with the March Note holder (the “Registration Rights Agreement”) dated March 1, 2024. Under the Registration Rights Agreement, the Company will file a registration statement (“Registration Statement”) with the SEC within 90 days following the date of the Registration Rights Agreement for purposes of registering the resale of the shares of Common Stock issuable upon conversion of the March Note. The Company will also use commercially reasonable efforts to cause the SEC to declare the Registration Statement effective as promptly as possible after the filing of the Registration Statement and no later than the earlier of (i) the 150th calendar day following the date of the Registration Rights Agreement and (ii) the 5th trading day after the date the Company is notified by the SEC that the Registration Statement will not be “reviewed” or will not be subject to further review. The Company will also use its commercially reasonable efforts to keep each Registration Statement continuously effective under the Securities Act of 1933, as amended (the “Securities Act”) until the earlier of (i) such time as all of the registrable securities covered by such Registration Statement have been sold by the holders publicly or sold pursuant to Rule 144 or (ii) the date that all registrable securities covered by such Registration Statement may be sold by non-affiliates of the Company without volume or manner-of-sale restrictions under Rule 144, and without the requirement for the Company to be in compliance with the current public information requirements under Rule 144, as determined by counsel to the Company pursuant to a written opinion letter to such effect, addressed and acceptable to the Company’s transfer agent and the affected holders.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Sixth Amendment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 2024, the Company and its wholly owned subsidiary Presto Automation LLC, entered into a Forbearance Agreement and Sixth Amendment to Credit Agreement (the “Forbearance Agreement”) with Metropolitan Partners Group Administration, LLC (the “Agent”), as administrative agent on behalf of the lenders (the “Lenders”) party to the Credit Agreement, dated September 21, 2022 (as subsequently amended, the “Credit Agreement”), and certain significant stockholders of the Company. The Forbearance Agreement provides that the Lenders will not exercise remedies pursuant to the events of default set forth below in Item 8.01 under “Cash Collateral Account” (the “Forbearance Defaults”), subject to the agreements and conditions set out below (the “Forebearance”).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Forbearance Date and Related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raises gross cash proceeds of $3,500,000.00 or more by March 4, 2024 in a Capital Raise (as defined herein), the forbearance shall terminate on April 14, 2024 and if the Company raises gross cash proceeds in an amount greater than or equal to $2,000,000 but less than $3,500,000 by March 4, 2024 in a Capital Raise, the forbearance termination date will be March 16, 2024 (in either case, the “Forbearance Termination Date”) and the following additional terms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“Capital Raise” means the sale of new equity interests of the Company or the issue of a convertible subordinated note with specified terms and conditions and that is reasonably satisfactory to the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Forbearance will terminate upon the following dates: (a) Forbearance Termination Date; (b) the date on which the Company or any other party to the Credit Agreement (each, a “Loan Party”) commences, or threatens in writing to commence, any litigation against the Agent or any Lender; (c) the date on which any Loan Party takes any action inconsistent with the Agent’s or any Lender’s interests in the Collateral; (d) the commencement of any insolvency proceeding by or against any Loan Party; (e) any amendment to the Loan Parties’ certificate of incorporation, bylaws or other operating documents, or the Company entering into any stockholders agreement or other operating document, which in any way amends or alters (A) the composition of the Company’s board of directors including providing any stockholder or other person with any right to designate a director, (B) the relative voting rights of members of the board of directors or stockholders, or (C) the terms of the Loan Parties’ governance; (f) Paul Hastings LLP ceases, for any reason, to act as corporate counsel to the Loan Parties; (g) on the date that is three (3) days after March 1, 2024, </w:t>
      </w:r>
      <w:r>
        <w:rPr>
          <w:rFonts w:ascii="Times New Roman;Times;Serif" w:hAnsi="Times New Roman;Times;Serif"/>
          <w:b w:val="false"/>
          <w:i w:val="false"/>
          <w:caps w:val="false"/>
          <w:smallCaps w:val="false"/>
          <w:sz w:val="20"/>
          <w:u w:val="single"/>
        </w:rPr>
        <w:t>if by</w:t>
      </w:r>
      <w:r>
        <w:rPr>
          <w:rFonts w:ascii="Times New Roman;Times;Serif" w:hAnsi="Times New Roman;Times;Serif"/>
          <w:b w:val="false"/>
          <w:i w:val="false"/>
          <w:caps w:val="false"/>
          <w:smallCaps w:val="false"/>
          <w:sz w:val="20"/>
        </w:rPr>
        <w:t xml:space="preserve"> that date the Loan Parties have not retained an interim or permanent resource to support capital markets activity reasonably acceptable to Agent in its sole discretion or (h) the occurrence or existence of any default or event of default under the Forbearance Agreement or under any loan document, or any event or circumstance which, with notice or the passage of time, shall become an event of default, other than the Forbearance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condition to continued Forbearance, the Company is required to deliver to the Agent no later than two business days prior to the issuance of securities in connection with each Forbearance written notice (in form and substance acceptable to the Agent) (1) setting forth (i) the terms of such issuance, (ii) the date of closing of such issuance, and (iii) the aggregate gross and net cash proceeds of such issuance, and (2) attaching copies of all substantially final documentation in connection with such issuance. The Forbearance is subject to appropriate documentation acceptable to the Agent and the Lenders.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pay the fees and expenses of the Agent, the Lenders and their counsel. Such payment will be made initially in connection with the Capital Raise associated with the First Forbearance and the obligation to make such payments continues thereafter.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summaries do not purport to be complete and are subject to, and qualified in its entirety by, the full text of the agreements filed as exhibits to this Current Report on Form 8-K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Liquidity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projects that the net proceeds from the Offering, together with the Company’s other cash resources and projected revenues, are sufficient for the Company to sustain its operations through the middle of March. The Company is currently exploring alternatives and in discussions with potential investors to raise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Collateral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the Company became aware that the Agent had delivered an activation notice (the “Activation Notice”) to the bank (the “Bank”) with which the Company had deposited $10.0 million of the proceeds of the loan (the “Loan”) under the Credit Agreement as “restricted cash”. The Company was not permitted to use or access these funds which served as collateral for the Loan. Pursuant to the Activation Notice, the Bank wired the funds in the Account to an account designated by the Agent. The funds were applied to reduce the outstanding Loan balance which, following such reduction, as of the date hereof totaled $51.7 million in principal amount plus accrued interest, fees, costs, expenses and other 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remedies by the Agent followed the delivery to the Company of two notices of default which also noted that the Agent and the Lenders were not accelerating indebtedness under the Credit Agreement at such time, but reserved the right to exercise all remedies in the future. These notices were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10"/>
        <w:gridCol w:w="10095"/>
      </w:tblGrid>
      <w:tr>
        <w:trPr/>
        <w:tc>
          <w:tcPr>
            <w:tcW w:w="110"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95" w:type="dxa"/>
            <w:tcBorders/>
            <w:shd w:fill="FFFFFF" w:val="clear"/>
            <w:vAlign w:val="center"/>
          </w:tcPr>
          <w:p>
            <w:pPr>
              <w:pStyle w:val="TableContents"/>
              <w:bidi w:val="0"/>
              <w:spacing w:before="0" w:after="283"/>
              <w:jc w:val="both"/>
              <w:rPr>
                <w:sz w:val="20"/>
              </w:rPr>
            </w:pPr>
            <w:r>
              <w:rPr>
                <w:sz w:val="20"/>
              </w:rPr>
              <w:t>On January 4, 2024, the Agent notified the Company that it determined that an event of default occurred and was continuing under the Credit Agreement because, among other things, the Company had failed to deliver an approved plan for the winding down of its “Touch Business”.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110"/>
        <w:gridCol w:w="10095"/>
      </w:tblGrid>
      <w:tr>
        <w:trPr/>
        <w:tc>
          <w:tcPr>
            <w:tcW w:w="110"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95" w:type="dxa"/>
            <w:tcBorders/>
            <w:shd w:fill="FFFFFF" w:val="clear"/>
            <w:vAlign w:val="center"/>
          </w:tcPr>
          <w:p>
            <w:pPr>
              <w:pStyle w:val="TableContents"/>
              <w:bidi w:val="0"/>
              <w:spacing w:before="0" w:after="283"/>
              <w:jc w:val="both"/>
              <w:rPr>
                <w:sz w:val="20"/>
              </w:rPr>
            </w:pPr>
            <w:r>
              <w:rPr>
                <w:sz w:val="20"/>
              </w:rPr>
              <w:t>On January 8, 2024, the Agent notified the Company that it determined that an event of default occurred and was continuing under the Credit Agreement because the Company had failed to pay the monitoring fee that was due on January 2,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11, 2024, following notice of breaches of covenants contained in the Credit Agreement, the Agent delivered an activation notice to the Company’s bank in which $10.0 million of restricted cash was deposited as collateral for the Term Loans and caused the bank to wire that amount to an account designated by the Agent. The funds were applied to reduce the outstanding balance of the Loan.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(the “Form 8-K”) contains statements that constitute “forward-looking statements” within the meaning of Section 27A of the Securities Act of 1933, as amended, and Section 21E of the Securities Exchange Act of 1934, as amended. All statements, other than statements of present or historical fact included in this Form 8-K, regarding the Company’s strategy, future operations, prospects, plans and objectives of management, are forward-looking statements. When used in this Form 8-K, the words “could,” “should,” “will,” “may,” “believe,” “anticipate,” “intend,” “estimate,” “expect,” “project,” “initiatives,” “continue,” the negative of such terms and other similar expressions are intended to identify forward-looking statements, although not all forward-looking statements contain such identifying words. These forward-looking statements are based on management’s current expectations and assumptions about future events and are based on currently available information as to the outcome and timing of future events. The forward-looking statements speak only as of the date of this Form 8-K or as of the date they are made. The Company cautions you that these forward-looking statements are subject to numerous risks and uncertainties, most of which are difficult to predict and many of which are beyond the control of the Company. In addition, the Company cautions you that the forward-looking statements contained in this Form 8-K are subject to risks and uncertainties, including but not limited to, the Company’s ability to secure additional capital resources, and those additional risks and uncertainties discussed under the heading “Risk Factors” in the Form 10-K filed by the Company with the SEC on October 11, 2023 and the other documents filed, or to be filed, by the Company with the SEC. Additional information concerning these and other factors that may impact the operations and projections discussed herein can be found in the reports that the Company has filed and will file from time to time with the SEC. These SEC filings are available publicly on the SEC’s website at www.sec.gov. Should one or more of the risks or uncertainties described in this Form 8-K materialize or should underlying assumptions prove incorrect, actual results and plans could differ materially from those expressed in any forward-looking statements. Except as otherwise required by applicable law, the Company disclaims any duty to update any forward-looking statements, all of which are expressly qualified by the statements in this section, to reflect events or circumstances after the date of this Form 8-K.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8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5"/>
        <w:gridCol w:w="60"/>
        <w:gridCol w:w="9460"/>
      </w:tblGrid>
      <w:tr>
        <w:trPr/>
        <w:tc>
          <w:tcPr>
            <w:tcW w:w="685" w:type="dxa"/>
            <w:tcBorders>
              <w:bottom w:val="single" w:sz="12" w:space="0" w:color="000000"/>
            </w:tcBorders>
            <w:vAlign w:val="center"/>
          </w:tcPr>
          <w:p>
            <w:pPr>
              <w:pStyle w:val="TableContents"/>
              <w:bidi w:val="0"/>
              <w:spacing w:before="0" w:after="283"/>
              <w:jc w:val="left"/>
              <w:rPr>
                <w:b/>
                <w:sz w:val="20"/>
              </w:rPr>
            </w:pPr>
            <w:r>
              <w:rPr>
                <w:b/>
                <w:sz w:val="20"/>
              </w:rPr>
              <w:t xml:space="preserve">Exhibit </w:t>
              <w:br/>
              <w:t>No.</w:t>
            </w:r>
          </w:p>
        </w:tc>
        <w:tc>
          <w:tcPr>
            <w:tcW w:w="60" w:type="dxa"/>
            <w:tcBorders/>
            <w:tcMar>
              <w:bottom w:w="0" w:type="dxa"/>
            </w:tcMar>
            <w:vAlign w:val="center"/>
          </w:tcPr>
          <w:p>
            <w:pPr>
              <w:pStyle w:val="TableContents"/>
              <w:bidi w:val="0"/>
              <w:spacing w:before="0" w:after="283"/>
              <w:jc w:val="left"/>
              <w:rPr/>
            </w:pPr>
            <w:r>
              <w:rPr/>
              <w:t> </w:t>
            </w:r>
          </w:p>
        </w:tc>
        <w:tc>
          <w:tcPr>
            <w:tcW w:w="9460" w:type="dxa"/>
            <w:tcBorders>
              <w:bottom w:val="single" w:sz="12" w:space="0" w:color="000000"/>
            </w:tcBorders>
            <w:vAlign w:val="center"/>
          </w:tcPr>
          <w:p>
            <w:pPr>
              <w:pStyle w:val="TableContents"/>
              <w:bidi w:val="0"/>
              <w:spacing w:before="0" w:after="283"/>
              <w:jc w:val="both"/>
              <w:rPr>
                <w:b/>
                <w:sz w:val="20"/>
              </w:rPr>
            </w:pPr>
            <w:r>
              <w:rPr>
                <w:b/>
                <w:sz w:val="20"/>
              </w:rPr>
              <w:t>Description</w:t>
            </w:r>
          </w:p>
        </w:tc>
      </w:tr>
      <w:tr>
        <w:trPr/>
        <w:tc>
          <w:tcPr>
            <w:tcW w:w="685" w:type="dxa"/>
            <w:tcBorders/>
            <w:shd w:fill="CCEEFF" w:val="clear"/>
            <w:tcMar>
              <w:bottom w:w="0" w:type="dxa"/>
            </w:tcMar>
            <w:vAlign w:val="center"/>
          </w:tcPr>
          <w:p>
            <w:pPr>
              <w:pStyle w:val="TableContents"/>
              <w:bidi w:val="0"/>
              <w:spacing w:before="0" w:after="283"/>
              <w:jc w:val="left"/>
              <w:rPr/>
            </w:pPr>
            <w:hyperlink w:anchor="tm246736d5_ex5-1.htm">
              <w:r>
                <w:rPr>
                  <w:rStyle w:val="InternetLink"/>
                  <w:sz w:val="20"/>
                </w:rPr>
                <w:t>5.1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460" w:type="dxa"/>
            <w:tcBorders/>
            <w:shd w:fill="CCEEFF" w:val="clear"/>
            <w:tcMar>
              <w:bottom w:w="0" w:type="dxa"/>
            </w:tcMar>
            <w:vAlign w:val="center"/>
          </w:tcPr>
          <w:p>
            <w:pPr>
              <w:pStyle w:val="TableContents"/>
              <w:bidi w:val="0"/>
              <w:spacing w:before="0" w:after="283"/>
              <w:jc w:val="both"/>
              <w:rPr/>
            </w:pPr>
            <w:hyperlink w:anchor="tm246736d5_ex5-1.htm">
              <w:r>
                <w:rPr>
                  <w:rStyle w:val="InternetLink"/>
                  <w:sz w:val="20"/>
                </w:rPr>
                <w:t>Opinion of Paul Hastings LLP</w:t>
              </w:r>
            </w:hyperlink>
          </w:p>
        </w:tc>
      </w:tr>
      <w:tr>
        <w:trPr/>
        <w:tc>
          <w:tcPr>
            <w:tcW w:w="685" w:type="dxa"/>
            <w:tcBorders/>
            <w:shd w:fill="FFFFFF" w:val="clear"/>
            <w:tcMar>
              <w:bottom w:w="0" w:type="dxa"/>
            </w:tcMar>
            <w:vAlign w:val="center"/>
          </w:tcPr>
          <w:p>
            <w:pPr>
              <w:pStyle w:val="TableContents"/>
              <w:bidi w:val="0"/>
              <w:spacing w:before="0" w:after="283"/>
              <w:jc w:val="left"/>
              <w:rPr/>
            </w:pPr>
            <w:hyperlink w:anchor="tm246736d5_ex10-1.htm">
              <w:r>
                <w:rPr>
                  <w:rStyle w:val="InternetLink"/>
                  <w:sz w:val="20"/>
                </w:rPr>
                <w:t>10.1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60" w:type="dxa"/>
            <w:tcBorders/>
            <w:shd w:fill="FFFFFF" w:val="clear"/>
            <w:tcMar>
              <w:bottom w:w="0" w:type="dxa"/>
            </w:tcMar>
            <w:vAlign w:val="center"/>
          </w:tcPr>
          <w:p>
            <w:pPr>
              <w:pStyle w:val="TableContents"/>
              <w:bidi w:val="0"/>
              <w:spacing w:before="0" w:after="283"/>
              <w:jc w:val="both"/>
              <w:rPr/>
            </w:pPr>
            <w:hyperlink w:anchor="tm246736d5_ex10-1.htm">
              <w:r>
                <w:rPr>
                  <w:rStyle w:val="InternetLink"/>
                  <w:sz w:val="20"/>
                </w:rPr>
                <w:t>Form of Securities Purchase Agreement</w:t>
              </w:r>
            </w:hyperlink>
          </w:p>
        </w:tc>
      </w:tr>
      <w:tr>
        <w:trPr/>
        <w:tc>
          <w:tcPr>
            <w:tcW w:w="685" w:type="dxa"/>
            <w:tcBorders/>
            <w:shd w:fill="CCEEFF" w:val="clear"/>
            <w:tcMar>
              <w:bottom w:w="0" w:type="dxa"/>
            </w:tcMar>
            <w:vAlign w:val="center"/>
          </w:tcPr>
          <w:p>
            <w:pPr>
              <w:pStyle w:val="TableContents"/>
              <w:bidi w:val="0"/>
              <w:spacing w:before="0" w:after="283"/>
              <w:jc w:val="left"/>
              <w:rPr/>
            </w:pPr>
            <w:hyperlink w:anchor="tm246736d5_ex10-2.htm">
              <w:r>
                <w:rPr>
                  <w:rStyle w:val="InternetLink"/>
                  <w:sz w:val="20"/>
                </w:rPr>
                <w:t>10.2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460" w:type="dxa"/>
            <w:tcBorders/>
            <w:shd w:fill="CCEEFF" w:val="clear"/>
            <w:tcMar>
              <w:bottom w:w="0" w:type="dxa"/>
            </w:tcMar>
            <w:vAlign w:val="center"/>
          </w:tcPr>
          <w:p>
            <w:pPr>
              <w:pStyle w:val="TableContents"/>
              <w:bidi w:val="0"/>
              <w:spacing w:before="0" w:after="283"/>
              <w:jc w:val="both"/>
              <w:rPr/>
            </w:pPr>
            <w:hyperlink w:anchor="tm246736d5_ex10-2.htm">
              <w:r>
                <w:rPr>
                  <w:rStyle w:val="InternetLink"/>
                  <w:sz w:val="20"/>
                </w:rPr>
                <w:t>Form of Subordinated Convertible Note, dated as of March 1, 2024</w:t>
              </w:r>
            </w:hyperlink>
          </w:p>
        </w:tc>
      </w:tr>
      <w:tr>
        <w:trPr/>
        <w:tc>
          <w:tcPr>
            <w:tcW w:w="685" w:type="dxa"/>
            <w:tcBorders/>
            <w:shd w:fill="FFFFFF" w:val="clear"/>
            <w:tcMar>
              <w:bottom w:w="0" w:type="dxa"/>
            </w:tcMar>
            <w:vAlign w:val="center"/>
          </w:tcPr>
          <w:p>
            <w:pPr>
              <w:pStyle w:val="TableContents"/>
              <w:bidi w:val="0"/>
              <w:spacing w:before="0" w:after="283"/>
              <w:jc w:val="left"/>
              <w:rPr/>
            </w:pPr>
            <w:hyperlink w:anchor="tm246736d5_ex10-3.htm">
              <w:r>
                <w:rPr>
                  <w:rStyle w:val="InternetLink"/>
                  <w:sz w:val="20"/>
                </w:rPr>
                <w:t>10.3</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60" w:type="dxa"/>
            <w:tcBorders/>
            <w:shd w:fill="FFFFFF" w:val="clear"/>
            <w:tcMar>
              <w:bottom w:w="0" w:type="dxa"/>
            </w:tcMar>
            <w:vAlign w:val="center"/>
          </w:tcPr>
          <w:p>
            <w:pPr>
              <w:pStyle w:val="TableContents"/>
              <w:bidi w:val="0"/>
              <w:spacing w:before="0" w:after="283"/>
              <w:jc w:val="both"/>
              <w:rPr/>
            </w:pPr>
            <w:hyperlink w:anchor="tm246736d5_ex10-3.htm">
              <w:r>
                <w:rPr>
                  <w:rStyle w:val="InternetLink"/>
                  <w:sz w:val="20"/>
                </w:rPr>
                <w:t>Forbearance Agreement and Sixth Amendment to Credit Agreement, dated as of March 1, 2024, by and among Presto Automation LLC, Presto Automation Inc., the lenders party thereto and Metropolitan Partners Group Administration, LLC</w:t>
              </w:r>
            </w:hyperlink>
          </w:p>
        </w:tc>
      </w:tr>
      <w:tr>
        <w:trPr/>
        <w:tc>
          <w:tcPr>
            <w:tcW w:w="685" w:type="dxa"/>
            <w:tcBorders/>
            <w:shd w:fill="CCEEFF" w:val="clear"/>
            <w:tcMar>
              <w:bottom w:w="0" w:type="dxa"/>
            </w:tcMar>
            <w:vAlign w:val="center"/>
          </w:tcPr>
          <w:p>
            <w:pPr>
              <w:pStyle w:val="TableContents"/>
              <w:bidi w:val="0"/>
              <w:spacing w:before="0" w:after="283"/>
              <w:jc w:val="left"/>
              <w:rPr/>
            </w:pPr>
            <w:hyperlink w:anchor="tm246736d5_ex10-4.htm">
              <w:r>
                <w:rPr>
                  <w:rStyle w:val="InternetLink"/>
                </w:rPr>
                <w:t>10.4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460" w:type="dxa"/>
            <w:tcBorders/>
            <w:shd w:fill="CCEEFF" w:val="clear"/>
            <w:tcMar>
              <w:bottom w:w="0" w:type="dxa"/>
            </w:tcMar>
            <w:vAlign w:val="center"/>
          </w:tcPr>
          <w:p>
            <w:pPr>
              <w:pStyle w:val="TableContents"/>
              <w:bidi w:val="0"/>
              <w:spacing w:before="0" w:after="283"/>
              <w:jc w:val="both"/>
              <w:rPr/>
            </w:pPr>
            <w:hyperlink w:anchor="tm246736d5_ex10-4.htm">
              <w:r>
                <w:rPr>
                  <w:rStyle w:val="InternetLink"/>
                </w:rPr>
                <w:t>Form of Registration Rights Agreement, dated as of March 1, 2024</w:t>
              </w:r>
            </w:hyperlink>
          </w:p>
        </w:tc>
      </w:tr>
      <w:tr>
        <w:trPr/>
        <w:tc>
          <w:tcPr>
            <w:tcW w:w="685" w:type="dxa"/>
            <w:tcBorders/>
            <w:shd w:fill="FFFFFF" w:val="clear"/>
            <w:tcMar>
              <w:bottom w:w="0" w:type="dxa"/>
            </w:tcMar>
            <w:vAlign w:val="center"/>
          </w:tcPr>
          <w:p>
            <w:pPr>
              <w:pStyle w:val="TableContents"/>
              <w:bidi w:val="0"/>
              <w:spacing w:before="0" w:after="283"/>
              <w:jc w:val="left"/>
              <w:rPr/>
            </w:pPr>
            <w:hyperlink w:anchor="tm246736d5_ex5-1.htm">
              <w:r>
                <w:rPr>
                  <w:rStyle w:val="InternetLink"/>
                  <w:sz w:val="20"/>
                </w:rPr>
                <w:t>23.1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460" w:type="dxa"/>
            <w:tcBorders/>
            <w:shd w:fill="FFFFFF" w:val="clear"/>
            <w:tcMar>
              <w:bottom w:w="0" w:type="dxa"/>
            </w:tcMar>
            <w:vAlign w:val="center"/>
          </w:tcPr>
          <w:p>
            <w:pPr>
              <w:pStyle w:val="TableContents"/>
              <w:bidi w:val="0"/>
              <w:spacing w:before="0" w:after="283"/>
              <w:jc w:val="both"/>
              <w:rPr/>
            </w:pPr>
            <w:hyperlink w:anchor="tm246736d5_ex5-1.htm">
              <w:r>
                <w:rPr>
                  <w:rStyle w:val="InternetLink"/>
                  <w:sz w:val="20"/>
                </w:rPr>
                <w:t>Consent of Paul Hastings LLP (included in Exhibit 5.1)</w:t>
              </w:r>
            </w:hyperlink>
          </w:p>
        </w:tc>
      </w:tr>
      <w:tr>
        <w:trPr/>
        <w:tc>
          <w:tcPr>
            <w:tcW w:w="685"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460" w:type="dxa"/>
            <w:tcBorders/>
            <w:shd w:fill="CCEEFF" w:val="clear"/>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990" w:type="dxa"/>
        <w:jc w:val="left"/>
        <w:tblInd w:w="0" w:type="dxa"/>
        <w:tblLayout w:type="fixed"/>
        <w:tblCellMar>
          <w:top w:w="0" w:type="dxa"/>
          <w:left w:w="0" w:type="dxa"/>
          <w:bottom w:w="0" w:type="dxa"/>
          <w:right w:w="0" w:type="dxa"/>
        </w:tblCellMar>
      </w:tblPr>
      <w:tblGrid>
        <w:gridCol w:w="1700"/>
        <w:gridCol w:w="320"/>
        <w:gridCol w:w="590"/>
        <w:gridCol w:w="3380"/>
      </w:tblGrid>
      <w:tr>
        <w:trPr/>
        <w:tc>
          <w:tcPr>
            <w:tcW w:w="1700" w:type="dxa"/>
            <w:tcBorders/>
            <w:vAlign w:val="center"/>
          </w:tcPr>
          <w:p>
            <w:pPr>
              <w:pStyle w:val="TableContents"/>
              <w:bidi w:val="0"/>
              <w:spacing w:before="0" w:after="283"/>
              <w:jc w:val="left"/>
              <w:rPr/>
            </w:pPr>
            <w:r>
              <w:rPr/>
              <w:t> </w:t>
            </w:r>
          </w:p>
        </w:tc>
        <w:tc>
          <w:tcPr>
            <w:tcW w:w="4290" w:type="dxa"/>
            <w:gridSpan w:val="3"/>
            <w:tcBorders/>
            <w:vAlign w:val="center"/>
          </w:tcPr>
          <w:p>
            <w:pPr>
              <w:pStyle w:val="TableContents"/>
              <w:bidi w:val="0"/>
              <w:spacing w:before="0" w:after="283"/>
              <w:jc w:val="left"/>
              <w:rPr>
                <w:b/>
                <w:sz w:val="20"/>
              </w:rPr>
            </w:pPr>
            <w:r>
              <w:rPr>
                <w:b/>
                <w:sz w:val="20"/>
              </w:rPr>
              <w:t>PRESTO AUTOMATION, INC.</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970" w:type="dxa"/>
            <w:gridSpan w:val="2"/>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sz w:val="20"/>
              </w:rPr>
            </w:pPr>
            <w:r>
              <w:rPr>
                <w:sz w:val="20"/>
              </w:rPr>
              <w:t>Date: March 4, 2024</w:t>
            </w:r>
          </w:p>
        </w:tc>
        <w:tc>
          <w:tcPr>
            <w:tcW w:w="320" w:type="dxa"/>
            <w:tcBorders/>
            <w:vAlign w:val="center"/>
          </w:tcPr>
          <w:p>
            <w:pPr>
              <w:pStyle w:val="TableContents"/>
              <w:bidi w:val="0"/>
              <w:spacing w:before="0" w:after="283"/>
              <w:jc w:val="left"/>
              <w:rPr>
                <w:sz w:val="20"/>
              </w:rPr>
            </w:pPr>
            <w:r>
              <w:rPr>
                <w:sz w:val="20"/>
              </w:rPr>
              <w:t>By:</w:t>
            </w:r>
          </w:p>
        </w:tc>
        <w:tc>
          <w:tcPr>
            <w:tcW w:w="397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Susan Shinoff </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3380" w:type="dxa"/>
            <w:tcBorders/>
            <w:vAlign w:val="center"/>
          </w:tcPr>
          <w:p>
            <w:pPr>
              <w:pStyle w:val="TableContents"/>
              <w:bidi w:val="0"/>
              <w:spacing w:before="0" w:after="283"/>
              <w:jc w:val="left"/>
              <w:rPr>
                <w:sz w:val="20"/>
              </w:rPr>
            </w:pPr>
            <w:r>
              <w:rPr>
                <w:sz w:val="20"/>
              </w:rPr>
              <w:t>Susan Shinoff</w:t>
            </w:r>
          </w:p>
        </w:tc>
      </w:tr>
      <w:tr>
        <w:trPr/>
        <w:tc>
          <w:tcPr>
            <w:tcW w:w="170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3380" w:type="dxa"/>
            <w:tcBorders/>
            <w:vAlign w:val="center"/>
          </w:tcPr>
          <w:p>
            <w:pPr>
              <w:pStyle w:val="TableContents"/>
              <w:bidi w:val="0"/>
              <w:spacing w:before="0" w:after="283"/>
              <w:jc w:val="left"/>
              <w:rPr>
                <w:sz w:val="20"/>
              </w:rPr>
            </w:pPr>
            <w:r>
              <w:rPr>
                <w:sz w:val="20"/>
              </w:rPr>
              <w:t>General Counsel and Corporate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6" w:name="tm246736d5_ex5-1.htm"/>
      <w:bookmarkStart w:id="27" w:name="kstm246736d5_ex5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526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52600" cy="5143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1220"/>
        <w:gridCol w:w="60"/>
        <w:gridCol w:w="1130"/>
      </w:tblGrid>
      <w:tr>
        <w:trPr/>
        <w:tc>
          <w:tcPr>
            <w:tcW w:w="12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4, 2024</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52763.00001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w:t>
        <w:br/>
        <w:t>985 Industrial Road</w:t>
        <w:br/>
        <w:t>San Carlos, CA 94070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Presto Automation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in connection with the preparation and filing with the Securities and Exchange Commission (the “</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pursuant to Rule 424(b) of the rules and regulations of the Securities Act of 1933, as amended (the “</w:t>
      </w:r>
      <w:r>
        <w:rPr>
          <w:rFonts w:ascii="Times New Roman;Times;Serif" w:hAnsi="Times New Roman;Times;Serif"/>
          <w:b/>
          <w:i/>
          <w:caps w:val="false"/>
          <w:smallCaps w:val="false"/>
          <w:sz w:val="20"/>
        </w:rPr>
        <w:t>Act</w:t>
      </w:r>
      <w:r>
        <w:rPr>
          <w:rFonts w:ascii="Times New Roman;Times;Serif" w:hAnsi="Times New Roman;Times;Serif"/>
          <w:b w:val="false"/>
          <w:i w:val="false"/>
          <w:caps w:val="false"/>
          <w:smallCaps w:val="false"/>
          <w:sz w:val="20"/>
        </w:rPr>
        <w:t>”), of a prospectus supplement, dated February 29, 2024 (the “</w:t>
      </w:r>
      <w:r>
        <w:rPr>
          <w:rFonts w:ascii="Times New Roman;Times;Serif" w:hAnsi="Times New Roman;Times;Serif"/>
          <w:b/>
          <w:i/>
          <w:caps w:val="false"/>
          <w:smallCaps w:val="false"/>
          <w:sz w:val="20"/>
        </w:rPr>
        <w:t>Prospectus Supplement</w:t>
      </w:r>
      <w:r>
        <w:rPr>
          <w:rFonts w:ascii="Times New Roman;Times;Serif" w:hAnsi="Times New Roman;Times;Serif"/>
          <w:b w:val="false"/>
          <w:i w:val="false"/>
          <w:caps w:val="false"/>
          <w:smallCaps w:val="false"/>
          <w:sz w:val="20"/>
        </w:rPr>
        <w:t>”), to the Company’s Registration Statement on Form S-3 (File No. 333-275112) originally filed with the Commission under the Act on October 20, 2023 (the “</w:t>
      </w:r>
      <w:r>
        <w:rPr>
          <w:rFonts w:ascii="Times New Roman;Times;Serif" w:hAnsi="Times New Roman;Times;Serif"/>
          <w:b/>
          <w:i/>
          <w:caps w:val="false"/>
          <w:smallCaps w:val="false"/>
          <w:sz w:val="20"/>
        </w:rPr>
        <w:t>Registration Statement</w:t>
      </w:r>
      <w:r>
        <w:rPr>
          <w:rFonts w:ascii="Times New Roman;Times;Serif" w:hAnsi="Times New Roman;Times;Serif"/>
          <w:b w:val="false"/>
          <w:i w:val="false"/>
          <w:caps w:val="false"/>
          <w:smallCaps w:val="false"/>
          <w:sz w:val="20"/>
        </w:rPr>
        <w:t>”), and the related prospectus, dated October 30, 2023, included in the Registration Statement at the time it originally became effective (the “</w:t>
      </w:r>
      <w:r>
        <w:rPr>
          <w:rFonts w:ascii="Times New Roman;Times;Serif" w:hAnsi="Times New Roman;Times;Serif"/>
          <w:b/>
          <w:i/>
          <w:caps w:val="false"/>
          <w:smallCaps w:val="false"/>
          <w:sz w:val="20"/>
        </w:rPr>
        <w:t>Base Prospectus</w:t>
      </w:r>
      <w:r>
        <w:rPr>
          <w:rFonts w:ascii="Times New Roman;Times;Serif" w:hAnsi="Times New Roman;Times;Serif"/>
          <w:b w:val="false"/>
          <w:i w:val="false"/>
          <w:caps w:val="false"/>
          <w:smallCaps w:val="false"/>
          <w:sz w:val="20"/>
        </w:rPr>
        <w:t>” and, together with the Prospectus Supplement,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relating to the offering by the Company of 8,533,000 shares (the “</w:t>
      </w:r>
      <w:r>
        <w:rPr>
          <w:rFonts w:ascii="Times New Roman;Times;Serif" w:hAnsi="Times New Roman;Times;Serif"/>
          <w:b/>
          <w:i/>
          <w:caps w:val="false"/>
          <w:smallCaps w:val="false"/>
          <w:sz w:val="20"/>
        </w:rPr>
        <w:t>Shares</w:t>
      </w:r>
      <w:r>
        <w:rPr>
          <w:rFonts w:ascii="Times New Roman;Times;Serif" w:hAnsi="Times New Roman;Times;Serif"/>
          <w:b w:val="false"/>
          <w:i w:val="false"/>
          <w:caps w:val="false"/>
          <w:smallCaps w:val="false"/>
          <w:sz w:val="20"/>
        </w:rPr>
        <w:t>”) of the Company’s common stock, par value $0.0001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The Shares are being sold to institutional investors named in, and pursuant to, a securities purchase agreement, dated as of February 29, 2024, between the Company and such investors (the “</w:t>
      </w:r>
      <w:r>
        <w:rPr>
          <w:rFonts w:ascii="Times New Roman;Times;Serif" w:hAnsi="Times New Roman;Times;Serif"/>
          <w:b/>
          <w:i/>
          <w:caps w:val="false"/>
          <w:smallCaps w:val="false"/>
          <w:sz w:val="20"/>
        </w:rPr>
        <w:t>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the Registration Statement, the Prospectus, the form of Securities Purchase Agreement, the Company’s Second Amended and Restated Certificate of Incorporation, as amended, and the Company’s Amended and Restated Bylaws, each as currently in effect, and the originals or copies certified to our satisfaction of such records, documents, certificates, memoranda and other instruments as in our judgment are necessary or appropriate to enable us to render the opinion expressed below. As to certain factual matters, we have relied upon a certificate of an officer of the Company and have not independently verified such matters. We have assumed the genuineness and authenticity of all documents submitted to us as originals, and the conformity to originals of all documents submitted to us as copies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and in rendering the opinions expressed below, we have assumed, without independent investigation or verification: (i) the genuineness of all signatures on all agreements, instruments, corporate records, certificates and other documents submitted to us; (ii) the legal capacity, competency and authority of all individuals executing documents submitted to us; (iii) the authenticity and completeness of all agreements, instruments, corporate records, certificates and other documents submitted to us as originals; (iv) that all agreements, instruments, corporate records, certificates and other documents submitted to us as certified, electronic, facsimile, conformed, photostatic or other copies conform to the originals thereof, and that such originals are authentic and complete; (v) the due authorization, execution and delivery of all agreements, instruments, corporate records, certificates and other documents by all parties thereto (other than the Company); (vi) that no documents submitted to us have been amended or terminated orally or in writing, except as has been disclosed to us in writing; (vii) that the Securities Purchase Agreement is the valid and binding obligation of each of the parties thereto, enforceable against such parties in accordance with their terms and that they have not been amended or terminated orally or in writing; and (viii) that the statements contained in the certificates and comparable documents of public officials, officers and representatives of the Company and other persons on which we have relied for the purposes of this opinion letter are true and correct on and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3228975" cy="2952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228975" cy="2952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52600" cy="514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52600" cy="5143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4</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2024 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We are not rendering any opinion as to compliance with any federal or state antifraud law, rule or regulation relating to securities, or to the sale or issuance thereof. Our opinion is based on these laws as in effect on the date hereof, and we disclaim any obligation to advise you of facts, circumstances, events or developments which hereafter may be brought to our attention and which may alter, affect or modify the opinion expressed herein. We express no opinion as to whether the laws of any particular jurisdiction other than those identified above are applicable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in reliance thereon, we are of the opinion that the Shares, when issued and sold against payment therefor in accordance with the Securities Purchase Agreement,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“Legal Matters” in the Prospectus Supplement and to the filing of this opinion as an exhibit to a Current Report of the Company on Form 8-K.</w:t>
      </w:r>
    </w:p>
    <w:p>
      <w:pPr>
        <w:pStyle w:val="TextBody"/>
        <w:bidi w:val="0"/>
        <w:spacing w:before="0" w:after="0"/>
        <w:ind w:left="0" w:right="0" w:hanging="0"/>
        <w:jc w:val="left"/>
        <w:rPr>
          <w:caps w:val="false"/>
          <w:smallCaps w:val="false"/>
        </w:rPr>
      </w:pPr>
      <w:r>
        <w:rPr>
          <w:caps w:val="false"/>
          <w:smallCaps w:val="false"/>
        </w:rPr>
        <w:t> </w:t>
      </w:r>
    </w:p>
    <w:tbl>
      <w:tblPr>
        <w:tblW w:w="1850" w:type="dxa"/>
        <w:jc w:val="left"/>
        <w:tblInd w:w="0" w:type="dxa"/>
        <w:tblLayout w:type="fixed"/>
        <w:tblCellMar>
          <w:top w:w="0" w:type="dxa"/>
          <w:left w:w="0" w:type="dxa"/>
          <w:bottom w:w="0" w:type="dxa"/>
          <w:right w:w="0" w:type="dxa"/>
        </w:tblCellMar>
      </w:tblPr>
      <w:tblGrid>
        <w:gridCol w:w="75"/>
        <w:gridCol w:w="1775"/>
      </w:tblGrid>
      <w:tr>
        <w:trPr/>
        <w:tc>
          <w:tcPr>
            <w:tcW w:w="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Hastings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8" w:name="tm246736d5_ex10-1.htm"/>
      <w:bookmarkStart w:id="29" w:name="kstm246736d5_ex101"/>
      <w:bookmarkEnd w:id="28"/>
      <w:bookmarkEnd w:id="2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February 29, 2024, between Presto Automation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purchaser identified on the signature pages hereto (each, including its successors and assigns,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pursuant to an effective registration statement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shall have the meaning ascribed to such term in Section 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ascribed to such term in Section 3.1(j).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shd w:fill="FFFFFF" w:val="clear"/>
        </w:rPr>
        <w:t>provided</w:t>
      </w:r>
      <w:r>
        <w:rPr>
          <w:rFonts w:ascii="Times New Roman;Times;Serif" w:hAnsi="Times New Roman;Times;Serif"/>
          <w:b w:val="false"/>
          <w:i w:val="false"/>
          <w:caps w:val="false"/>
          <w:smallCaps w:val="false"/>
          <w:sz w:val="20"/>
          <w:shd w:fill="FFFFFF" w:val="clear"/>
        </w:rPr>
        <w:t xml:space="preserve">, </w:t>
      </w:r>
      <w:r>
        <w:rPr>
          <w:rFonts w:ascii="Times New Roman;Times;Serif" w:hAnsi="Times New Roman;Times;Serif"/>
          <w:b w:val="false"/>
          <w:i w:val="false"/>
          <w:caps w:val="false"/>
          <w:smallCaps w:val="false"/>
          <w:sz w:val="20"/>
          <w:u w:val="single"/>
          <w:shd w:fill="FFFFFF" w:val="clear"/>
        </w:rPr>
        <w:t>however</w:t>
      </w:r>
      <w:r>
        <w:rPr>
          <w:rFonts w:ascii="Times New Roman;Times;Serif" w:hAnsi="Times New Roman;Times;Serif"/>
          <w:b w:val="false"/>
          <w:i w:val="false"/>
          <w:caps w:val="false"/>
          <w:smallCaps w:val="false"/>
          <w:sz w:val="20"/>
          <w:shd w:fill="FFFFFF" w:val="clear"/>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purchase and sale of the Shares pursuant to Section 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or at the election of the Company, immediately following, the date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 but in no event later than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$0.0001 per share, and any other class of securities into which such securities may hereafter be reclassified or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means Paul Hastings LLP, with offices located at 200 Park Avenue, New York, NY 10166.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Agreement</w:t>
      </w:r>
      <w:r>
        <w:rPr>
          <w:rFonts w:ascii="Times New Roman;Times;Serif" w:hAnsi="Times New Roman;Times;Serif"/>
          <w:b w:val="false"/>
          <w:i w:val="false"/>
          <w:caps w:val="false"/>
          <w:smallCaps w:val="false"/>
          <w:sz w:val="20"/>
        </w:rPr>
        <w:t>” means the credit agreement, dated as of September 21, 2022, with Metropolitan Partners Group Administration, LLC, as administrative, payment and collateral agent for the lenders, as amended by the First Amendment to Credit Agreement, dated March 31, 2023, the Second Amendment to Credit Agreement, dated May 22, 2023, the Third Amendment to Credit Agreement, dated October 10, 2023, the Forbearance Agreement and Fourth Amendment to Credit Agreement, dated January 22, 2024, and the Fifth Amendment to Credit Agreement and Acknowledgement, dated January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means the Disclosure Schedules of the Company delivered concurrently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shall have the meaning ascribed to such term in Section 3.1(s).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means the issuance of (a) shares of Common Stock, options, restricted stock units or equity awards to employees, officers, or directors or consultants of the Company pursuant to any equity incentive plan duly adopted for such purpose, by a majority of the non-employee members of the Board of Directors or a majority of the members of a committee of non-employee directors established for such purpose for services rendered to the Company, provided that such securities are issued pursuant to a registration statement on Form S-8 filed by the Company, (b) securities upon the exercise or exchange of or conversion of any Shares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4.9 herein, and provided that any such issuance shall only be to a Person (or to the equityholders of a Person) which is, itself or through its subsidiaries, an operating company or an owner of an asset in a business synergistic with the business of the Company, as determined by the Board of Directors in good faith,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shall have the meaning ascribed to such term in Section 3.1(aa).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have the meaning ascribed to such term in Section 3.1(p).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shall have the meaning ascribed to such term in Section 3.1(n).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 Share Purchase Price</w:t>
      </w:r>
      <w:r>
        <w:rPr>
          <w:rFonts w:ascii="Times New Roman;Times;Serif" w:hAnsi="Times New Roman;Times;Serif"/>
          <w:b w:val="false"/>
          <w:i w:val="false"/>
          <w:caps w:val="false"/>
          <w:smallCaps w:val="false"/>
          <w:sz w:val="20"/>
        </w:rPr>
        <w:t>” equals $0.25, subject to adjustment for reverse and forward stock splits, stock dividends, stock combinations and other similar transactions of the Common Stock that occur after the date of this Agreement and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Placement Agents</w:t>
      </w:r>
      <w:r>
        <w:rPr>
          <w:rFonts w:ascii="Times New Roman;Times;Serif" w:hAnsi="Times New Roman;Times;Serif"/>
          <w:b w:val="false"/>
          <w:i w:val="false"/>
          <w:caps w:val="false"/>
          <w:smallCaps w:val="false"/>
          <w:sz w:val="20"/>
        </w:rPr>
        <w:t>” means Chardan Capital Markets LLC and Spartan Capital Securities,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final prospectus filed for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means the supplement to the Prospectus complying with Rule 424(b) of the Securities Act that is filed with the Commission and delivered by the Company to the Purchasers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shall have the meaning ascribed to such term in Section 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the effective registration statement filed with the Commission (File No. 333-275112) that registers the sale of the Shares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shares of Common Stock issued or issuable to each Purchaser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shall, where applicable, also include any direct or indirect subsidiary of the Company formed or acquired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Nasdaq Capital Market, the Nasdaq Global Market, the Nasdaq Global Select Market, the New York Stock Exchange or the NYSE American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all exhibits and schedules hereto and any other documents or agreements executed in connection with the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Continental Stock Transfer &amp; Trust Company, the current transfer agent of the Company, with a mailing address of 1 State Street, 30th Floor, New York, New York 10004 , and any successor transfer agent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the Closing Date, upon the terms and subject to the conditions set forth herein, substantially concurrent with the execution and delivery of this Agreement by the parties hereto, the Company agrees to sell, and each of the Purchasers agree to purchase, up to an aggregate of $[ ] of Shares. Each Purchaser’s Subscription Amount as set forth on the signature page hereto executed by such Purchaser shall be made available for “Delivery Versus Payment” (“</w:t>
      </w:r>
      <w:r>
        <w:rPr>
          <w:rFonts w:ascii="Times New Roman;Times;Serif" w:hAnsi="Times New Roman;Times;Serif"/>
          <w:b w:val="false"/>
          <w:i w:val="false"/>
          <w:caps w:val="false"/>
          <w:smallCaps w:val="false"/>
          <w:sz w:val="20"/>
          <w:u w:val="single"/>
        </w:rPr>
        <w:t>DVP</w:t>
      </w:r>
      <w:r>
        <w:rPr>
          <w:rFonts w:ascii="Times New Roman;Times;Serif" w:hAnsi="Times New Roman;Times;Serif"/>
          <w:b w:val="false"/>
          <w:i w:val="false"/>
          <w:caps w:val="false"/>
          <w:smallCaps w:val="false"/>
          <w:sz w:val="20"/>
        </w:rPr>
        <w:t>”) settlement with the Company or its designee. The Company shall deliver to each Purchaser its respective Shares, and the Company and each Purchaser shall deliver the other items set forth in Section 2.3 deliverable at the Closing. Upon satisfaction or waiver of the covenants and conditions set forth in Sections 2.3 and 2.4, the Closing shall take place remotely by electronic transfer of the Closing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Unless otherwise directed by the Placement Agent, settlement of the Shares shall occur via DVP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the Placement Agent (or its clearing firm) by wire transfer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Each Purchaser represents to the Company that it has received (or otherwise had made available to it by the filing by the Company of an electronic version thereof with the Commission) the Prospectus contained in the Registration Statement filed by the Company with the Commission, and the Prospectus Supplement relating thereto. Each Purchaser acknowledges that, prior to the delivery of this Agreement by it to the Company, the Purchaser will receive certain additional information regarding the offering, including pricing information. Such information may be provided to the Purchaser by any means permitted under the Securities Act, including the Prospectus Supplement and oral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each Purchaser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copy of the irrevocable instructions to the Transfer Agent instructing the Transfer Agent to deliver, on an expedited basis via the Depository Trust Company Deposit or Withdrawal at Custodian system Shares equal to such Purchaser’s Subscription Amount divided by the Per Share Purchase Price, registered in the name of such Purchaser, or, at the election of such Purchaser, evidence of the issuance of such Purchaser’s Shares hereunder as held in DRS book-entry form by the Transfer Agent and registered in the name of such Purchaser, which evidence shall be reasonably satisfactory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Prospectus and Prospectus Supplement (which may be delivered in accordance with Rule 172 under the Securities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shall have provided each Purchaser with wire instructions, on Company letterhead and executed by the Chief Executive Officer or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 to the extent not previously delivered,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Purchaser;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Purchaser’s Subscription Amount, which shall be made available for DVP settlement with the Company or its designee.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On or prior to the Closing Date, the Company shall deliver or cause to be delivered to the Purchasers a legal opinion of Company Counsel,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Purchaser required to be performed at or prior to the Closing Date shall have been performed;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each Purchaser of the items set forth in Section 2.2(b)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Purchasers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Company of the items set forth in Section 2.2(a)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 from the date hereof to the Closing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Disclosure Schedules, which Disclosure Schedules shall be deemed a part hereof and shall qualify any representation or otherwise made herein to the extent of the disclosure contained in the corresponding section of the Disclosure Schedules, or as set forth in the SEC Reports, the Company hereby makes the following representations and warranties to each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All of the direct and indirect subsidiaries of the Company are set forth on Exhibit 21.1 of the Company’s Annual Report on Form 10-K for the year ended June 30, 2023 filed with the Commission on October 11, 2023. The Company owns, directly or indirectly, all of the capital stock or other equity interests of each Subsidiary free and clear of any Liens except as disclosed in the SEC Reports and Liens imposed under the Credit Agreement, and all of the issued and outstanding shares of capital stock of each Subsidiary are validly issued and are fully paid, non-assessable and free of preemptive and similar rights to subscribe for or purchase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provided, however, that changes in the market price or trading volume of the Common Stock shall not alone, in and of itself, constitute a Material Adverse Effect). No Proceeding has been instituted in any such jurisdiction revoking, limiting or curtailing or seeking to revoke, limit or curtail such power and authority or 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material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(except for such conflicts or defaults as have been waived or for which consent has been obtained prior to the Closing Date), or (iii) subject to receipt of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issuance and sale of the Shares and the listing of the Shares for trading thereon in the time and manner required thereby, (iv) the filing of Form D with the Commission and such filings as are required to be made under applicable state securities laws and (v) such consents or waivers that shall have been obtained prior to the Closing Date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Issuance of the Shares; Registration</w:t>
      </w:r>
      <w:r>
        <w:rPr>
          <w:rFonts w:ascii="Times New Roman;Times;Serif" w:hAnsi="Times New Roman;Times;Serif"/>
          <w:b w:val="false"/>
          <w:i w:val="false"/>
          <w:caps w:val="false"/>
          <w:smallCaps w:val="false"/>
          <w:sz w:val="20"/>
        </w:rPr>
        <w:t>. The Shares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October 30, 2023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The capitalization of the Company as of the date hereof is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applicable federal and state securities laws, and none of such outstanding shares was issued in violation of any preemptive rights or similar rights to subscribe for or purchase securities. Except for the Required Approvals,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all material respects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xml:space="preserve">. Since the date of the latest audited financial statements included within the SEC Reports,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or other equity plans. The Company does not have pending before the Commission any request for confidential treatment of information. Except for the issuance of the Shares contemplated by this Agreement or as set forth on </w:t>
      </w:r>
      <w:r>
        <w:rPr>
          <w:rFonts w:ascii="Times New Roman;Times;Serif" w:hAnsi="Times New Roman;Times;Serif"/>
          <w:b w:val="false"/>
          <w:i w:val="false"/>
          <w:caps w:val="false"/>
          <w:smallCaps w:val="false"/>
          <w:sz w:val="20"/>
          <w:u w:val="single"/>
        </w:rPr>
        <w:t>Schedule 3.1(i)</w:t>
      </w:r>
      <w:r>
        <w:rPr>
          <w:rFonts w:ascii="Times New Roman;Times;Serif" w:hAnsi="Times New Roman;Times;Serif"/>
          <w:b w:val="false"/>
          <w:i w:val="false"/>
          <w:caps w:val="false"/>
          <w:smallCaps w:val="false"/>
          <w:sz w:val="20"/>
        </w:rPr>
        <w:t>, no event, liability, fact, circumstance, occurrence or development has occurred or exists or is reasonably expected to occur or exist with respect to the Company or its Subsidiaries or their respective businesses,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is no material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which (i)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that would reasonably be expected to have a Material Adverse Effect.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material agreement or instrument to which it is a party or by which it or any of its material properties is bound (except for such breaches, violations or defaults as have been waived or for which consent has been obtained prior to the Closing Date),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applicable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To the knowledge of the Company,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None of, and neither the Company nor any Subsidiary has received a written notice that any of, the Intellectual Property Rights that are material to the Company have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on Schedule 3.1(r),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or other equity awards under any stock option plan or other equity plan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The Company and the Subsidiaries are in compliance in all material respects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“Evaluation Date”).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Except as set forth in the Prospectus Supplement and fees payable by the Company to the Placement Agents,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 due to an arrangement or agreement made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immediately after receipt of payment for the Shares will not be an “investment company” required to register under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Except as set forth on Schedule 3.1(v), no Person has any right to cause the Company or any Subsidiary to effect the registration under the Securities Act of any securities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Purchasers’ representations and warranties set forth in Section 3.2, neither the Company, nor, to the Company’s knowledge,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any applicable shareholder approval provisions of any Trading Market on which any of the securities of the Company are listed or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The SEC Reports set forth as of the date hereof all outstanding secured and unsecured Indebtedness of the Company or any Subsidiary, or for which the Company or any Subsidiary has commitments. For the purposes of this Agreement,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(x) any liabilities for borrowed money or amounts owed in excess of $250,000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$250,000 due under leases required to be capitalized in accordance with GAAP. Neither the Company nor any Subsidiary is in default with respect to any Indebtedness (except for such breaches, violations or defaults as have been waived or for which consent has been obtained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xml:space="preserve">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The Company’s accounting firm is as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Acknowledgment Regarding Purchasers’ Purchase of Shares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xml:space="preserve"> Anything in this Agreement or elsewhere herein to the contrary notwithstanding (except for Sections 3.2(g)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Shares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Placement Agents in connection with the placement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Stock Option Plans</w:t>
      </w:r>
      <w:r>
        <w:rPr>
          <w:rFonts w:ascii="Times New Roman;Times;Serif" w:hAnsi="Times New Roman;Times;Serif"/>
          <w:b w:val="false"/>
          <w:i w:val="false"/>
          <w:caps w:val="false"/>
          <w:smallCaps w:val="false"/>
          <w:sz w:val="20"/>
        </w:rPr>
        <w:t>. Each stock option granted by the Company under the Company’s stock option plan or other equity plan was granted (i) in accordance with the terms of the Company’s stock option plan or other equity plan and (ii) with an exercise price at least equal to the fair market value of the Common Stock on the date such stock option would be considered granted under GAAP and applicable law. No stock option granted under the Company’s stock option plan or other equity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Cybersecurity</w:t>
      </w:r>
      <w:r>
        <w:rPr>
          <w:rFonts w:ascii="Times New Roman;Times;Serif" w:hAnsi="Times New Roman;Times;Serif"/>
          <w:b w:val="false"/>
          <w:i w:val="false"/>
          <w:caps w:val="false"/>
          <w:smallCaps w:val="false"/>
          <w:sz w:val="20"/>
        </w:rPr>
        <w:t>.  Except as would not, individually or in the aggregate, have a Material Adverse Effect,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Times;Serif" w:hAnsi="Times New Roman;Times;Serif"/>
          <w:b w:val="false"/>
          <w:i w:val="false"/>
          <w:caps w:val="false"/>
          <w:smallCaps w:val="false"/>
          <w:sz w:val="20"/>
          <w:u w:val="single"/>
        </w:rPr>
        <w:t>IT Systems and Data</w:t>
      </w:r>
      <w:r>
        <w:rPr>
          <w:rFonts w:ascii="Times New Roman;Times;Serif" w:hAnsi="Times New Roman;Times;Serif"/>
          <w:b w:val="false"/>
          <w:i w:val="false"/>
          <w:caps w:val="false"/>
          <w:smallCaps w:val="false"/>
          <w:sz w:val="20"/>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Understandings or Arrangements</w:t>
      </w:r>
      <w:r>
        <w:rPr>
          <w:rFonts w:ascii="Times New Roman;Times;Serif" w:hAnsi="Times New Roman;Times;Serif"/>
          <w:b w:val="false"/>
          <w:i w:val="false"/>
          <w:caps w:val="false"/>
          <w:smallCaps w:val="false"/>
          <w:sz w:val="20"/>
        </w:rPr>
        <w:t>. Such Purchaser is acquiring the Shares as principal for its own account and has no direct or indirect arrangement or understandings with any other persons to distribute or regarding the distribution of such Shares (this representation and warranty not limiting such Purchaser’s right to sell the Shares pursuant to the Registration Statement or otherwise in compliance with applicable federal and state securities laws). Such Purchaser is acquiring the Shares hereunder in the ordinary course of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such Purchaser was offered the Shares, it was, and as of the date hereof it is either: (i) an “accredited investor” as defined in Rule 501(a)(1), (a)(2), (a)(3), (a)(5), (a)(6), (a)(7), (a)(8), (a)(9), (a)(12), or (a)(13)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none of the Placement Agents or any Affiliate of the Placement Agents has provided such Purchaser with any information or advice with respect to the Shares nor is such information or advice necessary or desired.  Neither Placement Agent nor any Affiliate has made or makes any representation as to the Company or the quality of the Shares and the Placement Agents and any Affiliate may have acquired non-public information with respect to the Company which such Purchaser agrees need not be provided to it.  In connection with the issuance of the Shares to such Purchaser, none of the Placement Agents or any of their Affiliates have acted as a financial advisor or fiduciary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that are bound by confidentiality obligations,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OTHER AGREEMENTS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Furnishing of Information</w:t>
      </w:r>
      <w:r>
        <w:rPr>
          <w:rFonts w:ascii="Times New Roman;Times;Serif" w:hAnsi="Times New Roman;Times;Serif"/>
          <w:b w:val="false"/>
          <w:i w:val="false"/>
          <w:caps w:val="false"/>
          <w:smallCaps w:val="false"/>
          <w:sz w:val="20"/>
        </w:rPr>
        <w:t>. Until the time that no Purchaser owns Shares,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disclosing the material terms of the transactions contemplated hereby and any Nonpublic Information,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including, without limitation, the Placement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Affiliates or agents, including, without limitation, the Placement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other than required filings with the Commission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and any Nonpublic Information, which shall be disclosed pursuant to Section 4.3,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(for purposes of this sentence, each Purchaser shall be deemed to have consented to the receipt of any Nonpublic Information), the Company hereby covenants and agrees that such Purchaser shall not have any duty of confidentiality to the Company, any of its Subsidiaries, or any of their respective officers, directors, employees, Affiliates or agents, including, without limitation, the Placement Agents, or a duty to the Company, any of its Subsidiaries or any of their respective officers, directors, employees, Affiliates or agents, including, without limitation, the Placement Agents,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sale of the Shares hereunder for working capital and general corporate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Indemnification of Purchasers</w:t>
      </w:r>
      <w:r>
        <w:rPr>
          <w:rFonts w:ascii="Times New Roman;Times;Serif" w:hAnsi="Times New Roman;Times;Serif"/>
          <w:b w:val="false"/>
          <w:i w:val="false"/>
          <w:caps w:val="false"/>
          <w:smallCaps w:val="false"/>
          <w:sz w:val="20"/>
        </w:rPr>
        <w:t>. Subject to the provisions of this Section 4.7,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To the extent that a Purchaser Party fails to provide timely notice of a claim for indemnity under this Section 4.7 and such failure materially prejudices the Company’s ability to defend against such claim, the Company shall have no obligation under this Section 4.7 to indemnify the Purchaser Party for the claim (or portion thereof) that was so affected.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and documented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4.7 shall be made by periodic payments of the amount thereof during the course of the investigation or defense, as and when bills are received or are incurred; provided, however, that if it is subsequently determined by a final, non-appealable judgment of a court of competent jurisdiction that a Purchaser was not entitled to receive such periodic payments, such Purchaser shall promptly (but in no event later than five Business Days) return such payments to the Company.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Listing of Common Stock</w:t>
      </w:r>
      <w:r>
        <w:rPr>
          <w:rFonts w:ascii="Times New Roman;Times;Serif" w:hAnsi="Times New Roman;Times;Serif"/>
          <w:b w:val="false"/>
          <w:i w:val="false"/>
          <w:caps w:val="false"/>
          <w:smallCaps w:val="false"/>
          <w:sz w:val="20"/>
        </w:rPr>
        <w:t>. The Company hereby agrees to use commercially reasonable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4.3.  Each Purchaser, severally and not jointly with the other Purchasers, covenants that until such time as the transactions contemplated by this Agreement are publicly disclosed by the Company pursuant to the initial press release as described in Section 4.3,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4.3,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4.3 and (iii) no Purchaser shall have any duty of confidentiality or duty not to trade in the securities of the Company to the Company, any of its Subsidiaries, or any of their respective officers, directors, employees, Affiliates or agent, including , without limitation, the Placement Agents after the issuance of the initial press release as described in Section 4.3.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The Company acknowledges that the issuance of the Shares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Subsequent Equity Sales</w:t>
      </w:r>
      <w:r>
        <w:rPr>
          <w:rFonts w:ascii="Times New Roman;Times;Serif" w:hAnsi="Times New Roman;Times;Serif"/>
          <w:b w:val="false"/>
          <w:i w:val="false"/>
          <w:caps w:val="false"/>
          <w:smallCaps w:val="false"/>
          <w:sz w:val="20"/>
        </w:rPr>
        <w:t>. From the date hereof until 15 days after the Closing Date, neither the Company nor any Subsidiary shall (i) issue, enter into any agreement to issue or announce the issuance or proposed issuance of any shares of Common Stock or Common Stock Equivalents or (ii) file any registration statement or any amendment or supplement thereto except for any registration statement that the Company is contractually obligated to file as of the date hereof. Notwithstanding the foregoing, this Section 4.12 shall not apply in respect of an Exempt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by any Purchaser before the Closing,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Trading Day following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termination will affect the right of any party to sue for any breach by any other party (or parties); provided, further, that the right to terminate this Agreement pursuant to this Section 5.1 shall not be available to a party if such party’s breach of any representation, warranty, covenant or other agreement contained in this Agreement is the primary cause of the failure of the Closing to be consummated in accordance with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at least 50.1% in interest (based on the initial Subscription Amounts hereunder)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Shares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The Placement Agents shall be the third party beneficiaries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4.7 and this Section 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4.7,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Replacement of Shares</w:t>
      </w:r>
      <w:r>
        <w:rPr>
          <w:rFonts w:ascii="Times New Roman;Times;Serif" w:hAnsi="Times New Roman;Times;Serif"/>
          <w:b w:val="false"/>
          <w:i w:val="false"/>
          <w:caps w:val="false"/>
          <w:smallCaps w:val="false"/>
          <w:sz w:val="20"/>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         </w:t>
      </w:r>
      <w:r>
        <w:rPr>
          <w:rFonts w:ascii="Times New Roman;Times;Serif" w:hAnsi="Times New Roman;Times;Serif"/>
          <w:b w:val="false"/>
          <w:i w:val="false"/>
          <w:caps w:val="false"/>
          <w:smallCaps w:val="false"/>
          <w:sz w:val="20"/>
          <w:u w:val="single"/>
        </w:rPr>
        <w:t>Liquidated Damages</w:t>
      </w:r>
      <w:r>
        <w:rPr>
          <w:rFonts w:ascii="Times New Roman;Times;Serif" w:hAnsi="Times New Roman;Times;Serif"/>
          <w:b w:val="false"/>
          <w:i w:val="false"/>
          <w:caps w:val="false"/>
          <w:smallCaps w:val="false"/>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w:t>
      </w:r>
      <w:r>
        <w:rPr>
          <w:rFonts w:ascii="Times New Roman;Times;Serif" w:hAnsi="Times New Roman;Times;Serif"/>
          <w:b/>
          <w:i w:val="false"/>
          <w:caps w:val="false"/>
          <w:smallCaps w:val="false"/>
          <w:sz w:val="20"/>
          <w:u w:val="single"/>
        </w:rPr>
        <w:t>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3439" w:type="dxa"/>
        <w:jc w:val="left"/>
        <w:tblInd w:w="0" w:type="dxa"/>
        <w:tblLayout w:type="fixed"/>
        <w:tblCellMar>
          <w:top w:w="0" w:type="dxa"/>
          <w:left w:w="0" w:type="dxa"/>
          <w:bottom w:w="0" w:type="dxa"/>
          <w:right w:w="0" w:type="dxa"/>
        </w:tblCellMar>
      </w:tblPr>
      <w:tblGrid>
        <w:gridCol w:w="1181"/>
        <w:gridCol w:w="2183"/>
        <w:gridCol w:w="75"/>
      </w:tblGrid>
      <w:tr>
        <w:trPr/>
        <w:tc>
          <w:tcPr>
            <w:tcW w:w="3364" w:type="dxa"/>
            <w:gridSpan w:val="2"/>
            <w:tcBorders/>
            <w:vAlign w:val="center"/>
          </w:tcPr>
          <w:p>
            <w:pPr>
              <w:pStyle w:val="TableContents"/>
              <w:bidi w:val="0"/>
              <w:spacing w:before="0" w:after="283"/>
              <w:jc w:val="left"/>
              <w:rPr>
                <w:b/>
                <w:caps/>
              </w:rPr>
            </w:pPr>
            <w:r>
              <w:rPr>
                <w:b/>
                <w:caps/>
              </w:rPr>
              <w:t>presto automation inc.</w:t>
            </w:r>
          </w:p>
        </w:tc>
        <w:tc>
          <w:tcPr>
            <w:tcW w:w="75" w:type="dxa"/>
            <w:tcBorders/>
            <w:vAlign w:val="center"/>
          </w:tcPr>
          <w:p>
            <w:pPr>
              <w:pStyle w:val="TableContents"/>
              <w:bidi w:val="0"/>
              <w:spacing w:before="0" w:after="283"/>
              <w:jc w:val="left"/>
              <w:rPr/>
            </w:pPr>
            <w:r>
              <w:rPr/>
              <w:t> </w:t>
            </w:r>
          </w:p>
        </w:tc>
      </w:tr>
      <w:tr>
        <w:trPr/>
        <w:tc>
          <w:tcPr>
            <w:tcW w:w="336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81" w:type="dxa"/>
            <w:tcBorders/>
            <w:vAlign w:val="center"/>
          </w:tcPr>
          <w:p>
            <w:pPr>
              <w:pStyle w:val="TableContents"/>
              <w:bidi w:val="0"/>
              <w:spacing w:before="0" w:after="283"/>
              <w:jc w:val="left"/>
              <w:rPr/>
            </w:pPr>
            <w:r>
              <w:rPr/>
              <w:t>By:</w:t>
            </w:r>
          </w:p>
        </w:tc>
        <w:tc>
          <w:tcPr>
            <w:tcW w:w="218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1181" w:type="dxa"/>
            <w:tcBorders/>
            <w:vAlign w:val="center"/>
          </w:tcPr>
          <w:p>
            <w:pPr>
              <w:pStyle w:val="TableContents"/>
              <w:bidi w:val="0"/>
              <w:spacing w:before="0" w:after="283"/>
              <w:jc w:val="left"/>
              <w:rPr/>
            </w:pPr>
            <w:r>
              <w:rPr/>
              <w:t> </w:t>
            </w:r>
          </w:p>
        </w:tc>
        <w:tc>
          <w:tcPr>
            <w:tcW w:w="2183" w:type="dxa"/>
            <w:tcBorders/>
            <w:vAlign w:val="center"/>
          </w:tcPr>
          <w:p>
            <w:pPr>
              <w:pStyle w:val="TableContents"/>
              <w:bidi w:val="0"/>
              <w:spacing w:before="0" w:after="283"/>
              <w:jc w:val="left"/>
              <w:rPr/>
            </w:pPr>
            <w:r>
              <w:rPr/>
              <w:t>Name:</w:t>
            </w:r>
          </w:p>
        </w:tc>
        <w:tc>
          <w:tcPr>
            <w:tcW w:w="75" w:type="dxa"/>
            <w:tcBorders/>
            <w:vAlign w:val="center"/>
          </w:tcPr>
          <w:p>
            <w:pPr>
              <w:pStyle w:val="TableContents"/>
              <w:bidi w:val="0"/>
              <w:spacing w:before="0" w:after="283"/>
              <w:jc w:val="left"/>
              <w:rPr/>
            </w:pPr>
            <w:r>
              <w:rPr/>
              <w:t> </w:t>
            </w:r>
          </w:p>
        </w:tc>
      </w:tr>
      <w:tr>
        <w:trPr/>
        <w:tc>
          <w:tcPr>
            <w:tcW w:w="1181" w:type="dxa"/>
            <w:tcBorders/>
            <w:vAlign w:val="center"/>
          </w:tcPr>
          <w:p>
            <w:pPr>
              <w:pStyle w:val="TableContents"/>
              <w:bidi w:val="0"/>
              <w:spacing w:before="0" w:after="283"/>
              <w:jc w:val="left"/>
              <w:rPr/>
            </w:pPr>
            <w:r>
              <w:rPr/>
              <w:t> </w:t>
            </w:r>
          </w:p>
        </w:tc>
        <w:tc>
          <w:tcPr>
            <w:tcW w:w="2183" w:type="dxa"/>
            <w:tcBorders/>
            <w:vAlign w:val="center"/>
          </w:tcPr>
          <w:p>
            <w:pPr>
              <w:pStyle w:val="TableContents"/>
              <w:bidi w:val="0"/>
              <w:spacing w:before="0" w:after="283"/>
              <w:jc w:val="left"/>
              <w:rPr/>
            </w:pPr>
            <w:r>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Presto Automation Inc.</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985 Industrial Road</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San Carlos, California 94070</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With a copy to (which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Paul Hastings LLP</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200 Park Avenue</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New York, New York 10166</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Attention: Colin Diamond; Will Burns</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Email: colindiamond@paulhastings.com; willburns@paulhastings.com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PURCHASER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________________________________________________________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Purchaser</w:t>
      </w:r>
      <w:r>
        <w:rPr>
          <w:rFonts w:ascii="Times New Roman;Times;Serif" w:hAnsi="Times New Roman;Times;Serif"/>
          <w:b w:val="false"/>
          <w:i w:val="false"/>
          <w:caps w:val="false"/>
          <w:smallCaps w:val="false"/>
          <w:sz w:val="20"/>
        </w:rPr>
        <w:t>: 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_____________________________________________________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 ______________________________________________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Shares to Purchaser (if not same as 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Securities 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0" w:name="tm246736d5_ex10-2.htm"/>
      <w:bookmarkStart w:id="31" w:name="kstm246736d5_ex102"/>
      <w:bookmarkEnd w:id="30"/>
      <w:bookmarkEnd w:id="31"/>
      <w:r>
        <w:rPr>
          <w:caps w:val="false"/>
          <w:smallCaps w:val="false"/>
        </w:rPr>
        <w:t> </w:t>
      </w:r>
      <w:r>
        <w:br w:type="page"/>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Exhibit 10.2</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SUBORDINATED CONVERTIBLE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INSTRUMENT AND THE RIGHTS AND OBLIGATIONS EVIDENCED HEREBY ARE SUBORDINATE TO THE INDEFEASIBLE PAYMENT IN FULL AND SATISFACTION OF THE SENIOR INDEBTEDNESS OWED TO THE LENDERS AND THE ADMINISTRATIVE AGENT PURSUANT TO THE CREDIT AGREEMENT AND LOAN DOCUMENTS (EACH AS DEFINED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TO THE HOLDER (IF REQUESTED BY THE COMPANY), IN A FORM REASONABLY ACCEPTABLE TO THE COMPANY, THAT REGISTRATION IS NOT REQUIRED UNDER SAID ACT OR (II) UNLESS SOLD OR ELIGIBLE TO BE SOLD PURSUANT TO RULE 144 UNDER SAID ACT. NOTWITHSTANDING THE FOREGOING, THE SECURITIES MAY BE PLEDGED IN CONNECTION WITH A BONA FIDE MARGIN ACCOUNT OR OTHER LOAN OR FINANCING ARRANGEMENT SECURED BY THE SECURITIES. ANY TRANSFEREE OF THIS NOTE SHOULD CAREFULLY REVIEW THE TERMS OF THIS NOTE. THE PRINCIPAL AMOUNT REPRESENTED BY THIS NOTE AND, ACCORDINGLY, THE SECURITIES ISSUABLE UPON CONVERSION HEREOF] MAY BE LESS THAN THE AMOUNTS SET FORTH ON THE FACE HEREOF PURSUANT TO THE TERMS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PRESTO AUTOMATION INC.</w:t>
        <w:br/>
        <w:t>SUBORDINATED CONVERTIBLE NOTE</w:t>
      </w:r>
    </w:p>
    <w:p>
      <w:pPr>
        <w:pStyle w:val="TextBody"/>
        <w:bidi w:val="0"/>
        <w:spacing w:before="0" w:after="0"/>
        <w:ind w:left="0" w:right="0" w:hanging="0"/>
        <w:jc w:val="left"/>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38"/>
        <w:gridCol w:w="2855"/>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pPr>
            <w:r>
              <w:rPr/>
              <w:t>Issuance Date: March 1, 2024</w:t>
            </w:r>
          </w:p>
        </w:tc>
        <w:tc>
          <w:tcPr>
            <w:tcW w:w="4250" w:type="dxa"/>
            <w:tcBorders/>
            <w:vAlign w:val="center"/>
          </w:tcPr>
          <w:p>
            <w:pPr>
              <w:pStyle w:val="TableContents"/>
              <w:bidi w:val="0"/>
              <w:spacing w:before="0" w:after="283"/>
              <w:jc w:val="right"/>
              <w:rPr/>
            </w:pPr>
            <w:r>
              <w:rPr/>
              <w:t>Original Principal Amount: U.S. 960,000.00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promises to pay to the order of Remus Capital Series B II, L.P. or its registered assigns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the amount set forth above as the Original Principal Amount (as reduced pursuant to the terms hereof pursuant to redemption, conversion or otherwise and as increased by the amount of PIK Interest (as defined below) added to the principal amount of this Subordinated Convertible Note (this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and, to the extent separated into more than one Note,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in accordance with Section 2(a), the (“</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when due, whether upon the Maturity Date, or upon acceleration, redemption or otherwise (in each case in accordance with the terms hereof) and to pay interest as provided herein until the same becomes due and payable, whether upon the Maturity Date, or upon acceleration, conversion, redemption or otherwise (in each case in accordance with the terms hereof). Certain capitalized terms used herein are defined in Section 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i w:val="false"/>
          <w:caps/>
          <w:sz w:val="20"/>
        </w:rPr>
        <w:t>PAYMENTS OF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On the Maturity Date, the Company shall pay to the Holder an amount in cash representing all outstanding Principal, accrued and unpaid Interest and accrued and unpaid Late Charges (as defined below) on such Principal and Interest. The Company may not prepay any portion of the outstanding Principal, accrued and unpaid Interest or accrued and unpaid Late Charges on Principal and Interest, if any. Notwithstanding anything herein to the contrary, with respect to any redemption hereunder, as applicable, the Company shall repay or redeem, as applicable,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all accrued and unpaid Interest hereunder and under any other Notes held by such Holder,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all accrued and unpaid Late Charges on any Principal and Interest hereunder and under any other Notes held by such Holder,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all other amounts (other than Principal) outstanding under any other Notes held by such Holder and,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all Principal outstanding hereunder and under any other Notes held by such Holder, in each case, allocated pro rata among this Note and such other Notes held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i w:val="false"/>
          <w:caps/>
          <w:sz w:val="20"/>
        </w:rPr>
        <w:t>INTEREST; INTEREST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PIK Interest</w:t>
      </w:r>
      <w:r>
        <w:rPr>
          <w:rFonts w:ascii="Times New Roman;Times;Serif" w:hAnsi="Times New Roman;Times;Serif"/>
          <w:b w:val="false"/>
          <w:i w:val="false"/>
          <w:caps w:val="false"/>
          <w:smallCaps w:val="false"/>
          <w:sz w:val="20"/>
        </w:rPr>
        <w:t>. PIK Interest on the Principal of this Note shall commence accruing on the Issuance Date at the PIK Interest Rate and shall be computed on the basis of a 360-day year and the actual number of days elapsed, and shall be payable in arrears on each Interest Date (with the first Interest Date being April 15, 2024) to the record holder of this Note. However, PIK Interest shall not be paid in cash on each Interest Date, but instead shall be automatically capitalized on a monthly basis as of such Interest Date and added to the unpaid and outstanding Principal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PIK Interest on Event of Default</w:t>
      </w:r>
      <w:r>
        <w:rPr>
          <w:rFonts w:ascii="Times New Roman;Times;Serif" w:hAnsi="Times New Roman;Times;Serif"/>
          <w:b w:val="false"/>
          <w:i w:val="false"/>
          <w:caps w:val="false"/>
          <w:smallCaps w:val="false"/>
          <w:sz w:val="20"/>
        </w:rPr>
        <w:t>. From and after the occurrence and during the continuance of any Event of Default, the PIK Interest Rate shall automatically be increased to 12% per annum. In the event that such Event of Default is subsequently cured, the adjustment referred to in the preceding sentence shall cease to be effective as of the calendar day immediately following the date of such cure.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i w:val="false"/>
          <w:caps/>
          <w:sz w:val="20"/>
        </w:rPr>
        <w:t>CONVERSION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Issuance Date, this Note shall be convertible, at any time and from time to time, at the option of the Holder, into validly issued, fully paid and non-assessable shares of Common Stock (as defined below), on the terms and conditions set forth in this Section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At any time or times on or after the Issuance Date, the Holder shall be entitled, at its option, to convert any portion of the outstanding and unpaid Conversion Amount (as defined below) into validly issued,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issuance and similar taxes, costs and expenses (including, without limitation, fees and expenses of the Transfer Agent (as defined below)) that may be payable with respect to the issuance and delivery of Common Stock upon conversion of any Conversion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Conversion Rate</w:t>
      </w:r>
      <w:r>
        <w:rPr>
          <w:rFonts w:ascii="Times New Roman;Times;Serif" w:hAnsi="Times New Roman;Times;Serif"/>
          <w:b w:val="false"/>
          <w:i w:val="false"/>
          <w:caps w:val="false"/>
          <w:smallCaps w:val="false"/>
          <w:sz w:val="20"/>
        </w:rPr>
        <w:t>. The number of shares of Common Stock issuable upon conversion of any Conversion Amount pursuant to Section 3(a) shall be determined by dividing (x) such Conversion Amount by (y) the Conversion Price (the “</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Conversion Amount</w:t>
      </w:r>
      <w:r>
        <w:rPr>
          <w:rFonts w:ascii="Times New Roman;Times;Serif" w:hAnsi="Times New Roman;Times;Serif"/>
          <w:b w:val="false"/>
          <w:i w:val="false"/>
          <w:caps w:val="false"/>
          <w:smallCaps w:val="false"/>
          <w:sz w:val="20"/>
        </w:rPr>
        <w:t>” means the sum of (x) portion of the Principal to be converted, redeemed or otherwise with respect to which this determination is being made and (y) all accrued and unpaid Interest with respect to such portion of the Principal amount and accrued and unpaid Late Charges with respect to such portion of such Principal and such Interest,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means $0.25, subject to adjustment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Mechanics of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Voluntary Conversion</w:t>
      </w:r>
      <w:r>
        <w:rPr>
          <w:rFonts w:ascii="Times New Roman;Times;Serif" w:hAnsi="Times New Roman;Times;Serif"/>
          <w:b w:val="false"/>
          <w:i w:val="false"/>
          <w:caps w:val="false"/>
          <w:smallCaps w:val="false"/>
          <w:sz w:val="20"/>
        </w:rPr>
        <w:t>. To convert any Conversion Amount into shares of Common Stock on any date (a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the Holder shall deliver via electronic mail, for receipt on or prior to 6:00 p.m., New York time, on such date, a copy of an executed notice of conversion in the form attached hereto as Exhibit 1 (the “</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to the Company. If required by Section 3(c)(iii), within two (2) Trading Days following a conversion of this Note as aforesaid, the Holder shall surrender this Note (or an indemnification undertaking with respect to this Note in the case of its loss, theft or destruction as contemplated by Section 16(b)) to a nationally recognized overnight delivery service for delivery to the Company. On or before the first (1st) Trading Day following the date of receipt of a Conversion Notice, the Company shall transmit to the Holder and the Transfer Agent by electronic mail an acknowledgment, in the form attached hereto as Exhibit 2, confirming receipt of such Conversion Notice and representing as to whether such shares of Common Stock may then be resold pursuant to Rule 144 or an effective and available registration statement, which acknowledgment shall constitute an instruction to the Transfer Agent to process such Conversion Notice in accordance with the terms herein. On or before the second (2nd) Trading Day following the date on which the Company has received a Conversion Notice (or such earlier date as required pursuant to the 1934 Act or other applicable law, rule or regulation for the settlement of a trade initiated on the applicable Conversion Date of such shares of Common Stock issuable pursuant to such Conversion Notice) (the “</w:t>
      </w:r>
      <w:r>
        <w:rPr>
          <w:rFonts w:ascii="Times New Roman;Times;Serif" w:hAnsi="Times New Roman;Times;Serif"/>
          <w:b/>
          <w:i w:val="false"/>
          <w:caps w:val="false"/>
          <w:smallCaps w:val="false"/>
          <w:sz w:val="20"/>
        </w:rPr>
        <w:t>Share Delivery Deadline</w:t>
      </w:r>
      <w:r>
        <w:rPr>
          <w:rFonts w:ascii="Times New Roman;Times;Serif" w:hAnsi="Times New Roman;Times;Serif"/>
          <w:b w:val="false"/>
          <w:i w:val="false"/>
          <w:caps w:val="false"/>
          <w:smallCaps w:val="false"/>
          <w:sz w:val="20"/>
        </w:rPr>
        <w:t>”), the Company shall (1) provided that the Transfer Agent is participating in the DTC Fast Automated Securities Transfer Program and the shares of Common Stock to be issued are then covered by an effective, usable resale registration statement or may otherwise be resold under Rule 144 and, in each case, the Holder has confirmed that it proposes to promptly sell such shares of Common Stock, credit such aggregate number of shares of Common Stock to which the Holder shall be entitled pursuant to such conversion to the Holder’s or its designee’s balance account with DTC through its Deposit/Withdrawal at Custodian system or (2) if the Transfer Agent is not participating in the DTC Fast Automated Securities Transfer Program or the shares of Common Stock that are to be issued are not covered by an effective, usable resale registration statement and may not be resold under Rule 144, or the Holder has not confirmed that it proposes to promptly sell such shares of Common Stock, upon the request of the Holder, issue and deliver (via reputable overnight courier) to the address specified in the Conversion Notice, a certificate, registered in the name of the Holder or its designee, for the number of shares of Common Stock to which the Holder shall be entitled pursuant to such conversion containing a restrictive legend under the Securities Act. If this Note is physically surrendered for conversion pursuant to Section 3(c)(iii) and the outstanding Principal of this Note is greater than the Principal portion of the Conversion Amount being converted, then the Company shall as soon as practicable and in no event later than two (2) Business Days after receipt of this Note and at its own expense, issue and deliver to the Holder (or its designee) a new Note (in accordance with Section 16(d)) representing the outstanding Principal not converted. The Person or Persons entitled to receive the shares of Common Stock issuable upon a conversion of this Note shall be treated for all purposes as the record holder or holders of such shares of Common Stock on the Conversion Date. Notwithstanding anything to the contrary contained in this Note or the registration rights agreement, after the effective date of the Registration Statement (as defined in the applicable registration rights agreement), the Company shall cause the Transfer Agent to deliver unlegended shares of Common Stock to the Holder (or its designee) in connection with any sale of Registrable Securities (as defined in the registration rights agreement) that the Holder has confirmed that it proposes to promptly sell, and delivered a copy of the prospectus included as part of the particular Registration Statement to the extent applicable, and for which the Holder has not yet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2</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Mandatory Conversion</w:t>
      </w:r>
      <w:r>
        <w:rPr>
          <w:rFonts w:ascii="Times New Roman;Times;Serif" w:hAnsi="Times New Roman;Times;Serif"/>
          <w:b w:val="false"/>
          <w:i w:val="false"/>
          <w:caps w:val="false"/>
          <w:smallCaps w:val="false"/>
          <w:sz w:val="20"/>
        </w:rPr>
        <w:t>. The outstanding Conversion Amount shall be mandatorily converted into shares of Common Stock immediately prior to the consummation of a Change of Control that is not a Strategic Change of Control. The provisions of Section 3(c)(iv) shall apply mutatis mutandis in order to effect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Financing Conversion</w:t>
      </w:r>
      <w:r>
        <w:rPr>
          <w:rFonts w:ascii="Times New Roman;Times;Serif" w:hAnsi="Times New Roman;Times;Serif"/>
          <w:b w:val="false"/>
          <w:i w:val="false"/>
          <w:caps w:val="false"/>
          <w:smallCaps w:val="false"/>
          <w:sz w:val="20"/>
        </w:rPr>
        <w:t>. If, on or prior to March 15, 2024, the Company or any subsidiary thereof, as applicable, at any time this Note is outstanding, shall sell, issue or grant any Common Stock, option to purchase Common Stock, right to reprice, preferred shares convertible into Common Stock, or debt, warrants, options or other instruments or securities to the Holder or any third party which are convertible into or exercisable or exchangeable for shares of Common Stock, in each case, other than Excluded Securities (collectively, the “</w:t>
      </w:r>
      <w:r>
        <w:rPr>
          <w:rFonts w:ascii="Times New Roman;Times;Serif" w:hAnsi="Times New Roman;Times;Serif"/>
          <w:b/>
          <w:i w:val="false"/>
          <w:caps w:val="false"/>
          <w:smallCaps w:val="false"/>
          <w:sz w:val="20"/>
        </w:rPr>
        <w:t>Equity Securities</w:t>
      </w:r>
      <w:r>
        <w:rPr>
          <w:rFonts w:ascii="Times New Roman;Times;Serif" w:hAnsi="Times New Roman;Times;Serif"/>
          <w:b w:val="false"/>
          <w:i w:val="false"/>
          <w:caps w:val="false"/>
          <w:smallCaps w:val="false"/>
          <w:sz w:val="20"/>
        </w:rPr>
        <w:t>”) in any new offering where the Company sells securities that have registration rights, are registered or become registered under the Securities Act, at an effective price per share less than the then effective Conversion Price that results in the Company receiving gross proceeds of at least $7,040,000 (such issuance is referred to herein as a “</w:t>
      </w:r>
      <w:r>
        <w:rPr>
          <w:rFonts w:ascii="Times New Roman;Times;Serif" w:hAnsi="Times New Roman;Times;Serif"/>
          <w:b/>
          <w:i w:val="false"/>
          <w:caps w:val="false"/>
          <w:smallCaps w:val="false"/>
          <w:sz w:val="20"/>
        </w:rPr>
        <w:t>Dilutive Issuance</w:t>
      </w:r>
      <w:r>
        <w:rPr>
          <w:rFonts w:ascii="Times New Roman;Times;Serif" w:hAnsi="Times New Roman;Times;Serif"/>
          <w:b w:val="false"/>
          <w:i w:val="false"/>
          <w:caps w:val="false"/>
          <w:smallCaps w:val="false"/>
          <w:sz w:val="20"/>
        </w:rPr>
        <w:t>”), then, the Conversion Price shall be automatically reduced and only reduced to equal such lower effective price per share if and only if the Holder elects to convert this Note in full simultaneously with the closing of such Dilutive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Registration; Book-Entry</w:t>
      </w:r>
      <w:r>
        <w:rPr>
          <w:rFonts w:ascii="Times New Roman;Times;Serif" w:hAnsi="Times New Roman;Times;Serif"/>
          <w:b w:val="false"/>
          <w:i w:val="false"/>
          <w:caps w:val="false"/>
          <w:smallCaps w:val="false"/>
          <w:sz w:val="20"/>
        </w:rPr>
        <w:t>. The Company shall maintain a register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for the recordation of the names and addresses of the holders of each Note and the principal amount of the Notes held by such holders (the “</w:t>
      </w:r>
      <w:r>
        <w:rPr>
          <w:rFonts w:ascii="Times New Roman;Times;Serif" w:hAnsi="Times New Roman;Times;Serif"/>
          <w:b/>
          <w:i w:val="false"/>
          <w:caps w:val="false"/>
          <w:smallCaps w:val="false"/>
          <w:sz w:val="20"/>
        </w:rPr>
        <w:t>Registered Notes</w:t>
      </w:r>
      <w:r>
        <w:rPr>
          <w:rFonts w:ascii="Times New Roman;Times;Serif" w:hAnsi="Times New Roman;Times;Serif"/>
          <w:b w:val="false"/>
          <w:i w:val="false"/>
          <w:caps w:val="false"/>
          <w:smallCaps w:val="false"/>
          <w:sz w:val="20"/>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hereunder) notwithstanding notice to the contrary. A Registered Note may be assigned, transferred or sold in whole or in part only by registration of such assignment or sale on the Register. Upon its receipt of a written request to assign, transfer or sell all or part of any Registered Note by the holder thereof, the Company shall record the information contained therein in the Register and issue one or more new Registered Notes in the same aggregate principal amount as the principal amount of the surrendered Registered Note to the designated assignee or transferee pursuant to Section 16, provided that if the Company does not so record an assignment, transfer or sale (as the case may be) of all or part of any Registered Note within two (2) Business Days of such a request, then the Register shall be automatically deemed updated to reflect such assignment, transfer or sale (as the case may be). Notwithstanding anything to the contrary set forth in this Section 3, following conversion of any portion of this Note in accordance with the terms hereof, the Holder shall not be required to physically surrender this Note to the Company unless (A) the full Conversion Amount represented by this Note is being converted (in which event this Note shall be delivered to the Company following conversion thereof as contemplated by Section 3(c)(i)) or (B) the Holder has provided the Company with prior written notice (which notice may be included in a Conversion Notice) requesting reissuance of this Note upon physical surrender of this Note. The Holder and the Company shall maintain records showing the Principal, Interest and Late Charges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Principal, Interest and Late Charges converted and/or paid (as the case may be) and the dates of such conversions and/or payments (as the case may be) within two (2) Business Days of such occurrence, then the Register shall be automatically deemed updated to reflect such occurrence.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3</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Pro Rata Conversion; Disputes</w:t>
      </w:r>
      <w:r>
        <w:rPr>
          <w:rFonts w:ascii="Times New Roman;Times;Serif" w:hAnsi="Times New Roman;Times;Serif"/>
          <w:b w:val="false"/>
          <w:i w:val="false"/>
          <w:caps w:val="false"/>
          <w:smallCaps w:val="false"/>
          <w:sz w:val="20"/>
        </w:rPr>
        <w:t>. In the event that the Company receives a Conversion Notice from more than one holder of Notes for the same Conversion Date and the Company can convert some, but not all, of such portions of the Notes submitted for conversion, the Company shall convert from each holder of Notes electing to have Notes converted on such date a pro rata amount of such holder’s portion of its Notes submitted for conversion based on the principal amount of Notes submitted for conversion on such date by such holder relative to the aggregate principal amount of all Notes submitted for conversion on such date. In the event of a dispute as to the number of shares of Common Stock issuable to the Holder in connection with a conversion of this Note, the Company shall issue to the Holder the number of shares of Common Stock not in dispute.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i w:val="false"/>
          <w:caps/>
          <w:sz w:val="20"/>
        </w:rPr>
        <w:t>RIGHTS UPON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Event of Default. Each of the following events shall constitute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and each of the events in clause (ix) shall constitute a “</w:t>
      </w:r>
      <w:r>
        <w:rPr>
          <w:rFonts w:ascii="Times New Roman;Times;Serif" w:hAnsi="Times New Roman;Times;Serif"/>
          <w:b/>
          <w:i w:val="false"/>
          <w:caps w:val="false"/>
          <w:smallCaps w:val="false"/>
          <w:sz w:val="20"/>
        </w:rPr>
        <w:t>Bankruptcy 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failure of the applicable Registration Statement to be filed with the SEC on or prior to the Filing Date or the failure of the applicable Registration Statement to be declared effective by the SEC on or prior to the Effectiveness Date (as defined in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such Registration Statement (or the prospectus contained therein) is unavailable to any holder of Registrable Securities (as defined in the registration rights agreement) for sale of all of such holder’s Registrable Securities in accordance with the terms of the registration rights agreement, and, such lapse or unavailability continues for a period of 20 consecutive Trading Days or for more than an aggregate of 40 Trading Days in any 365-day period; provided, however, that the foregoing shall not apply in the case of a suspension permitted pursuant to Section 3(j) of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Company’s (A) failure to cure a Conversion Failure by delivery of the required number of shares of Common Stock within five (5) Trading Days after the applicable Conversion Date or (B) notice, written or oral, to any holder of the Notes, including, without limitation, by way of public announcement or through any of its agents, at any time, of its intention not to comply, as required, with a request for conversion of any Notes into shares of Common Stock that is requested in accordance with the provisions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Holder’s Authorized Share Allocation (as defined in Section 8 below) is less than the number of shares of Common Stock that the Holder would be entitled to receive upon a conversion of the full Conversion Amount of this Note for more than ten (10)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Company’s or any Subsidiary’s failure to pay to the Holder any amount of Principal, Interest, Late Charges or other amounts when and as due under this Note (including, without limitation, the Company’s or any Subsidiary’s failure to pay any redemption payments or amounts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occurrence of any default (after lapse of any applicable cure periods) under, redemption of or acceleration prior to maturity of at least an aggregate of $500,000 of indebtedness of the Company or any of its Subsidiaries, but only if such failure remains uncured for the applicable grace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4</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 the Company commences any case, proceeding or other action (1) under the Bankruptcy Code or similar debtor relief laws of the United States or other applicable jurisdiction seeking to have an order for relief entered with respect to it, or seeking to adjudicate it as bankrupt or insolvent, or seeking reorganization, arrangement, adjustment, winding up, liquidation, dissolution, composition or other relief with respect to it or its debts, or (2) seeking appointment of a receiver, trustee, custodian, conservator, judicial manager or other similar official for it or for all or any substantial part of its assets, or the Company makes a general assignment for the benefit of its creditors; (B) there is, commenced against the Company, any case, proceeding or other action of a nature referred to in clause (A) above that results in the entry of an order for relief or any such adjudication or appointment or remains undismissed, undischarged or unbonded for a period of 60 days; (C) there is, commenced against the Company,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(D) the Company takes any action in furtherance of, or indicating its consent to, approval of, or acquiescence in, any of the acts set forth in clause (A), (B), or (C) above; or (E) the Company is, or is be unable to, or admits in writing its inability to, pay its debts as they become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there is entered against the Company (i) one or more final judgments or orders for the payment of money involving in the aggregate a liability (not paid or fully covered by insurance as to which the relevant insurance company has acknowledged coverage) of $1,000,000 or more, or (ii) one or more non-monetary final judgments that have, or could reasonably be expected to have, individually or in the aggregate, a material adverse effect and, in either case, enforcement proceedings are commenced by any creditor upon such judgment or order, or all such judgments or decrees shall not have been vacated, discharged, stayed or bonded pending appeal within 30 days from the entry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other than as specifically set forth in another clause of this Section 4(a), the Company or any Subsidiary breaches any representation or warranty, in any material respect (other than representations or warranties subject to material adverse effect or materiality, which may not be breached in any respect) or any covenant or other term or condition of any Transaction Document, except, in the case of a breach of a covenant or other term or condition that is curable, only if such breach remains uncured for a period of 10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provision of any Transaction Document shall at any time for any reason (other than pursuant to the express terms thereof) cease to be valid and binding on or enforceable against the parties thereto, or the validity or enforceability thereof shall be contested by any party thereto, or a proceeding shall be commenced by the Company or any Subsidiary or any governmental authority having jurisdiction over any of them, seeking to establish the invalidity or unenforceability thereof, or the Company or any Subsidiary shall deny in writing that it has any liability or obligation purported to be created under any Transaction Document, but only if such provision remains invalid or unenforceable for a period of at least 10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of an Event of Default; Redemption Right</w:t>
      </w:r>
      <w:r>
        <w:rPr>
          <w:rFonts w:ascii="Times New Roman;Times;Serif" w:hAnsi="Times New Roman;Times;Serif"/>
          <w:b w:val="false"/>
          <w:i w:val="false"/>
          <w:caps w:val="false"/>
          <w:smallCaps w:val="false"/>
          <w:sz w:val="20"/>
        </w:rPr>
        <w:t>. Upon obtaining knowledge of the occurrence of an Event of Default with respect to this Note, the Company shall within one (1) Business Day deliver written notice thereof via electronic mail and overnight courier (with next day delivery specified) (an “</w:t>
      </w:r>
      <w:r>
        <w:rPr>
          <w:rFonts w:ascii="Times New Roman;Times;Serif" w:hAnsi="Times New Roman;Times;Serif"/>
          <w:b/>
          <w:i w:val="false"/>
          <w:caps w:val="false"/>
          <w:smallCaps w:val="false"/>
          <w:sz w:val="20"/>
        </w:rPr>
        <w:t>Event of Default Notice</w:t>
      </w:r>
      <w:r>
        <w:rPr>
          <w:rFonts w:ascii="Times New Roman;Times;Serif" w:hAnsi="Times New Roman;Times;Serif"/>
          <w:b w:val="false"/>
          <w:i w:val="false"/>
          <w:caps w:val="false"/>
          <w:smallCaps w:val="false"/>
          <w:sz w:val="20"/>
        </w:rPr>
        <w:t>”) to the Holder. At any time after the earlier of the Holder’s receipt of an Event of Default Notice and the Holder becoming aware of an Event of Default, the Holder may require the Company to redeem all or any portion of this Note by delivering written notice thereof (the “</w:t>
      </w:r>
      <w:r>
        <w:rPr>
          <w:rFonts w:ascii="Times New Roman;Times;Serif" w:hAnsi="Times New Roman;Times;Serif"/>
          <w:b/>
          <w:i w:val="false"/>
          <w:caps w:val="false"/>
          <w:smallCaps w:val="false"/>
          <w:sz w:val="20"/>
        </w:rPr>
        <w:t>Event of Default Redemption Notice</w:t>
      </w:r>
      <w:r>
        <w:rPr>
          <w:rFonts w:ascii="Times New Roman;Times;Serif" w:hAnsi="Times New Roman;Times;Serif"/>
          <w:b w:val="false"/>
          <w:i w:val="false"/>
          <w:caps w:val="false"/>
          <w:smallCaps w:val="false"/>
          <w:sz w:val="20"/>
        </w:rPr>
        <w:t>”) to the Company, which Event of Default Redemption Notice shall indicate the portion of this Note the Holder is electing to redeem. Each portion of this Note subject to redemption by the Company pursuant to this Section 4(b) shall be redeemed by the Company at a price equal to the greater of (i) the sum of the Conversion Amount to be redeemed and (ii) the product of (X) the Conversion Rate with respect to the Conversion Amount in effect at such time as the Holder delivers an Event of Default Redemption Notice multiplied by (Y) the greatest closing sale price of the Common Stock on any Trading Day during the period commencing on the date immediately preceding such Event of Default and ending on the date the Company makes the entire payment required to be made under this Section 4(b) (the “</w:t>
      </w:r>
      <w:r>
        <w:rPr>
          <w:rFonts w:ascii="Times New Roman;Times;Serif" w:hAnsi="Times New Roman;Times;Serif"/>
          <w:b/>
          <w:i w:val="false"/>
          <w:caps w:val="false"/>
          <w:smallCaps w:val="false"/>
          <w:sz w:val="20"/>
        </w:rPr>
        <w:t>Event of Default Redemption Price</w:t>
      </w:r>
      <w:r>
        <w:rPr>
          <w:rFonts w:ascii="Times New Roman;Times;Serif" w:hAnsi="Times New Roman;Times;Serif"/>
          <w:b w:val="false"/>
          <w:i w:val="false"/>
          <w:caps w:val="false"/>
          <w:smallCaps w:val="false"/>
          <w:sz w:val="20"/>
        </w:rPr>
        <w:t>”). Redemptions required by this Section 4(b) shall be made in accordance with the provisions of Section 9. To the extent redemptions required by this Section 4(b) are deemed or determined by a court of competent jurisdiction to be prepayments of this Note by the Company, such redemptions shall be deemed to be voluntary prepayments. Notwithstanding anything to the contrary in this Section 4(b), until the Event of Default Redemption Price (together with any Late Charges thereon) is paid in full, the Conversion Amount submitted for redemption under this Section 4(b) (together with any Late Charges thereon) may be converted, in whole or in part, by the Holder into Common Stock pursuant to the terms of this Note. In the event of the Company’s redemption of any portion of this Note under this Section 4(b), the Holder’s damages would be uncertain and difficult to estimate because of the parties’ inability to predict future interest rates and the uncertainty of the availability of a suitable substitute investment opportunity for the Holder. Accordingly, any redemption premium due under this Section 4(b) is intended by the parties to be, and shall be deemed, a reasonable estimate of the Holder’s actual loss of its investment opportunity and not as a penalty. Any redemption upon an Event of Default shall not constitute an election of remedies by the Holder, and all other rights and remedies of the Holder shall be preserved.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5</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Mandatory Redemption upon Bankruptcy Event of Default</w:t>
      </w:r>
      <w:r>
        <w:rPr>
          <w:rFonts w:ascii="Times New Roman;Times;Serif" w:hAnsi="Times New Roman;Times;Serif"/>
          <w:b w:val="false"/>
          <w:i w:val="false"/>
          <w:caps w:val="false"/>
          <w:smallCaps w:val="false"/>
          <w:sz w:val="20"/>
        </w:rPr>
        <w:t>. Notwithstanding anything to the contrary herein, and notwithstanding any conversion that is then required or in process, upon any Bankruptcy Event of Default, whether occurring prior to or following the Maturity Date, the Company shall immediately pay to the Holder an amount in cash representing all outstanding Principal, accrued and unpaid Interest, and accrued and unpaid Late Charges on such Principal and Interest, in addition to any and all other amounts due hereunder, without the requirement for any notice or demand or other action by the Holder or any other Person, provided that the Holder may, in its sole discretion, waive such right to receive payment upon a Bankruptcy Event of Default, in whole or in part, and any such waiver shall not affect any other rights of the Holder hereunder, including any other rights in respect of such Bankruptcy Event of Default, any right to conversion, and any right to payment of the Event of Default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Subordination</w:t>
      </w:r>
      <w:r>
        <w:rPr>
          <w:rFonts w:ascii="Times New Roman;Times;Serif" w:hAnsi="Times New Roman;Times;Serif"/>
          <w:b w:val="false"/>
          <w:i w:val="false"/>
          <w:caps w:val="false"/>
          <w:smallCaps w:val="false"/>
          <w:sz w:val="20"/>
        </w:rPr>
        <w:t xml:space="preserve">. Until such time as the Senior Indebtedness has been paid in full, in cash, all of the Holder’s rights under this Section 4 are and shall remain subject to the terms and provisions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i w:val="false"/>
          <w:caps/>
          <w:sz w:val="20"/>
        </w:rPr>
        <w:t>RIGHTS UPON ISSUANCE OF PURCHASE RIGHTS AND OTHER CORPORATE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In addition to any adjustments pursuant to Section 6 and 16 below, if at any time (other than in connection with a Restructuring Transaction) the Company grants, issues or sells any Options, Convertible Securities or rights to purchase stock, warrants, securities or other property pro rata to all of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and assuming for such purpose that the Note was converted at the Conversion Price as of the applicable record date)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Strategic Change of Control; Other Corporate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sooner than twenty (20) Trading Days nor later than ten (10) Trading Days prior to the consummation of a Strategic Change of Control, but not prior to the public announcement of such Change of Control, the Company shall deliver written notice to the Holder. The Company shall not enter into or be party to a Strategic Change of Control unless (i) the Successor Entity assumes in writing all of the obligations of the Company under this Note and the other Transaction Documents in accordance with the provisions of this Section 5(b)(i) pursuant to written agreements in form and substance satisfactory to the Holder and approved by the Holder prior to such Strategic Change of Control,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then outstanding and the interest rates of the Notes held by such holder, having similar conversion rights as the Notes (assuming that the Successor Entity (or its Parent Entity) is a publicly traded corporation whose common stock is quoted on or listed for trading on an Eligible Market) and having similar ranking and security to the Notes, and satisfactory to the Holder. Upon the occurrence of any Strategic Change of Control, the Successor Entity shall succeed to, and be substituted for (so that from and after the date of such Strategic Change of Control, the provisions of this Note and the other Transaction Documents referring to the “Company” shall refer instead to the Successor Entity), and may exercise every right and power of the Company and shall assume all of the obligations of the Company under this Note and the other Transaction Documents with the same effect as if such Successor Entity had been named as the Company herein. Upon consummation of a Strategic Change of Control, the Successor Entity shall deliver to the Holder confirmation that there shall be issued upon conversion or redemption of this Note at any time after the consummation of such Strategic Change of Control (assuming that the Successor Entity (or its Parent Entity) is a publicly traded corporation whose common stock is quoted on or listed for trading on an Eligible Market), in lieu of the shares of Common Stock (or other securities, cash, assets or other property (except such items still issuable under Sections 5 and 16, which shall continue to be receivable thereafter)) issuable upon the conversion or redemption of the Notes prior to such Strategic Change of Control, such shares of the publicly traded common stock (or their equivalent) of the Successor Entity (including its Parent Entity) which the Holder would have been entitled to receive upon the happening of such Strategic Change of Control had this Note been converted immediately prior to such Strategic Change of Control (without regard to any limitations on the conversion of this Note), as adjusted in accordance with the provisions of this Note. Notwithstanding the foregoing, the Holder may elect, at their sole option, by delivery of written notice to the Company to waive this Section 5(b)(i) to permit the Strategic Change of Control without the assumption of this Note. The provisions of this Section 5 shall apply similarly and equally to successive Strategic Changes of Control and shall be applied without regard to any limitations on the conversion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6</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addition to and not in substitution for any other rights hereunder, prior to the consummation of any Strategic Change of Control pursuant to which holders of shares of Common Stock are entitled to receive securities or other assets with respect to or in exchange for shares of Common Stock (a “</w:t>
      </w:r>
      <w:r>
        <w:rPr>
          <w:rFonts w:ascii="Times New Roman;Times;Serif" w:hAnsi="Times New Roman;Times;Serif"/>
          <w:b/>
          <w:i w:val="false"/>
          <w:caps w:val="false"/>
          <w:smallCaps w:val="false"/>
          <w:sz w:val="20"/>
        </w:rPr>
        <w:t>Corporate Event</w:t>
      </w:r>
      <w:r>
        <w:rPr>
          <w:rFonts w:ascii="Times New Roman;Times;Serif" w:hAnsi="Times New Roman;Times;Serif"/>
          <w:b w:val="false"/>
          <w:i w:val="false"/>
          <w:caps w:val="false"/>
          <w:smallCaps w:val="false"/>
          <w:sz w:val="20"/>
        </w:rPr>
        <w:t>”), the Company shall make appropriate provision to ensure that the Holder will thereafter have the right to receive upon a conversion of this Note, at the Holder’s option (i) in addition to the shares of Common Stock receivable upon such conversion, such securities or other assets to which the Holder would have been entitled with respect to such shares of Common Stock had such shares of Common Stock been held by the Holder upon the consummation of such Corporate Event (without taking into account any limitations or restrictions on the convertibility of this Note) or (ii) in lieu of the shares of Common Stock otherwise receivable upon such conversion, such securities or other assets received by the holders of shares of Common Stock in connection with the consummation of such Corporate Event in such amounts as the Holder would have been entitled to receive had this Note initially been issued with conversion rights for the form of such consideration (as opposed to shares of Common Stock) at a conversion rate for such consideration commensurate with the Conversion Rate. Provision made pursuant to the preceding sentence shall be in a form and substance satisfactory to the Holder. The provisions of this Section 5 shall apply similarly and equally to successive Corporate Events and shall be applied without regard to any limitations on the conversion or redemption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i w:val="false"/>
          <w:caps/>
          <w:sz w:val="20"/>
        </w:rPr>
        <w:t>RIGHTS UPON ISSUANCE OF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 of Conversion Price upon Subdivision or Combination of Common Stock</w:t>
      </w:r>
      <w:r>
        <w:rPr>
          <w:rFonts w:ascii="Times New Roman;Times;Serif" w:hAnsi="Times New Roman;Times;Serif"/>
          <w:b w:val="false"/>
          <w:i w:val="false"/>
          <w:caps w:val="false"/>
          <w:smallCaps w:val="false"/>
          <w:sz w:val="20"/>
        </w:rPr>
        <w:t>. Without limiting any provision of Section 4(c), if the Company at any time on or after the date hereof subdivides (by any stock split, stock dividend, stock combination, recapitalization or other similar transaction (in each case, other than in connection with a Restructuring Transaction)) one or more classes of its outstanding shares of Common Stock into a greater number of shares, the Conversion Price in effect immediately prior to such subdivision will be proportionately reduced. Without limiting any provision of Section 5 or Section 16, if the Company at any time on or after the date hereof combines (by any stock split, stock dividend, stock combination, recapitalization or other similar transaction) one or more classes of its outstanding shares of Common Stock into a smaller number of shares, the Conversion Price in effect immediately prior to such combination will be proportionately increased. Any adjustment pursuant to this Section 6(a) shall become effective immediately after the effective date of such subdivision or combination. If any event requiring an adjustment under this Section 6(a) occurs during the period that a Conversion Price is calculated hereunder, then the calculation of such Conversion Price shall be adjusted appropriately to reflect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All calculations under this Section 6 shall be made by rounding to the nearest cent or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The Company may at any time during the term of this Note, with the prior written consent of the Holder, reduce the then current Conversion Price of each of the Notes to any amount and for any period of time deemed appropriate by the board of directors of the Company, with the prior written consent of the Administrative Agent,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i w:val="false"/>
          <w:caps/>
          <w:sz w:val="20"/>
        </w:rPr>
        <w:t>NONCIRCUMVENTION.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covenants and agrees that the Company will not, by amendment of its Certificate of Incorporation or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 Without limiting the generality of the foregoing or any other provision of this Note or the other Transaction Documents, the Company (a) shall not increase the par value of any shares of Common Stock receivable upon conversion of this Note above the Conversion Price then in effect, and (b) shall take all such actions as may be necessary or appropriate in order that the Company may validly and legally issue fully paid and nonassessable shares of Common Stock upon the conversion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7</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w:t>
      </w:r>
      <w:r>
        <w:rPr>
          <w:rFonts w:ascii="Times New Roman;Times;Serif" w:hAnsi="Times New Roman;Times;Serif"/>
          <w:b/>
          <w:i w:val="false"/>
          <w:caps/>
          <w:sz w:val="20"/>
        </w:rPr>
        <w:t>RESERVATION OF AUTHORIZED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Notes remain outstanding, the Company shall at all times reserve at least 100% of the maximum number of shares of Common Stock as shall from time to time be necessary to effect the conversion, of all of the Notes then outstanding (without regard to any limitations on conversions and assuming such Notes remain outstanding until the Maturity Date) (assuming for purposes of this Section 8 (i) that (x) interest on the Notes shall accrue through the Maturity Date and (y) any such conversion shall not take into account any limitations on the conversion of the Notes set forth in the Notes)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The Required Reserve Amount shall be allocated pro rata among the holders of the Notes based on the original principal amount of the Notes held by each holder on the Closing Date or increase in the number of reserved shares, as the case may be (the “</w:t>
      </w:r>
      <w:r>
        <w:rPr>
          <w:rFonts w:ascii="Times New Roman;Times;Serif" w:hAnsi="Times New Roman;Times;Serif"/>
          <w:b/>
          <w:i w:val="false"/>
          <w:caps w:val="false"/>
          <w:smallCaps w:val="false"/>
          <w:sz w:val="20"/>
        </w:rPr>
        <w:t>Authorized Share Allocation</w:t>
      </w:r>
      <w:r>
        <w:rPr>
          <w:rFonts w:ascii="Times New Roman;Times;Serif" w:hAnsi="Times New Roman;Times;Serif"/>
          <w:b w:val="false"/>
          <w:i w:val="false"/>
          <w:caps w:val="false"/>
          <w:smallCaps w:val="false"/>
          <w:sz w:val="20"/>
        </w:rPr>
        <w:t>”). In the event that a holder shall sell or otherwise transfer any of such holder’s Notes, each transferee shall be allocated a pro rata portion of such holder’s Authorized Share Allocation. Any shares of Common Stock reserved and allocated to any Person which ceases to hold any Notes shall be allocated to the remaining holders of Notes, pro rata based on the principal amount of the Notes then held by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i w:val="false"/>
          <w:caps/>
          <w:sz w:val="20"/>
        </w:rPr>
        <w:t>EVENT OF DEFAULT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11, if the Holder delivers an Event of Default Redemption Notice, the Company shall deliver the Event of Default Redemption Price to the Holder in cash within five (5) Business Days after the Company’s receipt of the Holder’s Event of Default Redemption Notice. If the Company has delivered a notice to the Holder, and solely to the extent that such payment would be expressly permitted pursuant to Section 11, the Company shall pay all other amounts due and payable hereunder and under the other Transaction Documents (the “</w:t>
      </w:r>
      <w:r>
        <w:rPr>
          <w:rFonts w:ascii="Times New Roman;Times;Serif" w:hAnsi="Times New Roman;Times;Serif"/>
          <w:b/>
          <w:i w:val="false"/>
          <w:caps w:val="false"/>
          <w:smallCaps w:val="false"/>
          <w:sz w:val="20"/>
        </w:rPr>
        <w:t>Prepayment Amount</w:t>
      </w:r>
      <w:r>
        <w:rPr>
          <w:rFonts w:ascii="Times New Roman;Times;Serif" w:hAnsi="Times New Roman;Times;Serif"/>
          <w:b w:val="false"/>
          <w:i w:val="false"/>
          <w:caps w:val="false"/>
          <w:smallCaps w:val="false"/>
          <w:sz w:val="20"/>
        </w:rPr>
        <w:t>”). Notwithstanding anything herein to the contrary, in connection with any redemption hereunder at a time the Holder is entitled to receive a cash payment under any of the other Transaction Documents, at the option of the Holder delivered in writing to the Company, the applicable Event of Default Redemption Price hereunder shall be increased by the amount of such cash payment owed to the Holder under such other Transaction Document and, upon payment in full or conversion in accordance herewith, shall satisfy the Company’s payment obligation under such other Transaction Document. In the event of a redemption of less than all of the Conversion Amount of this Note, the Company shall promptly cause to be issued and delivered to the Holder a new Note (in accordance with Section 16(d)) representing the outstanding Principal which has not been redeemed. In the event that the Company does not pay the Event of Default Redemption Price to the Holder within the time period required, at any time thereafter and until the Company pays such unpaid Event of Default Redemption Price in full, the Holder shall have the option, in lieu of redemption, to require the Company to promptly return to the Holder all or any portion of this Note representing the Conversion Amount that was submitted for redemption and for which the Event of Default Redemption Price (together with any Late Charges thereon) has not been paid. Upon the Company’s receipt of such notice, the Event of Default Redemption Notice shall be null and void with respect to such Conversion Amount. The Holder’s delivery of an Event of Default Redemption Notice and exercise of its rights following such notice shall not affect the Company’s obligations to make any payments of Late Charges which have accrued prior to the date of such notice with respect to the Conversion Amount subject to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i w:val="false"/>
          <w:caps/>
          <w:sz w:val="20"/>
        </w:rPr>
        <w:t>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shall have no voting rights as the holder of this Note, except as required by law (including, without limitation, the Delaware General Corporation Law) and as expressly provided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t>
      </w:r>
      <w:r>
        <w:rPr>
          <w:rFonts w:ascii="Times New Roman;Times;Serif" w:hAnsi="Times New Roman;Times;Serif"/>
          <w:b/>
          <w:i w:val="false"/>
          <w:caps/>
          <w:sz w:val="20"/>
        </w:rPr>
        <w:t>SUBORDINATION.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in this Note to the contrary, the Company and the Holder (by its acceptance hereof) acknowledge and agree that this Note and the rights of the Holder hereunder are subject to, and limited by, the terms and conditions of (1) the Senior Indebtedness, and (2) this Section 11. If requested by any existing or new Lender, the Holder will enter into a subordination agreement with such Lender on terms similar to those contained in this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8</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Note Subordinated to Existing Debt</w:t>
      </w:r>
      <w:r>
        <w:rPr>
          <w:rFonts w:ascii="Times New Roman;Times;Serif" w:hAnsi="Times New Roman;Times;Serif"/>
          <w:b w:val="false"/>
          <w:i w:val="false"/>
          <w:caps w:val="false"/>
          <w:smallCaps w:val="false"/>
          <w:sz w:val="20"/>
        </w:rPr>
        <w:t xml:space="preserve">. The principal of and interest on this Note and all other amounts payable with respect hereto are expressly subordinated to the prior payment in full, in cash of the Senior Indebtedness and the termination of all commitments to lend under the Loan Documents; provided, that notwithstanding the foregoing, the Holder will be able to receive and retain Common Stock upon a conversion in accordance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No Payment on Note in Certain Circumstances</w:t>
      </w:r>
      <w:r>
        <w:rPr>
          <w:rFonts w:ascii="Times New Roman;Times;Serif" w:hAnsi="Times New Roman;Times;Serif"/>
          <w:b w:val="false"/>
          <w:i w:val="false"/>
          <w:caps w:val="false"/>
          <w:smallCaps w:val="false"/>
          <w:sz w:val="20"/>
        </w:rPr>
        <w:t>. Until the Senior Indebtedness has been paid in full, in cash, no payment on account of principal of, or interest on, this Note, or any other amounts payable with respect hereto, whether by acceleration, redemption, exchange, prepayment or otherwise (and whether in the form of cash, securities or otherwise), shall be made, either directly or indirectly, by the Company, and Holder shall not be entitled to receive such payment, other than the receipt of Common Stock upon a conversion in accordance with Section 3. Prior to the payment in full, in cash, of the Senior Indebtedness, the Holder shall not enforce or seek to enforce any rights and remedies in respect of this Note (other than conversion to Common Stock in accordance with Section 3), including, without limitation, by accelerating the amounts due hereunder, bringing any judicial or nonjudicial action to recover payments on this Note, seeking or requesting payment of this Note, or exercising or seeking to exercise any right of redemption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Insolvency, Bankruptcy, Liquidation and Reorganization</w:t>
      </w:r>
      <w:r>
        <w:rPr>
          <w:rFonts w:ascii="Times New Roman;Times;Serif" w:hAnsi="Times New Roman;Times;Serif"/>
          <w:b w:val="false"/>
          <w:i w:val="false"/>
          <w:caps w:val="false"/>
          <w:smallCaps w:val="false"/>
          <w:sz w:val="20"/>
        </w:rPr>
        <w:t>. In the event of any voluntary or involuntary insolvency, bankruptcy, liquidation, reorganization or other similar proceeding involving the Company (each, an “</w:t>
      </w:r>
      <w:r>
        <w:rPr>
          <w:rFonts w:ascii="Times New Roman;Times;Serif" w:hAnsi="Times New Roman;Times;Serif"/>
          <w:b/>
          <w:i w:val="false"/>
          <w:caps w:val="false"/>
          <w:smallCaps w:val="false"/>
          <w:sz w:val="20"/>
        </w:rPr>
        <w:t>Insolvency Proceeding</w:t>
      </w:r>
      <w:r>
        <w:rPr>
          <w:rFonts w:ascii="Times New Roman;Times;Serif" w:hAnsi="Times New Roman;Times;Serif"/>
          <w:b w:val="false"/>
          <w:i w:val="false"/>
          <w:caps w:val="false"/>
          <w:smallCaps w:val="false"/>
          <w:sz w:val="20"/>
        </w:rPr>
        <w:t>”), all Senior Indebtedness shall first be paid in full, in cash before any payment or any distribution of any kind or character is made by the Company in respect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Holder irrevocably authorizes and empowers (but without imposing any obligation on) the Administrative Agent and any trustee in bankruptcy, receiver or assignee for the benefit of creditors of the Company, in any Insolvency Proceeding, on the Holder’s behalf, to (1) file any claim, proof of claim or such other instrument of similar character not otherwise filed and (2) vote such Holder’s interest in any proceeding under applicable insolvency laws as such vote relates to any Subordinated Debt. In the event that the Administrative Agent votes any claim in accordance with the authority hereby, the Holder shall not be entitled to change, withdraw or challenge any such vote. This authorization and appointment is irrevocable and coupled with an interest. The Holder recognizes that, to the extent permitted by law, this authorization and appointment shall continue in full force and effect, notwithstanding any time limitations set forth in the operating agreement or organizational documents of the Holder or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Holder shall not assert, without Administrative Agent’s prior written consent, any claim, motion, objection or argument in connection with any liquidation or insolvency proceeding, except for necessary responsive or defensive pleadings required to protect Holder’s interest in this Note. Holder agrees that it will consent to, and not object to or oppose any use of cash collateral consented to by Administrative Agent or any financing provided by Administrative Agent or any Lender to the Company or any of its subsidiaries or affiliates (or any financing provided by any other Person consented to by Administrative Agent) (collectively, “</w:t>
      </w:r>
      <w:r>
        <w:rPr>
          <w:rFonts w:ascii="Times New Roman;Times;Serif" w:hAnsi="Times New Roman;Times;Serif"/>
          <w:b/>
          <w:i w:val="false"/>
          <w:caps w:val="false"/>
          <w:smallCaps w:val="false"/>
          <w:sz w:val="20"/>
        </w:rPr>
        <w:t>DIP Financing</w:t>
      </w:r>
      <w:r>
        <w:rPr>
          <w:rFonts w:ascii="Times New Roman;Times;Serif" w:hAnsi="Times New Roman;Times;Serif"/>
          <w:b w:val="false"/>
          <w:i w:val="false"/>
          <w:caps w:val="false"/>
          <w:smallCaps w:val="false"/>
          <w:sz w:val="20"/>
        </w:rPr>
        <w:t>”) on such terms and conditions as Administrative Agent may determine in its sole discretion. Without the prior written consent of Administrative Agent, Holder agrees that it will not, and will not permit, any of its affiliates to, (i) directly or indirectly provide, participate in or otherwise support, any financing in an Insolvency Proceeding to any Obligor or (ii) seek or accept any lien on or security interest in any Collateral (or any assets which would be Collateral but for the operation of the Bankruptcy Code) that would be senior to or pari passu with any liens or security interests securing the Senior Indebtedness or any DIP Financing. Holder agrees that it will not join or seek to join any creditors’ committee or other official committee in any Insolvency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Holder agrees that it will consent to, and not object to or oppose, a sale or other disposition (or related sale or disposition procedures) of any property securing any of the Senior Indebtedness in any Insolvency Proceeding, if Administrative Agent has consented to such sale or other disposition (or sale or disposition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Holder agrees that it will consent to, vote in favor of, and not object to or oppose, any plan of reorganization or liquidation, or any other scheme, arrangement or proposal in any Insolvency Proceeding which is supported or consented to by the Administrative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9</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Following payment in full of the Senior Indebtedness, should any payment upon the Senior Indebtedness be rescinded thereafter as a voidable preference, or otherwise by operation of law, upon the insolvency, bankruptcy or reorganization of the Company, all of the rights of the holders of the Senior Indebtedness previously extinguished by full payment of the Senior Indebtedness shall be automatically reinstated, and all rights and benefits hereunder shall be retroactively implemented in favor of the holders of the Senior Indebtedness, all as if the payment had never been made to or received by the holders of the Senior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Return of Certain Payments</w:t>
      </w:r>
      <w:r>
        <w:rPr>
          <w:rFonts w:ascii="Times New Roman;Times;Serif" w:hAnsi="Times New Roman;Times;Serif"/>
          <w:b w:val="false"/>
          <w:i w:val="false"/>
          <w:caps w:val="false"/>
          <w:smallCaps w:val="false"/>
          <w:sz w:val="20"/>
        </w:rPr>
        <w:t>. In the event that the Holder of this Note receives any payment in respect of this Note in violation of these subordination provisions, such payment shall be held by the Holder in trust for the benefit of, and shall, forthwith upon receipt thereof, be paid over and delivered to the Administrative Agent to the extent necessary to pay the Senior Indebtedness in full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Payments in Kind</w:t>
      </w:r>
      <w:r>
        <w:rPr>
          <w:rFonts w:ascii="Times New Roman;Times;Serif" w:hAnsi="Times New Roman;Times;Serif"/>
          <w:b w:val="false"/>
          <w:i w:val="false"/>
          <w:caps w:val="false"/>
          <w:smallCaps w:val="false"/>
          <w:sz w:val="20"/>
        </w:rPr>
        <w:t>. Notwithstanding anything to the contrary in the foregoing, the Company shall not be prohibited from making, and the Holder shall not be prohibited from receiving, any payments in kind to the extent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caps w:val="false"/>
          <w:smallCaps w:val="false"/>
          <w:sz w:val="20"/>
        </w:rPr>
        <w:t>Mandatory and Elective Conversion of Note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In the event of any Restructuring Transaction consented to by the Administrative Agent (and regardless of whether such Restructuring Transaction would otherwise result in a mandatory conversion pursuant to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but for this Section 11(a)(vi)), the Holder shall be deemed to have consented to such Restructuring Transaction, and all of the outstanding obligations hereunder shall be mandatorily converted into Common Stock as if such conversion were a mandatory conversion of the Note pursuant to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Any such conversion shall occur simultaneously with (but immediately prior to) the closing of the applicable Restructuring Transaction. The Holder and the Company shall promptly execute and deliver to the Administrative Agent all documents necessary or reasonably requested by the Administrative Agent to effectuate the foregoing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furtherance of the foregoing, the Holder hereby irrevocably appoints the Administrative Agent as its attorney-in-fact, with full authority in the place and stead of the Holder and in the name of the Holder, to execute and deliver any document or instrument that the Holder may be required to deliver pursuant to this Section 11(a)(vi) in order to effectuate the foregoing conversion and cause such a conversion, such power of attorney being coupled with an interest and irrevocable until the Senior Indebtedness is paid in full,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acknowledges and agrees that it shall take any and all action required to cause the mandatory conversion of this Note upon the occurrence of the conditions set forth in this Section 11(a)(vi).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subordination provisions of this Note are for the benefit of the holders of the Senior Indebtedness and their successors and assigns and they may enforce such provisions directly against the Holder of this Note in accordance with the terms hereof. No right of any present or future holder of any Senior Indebtedness to enforce subordination as provided herein shall at any time in any way be prejudiced or impaired by any act or omission of the Company or any such holder, unless the holder has expressly waived its rights in writing. The holders of the Senior Indebtedness may, without impairing or releasing the Company or the Holder of this Note from any obligation hereunder, take any and all actions with respect to the Senior Indebtedness, including, without limitation, to (i) change the manner, place or terms of payment or extend the time of payment of, or renew or alter, Senior Indebtedness, or otherwise amend or supplement in any manner Senior Indebtedness or any instrument evidencing the same or any agreement under which Senior Indebtedness is outstanding; (ii) sell, exchange, release or otherwise deal with any property pledged, mortgaged or otherwise securing Senior Indebtedness; (iii) release any Person liable in any manner for the Senior Indebtedness; and (iv) exercise or refrain from exercising any rights against the Company and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Authorization to Effect Subordination</w:t>
      </w:r>
      <w:r>
        <w:rPr>
          <w:rFonts w:ascii="Times New Roman;Times;Serif" w:hAnsi="Times New Roman;Times;Serif"/>
          <w:b w:val="false"/>
          <w:i w:val="false"/>
          <w:caps w:val="false"/>
          <w:smallCaps w:val="false"/>
          <w:sz w:val="20"/>
        </w:rPr>
        <w:t xml:space="preserve">. The Holder, by its acceptance hereof, solely in its capacity as obligee with respect to Subordinated Debt irrevocably authorizes and empowers (but without imposing any obligation on) the Administrative Agent (through its authorized representatives), on behalf of itself and the Lenders, to demand, sue for, collect and receive such Holder’s ratable share of payments or distributions with respect to Subordinated Debt and take all such other action, in the name of such Holder or otherwise, as such Administrative Agent or authorized representatives may determine to be necessary or appropriate for the enforcement of the provisions of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10</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Amendments and Modifications to Note</w:t>
      </w:r>
      <w:r>
        <w:rPr>
          <w:rFonts w:ascii="Times New Roman;Times;Serif" w:hAnsi="Times New Roman;Times;Serif"/>
          <w:b w:val="false"/>
          <w:i w:val="false"/>
          <w:caps w:val="false"/>
          <w:smallCaps w:val="false"/>
          <w:sz w:val="20"/>
        </w:rPr>
        <w:t xml:space="preserve">. Under no circumstance shall the Company or the Holder amend or modify, or permit the amendment or modification of, any provision of this Note in any way adverse to the interests of the Administrative Agent and the Lenders, including, without limitation, any amendments to </w:t>
      </w:r>
      <w:r>
        <w:rPr>
          <w:rFonts w:ascii="Times New Roman;Times;Serif" w:hAnsi="Times New Roman;Times;Serif"/>
          <w:b w:val="false"/>
          <w:i w:val="false"/>
          <w:caps w:val="false"/>
          <w:smallCaps w:val="false"/>
          <w:sz w:val="20"/>
          <w:u w:val="single"/>
        </w:rPr>
        <w:t>Sections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9</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24</w:t>
      </w:r>
      <w:r>
        <w:rPr>
          <w:rFonts w:ascii="Times New Roman;Times;Serif" w:hAnsi="Times New Roman;Times;Serif"/>
          <w:b w:val="false"/>
          <w:i w:val="false"/>
          <w:caps w:val="false"/>
          <w:smallCaps w:val="false"/>
          <w:sz w:val="20"/>
        </w:rPr>
        <w:t xml:space="preserve"> hereof (or any constituent definitions), or otherwise affecting the same or similar substance of such provisions, each of which shall be deemed to be adverse to the Administrative Agent and the Lenders. The Administrative Agent and the Lenders are intended to be, and shall be, express third party beneficiaries of the terms of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of this Note and may enforce the provisions of Section 11 of this Note directly against the Company and/or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Amendments and Modifications to Senior Indebtedness</w:t>
      </w:r>
      <w:r>
        <w:rPr>
          <w:rFonts w:ascii="Times New Roman;Times;Serif" w:hAnsi="Times New Roman;Times;Serif"/>
          <w:b w:val="false"/>
          <w:i w:val="false"/>
          <w:caps w:val="false"/>
          <w:smallCaps w:val="false"/>
          <w:sz w:val="20"/>
        </w:rPr>
        <w:t>. The Holder agrees that the Company, the Administrative Agent and the Lenders shall have absolute power and discretion, without notice to the Holder, to deal in any manner with the Senior Indebtedness and the related collateral, including, without limitation, the power and discretion to effect any amendment, modification, supplement, restatement, refinancing, renewal, refund, extension or termination of any Senior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Security for Subordinated Debt</w:t>
      </w:r>
      <w:r>
        <w:rPr>
          <w:rFonts w:ascii="Times New Roman;Times;Serif" w:hAnsi="Times New Roman;Times;Serif"/>
          <w:b w:val="false"/>
          <w:i w:val="false"/>
          <w:caps w:val="false"/>
          <w:smallCaps w:val="false"/>
          <w:sz w:val="20"/>
        </w:rPr>
        <w:t xml:space="preserve">. Except with the prior written consent of the Administrative Agent and the Lenders, in no event shall the Holder take, accept or receive (and the Company shall not, nor permit any of its Subsidiaries or any other Person to grant to the Holder) any lien or security interest on any asset of Company or its Subsidiaries or any other collateral, guaranty, credit support or security for the Subordinated Debt. In the event in violation of the previous sentence the Holder is granted a security interest or lien on any asset of the Company or any of its Subsidiaries or any guaranty or credit support from the Company or any of its Subsidiaries or any other Person, the Holder does hereby expressly immediately and automatically (without further action of any Person) release such security interest, lien, guaranty or credit support, and the Holder and the Company shall immediately take all actions necessary or desirable to confirm and/or effectuate such release. The Administrative Agent may, in its sole discretion, take all steps necessary or desirable to confirm and/or effectuate the release any such lien, security interest, guaranty or credit support without any further action by or consent of any party, and the Holder and the Company expressly consent to and authorize any such action. In furtherance of the foregoing the Company and the Holder each hereby irrevocably appoint the Administrative Agent as its attorney-in-fact, with full authority in the place and stead of the Company and the Holder, as applicable, and in the name of the Company or the Holder, as applicable, to execute and deliver any document or instrument that the Company may be required to deliver pursuant to this </w:t>
      </w:r>
      <w:r>
        <w:rPr>
          <w:rFonts w:ascii="Times New Roman;Times;Serif" w:hAnsi="Times New Roman;Times;Serif"/>
          <w:b w:val="false"/>
          <w:i w:val="false"/>
          <w:caps w:val="false"/>
          <w:smallCaps w:val="false"/>
          <w:sz w:val="20"/>
          <w:u w:val="single"/>
        </w:rPr>
        <w:t>Section 11(f)</w:t>
      </w:r>
      <w:r>
        <w:rPr>
          <w:rFonts w:ascii="Times New Roman;Times;Serif" w:hAnsi="Times New Roman;Times;Serif"/>
          <w:b w:val="false"/>
          <w:i w:val="false"/>
          <w:caps w:val="false"/>
          <w:smallCaps w:val="false"/>
          <w:sz w:val="20"/>
        </w:rPr>
        <w:t> in connection with any such release, such power of attorney being coupled with an interest and irrevocable until the Senior Indebtedness is paid in full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Holder agrees that this Section 11 constitutes a “subordination agreement” within the meaning of Section 510(a) of the United States Bankruptcy Code (11 U.S.C. §101, et seq.) and will continue in full force and effect during any Insolvency Proceeding, including after the filing of any petition by or against the Company under the Bankruptcy Code and all converted or succeeding cases in respect thereof. All references herein to the Company or any of its subsidiaries or affiliates shall be deemed to apply to such Person as debtor-in-possession and to any trustee for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w:t>
      </w:r>
      <w:r>
        <w:rPr>
          <w:rFonts w:ascii="Times New Roman;Times;Serif" w:hAnsi="Times New Roman;Times;Serif"/>
          <w:b/>
          <w:i w:val="false"/>
          <w:caps/>
          <w:sz w:val="20"/>
        </w:rPr>
        <w:t>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contained herein, the Holder and the Company agree that (i) the total number of shares of Common Stock issuable upon conversion of this Note may not cause the Company to exceed the requirements of Nasdaq Listing Rule 5635(d) (“</w:t>
      </w:r>
      <w:r>
        <w:rPr>
          <w:rFonts w:ascii="Times New Roman;Times;Serif" w:hAnsi="Times New Roman;Times;Serif"/>
          <w:b/>
          <w:i w:val="false"/>
          <w:caps w:val="false"/>
          <w:smallCaps w:val="false"/>
          <w:sz w:val="20"/>
        </w:rPr>
        <w:t>Nasdaq 19.99% Cap</w:t>
      </w:r>
      <w:r>
        <w:rPr>
          <w:rFonts w:ascii="Times New Roman;Times;Serif" w:hAnsi="Times New Roman;Times;Serif"/>
          <w:b w:val="false"/>
          <w:i w:val="false"/>
          <w:caps w:val="false"/>
          <w:smallCaps w:val="false"/>
          <w:sz w:val="20"/>
        </w:rPr>
        <w:t>”), except that such limitation will not apply following Approval (defined below). If the aggregate number of shares of Common Stock issuable upon conversion of the Note and any other securities required to be aggregated with this Note under applicable rules of the Nasdaq Stock Market (“</w:t>
      </w:r>
      <w:r>
        <w:rPr>
          <w:rFonts w:ascii="Times New Roman;Times;Serif" w:hAnsi="Times New Roman;Times;Serif"/>
          <w:b/>
          <w:i w:val="false"/>
          <w:caps w:val="false"/>
          <w:smallCaps w:val="false"/>
          <w:sz w:val="20"/>
        </w:rPr>
        <w:t>Other Securities</w:t>
      </w:r>
      <w:r>
        <w:rPr>
          <w:rFonts w:ascii="Times New Roman;Times;Serif" w:hAnsi="Times New Roman;Times;Serif"/>
          <w:b w:val="false"/>
          <w:i w:val="false"/>
          <w:caps w:val="false"/>
          <w:smallCaps w:val="false"/>
          <w:sz w:val="20"/>
        </w:rPr>
        <w:t>”) reaches the Nasdaq 19.99% Cap, so as not to violate the 20% limit established in Listing Rule 5635(d), the Company shall as soon as reasonably practicable take all action necessary to obtain stockholder approval for the issuance of shares of Common Stock in excess of the Nasdaq 19.99% Cap pursuant to the terms of this Note and to the extent applicable, any Other Securities, in accordance with the requirements of Nasdaq Listing Rule 5635(d) (the “</w:t>
      </w:r>
      <w:r>
        <w:rPr>
          <w:rFonts w:ascii="Times New Roman;Times;Serif" w:hAnsi="Times New Roman;Times;Serif"/>
          <w:b/>
          <w:i w:val="false"/>
          <w:caps w:val="false"/>
          <w:smallCaps w:val="false"/>
          <w:sz w:val="20"/>
        </w:rPr>
        <w:t>Approval</w:t>
      </w:r>
      <w:r>
        <w:rPr>
          <w:rFonts w:ascii="Times New Roman;Times;Serif" w:hAnsi="Times New Roman;Times;Serif"/>
          <w:b w:val="false"/>
          <w:i w:val="false"/>
          <w:caps w:val="false"/>
          <w:smallCaps w:val="false"/>
          <w:sz w:val="20"/>
        </w:rPr>
        <w:t>”). Without limiting the generality of the foregoing sentence, as soon as reasonably practicable after the date of the application of the Nasdaq 19.99% Cap, but in no event later than 30 days after such occurrence, the Company shall use its reasonable best efforts to hold a meeting of its stockholders to seek the Approval. In connection with such meeting, the Company shall provide each stockholder with a proxy statement and shall use its reasonable best efforts to solicit the Approval and to cause its board of directors to recommend to the stockholders that they provide the Approval. Until Approval is obtained, (i) issuance of Common Stock pursuant to the exercise or conversion of any Other Securities, and (ii) issuances of Common Stock pursuant to the conversion of this Note shall be made to the holders thereof as nearly as possible on a pro rata basis based on the total amount of shares of Common Stock issued or issuable to each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11</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w:t>
      </w:r>
      <w:r>
        <w:rPr>
          <w:rFonts w:ascii="Times New Roman;Times;Serif" w:hAnsi="Times New Roman;Times;Serif"/>
          <w:b/>
          <w:i w:val="false"/>
          <w:caps/>
          <w:sz w:val="20"/>
        </w:rPr>
        <w:t>DISTRIBUTION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adjustments pursuant to Sections 5 and 6 above, if the Company shall declare or make any dividend or other distributions of its assets (or rights to acquire its assets) to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(the “</w:t>
      </w:r>
      <w:r>
        <w:rPr>
          <w:rFonts w:ascii="Times New Roman;Times;Serif" w:hAnsi="Times New Roman;Times;Serif"/>
          <w:b/>
          <w:i w:val="false"/>
          <w:caps w:val="false"/>
          <w:smallCaps w:val="false"/>
          <w:sz w:val="20"/>
        </w:rPr>
        <w:t>Distributions</w:t>
      </w:r>
      <w:r>
        <w:rPr>
          <w:rFonts w:ascii="Times New Roman;Times;Serif" w:hAnsi="Times New Roman;Times;Serif"/>
          <w:b w:val="false"/>
          <w:i w:val="false"/>
          <w:caps w:val="false"/>
          <w:smallCaps w:val="false"/>
          <w:sz w:val="20"/>
        </w:rPr>
        <w:t>”), then the Holder will be entitled to such Distributions as if the Holder had held the number of shares of Common Stock acquirable upon complete conversion of this Note (without taking into account any limitations or restrictions on the convertibility of this Note and assuming for such purpose that the Note was converted at the Conversion Price as of the applicable record date) immediately prior to the date on which a record is taken for such Distribution or, if no such record is taken, the date as of which the record holders of Common Stock are to be determined for such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w:t>
      </w:r>
      <w:r>
        <w:rPr>
          <w:rFonts w:ascii="Times New Roman;Times;Serif" w:hAnsi="Times New Roman;Times;Serif"/>
          <w:b/>
          <w:i w:val="false"/>
          <w:caps/>
          <w:sz w:val="20"/>
        </w:rPr>
        <w:t>AMENDING THE TERMS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prior written consent of the Holder and the Company shall be required for any change, waiver or amendment to this Note. Any change, waiver or amendment so approved shall be binding upon all existing and future holders of this Note; provided, however, that no such change, waiver or, as applied to any of the Notes held by any particular holder of Notes, shall, without the written consent of that particular holder, (i) reduce the amount of Principal, reduce the amount of accrued and unpaid Interest, or extend the Maturity Date, of the Notes, (ii) disproportionally and adversely affect any rights under the Notes of any holder of Notes; or (iii) modify any of the provisions of, or impair the right of any holder of Notes under, this Section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w:t>
      </w:r>
      <w:r>
        <w:rPr>
          <w:rFonts w:ascii="Times New Roman;Times;Serif" w:hAnsi="Times New Roman;Times;Serif"/>
          <w:b/>
          <w:i w:val="false"/>
          <w:caps/>
          <w:sz w:val="20"/>
        </w:rPr>
        <w:t>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may not be offered, sold, assigned or transferred by the Holder without the consent of the Company (which shall not be unreasonably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w:t>
      </w:r>
      <w:r>
        <w:rPr>
          <w:rFonts w:ascii="Times New Roman;Times;Serif" w:hAnsi="Times New Roman;Times;Serif"/>
          <w:b/>
          <w:i w:val="false"/>
          <w:caps/>
          <w:sz w:val="20"/>
        </w:rPr>
        <w:t>REISSUANCE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If this Note is to be transferred, the Holder shall surrender this Note to the Company, whereupon the Company will forthwith issue and deliver upon the order of the Holder a new Note (in accordance with Section 16(d)), registered as the Holder may request, representing the outstanding Principal being transferred by the Holder and, if less than the entire outstanding Principal is being transferred, a new Note (in accordance with Section 16(d))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Lost, Stolen or Mutilated Note</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Note (as to which a written certification and the indemnification contemplated below shall suffice as such evidence), and, in the case of loss, theft or destruction, of any indemnification undertaking by the Holder to the Company in customary and reasonable form and, in the case of mutilation, upon surrender and cancellation of this Note, the Company shall execute and deliver to the Holder a new Note (in accordance with Section 16(d)) representing the outstanding Principal.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Note Exchangeable for Different Denominations</w:t>
      </w:r>
      <w:r>
        <w:rPr>
          <w:rFonts w:ascii="Times New Roman;Times;Serif" w:hAnsi="Times New Roman;Times;Serif"/>
          <w:b w:val="false"/>
          <w:i w:val="false"/>
          <w:caps w:val="false"/>
          <w:smallCaps w:val="false"/>
          <w:sz w:val="20"/>
        </w:rPr>
        <w:t>. This Note is exchangeable, upon the surrender hereof by the Holder at the principal office of the Company, for a new Note or Notes (in accordance with Section 16(d) and in principal amounts of at least $100,000) representing in the aggregate the outstanding Principal of this Note, and each such new Note will represent such portion of such outstanding Principal as is designated by the Holder at the time of such surrender.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12</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New Notes</w:t>
      </w:r>
      <w:r>
        <w:rPr>
          <w:rFonts w:ascii="Times New Roman;Times;Serif" w:hAnsi="Times New Roman;Times;Serif"/>
          <w:b w:val="false"/>
          <w:i w:val="false"/>
          <w:caps w:val="false"/>
          <w:smallCaps w:val="false"/>
          <w:sz w:val="20"/>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16(a) or Section 16(c),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on the Principal and Interest of this Note, from the Issuance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w:t>
      </w:r>
      <w:r>
        <w:rPr>
          <w:rFonts w:ascii="Times New Roman;Times;Serif" w:hAnsi="Times New Roman;Times;Serif"/>
          <w:b/>
          <w:i w:val="false"/>
          <w:caps/>
          <w:sz w:val="20"/>
        </w:rPr>
        <w:t>REMEDIES, CHARACTERIZATIONS, OTHER OBLIGATIONS, BREACHES AND INJUNCTIVE RELIEF.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remedies provided in this Note shall be cumulative and in addition to all other remedies available under this Note and any of the other Transaction Documents at law or in equity (including a decree of specific performance and/or other injunctive relief), and nothing herein (other than the provisions of Section 11) shall limit the Holder’s right to pursue actual and consequential damages for any failure by the Company to comply with the terms of this Note. No failure on the part of the Holder to exercise, and no delay in exercising, any right, power or remedy hereunder shall operate as a waiver thereof; nor shall any single or partial exercise by the Holder of any right, power or remedy preclude any other or further exercise thereof or the exercise of any other right, power or remedy. In addition, the exercise of any right or remedy of the Holder at law or equity or under this Note or any of the documents shall not be deemed to be an election of Holder’s rights or remedies under such documents or at law or equity. The Company covenants to the Holder that there shall be no characterization concerning this instrument other than as expressly provided herein. Amounts set forth or provided for herein with respect to payments, conversion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specific performance and/or temporary, preliminary and permanent injunctive or other equitable relief from any court of competent jurisdiction. The Company shall provide all information and documentation to the Holder that is reasonably requested by the Holder to enable the Holder to confirm the Company’s compliance with the terms and conditions of this Note (including, without limitation, compliance with Section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w:t>
      </w:r>
      <w:r>
        <w:rPr>
          <w:rFonts w:ascii="Times New Roman;Times;Serif" w:hAnsi="Times New Roman;Times;Serif"/>
          <w:b/>
          <w:i w:val="false"/>
          <w:caps/>
          <w:sz w:val="20"/>
        </w:rPr>
        <w:t>PAYMENT OF COLLECTION, ENFORCEMENT AND OTHER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without limitation, attorneys’ fees and disbursements. The Company expressly acknowledges and agrees that no amounts due under this Note shall be affected, or limited, by the fact that the purchase price paid for this Note was less than the original Principal amount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w:t>
      </w:r>
      <w:r>
        <w:rPr>
          <w:rFonts w:ascii="Times New Roman;Times;Serif" w:hAnsi="Times New Roman;Times;Serif"/>
          <w:b/>
          <w:i w:val="false"/>
          <w:caps/>
          <w:sz w:val="20"/>
        </w:rPr>
        <w:t>CONSTRUCTION; HEADINGS.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be deemed to be jointly drafted by the Company and the initial Holder and shall not be construed against any such Person as the drafter hereof. The headings of this Note are for convenience of reference and shall not form part of, or affect the interpretation of, this Note.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Note instead of just the provision in which they are found. Unless expressly indicated otherwise, all section references are to sections of this Note. Terms used in this Note and not otherwise defined herein, but defined in the other Transaction Documents, shall have the meanings ascribed to such terms on the Closing Date in such other Transaction Documents unless otherwise consented to in writing by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w:t>
      </w:r>
      <w:r>
        <w:rPr>
          <w:rFonts w:ascii="Times New Roman;Times;Serif" w:hAnsi="Times New Roman;Times;Serif"/>
          <w:b/>
          <w:i w:val="false"/>
          <w:caps/>
          <w:sz w:val="20"/>
        </w:rPr>
        <w:t>FAILURE OR INDULGENCE NOT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13</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w:t>
      </w:r>
      <w:r>
        <w:rPr>
          <w:rFonts w:ascii="Times New Roman;Times;Serif" w:hAnsi="Times New Roman;Times;Serif"/>
          <w:b/>
          <w:i w:val="false"/>
          <w:caps/>
          <w:sz w:val="20"/>
        </w:rPr>
        <w:t>NOTICES; CURRENCY;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(i) immediately upon any adjustment of the Conversion Price, setting forth in reasonable detail, and certifying, the calculation of such adjustment and (ii) at least five (5) Trading Days prior to the date on which the Company closes its books or takes a record (A) with respect to any dividend or distribution upon the Common Stock, (B) with respect to any grant, issuances, or sales of any Options, Convertible Securities or rights to purchase stock, warrants, securities or other property to holders of shares of Common Stock or (C) for determining rights to vote with respect to any Strategic Change of Control, dissolution or liquidation, provided in each case that such information shall be made known to the public prior to or in conjunction with such notice being provided to the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Whenever any payment of cash is to be made by the Company to any Person pursuant to this Note, unless otherwise expressly set forth herein, such payment shall be made in lawful money of the United States of America by a certified check drawn on the account of the Company and sent via overnight courier service to such Person at such address as previously provided to the Company in writing,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shall result in a late charge being incurred and payable by the Company in an amount equal to interest on such amount at the rate of seven and one-half percent (7.5%) per annum from the date such amount was due until the same is paid in full (“</w:t>
      </w:r>
      <w:r>
        <w:rPr>
          <w:rFonts w:ascii="Times New Roman;Times;Serif" w:hAnsi="Times New Roman;Times;Serif"/>
          <w:b/>
          <w:i w:val="false"/>
          <w:caps w:val="false"/>
          <w:smallCaps w:val="false"/>
          <w:sz w:val="20"/>
        </w:rPr>
        <w:t>Late Charge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w:t>
      </w:r>
      <w:r>
        <w:rPr>
          <w:rFonts w:ascii="Times New Roman;Times;Serif" w:hAnsi="Times New Roman;Times;Serif"/>
          <w:b/>
          <w:i w:val="false"/>
          <w:caps/>
          <w:sz w:val="20"/>
        </w:rPr>
        <w:t>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all Principal, accrued Interest, Late Charges and other amounts at any time owed on this Note have been paid in full, this Note shall automatically be deemed canceled, shall be surrendered to the Company for cancellation and shall not be reissued.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w:t>
      </w:r>
      <w:r>
        <w:rPr>
          <w:rFonts w:ascii="Times New Roman;Times;Serif" w:hAnsi="Times New Roman;Times;Serif"/>
          <w:b/>
          <w:i w:val="false"/>
          <w:caps/>
          <w:sz w:val="20"/>
        </w:rPr>
        <w:t>WAIVER OF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the Company hereby irrevocably waives demand, notice, presentment, protest and all other demands and notices in connection with the delivery, acceptance, performance, default or enforcement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w:t>
      </w:r>
      <w:r>
        <w:rPr>
          <w:rFonts w:ascii="Times New Roman;Times;Serif" w:hAnsi="Times New Roman;Times;Serif"/>
          <w:b/>
          <w:i w:val="false"/>
          <w:caps/>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THE COMPANY HEREBY IRREVOCABLY WAIVES ANY RIGHT IT MAY HAVE TO, AND AGREES NOT TO REQUEST, A JURY TRIAL FOR THE ADJUDICATION OF ANY DISPUTE HEREUNDER OR IN CONNECTION WITH OR ARISING OUT OF THIS NOTE OR ANY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14</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w:t>
      </w:r>
      <w:r>
        <w:rPr>
          <w:rFonts w:ascii="Times New Roman;Times;Serif" w:hAnsi="Times New Roman;Times;Serif"/>
          <w:b/>
          <w:i w:val="false"/>
          <w:caps/>
          <w:sz w:val="20"/>
        </w:rPr>
        <w:t>SEVERABILITY.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w:t>
      </w:r>
      <w:r>
        <w:rPr>
          <w:rFonts w:ascii="Times New Roman;Times;Serif" w:hAnsi="Times New Roman;Times;Serif"/>
          <w:b/>
          <w:i w:val="false"/>
          <w:caps/>
          <w:sz w:val="20"/>
        </w:rPr>
        <w:t>MAXIMUM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establish or require the payment of a rate of interest or other charges in excess of the maximum permitted by applicable law. In the event that the rate of interest required to be paid or other charges hereunder exceed the maximum permitted by such law, any payments in excess of such maximum shall be credited against amounts owed by the Company to the Holder and thus refunded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            </w:t>
      </w:r>
      <w:r>
        <w:rPr>
          <w:rFonts w:ascii="Times New Roman;Times;Serif" w:hAnsi="Times New Roman;Times;Serif"/>
          <w:b/>
          <w:i w:val="false"/>
          <w:caps/>
          <w:sz w:val="20"/>
        </w:rPr>
        <w:t>CERTAIN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Note,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means the Securities Exchange Act of 1934, as amended,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means Metropolitan Partners Group Administration, LLC, and its successors and assigns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with respect to any Person, any other Person that directly or indirectly controls, is controlled by, or is under common control with, such Person, it being understood for purposes of this definition that “control” of a Person means the power directly or indirectly either to vote a majority of the stock having ordinary voting power for the election of directors of such Person or direct or cause the direction of the management and policies of such Person whether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Saturday, Sunday or other day on which commercial banks in The City of New York are authorized or required by law to remain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(i) a consolidation or merger of the Company or PAL with or into any other corporation or other Person, or any other corporate reorganization, other than (x) with an Excluded Person, or (y) any such consolidation, merger or reorganization in which the shares of capital stock of the Parent or PAL immediately prior to such consolidation, merger or reorganization continue to represent a majority of the voting power of the surviving entity immediately after such consolidation, merger or reorganization; (ii) any transaction or series of related transactions to which the Parent or PAL is a party in which in excess of 20% of the Parent’s or PAL’s voting power is transferred (other than to an Excluded Person); (iii) any transaction or series of transactions in which a “person” or a “group” (as such terms are used in Sections 13(d) and 14(d) of the Exchange Act) (other than an Excluded Person) shall (A) become, or obtain rights (whether by means of common stock, warrants options or otherwise) to become, the “beneficial owner” (as defined in Rules 13(d)-3 and 13(d)-5 under the Exchange Act), directly or indirectly, of 25% or more of the ordinary voting power or economic interests of Parent or PAL (determined on a fully diluted basis) or (B) have obtained the power (whether exercised or not) to elect a majority of the members of the board of directors (or any similar governing body) of Parent or PAL, as applicable; or (iv) the sale or transfer of all or substantially all of the Parent’s or PAL’s assets, or the exclusive license of all or substantially all of the Parent’s or PAL’s material assets and/or material intellectual property, in each case, other than to an Excluded Person. A transaction (other than a Restructuring Transaction) that would otherwise be a Change of Control but for the involvement of an Excluded Person is referred to as a “</w:t>
      </w:r>
      <w:r>
        <w:rPr>
          <w:rFonts w:ascii="Times New Roman;Times;Serif" w:hAnsi="Times New Roman;Times;Serif"/>
          <w:b/>
          <w:i w:val="false"/>
          <w:caps w:val="false"/>
          <w:smallCaps w:val="false"/>
          <w:sz w:val="20"/>
        </w:rPr>
        <w:t>Strategic Change of Control.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15</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shall mean the date hereof upon funding of the amounts set forth in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$0.0001 par value per share, and (ii) any capital stock into which such common stock shall have been changed or any share capital resulting from a reclassification of such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other security (other than Options) that is at any time and under any circumstances, directly or indirectly, convertible into, exercisable or exchangeable for, or which otherwise entitles the holder thereof to acquire, any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means that certain Credit Agreement, dated as of September 21, 2022, by and among the Company, PAL, as borrower, the Lenders, and the Administrative Agent, as amended, restated, refinanced, modified or supplemented through the date hereof and hereafter and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New York Stock Exchange, the NYSE American, the Nasdaq Global Select Market, the Nasdaq Global Market or the Principal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Equity Interests</w:t>
      </w:r>
      <w:r>
        <w:rPr>
          <w:rFonts w:ascii="Times New Roman;Times;Serif" w:hAnsi="Times New Roman;Times;Serif"/>
          <w:b w:val="false"/>
          <w:i w:val="false"/>
          <w:caps w:val="false"/>
          <w:smallCaps w:val="false"/>
          <w:sz w:val="20"/>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Excluded Person</w:t>
      </w:r>
      <w:r>
        <w:rPr>
          <w:rFonts w:ascii="Times New Roman;Times;Serif" w:hAnsi="Times New Roman;Times;Serif"/>
          <w:b w:val="false"/>
          <w:i w:val="false"/>
          <w:caps w:val="false"/>
          <w:smallCaps w:val="false"/>
          <w:sz w:val="20"/>
        </w:rPr>
        <w:t>” means a Person other than a Financial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Excluded Securities</w:t>
      </w:r>
      <w:r>
        <w:rPr>
          <w:rFonts w:ascii="Times New Roman;Times;Serif" w:hAnsi="Times New Roman;Times;Serif"/>
          <w:b w:val="false"/>
          <w:i w:val="false"/>
          <w:caps w:val="false"/>
          <w:smallCaps w:val="false"/>
          <w:sz w:val="20"/>
        </w:rPr>
        <w:t>” means (i) any shares of Common Stock, options, warrants or convertible securities issued or issuable in connection with (A) any equity compensation plan of the Company as in effect on the date hereof or (B) any Restructuring Transaction, or (ii) any other securities outstanding as of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Financial Investor</w:t>
      </w:r>
      <w:r>
        <w:rPr>
          <w:rFonts w:ascii="Times New Roman;Times;Serif" w:hAnsi="Times New Roman;Times;Serif"/>
          <w:b w:val="false"/>
          <w:i w:val="false"/>
          <w:caps w:val="false"/>
          <w:smallCaps w:val="false"/>
          <w:sz w:val="20"/>
        </w:rPr>
        <w:t>” means a Person that (i) does not have any strategic or commercial relationship with the Company, and (ii) does not itself operate in the Company’s line of business or a line of business that would be considered competitive or synergistic with the Company’s line of business, it being understood that merely holding an investment in another Person that operates in any such line of business shall not cause any Person that would otherwise constitute a Financial Investor to be excluded as a Financial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United States generally accepted accounting principles, consistently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1934 Act and as defined in Rule 13d-5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means collectively the Cash Interest and the PIK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16</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Interest Date</w:t>
      </w:r>
      <w:r>
        <w:rPr>
          <w:rFonts w:ascii="Times New Roman;Times;Serif" w:hAnsi="Times New Roman;Times;Serif"/>
          <w:b w:val="false"/>
          <w:i w:val="false"/>
          <w:caps w:val="false"/>
          <w:smallCaps w:val="false"/>
          <w:sz w:val="20"/>
        </w:rPr>
        <w:t>” means, with respect to any given calendar month the last Trading Day in such calendar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means the lenders from time to time party to the Credit Agreement or otherwise holding Senior Indebtedness.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Loan Documents</w:t>
      </w:r>
      <w:r>
        <w:rPr>
          <w:rFonts w:ascii="Times New Roman;Times;Serif" w:hAnsi="Times New Roman;Times;Serif"/>
          <w:b w:val="false"/>
          <w:i w:val="false"/>
          <w:caps w:val="false"/>
          <w:smallCaps w:val="false"/>
          <w:sz w:val="20"/>
        </w:rPr>
        <w:t>” means the Credit Agreement and the other Loan Documents (as defined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shall mean 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shares of Common Stock or Convertible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PAL</w:t>
      </w:r>
      <w:r>
        <w:rPr>
          <w:rFonts w:ascii="Times New Roman;Times;Serif" w:hAnsi="Times New Roman;Times;Serif"/>
          <w:b w:val="false"/>
          <w:i w:val="false"/>
          <w:caps w:val="false"/>
          <w:smallCaps w:val="false"/>
          <w:sz w:val="20"/>
        </w:rPr>
        <w:t>” means Presto Automation LLC (f/k/a E La Carte, LLC, f/k/a Ventoux Merger Sub 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Parent Entity</w:t>
      </w:r>
      <w:r>
        <w:rPr>
          <w:rFonts w:ascii="Times New Roman;Times;Serif" w:hAnsi="Times New Roman;Times;Serif"/>
          <w:b w:val="false"/>
          <w:i w:val="false"/>
          <w:caps w:val="false"/>
          <w:smallCaps w:val="false"/>
          <w:sz w:val="20"/>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a Strategic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w:t>
        <w:tab/>
        <w:t>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or a government or any department or agency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w:t>
        <w:tab/>
        <w:t>     “</w:t>
      </w:r>
      <w:r>
        <w:rPr>
          <w:rFonts w:ascii="Times New Roman;Times;Serif" w:hAnsi="Times New Roman;Times;Serif"/>
          <w:b/>
          <w:i w:val="false"/>
          <w:caps w:val="false"/>
          <w:smallCaps w:val="false"/>
          <w:sz w:val="20"/>
        </w:rPr>
        <w:t>PIK Interest</w:t>
      </w:r>
      <w:r>
        <w:rPr>
          <w:rFonts w:ascii="Times New Roman;Times;Serif" w:hAnsi="Times New Roman;Times;Serif"/>
          <w:b w:val="false"/>
          <w:i w:val="false"/>
          <w:caps w:val="false"/>
          <w:smallCaps w:val="false"/>
          <w:sz w:val="20"/>
        </w:rPr>
        <w:t>” means the portion of the interest that accrues on the Principal of this Note as the PIK Interest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w:t>
        <w:tab/>
        <w:t>     “</w:t>
      </w:r>
      <w:r>
        <w:rPr>
          <w:rFonts w:ascii="Times New Roman;Times;Serif" w:hAnsi="Times New Roman;Times;Serif"/>
          <w:b/>
          <w:i w:val="false"/>
          <w:caps w:val="false"/>
          <w:smallCaps w:val="false"/>
          <w:sz w:val="20"/>
        </w:rPr>
        <w:t>PIK Interest Rate</w:t>
      </w:r>
      <w:r>
        <w:rPr>
          <w:rFonts w:ascii="Times New Roman;Times;Serif" w:hAnsi="Times New Roman;Times;Serif"/>
          <w:b w:val="false"/>
          <w:i w:val="false"/>
          <w:caps w:val="false"/>
          <w:smallCaps w:val="false"/>
          <w:sz w:val="20"/>
        </w:rPr>
        <w:t>” means 7.5%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w:t>
        <w:tab/>
        <w:t>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w:t>
        <w:tab/>
        <w:t>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w:t>
        <w:tab/>
        <w:t>     “</w:t>
      </w:r>
      <w:r>
        <w:rPr>
          <w:rFonts w:ascii="Times New Roman;Times;Serif" w:hAnsi="Times New Roman;Times;Serif"/>
          <w:b/>
          <w:i w:val="false"/>
          <w:caps w:val="false"/>
          <w:smallCaps w:val="false"/>
          <w:sz w:val="20"/>
        </w:rPr>
        <w:t>Restructuring Transaction</w:t>
      </w:r>
      <w:r>
        <w:rPr>
          <w:rFonts w:ascii="Times New Roman;Times;Serif" w:hAnsi="Times New Roman;Times;Serif"/>
          <w:b w:val="false"/>
          <w:i w:val="false"/>
          <w:caps w:val="false"/>
          <w:smallCaps w:val="false"/>
          <w:sz w:val="20"/>
        </w:rPr>
        <w:t>” means any transaction or series of transactions which has the effect of (i) forgiving, reducing, or modifying the principal balance of, or otherwise adjusting the amount of, the Senior Indebtedness, (ii) exchanging all or any portion of the Senior Indebtedness for any other instrument or security, (iii) the exercise of any rights or remedies by the Administrative Agent or any Lender under the Loan Documents, or (iv) replacing or refinancing the Senior Indebtedness,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w:t>
        <w:tab/>
        <w:t>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 or the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w:t>
        <w:tab/>
        <w:t>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Senior Indebtedness</w:t>
      </w:r>
      <w:r>
        <w:rPr>
          <w:rFonts w:ascii="Times New Roman;Times;Serif" w:hAnsi="Times New Roman;Times;Serif"/>
          <w:b w:val="false"/>
          <w:i w:val="false"/>
          <w:caps w:val="false"/>
          <w:smallCaps w:val="false"/>
          <w:sz w:val="20"/>
        </w:rPr>
        <w:t>” means all loans, advances, debts, liabilities, debit balances, covenants and duties at any time or times owed by Company or any other Loan Party to Administrative Agent or any Lender, whether direct or indirect, absolute or contingent, secured or unsecured, primary or secondary, joint or several, liquidated or unliquidated, due or to become due, now existing or hereafter arising, including (a) all debts, liabilities and obligations now or hereafter owing by Company or any other Loan Party to Administrative Agent or any Lender under any of the Loan Documents, (b) all debts, liabilities or obligations owing by Company or any other Loan Party to others which Administrative Agent or any Lender may have obtained by assignment, pledge, purchase or otherwise, (c) all loans made or credit extended by Administrative Agent or any Lender to Company or any other Loan Party during the pendency of any bankruptcy or other insolvency proceeding of Company or any other Loan Party, (d) all interest, fees, charges, expenses and attorneys’ fees for which Company or any other Loan Party is now or hereafter becomes liable to pay to Administrative Agent or any Lender under any agreement or by law (including, all interest, legal fees and other charges that accrue or are incurred in connection with any of the Senior Indebtedness during the pendency of any bankruptcy case or other insolvency proceeding of Buyer, whether or not Administrative Agent or such Lender is authorized by 11 U.S.C. § 506 or otherwise to claim or collect any such interest, legal fees or other charges from Buyer), (e) all Obligations (as defined in the Credit Agreement), and (f) any renewals, extensions, replacements or refinancings of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17</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w:t>
        <w:tab/>
        <w:t>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w:t>
        <w:tab/>
        <w:t>     “</w:t>
      </w:r>
      <w:r>
        <w:rPr>
          <w:rFonts w:ascii="Times New Roman;Times;Serif" w:hAnsi="Times New Roman;Times;Serif"/>
          <w:b/>
          <w:i w:val="false"/>
          <w:caps w:val="false"/>
          <w:smallCaps w:val="false"/>
          <w:sz w:val="20"/>
        </w:rPr>
        <w:t>Subordinated Debt</w:t>
      </w:r>
      <w:r>
        <w:rPr>
          <w:rFonts w:ascii="Times New Roman;Times;Serif" w:hAnsi="Times New Roman;Times;Serif"/>
          <w:b w:val="false"/>
          <w:i w:val="false"/>
          <w:caps w:val="false"/>
          <w:smallCaps w:val="false"/>
          <w:sz w:val="20"/>
        </w:rPr>
        <w:t>” means all amounts payable to the Holder pursuant to this Note or any other documents executed in connection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w:t>
        <w:tab/>
        <w:t>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means any wholly-owned subsidiaries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w:t>
        <w:tab/>
        <w:t>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means the Person (or, if so elected by the Holder, the Parent Entity) formed by, resulting from or surviving any Strategic Change of Control or the Person (or, if so elected by the Holder, the Parent Entity) with which such Strategic Change of Control shall have been entered into.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w:t>
        <w:tab/>
        <w:t>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as applicable, (x) with respect to all price or trading volume determinations relating to the Common Stock, any day on which the Common Stock is traded on the Principal Market, or, if the Principal Market is not the principal trading market for the Common Stock, then on the principal securities exchange or securities market on which the Common Stock is then traded, provided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 unless such day is otherwise designated as a Trading Day in writing by the Holder or (y) with respect to all determinations other than price determinations relating to the Common Stock, any day on which The Nasdaq Stock Market (or any successor thereto) is open for trading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val="false"/>
          <w:caps w:val="false"/>
          <w:smallCaps w:val="false"/>
          <w:sz w:val="20"/>
        </w:rPr>
        <w:t>Transaction Document</w:t>
      </w:r>
      <w:r>
        <w:rPr>
          <w:rFonts w:ascii="Times New Roman;Times;Serif" w:hAnsi="Times New Roman;Times;Serif"/>
          <w:b w:val="false"/>
          <w:i w:val="false"/>
          <w:caps w:val="false"/>
          <w:smallCaps w:val="false"/>
          <w:sz w:val="20"/>
        </w:rPr>
        <w:t>” means this Note and any other document, certificate or notice executed by the Company or the Holder in connection with the issuance of this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18</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Note to be duly executed as of the Issuance Date set out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left"/>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560"/>
        <w:gridCol w:w="60"/>
        <w:gridCol w:w="75"/>
      </w:tblGrid>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Senior Convertible Note – Signature Page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 CONVERSION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Subordinated Convertible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issued to the undersigned by Presto Automation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accordance with and pursuant to the Note, the undersigned hereby elects to convert the Conversion Amount (as defined in the Note) of the Note indicated below into shares of Common Stock, $0.0001 par value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the Company, as of the date specified below. Capitalized terms not defined herein shall have the meaning as set forth in the Note.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23"/>
        <w:gridCol w:w="66"/>
        <w:gridCol w:w="5016"/>
      </w:tblGrid>
      <w:tr>
        <w:trPr/>
        <w:tc>
          <w:tcPr>
            <w:tcW w:w="51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Conversion:</w:t>
            </w:r>
          </w:p>
        </w:tc>
        <w:tc>
          <w:tcPr>
            <w:tcW w:w="5082" w:type="dxa"/>
            <w:gridSpan w:val="2"/>
            <w:tcBorders/>
            <w:vAlign w:val="center"/>
          </w:tcPr>
          <w:p>
            <w:pPr>
              <w:pStyle w:val="TableContents"/>
              <w:bidi w:val="0"/>
              <w:spacing w:before="0" w:after="283"/>
              <w:jc w:val="left"/>
              <w:rPr>
                <w:sz w:val="4"/>
                <w:szCs w:val="4"/>
              </w:rPr>
            </w:pPr>
            <w:r>
              <w:rPr>
                <w:sz w:val="4"/>
                <w:szCs w:val="4"/>
              </w:rPr>
            </w:r>
          </w:p>
        </w:tc>
      </w:tr>
      <w:tr>
        <w:trPr/>
        <w:tc>
          <w:tcPr>
            <w:tcW w:w="5123" w:type="dxa"/>
            <w:tcBorders/>
            <w:vAlign w:val="center"/>
          </w:tcPr>
          <w:p>
            <w:pPr>
              <w:pStyle w:val="TableContents"/>
              <w:bidi w:val="0"/>
              <w:spacing w:before="0" w:after="283"/>
              <w:jc w:val="left"/>
              <w:rPr>
                <w:caps w:val="false"/>
                <w:smallCaps w:val="false"/>
              </w:rPr>
            </w:pPr>
            <w:r>
              <w:rPr>
                <w:caps w:val="false"/>
                <w:smallCaps w:val="false"/>
              </w:rPr>
              <w:t> </w:t>
            </w:r>
          </w:p>
        </w:tc>
        <w:tc>
          <w:tcPr>
            <w:tcW w:w="5082"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23" w:type="dxa"/>
            <w:tcBorders/>
            <w:vAlign w:val="center"/>
          </w:tcPr>
          <w:p>
            <w:pPr>
              <w:pStyle w:val="TableContents"/>
              <w:bidi w:val="0"/>
              <w:spacing w:before="0" w:after="283"/>
              <w:jc w:val="left"/>
              <w:rPr>
                <w:caps w:val="false"/>
                <w:smallCaps w:val="false"/>
              </w:rPr>
            </w:pPr>
            <w:r>
              <w:rPr>
                <w:caps w:val="false"/>
                <w:smallCaps w:val="false"/>
              </w:rPr>
              <w:t> </w:t>
            </w:r>
          </w:p>
        </w:tc>
        <w:tc>
          <w:tcPr>
            <w:tcW w:w="5082"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1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Principal to be converted:</w:t>
            </w:r>
          </w:p>
        </w:tc>
        <w:tc>
          <w:tcPr>
            <w:tcW w:w="5082" w:type="dxa"/>
            <w:gridSpan w:val="2"/>
            <w:tcBorders/>
            <w:vAlign w:val="center"/>
          </w:tcPr>
          <w:p>
            <w:pPr>
              <w:pStyle w:val="TableContents"/>
              <w:bidi w:val="0"/>
              <w:spacing w:before="0" w:after="283"/>
              <w:jc w:val="left"/>
              <w:rPr>
                <w:sz w:val="4"/>
                <w:szCs w:val="4"/>
              </w:rPr>
            </w:pPr>
            <w:r>
              <w:rPr>
                <w:sz w:val="4"/>
                <w:szCs w:val="4"/>
              </w:rPr>
            </w:r>
          </w:p>
        </w:tc>
      </w:tr>
      <w:tr>
        <w:trPr/>
        <w:tc>
          <w:tcPr>
            <w:tcW w:w="5123" w:type="dxa"/>
            <w:tcBorders/>
            <w:vAlign w:val="center"/>
          </w:tcPr>
          <w:p>
            <w:pPr>
              <w:pStyle w:val="TableContents"/>
              <w:bidi w:val="0"/>
              <w:spacing w:before="0" w:after="283"/>
              <w:jc w:val="left"/>
              <w:rPr>
                <w:caps w:val="false"/>
                <w:smallCaps w:val="false"/>
              </w:rPr>
            </w:pPr>
            <w:r>
              <w:rPr>
                <w:caps w:val="false"/>
                <w:smallCaps w:val="false"/>
              </w:rPr>
              <w:t> </w:t>
            </w:r>
          </w:p>
        </w:tc>
        <w:tc>
          <w:tcPr>
            <w:tcW w:w="5082"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23" w:type="dxa"/>
            <w:tcBorders/>
            <w:vAlign w:val="center"/>
          </w:tcPr>
          <w:p>
            <w:pPr>
              <w:pStyle w:val="TableContents"/>
              <w:bidi w:val="0"/>
              <w:spacing w:before="0" w:after="283"/>
              <w:jc w:val="left"/>
              <w:rPr>
                <w:caps w:val="false"/>
                <w:smallCaps w:val="false"/>
              </w:rPr>
            </w:pPr>
            <w:r>
              <w:rPr>
                <w:caps w:val="false"/>
                <w:smallCaps w:val="false"/>
              </w:rPr>
              <w:t> </w:t>
            </w:r>
          </w:p>
        </w:tc>
        <w:tc>
          <w:tcPr>
            <w:tcW w:w="5082"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1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accrued and unpaid Interest and accrued and</w:t>
              <w:br/>
              <w:t>unpaid Late Charges with respect to such portion of the</w:t>
              <w:br/>
              <w:t xml:space="preserve">Aggregate Principal and such Aggregate Interest to be </w:t>
              <w:br/>
              <w:t>converted:</w:t>
            </w:r>
          </w:p>
        </w:tc>
        <w:tc>
          <w:tcPr>
            <w:tcW w:w="5082"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123" w:type="dxa"/>
            <w:tcBorders/>
            <w:vAlign w:val="center"/>
          </w:tcPr>
          <w:p>
            <w:pPr>
              <w:pStyle w:val="TableContents"/>
              <w:bidi w:val="0"/>
              <w:spacing w:before="0" w:after="283"/>
              <w:jc w:val="left"/>
              <w:rPr>
                <w:caps w:val="false"/>
                <w:smallCaps w:val="false"/>
              </w:rPr>
            </w:pPr>
            <w:r>
              <w:rPr>
                <w:caps w:val="false"/>
                <w:smallCaps w:val="false"/>
              </w:rPr>
              <w:t> </w:t>
            </w:r>
          </w:p>
        </w:tc>
        <w:tc>
          <w:tcPr>
            <w:tcW w:w="5082"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23" w:type="dxa"/>
            <w:tcBorders/>
            <w:vAlign w:val="center"/>
          </w:tcPr>
          <w:p>
            <w:pPr>
              <w:pStyle w:val="TableContents"/>
              <w:bidi w:val="0"/>
              <w:spacing w:before="0" w:after="283"/>
              <w:jc w:val="left"/>
              <w:rPr>
                <w:caps w:val="false"/>
                <w:smallCaps w:val="false"/>
              </w:rPr>
            </w:pPr>
            <w:r>
              <w:rPr>
                <w:caps w:val="false"/>
                <w:smallCaps w:val="false"/>
              </w:rPr>
              <w:t> </w:t>
            </w:r>
          </w:p>
        </w:tc>
        <w:tc>
          <w:tcPr>
            <w:tcW w:w="5082"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1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CONVERSION AMOUNT TO BE CONVERTED:</w:t>
            </w:r>
          </w:p>
        </w:tc>
        <w:tc>
          <w:tcPr>
            <w:tcW w:w="5082"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p>
        </w:tc>
      </w:tr>
      <w:tr>
        <w:trPr/>
        <w:tc>
          <w:tcPr>
            <w:tcW w:w="5123" w:type="dxa"/>
            <w:tcBorders/>
            <w:vAlign w:val="center"/>
          </w:tcPr>
          <w:p>
            <w:pPr>
              <w:pStyle w:val="TableContents"/>
              <w:bidi w:val="0"/>
              <w:spacing w:before="0" w:after="283"/>
              <w:jc w:val="left"/>
              <w:rPr>
                <w:caps w:val="false"/>
                <w:smallCaps w:val="false"/>
              </w:rPr>
            </w:pPr>
            <w:r>
              <w:rPr>
                <w:caps w:val="false"/>
                <w:smallCaps w:val="false"/>
              </w:rPr>
              <w:t> </w:t>
            </w:r>
          </w:p>
        </w:tc>
        <w:tc>
          <w:tcPr>
            <w:tcW w:w="5082"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23" w:type="dxa"/>
            <w:tcBorders/>
            <w:vAlign w:val="center"/>
          </w:tcPr>
          <w:p>
            <w:pPr>
              <w:pStyle w:val="TableContents"/>
              <w:bidi w:val="0"/>
              <w:spacing w:before="0" w:after="283"/>
              <w:jc w:val="left"/>
              <w:rPr>
                <w:caps w:val="false"/>
                <w:smallCaps w:val="false"/>
              </w:rPr>
            </w:pPr>
            <w:r>
              <w:rPr>
                <w:caps w:val="false"/>
                <w:smallCaps w:val="false"/>
              </w:rPr>
              <w:t> </w:t>
            </w:r>
          </w:p>
        </w:tc>
        <w:tc>
          <w:tcPr>
            <w:tcW w:w="5082"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1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Price:</w:t>
            </w:r>
          </w:p>
        </w:tc>
        <w:tc>
          <w:tcPr>
            <w:tcW w:w="5082" w:type="dxa"/>
            <w:gridSpan w:val="2"/>
            <w:tcBorders/>
            <w:vAlign w:val="center"/>
          </w:tcPr>
          <w:p>
            <w:pPr>
              <w:pStyle w:val="TableContents"/>
              <w:bidi w:val="0"/>
              <w:spacing w:before="0" w:after="283"/>
              <w:jc w:val="left"/>
              <w:rPr>
                <w:sz w:val="4"/>
                <w:szCs w:val="4"/>
              </w:rPr>
            </w:pPr>
            <w:r>
              <w:rPr>
                <w:sz w:val="4"/>
                <w:szCs w:val="4"/>
              </w:rPr>
            </w:r>
          </w:p>
        </w:tc>
      </w:tr>
      <w:tr>
        <w:trPr/>
        <w:tc>
          <w:tcPr>
            <w:tcW w:w="5123" w:type="dxa"/>
            <w:tcBorders/>
            <w:vAlign w:val="center"/>
          </w:tcPr>
          <w:p>
            <w:pPr>
              <w:pStyle w:val="TableContents"/>
              <w:bidi w:val="0"/>
              <w:spacing w:before="0" w:after="283"/>
              <w:jc w:val="left"/>
              <w:rPr>
                <w:caps w:val="false"/>
                <w:smallCaps w:val="false"/>
              </w:rPr>
            </w:pPr>
            <w:r>
              <w:rPr>
                <w:caps w:val="false"/>
                <w:smallCaps w:val="false"/>
              </w:rPr>
              <w:t> </w:t>
            </w:r>
          </w:p>
        </w:tc>
        <w:tc>
          <w:tcPr>
            <w:tcW w:w="5082"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23" w:type="dxa"/>
            <w:tcBorders/>
            <w:vAlign w:val="center"/>
          </w:tcPr>
          <w:p>
            <w:pPr>
              <w:pStyle w:val="TableContents"/>
              <w:bidi w:val="0"/>
              <w:spacing w:before="0" w:after="283"/>
              <w:jc w:val="left"/>
              <w:rPr>
                <w:caps w:val="false"/>
                <w:smallCaps w:val="false"/>
              </w:rPr>
            </w:pPr>
            <w:r>
              <w:rPr>
                <w:caps w:val="false"/>
                <w:smallCaps w:val="false"/>
              </w:rPr>
              <w:t> </w:t>
            </w:r>
          </w:p>
        </w:tc>
        <w:tc>
          <w:tcPr>
            <w:tcW w:w="5082"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1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shares of Common Stock to be issued:</w:t>
            </w:r>
          </w:p>
        </w:tc>
        <w:tc>
          <w:tcPr>
            <w:tcW w:w="5082" w:type="dxa"/>
            <w:gridSpan w:val="2"/>
            <w:tcBorders/>
            <w:vAlign w:val="center"/>
          </w:tcPr>
          <w:p>
            <w:pPr>
              <w:pStyle w:val="TableContents"/>
              <w:bidi w:val="0"/>
              <w:spacing w:before="0" w:after="283"/>
              <w:jc w:val="left"/>
              <w:rPr>
                <w:sz w:val="4"/>
                <w:szCs w:val="4"/>
              </w:rPr>
            </w:pPr>
            <w:r>
              <w:rPr>
                <w:sz w:val="4"/>
                <w:szCs w:val="4"/>
              </w:rPr>
            </w:r>
          </w:p>
        </w:tc>
      </w:tr>
      <w:tr>
        <w:trPr/>
        <w:tc>
          <w:tcPr>
            <w:tcW w:w="5123" w:type="dxa"/>
            <w:tcBorders/>
            <w:vAlign w:val="center"/>
          </w:tcPr>
          <w:p>
            <w:pPr>
              <w:pStyle w:val="TableContents"/>
              <w:bidi w:val="0"/>
              <w:spacing w:before="0" w:after="283"/>
              <w:jc w:val="left"/>
              <w:rPr>
                <w:caps w:val="false"/>
                <w:smallCaps w:val="false"/>
              </w:rPr>
            </w:pPr>
            <w:r>
              <w:rPr>
                <w:caps w:val="false"/>
                <w:smallCaps w:val="false"/>
              </w:rPr>
              <w:t> </w:t>
            </w:r>
          </w:p>
        </w:tc>
        <w:tc>
          <w:tcPr>
            <w:tcW w:w="5082"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5123" w:type="dxa"/>
            <w:tcBorders/>
            <w:vAlign w:val="center"/>
          </w:tcPr>
          <w:p>
            <w:pPr>
              <w:pStyle w:val="TableContents"/>
              <w:bidi w:val="0"/>
              <w:spacing w:before="0" w:after="283"/>
              <w:jc w:val="left"/>
              <w:rPr>
                <w:caps w:val="false"/>
                <w:smallCaps w:val="false"/>
              </w:rPr>
            </w:pPr>
            <w:r>
              <w:rPr>
                <w:caps w:val="false"/>
                <w:smallCaps w:val="false"/>
              </w:rPr>
              <w:t> </w:t>
            </w:r>
          </w:p>
        </w:tc>
        <w:tc>
          <w:tcPr>
            <w:tcW w:w="5082"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51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specify the amount of Restricted Principal (if any) being converted:</w:t>
            </w:r>
          </w:p>
        </w:tc>
        <w:tc>
          <w:tcPr>
            <w:tcW w:w="5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w:t>
            </w:r>
          </w:p>
        </w:tc>
      </w:tr>
      <w:tr>
        <w:trPr/>
        <w:tc>
          <w:tcPr>
            <w:tcW w:w="518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501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specify the amount of Restricted OID (if any) being converted:</w:t>
            </w:r>
          </w:p>
        </w:tc>
        <w:tc>
          <w:tcPr>
            <w:tcW w:w="5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w:t>
            </w:r>
          </w:p>
        </w:tc>
      </w:tr>
      <w:tr>
        <w:trPr/>
        <w:tc>
          <w:tcPr>
            <w:tcW w:w="5123"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501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20</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issue the Common Stock into which the Note is being converted to Holder, or for its benefit, as follows:</w:t>
      </w:r>
    </w:p>
    <w:p>
      <w:pPr>
        <w:pStyle w:val="TextBody"/>
        <w:bidi w:val="0"/>
        <w:spacing w:before="0" w:after="0"/>
        <w:ind w:left="0" w:right="0" w:hanging="0"/>
        <w:jc w:val="left"/>
        <w:rPr>
          <w:caps w:val="false"/>
          <w:smallCaps w:val="false"/>
        </w:rPr>
      </w:pPr>
      <w:r>
        <w:rPr>
          <w:caps w:val="false"/>
          <w:smallCaps w:val="false"/>
        </w:rPr>
        <w:t> </w:t>
      </w:r>
    </w:p>
    <w:tbl>
      <w:tblPr>
        <w:tblW w:w="9640" w:type="dxa"/>
        <w:jc w:val="left"/>
        <w:tblInd w:w="0" w:type="dxa"/>
        <w:tblLayout w:type="fixed"/>
        <w:tblCellMar>
          <w:top w:w="0" w:type="dxa"/>
          <w:left w:w="0" w:type="dxa"/>
          <w:bottom w:w="0" w:type="dxa"/>
          <w:right w:w="0" w:type="dxa"/>
        </w:tblCellMar>
      </w:tblPr>
      <w:tblGrid>
        <w:gridCol w:w="1475"/>
        <w:gridCol w:w="8165"/>
      </w:tblGrid>
      <w:tr>
        <w:trPr/>
        <w:tc>
          <w:tcPr>
            <w:tcW w:w="1475" w:type="dxa"/>
            <w:tcBorders/>
            <w:vAlign w:val="center"/>
          </w:tcPr>
          <w:p>
            <w:pPr>
              <w:pStyle w:val="TableContents"/>
              <w:bidi w:val="0"/>
              <w:spacing w:before="0" w:after="283"/>
              <w:jc w:val="left"/>
              <w:rPr>
                <w:caps w:val="false"/>
                <w:smallCaps w:val="false"/>
              </w:rPr>
            </w:pPr>
            <w:r>
              <w:rPr>
                <w:caps w:val="false"/>
                <w:smallCaps w:val="false"/>
              </w:rPr>
              <w:t>☐</w:t>
            </w:r>
          </w:p>
        </w:tc>
        <w:tc>
          <w:tcPr>
            <w:tcW w:w="8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here if requesting delivery as a certificate to the following name and to the following address:</w:t>
            </w:r>
          </w:p>
        </w:tc>
      </w:tr>
      <w:tr>
        <w:trPr/>
        <w:tc>
          <w:tcPr>
            <w:tcW w:w="1475" w:type="dxa"/>
            <w:tcBorders/>
            <w:vAlign w:val="center"/>
          </w:tcPr>
          <w:p>
            <w:pPr>
              <w:pStyle w:val="TableContents"/>
              <w:bidi w:val="0"/>
              <w:spacing w:before="0" w:after="283"/>
              <w:jc w:val="left"/>
              <w:rPr>
                <w:caps w:val="false"/>
                <w:smallCaps w:val="false"/>
              </w:rPr>
            </w:pPr>
            <w:r>
              <w:rPr>
                <w:caps w:val="false"/>
                <w:smallCaps w:val="false"/>
              </w:rPr>
              <w:t> </w:t>
            </w:r>
          </w:p>
        </w:tc>
        <w:tc>
          <w:tcPr>
            <w:tcW w:w="81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to:</w:t>
            </w:r>
          </w:p>
        </w:tc>
        <w:tc>
          <w:tcPr>
            <w:tcW w:w="81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caps w:val="false"/>
                <w:smallCaps w:val="false"/>
              </w:rPr>
            </w:pPr>
            <w:r>
              <w:rPr>
                <w:caps w:val="false"/>
                <w:smallCaps w:val="false"/>
              </w:rPr>
              <w:t> </w:t>
            </w:r>
          </w:p>
        </w:tc>
        <w:tc>
          <w:tcPr>
            <w:tcW w:w="81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caps w:val="false"/>
                <w:smallCaps w:val="false"/>
              </w:rPr>
            </w:pPr>
            <w:r>
              <w:rPr>
                <w:caps w:val="false"/>
                <w:smallCaps w:val="false"/>
              </w:rPr>
              <w:t>☐</w:t>
            </w:r>
          </w:p>
        </w:tc>
        <w:tc>
          <w:tcPr>
            <w:tcW w:w="81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here if requesting delivery by Deposit/Withdrawal at Custodian as follows:</w:t>
            </w:r>
          </w:p>
        </w:tc>
      </w:tr>
      <w:tr>
        <w:trPr/>
        <w:tc>
          <w:tcPr>
            <w:tcW w:w="1475" w:type="dxa"/>
            <w:tcBorders/>
            <w:vAlign w:val="center"/>
          </w:tcPr>
          <w:p>
            <w:pPr>
              <w:pStyle w:val="TableContents"/>
              <w:bidi w:val="0"/>
              <w:spacing w:before="0" w:after="283"/>
              <w:jc w:val="left"/>
              <w:rPr>
                <w:caps w:val="false"/>
                <w:smallCaps w:val="false"/>
              </w:rPr>
            </w:pPr>
            <w:r>
              <w:rPr>
                <w:caps w:val="false"/>
                <w:smallCaps w:val="false"/>
              </w:rPr>
              <w:t> </w:t>
            </w:r>
          </w:p>
        </w:tc>
        <w:tc>
          <w:tcPr>
            <w:tcW w:w="81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Participant:</w:t>
            </w:r>
          </w:p>
        </w:tc>
        <w:tc>
          <w:tcPr>
            <w:tcW w:w="8165"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283"/>
              <w:jc w:val="left"/>
              <w:rPr>
                <w:caps w:val="false"/>
                <w:smallCaps w:val="false"/>
              </w:rPr>
            </w:pPr>
            <w:r>
              <w:rPr>
                <w:caps w:val="false"/>
                <w:smallCaps w:val="false"/>
              </w:rPr>
              <w:t> </w:t>
            </w:r>
          </w:p>
        </w:tc>
        <w:tc>
          <w:tcPr>
            <w:tcW w:w="81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caps w:val="false"/>
                <w:smallCaps w:val="false"/>
              </w:rPr>
            </w:pPr>
            <w:r>
              <w:rPr>
                <w:caps w:val="false"/>
                <w:smallCaps w:val="false"/>
              </w:rPr>
              <w:t> </w:t>
            </w:r>
          </w:p>
        </w:tc>
        <w:tc>
          <w:tcPr>
            <w:tcW w:w="81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Number:</w:t>
            </w:r>
          </w:p>
        </w:tc>
        <w:tc>
          <w:tcPr>
            <w:tcW w:w="8165"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283"/>
              <w:jc w:val="left"/>
              <w:rPr>
                <w:caps w:val="false"/>
                <w:smallCaps w:val="false"/>
              </w:rPr>
            </w:pPr>
            <w:r>
              <w:rPr>
                <w:caps w:val="false"/>
                <w:smallCaps w:val="false"/>
              </w:rPr>
              <w:t> </w:t>
            </w:r>
          </w:p>
        </w:tc>
        <w:tc>
          <w:tcPr>
            <w:tcW w:w="81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caps w:val="false"/>
                <w:smallCaps w:val="false"/>
              </w:rPr>
            </w:pPr>
            <w:r>
              <w:rPr>
                <w:caps w:val="false"/>
                <w:smallCaps w:val="false"/>
              </w:rPr>
              <w:t> </w:t>
            </w:r>
          </w:p>
        </w:tc>
        <w:tc>
          <w:tcPr>
            <w:tcW w:w="81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Number:</w:t>
            </w:r>
          </w:p>
        </w:tc>
        <w:tc>
          <w:tcPr>
            <w:tcW w:w="8165"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bidi w:val="0"/>
              <w:spacing w:before="0" w:after="283"/>
              <w:jc w:val="left"/>
              <w:rPr>
                <w:caps w:val="false"/>
                <w:smallCaps w:val="false"/>
              </w:rPr>
            </w:pPr>
            <w:r>
              <w:rPr>
                <w:caps w:val="false"/>
                <w:smallCaps w:val="false"/>
              </w:rPr>
              <w:t> </w:t>
            </w:r>
          </w:p>
        </w:tc>
        <w:tc>
          <w:tcPr>
            <w:tcW w:w="816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caps w:val="false"/>
                <w:smallCaps w:val="false"/>
              </w:rPr>
            </w:pPr>
            <w:r>
              <w:rPr>
                <w:caps w:val="false"/>
                <w:smallCaps w:val="false"/>
              </w:rPr>
              <w:t> </w:t>
            </w:r>
          </w:p>
        </w:tc>
        <w:tc>
          <w:tcPr>
            <w:tcW w:w="81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816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Registered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Registered Holder</w:t>
      </w:r>
    </w:p>
    <w:p>
      <w:pPr>
        <w:pStyle w:val="TextBody"/>
        <w:bidi w:val="0"/>
        <w:spacing w:before="0" w:after="0"/>
        <w:ind w:left="0" w:right="0" w:hanging="0"/>
        <w:jc w:val="left"/>
        <w:rPr>
          <w:caps w:val="false"/>
          <w:smallCaps w:val="false"/>
        </w:rPr>
      </w:pPr>
      <w:r>
        <w:rPr>
          <w:caps w:val="false"/>
          <w:smallCaps w:val="false"/>
        </w:rPr>
        <w:t> </w:t>
      </w:r>
    </w:p>
    <w:tbl>
      <w:tblPr>
        <w:tblW w:w="1399" w:type="dxa"/>
        <w:jc w:val="left"/>
        <w:tblInd w:w="0" w:type="dxa"/>
        <w:tblLayout w:type="fixed"/>
        <w:tblCellMar>
          <w:top w:w="0" w:type="dxa"/>
          <w:left w:w="0" w:type="dxa"/>
          <w:bottom w:w="0" w:type="dxa"/>
          <w:right w:w="0" w:type="dxa"/>
        </w:tblCellMar>
      </w:tblPr>
      <w:tblGrid>
        <w:gridCol w:w="1085"/>
        <w:gridCol w:w="239"/>
        <w:gridCol w:w="75"/>
      </w:tblGrid>
      <w:tr>
        <w:trPr/>
        <w:tc>
          <w:tcPr>
            <w:tcW w:w="10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ID: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2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21</w:t>
      </w: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 acknowledges this Conversion Notice, (b) certifies that the above indicated number of shares of Common Stock [are][are not] eligible to be resold by the Holder either (i) pursuant to Rule 144 (subject to the Holder’s execution and delivery to the Company of a customary 144 representation letter) or (ii) an effective and available registration statement and (c) hereby directs to issue the above indicated number of shares of Common Stock in accordance with the Transfer Agent Instructions dated           , 20__ from the Company and acknowledged and agreed to by ___________________.</w:t>
      </w:r>
    </w:p>
    <w:tbl>
      <w:tblPr>
        <w:tblW w:w="2059" w:type="dxa"/>
        <w:jc w:val="left"/>
        <w:tblInd w:w="0" w:type="dxa"/>
        <w:tblLayout w:type="fixed"/>
        <w:tblCellMar>
          <w:top w:w="0" w:type="dxa"/>
          <w:left w:w="0" w:type="dxa"/>
          <w:bottom w:w="0" w:type="dxa"/>
          <w:right w:w="0" w:type="dxa"/>
        </w:tblCellMar>
      </w:tblPr>
      <w:tblGrid>
        <w:gridCol w:w="1628"/>
        <w:gridCol w:w="356"/>
        <w:gridCol w:w="75"/>
      </w:tblGrid>
      <w:tr>
        <w:trPr/>
        <w:tc>
          <w:tcPr>
            <w:tcW w:w="19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4"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56"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8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rFonts w:ascii="Times New Roman;Times;Serif" w:hAnsi="Times New Roman;Times;Serif"/>
          <w:sz w:val="20"/>
          <w:bdr w:val="single" w:sz="8" w:space="1" w:color="000000"/>
        </w:rPr>
        <w:t>22</w:t>
      </w: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2" w:name="tm246736d5_ex10-3.htm"/>
      <w:bookmarkStart w:id="33" w:name="kstm246736d5_ex103"/>
      <w:bookmarkEnd w:id="32"/>
      <w:bookmarkEnd w:id="3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FORBEARANCE AND SIXTH AMENDMENT TO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FORBEARANCE AND SIXTH AMENDMENT TO CREDIT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is made as of March 1, 2024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by and among Presto Automation LLC (f/k/a E La Carte, LLC, f/k/a Ventoux Merger Sub II LLC) as Delaware limited liability company (“</w:t>
      </w:r>
      <w:r>
        <w:rPr>
          <w:rFonts w:ascii="Times New Roman;Times;Serif" w:hAnsi="Times New Roman;Times;Serif"/>
          <w:b/>
          <w:i/>
          <w:caps w:val="false"/>
          <w:smallCaps w:val="false"/>
          <w:sz w:val="20"/>
        </w:rPr>
        <w:t>Borrower</w:t>
      </w:r>
      <w:r>
        <w:rPr>
          <w:rFonts w:ascii="Times New Roman;Times;Serif" w:hAnsi="Times New Roman;Times;Serif"/>
          <w:b w:val="false"/>
          <w:i w:val="false"/>
          <w:caps w:val="false"/>
          <w:smallCaps w:val="false"/>
          <w:sz w:val="20"/>
        </w:rPr>
        <w:t>”), Presto Automation Inc. (f/k/a Ventoux CCM Acquisition Corp.), a Delaware corporation (the “</w:t>
      </w:r>
      <w:r>
        <w:rPr>
          <w:rFonts w:ascii="Times New Roman;Times;Serif" w:hAnsi="Times New Roman;Times;Serif"/>
          <w:b/>
          <w:i/>
          <w:caps w:val="false"/>
          <w:smallCaps w:val="false"/>
          <w:sz w:val="20"/>
        </w:rPr>
        <w:t>Parent</w:t>
      </w:r>
      <w:r>
        <w:rPr>
          <w:rFonts w:ascii="Times New Roman;Times;Serif" w:hAnsi="Times New Roman;Times;Serif"/>
          <w:b w:val="false"/>
          <w:i w:val="false"/>
          <w:caps w:val="false"/>
          <w:smallCaps w:val="false"/>
          <w:sz w:val="20"/>
        </w:rPr>
        <w:t>”), and Metropolitan Partners Group Administration, LLC, a Delaware limited liability company, in its capacity as administrative, agent and collateral agent (in such capacity, the “</w:t>
      </w:r>
      <w:r>
        <w:rPr>
          <w:rFonts w:ascii="Times New Roman;Times;Serif" w:hAnsi="Times New Roman;Times;Serif"/>
          <w:b/>
          <w:i/>
          <w:caps w:val="false"/>
          <w:smallCaps w:val="false"/>
          <w:sz w:val="20"/>
        </w:rPr>
        <w:t>Agent</w:t>
      </w:r>
      <w:r>
        <w:rPr>
          <w:rFonts w:ascii="Times New Roman;Times;Serif" w:hAnsi="Times New Roman;Times;Serif"/>
          <w:b w:val="false"/>
          <w:i w:val="false"/>
          <w:caps w:val="false"/>
          <w:smallCaps w:val="false"/>
          <w:sz w:val="20"/>
        </w:rPr>
        <w:t xml:space="preserve">”) under the Credit Agreement </w:t>
      </w:r>
      <w:r>
        <w:rPr>
          <w:rFonts w:ascii="Times New Roman;Times;Serif" w:hAnsi="Times New Roman;Times;Serif"/>
          <w:b w:val="false"/>
          <w:i w:val="false"/>
          <w:caps w:val="false"/>
          <w:smallCaps w:val="false"/>
          <w:sz w:val="20"/>
          <w:shd w:fill="FFFFFF" w:val="clear"/>
        </w:rPr>
        <w:t>(as defined below), the Lenders (as defined below) signatory hereto, and, solely for purposes of Sections 4 through 6, 11, 18, 20, and 22 through 24, the Significant Stakeholders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Borrower and Parent are parties to that certain Credit Agreement dated September 21, 2022, by and between Borrower, Parent, each other Loan Party thereto, Agent, and the financial institutions party thereto from time to time (the “</w:t>
      </w:r>
      <w:r>
        <w:rPr>
          <w:rFonts w:ascii="Times New Roman;Times;Serif" w:hAnsi="Times New Roman;Times;Serif"/>
          <w:b/>
          <w:i/>
          <w:caps w:val="false"/>
          <w:smallCaps w:val="false"/>
          <w:sz w:val="20"/>
        </w:rPr>
        <w:t>Lender</w:t>
      </w:r>
      <w:r>
        <w:rPr>
          <w:rFonts w:ascii="Times New Roman;Times;Serif" w:hAnsi="Times New Roman;Times;Serif"/>
          <w:b w:val="false"/>
          <w:i w:val="false"/>
          <w:caps w:val="false"/>
          <w:smallCaps w:val="false"/>
          <w:sz w:val="20"/>
        </w:rPr>
        <w:t>s”), as amended by the Waiver and First Amendment to Credit Agreement dated March 31, 2023, Second Amendment to Credit Agreement dated May 25, 2023, Third Amendment to Credit Agreement dated October 10, 2023, Forbearance and Fourth Amendment to Credit Agreement, dated as of January 22, 2024 and Fifth Amendment to Credit Agreement and Acknowledgement, dated as of January 30, 2024 (collectively, and as amended, restated, supplemented or otherwise modified from time to time, the “</w:t>
      </w:r>
      <w:r>
        <w:rPr>
          <w:rFonts w:ascii="Times New Roman;Times;Serif" w:hAnsi="Times New Roman;Times;Serif"/>
          <w:b/>
          <w:i/>
          <w:caps w:val="false"/>
          <w:smallCaps w:val="false"/>
          <w:sz w:val="20"/>
        </w:rPr>
        <w:t>Credit Agreement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As of the date hereof, Event of Defaults have occurred and are continuing under the Credit Agreement set forth on </w:t>
      </w:r>
      <w:r>
        <w:rPr>
          <w:rFonts w:ascii="Times New Roman;Times;Serif" w:hAnsi="Times New Roman;Times;Serif"/>
          <w:b/>
          <w:i w:val="false"/>
          <w:caps w:val="false"/>
          <w:smallCaps w:val="false"/>
          <w:sz w:val="20"/>
        </w:rPr>
        <w:t>Schedule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Forbearance Defaults</w:t>
      </w:r>
      <w:r>
        <w:rPr>
          <w:rFonts w:ascii="Times New Roman;Times;Serif" w:hAnsi="Times New Roman;Times;Serif"/>
          <w:b w:val="false"/>
          <w:i w:val="false"/>
          <w:caps w:val="false"/>
          <w:smallCaps w:val="false"/>
          <w:sz w:val="20"/>
        </w:rPr>
        <w:t>”). As of the date hereof, the Forbearance Defaults have not been waived, and are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Subject to the satisfaction of the conditions set forth herein, the Agent and the Lenders are willing to forbear for a limited period from further exercising their rights and remedies against the Loan Parties until the Forbearance Termination Date (as defined below), solely upon the terms and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consideration of the terms, conditions and covenants set forth below, and other good and valuable consideration, </w:t>
      </w:r>
      <w:r>
        <w:rPr>
          <w:rFonts w:ascii="Times New Roman;Times;Serif" w:hAnsi="Times New Roman;Times;Serif"/>
          <w:b w:val="false"/>
          <w:i w:val="false"/>
          <w:caps w:val="false"/>
          <w:smallCaps w:val="false"/>
          <w:color w:val="231F1F"/>
          <w:sz w:val="20"/>
        </w:rPr>
        <w:t>the receipt and sufficiency of which are hereby acknowledged, the parties, intending to be legally bound hereby, promise and agree as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Recitals Incorporated.</w:t>
      </w:r>
      <w:r>
        <w:rPr>
          <w:rFonts w:ascii="Times New Roman;Times;Serif" w:hAnsi="Times New Roman;Times;Serif"/>
          <w:b w:val="false"/>
          <w:i w:val="false"/>
          <w:caps w:val="false"/>
          <w:smallCaps w:val="false"/>
          <w:sz w:val="20"/>
        </w:rPr>
        <w:t xml:space="preserve"> The recitals and prefatory phrases and paragraphs set forth above are hereby incorporated in full and made a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Acknowledgment of Obligations.</w:t>
      </w:r>
      <w:r>
        <w:rPr>
          <w:rFonts w:ascii="Times New Roman;Times;Serif" w:hAnsi="Times New Roman;Times;Serif"/>
          <w:b w:val="false"/>
          <w:i w:val="false"/>
          <w:caps w:val="false"/>
          <w:smallCaps w:val="false"/>
          <w:sz w:val="20"/>
        </w:rPr>
        <w:t xml:space="preserve"> Each of the Loan Parties signatory hereto hereby acknowledges, confirms, and agrees that as of the close of business on February 28, 2024, the Loan Parties are indebted to the Lenders in the principal amount of $52,413,315.84 plus accrued interest, fees, costs, expenses and other charges, under the Credit Agreement and other Loan Documents (the “</w:t>
      </w:r>
      <w:r>
        <w:rPr>
          <w:rFonts w:ascii="Times New Roman;Times;Serif" w:hAnsi="Times New Roman;Times;Serif"/>
          <w:b/>
          <w:i/>
          <w:caps w:val="false"/>
          <w:smallCaps w:val="false"/>
          <w:sz w:val="20"/>
        </w:rPr>
        <w:t>Outstanding Balance</w:t>
      </w:r>
      <w:r>
        <w:rPr>
          <w:rFonts w:ascii="Times New Roman;Times;Serif" w:hAnsi="Times New Roman;Times;Serif"/>
          <w:b w:val="false"/>
          <w:i w:val="false"/>
          <w:caps w:val="false"/>
          <w:smallCaps w:val="false"/>
          <w:sz w:val="20"/>
        </w:rPr>
        <w:t>”). The Outstanding Balance, together with interest accruing thereon, and all fees, costs, expenses, and other charges now or hereafter payable by the Loan Parties to Lenders pursuant to the Loan Documents and hereunder, is unconditionally owing by the Loan Parties to the Lenders, without offset, defense, or counterclaim of any kind, nature, or description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All capitalized terms not otherwise defined in this Agreement have the definitions attributable to them in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Acknowledgment of Security Interests.</w:t>
      </w:r>
      <w:r>
        <w:rPr>
          <w:rFonts w:ascii="Times New Roman;Times;Serif" w:hAnsi="Times New Roman;Times;Serif"/>
          <w:b w:val="false"/>
          <w:i w:val="false"/>
          <w:caps w:val="false"/>
          <w:smallCaps w:val="false"/>
          <w:sz w:val="20"/>
        </w:rPr>
        <w:t xml:space="preserve"> Each of the Loan Parties signatory hereto hereby acknowledges, confirms, and agrees that the Agent, for the ratable benefit of itself and the Lenders, has and shall continue to have valid, enforceable, and perfected first-priority Liens upon and security interests in the Collateral pursuant to the Security Documents and any other Loan Document pursuant to which Agent is granted a Lien, and the validity and perfection of such Liens and security interests shall remain unaffected by the parties’ execution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Binding Effect of Documents.</w:t>
      </w:r>
      <w:r>
        <w:rPr>
          <w:rFonts w:ascii="Times New Roman;Times;Serif" w:hAnsi="Times New Roman;Times;Serif"/>
          <w:b w:val="false"/>
          <w:i w:val="false"/>
          <w:caps w:val="false"/>
          <w:smallCaps w:val="false"/>
          <w:sz w:val="20"/>
        </w:rPr>
        <w:t xml:space="preserve"> Each of the parties signatory hereto hereby acknowledges, confirms, and agrees that: (i) each of the Loan Documents to which it is a party has been duly executed and delivered to Agent and the Lenders by such Loan Party, and each is and shall remain in full force and effect as of the Effective Date; (ii) the agreements and obligations of such Loan Party contained in the Loan Documents and in this Agreement constitute the legal, valid, and binding obligations of such Loan Party, enforceable against it in accordance with their respective terms, and such Loan Party has no valid defense to the enforcement of the obligations; and (iii) the Agent and the Lenders are entitled to the rights, remedies, and benefits provided for under the Loan Documents and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Acknowledgment of Forbearance Defaults.</w:t>
      </w:r>
      <w:r>
        <w:rPr>
          <w:rFonts w:ascii="Times New Roman;Times;Serif" w:hAnsi="Times New Roman;Times;Serif"/>
          <w:b w:val="false"/>
          <w:i w:val="false"/>
          <w:caps w:val="false"/>
          <w:smallCaps w:val="false"/>
          <w:sz w:val="20"/>
        </w:rPr>
        <w:t xml:space="preserve"> Each of the parties signatory hereto hereby acknowledges and agrees that (i) the Forbearance Defaults have occurred and are continuing, (ii) each of the Forbearance Defaults constitute an “Event of Default” under the Loan Documents, and (iii) as a result of such Events of Default, the Agent and the Lenders are and have been entitled to exercise their respective rights and remedies under the Loan Documents, applicable law, or otherwise. Each of the Loan Parties further represents and warrants that as of the Effective Date, no other Events of Default under the Loan Documents exist. The Agent and the Lenders have not waived and do not intend to waive any Forbearance Default, or any other Default or Event of Default which may exist under any Loan Document, and nothing contained herein or the transactions contemplated hereby shall be deemed to constitute such a waiver.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Representations of Loan Parties.</w:t>
      </w:r>
      <w:r>
        <w:rPr>
          <w:rFonts w:ascii="Times New Roman;Times;Serif" w:hAnsi="Times New Roman;Times;Serif"/>
          <w:b w:val="false"/>
          <w:i w:val="false"/>
          <w:caps w:val="false"/>
          <w:smallCaps w:val="false"/>
          <w:sz w:val="20"/>
        </w:rPr>
        <w:t xml:space="preserve"> Each Loan Party, and, </w:t>
      </w:r>
      <w:r>
        <w:rPr>
          <w:rFonts w:ascii="Times New Roman;Times;Serif" w:hAnsi="Times New Roman;Times;Serif"/>
          <w:b w:val="false"/>
          <w:i w:val="false"/>
          <w:caps w:val="false"/>
          <w:smallCaps w:val="false"/>
          <w:sz w:val="20"/>
          <w:shd w:fill="FFFFFF" w:val="clear"/>
        </w:rPr>
        <w:t>with respect to clauses (ii) and (iii), e</w:t>
      </w:r>
      <w:r>
        <w:rPr>
          <w:rFonts w:ascii="Times New Roman;Times;Serif" w:hAnsi="Times New Roman;Times;Serif"/>
          <w:b w:val="false"/>
          <w:i w:val="false"/>
          <w:caps w:val="false"/>
          <w:smallCaps w:val="false"/>
          <w:sz w:val="20"/>
        </w:rPr>
        <w:t>ach Significant Stakeholder (for itself only, and not for any Loan Party), hereby represents and warrants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Loan Document Representations</w:t>
      </w:r>
      <w:r>
        <w:rPr>
          <w:rFonts w:ascii="Times New Roman;Times;Serif" w:hAnsi="Times New Roman;Times;Serif"/>
          <w:b w:val="false"/>
          <w:i w:val="false"/>
          <w:caps w:val="false"/>
          <w:smallCaps w:val="false"/>
          <w:sz w:val="20"/>
        </w:rPr>
        <w:t xml:space="preserve">. Each of the representations and warranties made by or on behalf of such Loan Party to the Agent and Lenders in any of the Loan Documents was true and correct when made, and is true and correct in all material respects on and as of the date hereof (except for (x) representations and warranties which are already subject to materiality, which shall be true and correct in all respects, and those referring to an earlier date, which shall be true and correct in all material respects as of such date, (y) any representations and warranties that no default or Event of Default exists, solely with respect to the Forbearance Defaults, and (z) those items specifically identified on </w:t>
      </w:r>
      <w:r>
        <w:rPr>
          <w:rFonts w:ascii="Times New Roman;Times;Serif" w:hAnsi="Times New Roman;Times;Serif"/>
          <w:b/>
          <w:i w:val="false"/>
          <w:caps w:val="false"/>
          <w:smallCaps w:val="false"/>
          <w:sz w:val="20"/>
        </w:rPr>
        <w:t>Schedule B</w:t>
      </w:r>
      <w:r>
        <w:rPr>
          <w:rFonts w:ascii="Times New Roman;Times;Serif" w:hAnsi="Times New Roman;Times;Serif"/>
          <w:b w:val="false"/>
          <w:i w:val="false"/>
          <w:caps w:val="false"/>
          <w:smallCaps w:val="false"/>
          <w:sz w:val="20"/>
        </w:rPr>
        <w:t xml:space="preserve"> hereto), with the same full force and effect as if each of such representations and warranties had been made by such Loan Party on the Effective Date and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Binding Effect of Documents</w:t>
      </w:r>
      <w:r>
        <w:rPr>
          <w:rFonts w:ascii="Times New Roman;Times;Serif" w:hAnsi="Times New Roman;Times;Serif"/>
          <w:b w:val="false"/>
          <w:i w:val="false"/>
          <w:caps w:val="false"/>
          <w:smallCaps w:val="false"/>
          <w:sz w:val="20"/>
        </w:rPr>
        <w:t>. This Agreement has been duly authorized, executed, and delivered to the Agent and the Lenders by such Loan Party or such Significant Stakeholder, as applicable, and is enforceable in accordance with its terms and is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No Conflict</w:t>
      </w:r>
      <w:r>
        <w:rPr>
          <w:rFonts w:ascii="Times New Roman;Times;Serif" w:hAnsi="Times New Roman;Times;Serif"/>
          <w:b w:val="false"/>
          <w:i w:val="false"/>
          <w:caps w:val="false"/>
          <w:smallCaps w:val="false"/>
          <w:sz w:val="20"/>
        </w:rPr>
        <w:t>. The execution, delivery, and performance of this Agreement by such Loan Party or such Significant Stakeholder, as applicable, will not violate any requirement of law or contractual obligation of such Loan Party or such Significant Stakeholder, as applicable, and will not result in, or require, the creation or imposition of any lien on any of its properties or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Forbearance.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reliance upon the undertakings, representations, warranties, and covenants of each Loan Party and each Significant Stakeholder contained in this Agreement, and subject to the terms and conditions of this Agreement and any documents or instruments executed in connection herewith, the Agent and the Lenders agree to forbear from further exercising their respective rights and remedies under the Loan Documents or applicable law in respect of or arising out of the Forbearance Defaults for the period commencing on the Effective Date and ending on the Forbearance Termination Date (as defined below) (the “</w:t>
      </w:r>
      <w:r>
        <w:rPr>
          <w:rFonts w:ascii="Times New Roman;Times;Serif" w:hAnsi="Times New Roman;Times;Serif"/>
          <w:b/>
          <w:i/>
          <w:caps w:val="false"/>
          <w:smallCaps w:val="false"/>
          <w:sz w:val="20"/>
        </w:rPr>
        <w:t>Forbearance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used herein, the “</w:t>
      </w:r>
      <w:r>
        <w:rPr>
          <w:rFonts w:ascii="Times New Roman;Times;Serif" w:hAnsi="Times New Roman;Times;Serif"/>
          <w:b/>
          <w:i/>
          <w:caps w:val="false"/>
          <w:smallCaps w:val="false"/>
          <w:sz w:val="20"/>
        </w:rPr>
        <w:t>Forbearance Termination Date</w:t>
      </w:r>
      <w:r>
        <w:rPr>
          <w:rFonts w:ascii="Times New Roman;Times;Serif" w:hAnsi="Times New Roman;Times;Serif"/>
          <w:b w:val="false"/>
          <w:i w:val="false"/>
          <w:caps w:val="false"/>
          <w:smallCaps w:val="false"/>
          <w:sz w:val="20"/>
        </w:rPr>
        <w:t xml:space="preserve">” means the date that is the earliest of: (a) April 14, 2024; (b) the date on which any Loan Party commences, or threatens in writing to commence, any litigation against the Agent or any Lender; (c) the date on which any Loan Party takes any action inconsistent with the Agent’s or any Lender’s interests in the Collateral; (d) the commencement of any Insolvency Proceeding by or against any Loan Party; (e) any amendment to the Loan Parties’ Operating Documents, or the Company’s entry into any stockholders agreement or other Operating Document, which in any way amends or alters (other than such amendments or agreements as are required in order to give effect to the provisions of this Agreement and which shall be reasonably acceptable to the Agent) (A) the composition of the Loan Parties’ Governing Bodies, including providing any stockholder or other Person with any right to designate a director (except as may approved in writing by Agent in its sole discretion), (B) the relative voting rights of members of such Governing Bodies or stockholders, or (C) the terms of the Loan Parties’ governance, (f) Paul Hastings LLP ceases, for any reason, to act as corporate counsel to the Loan Parties, (g) on the date that is three (3) days after the Effective Date, </w:t>
      </w:r>
      <w:r>
        <w:rPr>
          <w:rFonts w:ascii="Times New Roman;Times;Serif" w:hAnsi="Times New Roman;Times;Serif"/>
          <w:b w:val="false"/>
          <w:i w:val="false"/>
          <w:caps w:val="false"/>
          <w:smallCaps w:val="false"/>
          <w:sz w:val="20"/>
          <w:u w:val="single"/>
        </w:rPr>
        <w:t>if by</w:t>
      </w:r>
      <w:r>
        <w:rPr>
          <w:rFonts w:ascii="Times New Roman;Times;Serif" w:hAnsi="Times New Roman;Times;Serif"/>
          <w:b w:val="false"/>
          <w:i w:val="false"/>
          <w:caps w:val="false"/>
          <w:smallCaps w:val="false"/>
          <w:sz w:val="20"/>
        </w:rPr>
        <w:t xml:space="preserve"> that date the Loan Parties have not retained an interim or permanent resource to support capital markets activity reasonably acceptable to Agent in its sole discretion, or (h) the occurrence or existence of any Default or Event of Default hereunder or under any Loan Document, or any event or circumstance which, with notice or the passage of time, shall become an Event of Default (an “</w:t>
      </w:r>
      <w:r>
        <w:rPr>
          <w:rFonts w:ascii="Times New Roman;Times;Serif" w:hAnsi="Times New Roman;Times;Serif"/>
          <w:b/>
          <w:i/>
          <w:caps w:val="false"/>
          <w:smallCaps w:val="false"/>
          <w:sz w:val="20"/>
        </w:rPr>
        <w:t>Unmatured Default</w:t>
      </w:r>
      <w:r>
        <w:rPr>
          <w:rFonts w:ascii="Times New Roman;Times;Serif" w:hAnsi="Times New Roman;Times;Serif"/>
          <w:b w:val="false"/>
          <w:i w:val="false"/>
          <w:caps w:val="false"/>
          <w:smallCaps w:val="false"/>
          <w:sz w:val="20"/>
        </w:rPr>
        <w:t>”), other than the Forbearance Defaults. For purposes of clarity, failure of the Loan Parties to satisfy any of the covenants herein will constitute an immediate Event of Default for purposes of determining the Forbearance Termination Date. An “</w:t>
      </w:r>
      <w:r>
        <w:rPr>
          <w:rFonts w:ascii="Times New Roman;Times;Serif" w:hAnsi="Times New Roman;Times;Serif"/>
          <w:b/>
          <w:i/>
          <w:caps w:val="false"/>
          <w:smallCaps w:val="false"/>
          <w:sz w:val="20"/>
        </w:rPr>
        <w:t>Insolvency Proceeding</w:t>
      </w:r>
      <w:r>
        <w:rPr>
          <w:rFonts w:ascii="Times New Roman;Times;Serif" w:hAnsi="Times New Roman;Times;Serif"/>
          <w:b w:val="false"/>
          <w:i w:val="false"/>
          <w:caps w:val="false"/>
          <w:smallCaps w:val="false"/>
          <w:sz w:val="20"/>
        </w:rPr>
        <w:t>” means any case or proceeding commenced by or against a Person under any Debtor Relief Law, or any agreement of such Person with respect to relief available under any Debtor Relief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Immediately upon termination of the Forbearance Period the agreement of the Lenders to forbear shall automatically and without further action terminate and be of no force and effect, it being expressly agreed that the effect of such termination will be to permit the Agent and each Lender to exercise immediately all rights and remedies available to it under the Loan Documents and applicable law, including, without limitation, to accelerate all of the Obligations and impose the Default Rate, in each case without any further notice, demand, presentment, protest, passage of time, or forbearance of any kind (all of which each Loan Party hereby expressly waives).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Loan Parties understand and accept the temporary nature of the forbearance provided hereby, and the Loan Parties further acknowledge and agree that the Agent and the Lenders have given no assurances, written or oral, that they will extend such forbearance or provide waivers or amendments to the Credit Agreement or any other Loan Document. Nothing in this Forbearance Agreement constitutes a legal obligation on the Agent or any Lender to participate in any restructuring of the Credit Agreement or to execute any related documents and no such obligation shall arise except pursuant to definitive documentation acceptable to and executed by the Agent and the Lenders in their sole and absolute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In connection with and in consideration for entering into this Agreement on the terms set forth herein, the Loan Parties shall pay to the Agent, for the benefit of the Lenders, a forbearance fee in the amount of $250,000 (the “</w:t>
      </w:r>
      <w:r>
        <w:rPr>
          <w:rFonts w:ascii="Times New Roman;Times;Serif" w:hAnsi="Times New Roman;Times;Serif"/>
          <w:b/>
          <w:i/>
          <w:caps w:val="false"/>
          <w:smallCaps w:val="false"/>
          <w:sz w:val="20"/>
        </w:rPr>
        <w:t>Forbearance Fee</w:t>
      </w:r>
      <w:r>
        <w:rPr>
          <w:rFonts w:ascii="Times New Roman;Times;Serif" w:hAnsi="Times New Roman;Times;Serif"/>
          <w:b w:val="false"/>
          <w:i w:val="false"/>
          <w:caps w:val="false"/>
          <w:smallCaps w:val="false"/>
          <w:sz w:val="20"/>
        </w:rPr>
        <w:t>”), which Forbearance Fee shall not be refundable for any reason and shall be fully earned on the Effective Date. The Forbearance Fee shall be paid on the Effective Date. Payment of the Forbearance Fee shall be made in Dollars, by wire transfer of immediately available funds, to the account designated by Agent in writing to the Loan Parties, without deduction, set-off or counterclaim.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Milestones; Additional Agreements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Loan Parties shall raise additional working capital after the Effective Date and no later than March 4, 2024 (the “</w:t>
      </w:r>
      <w:r>
        <w:rPr>
          <w:rFonts w:ascii="Times New Roman;Times;Serif" w:hAnsi="Times New Roman;Times;Serif"/>
          <w:b/>
          <w:i/>
          <w:caps w:val="false"/>
          <w:smallCaps w:val="false"/>
          <w:sz w:val="20"/>
        </w:rPr>
        <w:t>March 4 Capital Raise</w:t>
      </w:r>
      <w:r>
        <w:rPr>
          <w:rFonts w:ascii="Times New Roman;Times;Serif" w:hAnsi="Times New Roman;Times;Serif"/>
          <w:b w:val="false"/>
          <w:i w:val="false"/>
          <w:caps w:val="false"/>
          <w:smallCaps w:val="false"/>
          <w:sz w:val="20"/>
        </w:rPr>
        <w:t>”). If the March 4 Capital Raise results in gross cash proceeds of $3,500,000.00 or more, excluding the March 1 Bridge Note, on or before March 4, 2024 the Forbearance Termination Date shall be unchanged. If the March 4 Capital Raise results in gross cash proceeds to the Loan Parties in an amount greater than or equal to $2,000,000 but less than $3,500,000, excluding the March 1 Bridge Note, on or prior to March 4, 2024, then effective on the closing date of the March 4 Capital Raise, the expiration date in clause (a) of the definition of “Forbearance Termination Date” shall be automatically amended to “March 16, 2024.” If the March 4 Capital Raise results in gross cash proceeds of less than $2,000,000.00, excluding the March 1 Bridge Note, on or before March 4, 2024, the expiration date in clause (a) of the definition of “Forbearance Termination Date” shall be automatically amended to “March 4, 2024.” The failure to close the Capital Raise on or before March 4, 2024 shall be an immediate Event of Default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Metropolitan’s obligations under Section 8(i) shall further be contingent on (A) the Loan Parties delivery to the Agent, no later than two (2) Business Days prior to the issuance under the applicable Capital Raise identified in Section 8(i) of written notice (in form and substance acceptable to Agent, in its sole discretion) (1) setting forth (i) the terms of such issuance, (ii) the date of closing of such issuance, (iii) the aggregate gross cash proceeds and Net Cash Proceeds of such issuance and the Capital Raise as a whole, and (2) attaching copies of all substantially final documentation in connection with such issuance, (B) the Loan Parties and the Significant Stakeholders reaffirming the provisions of Section 20 of this Agreement through and as of the applicable date of issuance, (C) [reserved], and (D) appropriate documentation acceptable to the Agent and the Lenders in their sole discretion. Any election by the Loan Parties under Sections 8(i) must be made in conjunction with the closing of an issuance of a Capital Raise, with any conversion, forgiveness, new capital funding or other obligation of the Agent, Metropolitan or any Lender being effective contemporaneously with the applicable issuance under a Capital Raise.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Loan Parties have informed the Agent that they intend to incur Subordinated Indebtedness from Remus Capital Series B II, L.P. on the date hereof, to be used to fund an escrow account available to the Loan Parties under certain circumstances as described therein (the “</w:t>
      </w:r>
      <w:r>
        <w:rPr>
          <w:rFonts w:ascii="Times New Roman;Times;Serif" w:hAnsi="Times New Roman;Times;Serif"/>
          <w:b w:val="false"/>
          <w:i w:val="false"/>
          <w:caps w:val="false"/>
          <w:smallCaps w:val="false"/>
          <w:sz w:val="20"/>
          <w:u w:val="single"/>
        </w:rPr>
        <w:t>March 1 Bridge Note</w:t>
      </w:r>
      <w:r>
        <w:rPr>
          <w:rFonts w:ascii="Times New Roman;Times;Serif" w:hAnsi="Times New Roman;Times;Serif"/>
          <w:b w:val="false"/>
          <w:i w:val="false"/>
          <w:caps w:val="false"/>
          <w:smallCaps w:val="false"/>
          <w:sz w:val="20"/>
        </w:rPr>
        <w:t>”). The Agent hereby consents to the Loan Parties issuance of the March 1 Bridge Note, in the form previously provided to the Agent. The March 1 Bridge Note is and shall be Subordinated Indebtedness and Parent Subordinated Indebtedness for all purposes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Amendments to the Credit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Effective immediately upon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definition of “Loan Documents” shall be amended and restated by deleting the text thereof in its entirety and replacing it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Loan Documents</w:t>
      </w:r>
      <w:r>
        <w:rPr>
          <w:rFonts w:ascii="Times New Roman;Times;Serif" w:hAnsi="Times New Roman;Times;Serif"/>
          <w:b w:val="false"/>
          <w:i w:val="false"/>
          <w:caps w:val="false"/>
          <w:smallCaps w:val="false"/>
          <w:sz w:val="20"/>
        </w:rPr>
        <w:t>”: this Agreement, the First Amendment, the Second Amendment, the Third Amendment, the Fourth Amendment, the Fifth Amendment, the Sixth Amendment, the Security Documents, the Notes, the Warrant Subscription Agreement, the Warrants, the Founder Shares Transfer Agreement, the Registration Rights Agreements, each Perfection Certificate, each Compliance Certificate, the Fee Letter, each Notice of Borrowing, each Payment Notice and any other document or instrument evidencing, securing or otherwise governing the Obligations and any amendment, restatement, supplement or other modification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definition of “Forbearance Termination Date” shall be amended and restated by deleting the text thereof in its entirety and replacing it with:</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Forbearance Termination Date</w:t>
      </w:r>
      <w:r>
        <w:rPr>
          <w:rFonts w:ascii="Times New Roman;Times;Serif" w:hAnsi="Times New Roman;Times;Serif"/>
          <w:b w:val="false"/>
          <w:i w:val="false"/>
          <w:caps w:val="false"/>
          <w:smallCaps w:val="false"/>
          <w:sz w:val="20"/>
        </w:rPr>
        <w:t>”: has the meaning ascribed to such term in the Sixth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following definitions shall be inserted in appropriate alphabetical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Sixth Amendment Effective Date</w:t>
      </w:r>
      <w:r>
        <w:rPr>
          <w:rFonts w:ascii="Times New Roman;Times;Serif" w:hAnsi="Times New Roman;Times;Serif"/>
          <w:b w:val="false"/>
          <w:i w:val="false"/>
          <w:caps w:val="false"/>
          <w:smallCaps w:val="false"/>
          <w:sz w:val="20"/>
        </w:rPr>
        <w:t>”: March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i/>
          <w:caps w:val="false"/>
          <w:smallCaps w:val="false"/>
          <w:sz w:val="20"/>
        </w:rPr>
        <w:t>Sixth Amendment</w:t>
      </w:r>
      <w:r>
        <w:rPr>
          <w:rFonts w:ascii="Times New Roman;Times;Serif" w:hAnsi="Times New Roman;Times;Serif"/>
          <w:b w:val="false"/>
          <w:i w:val="false"/>
          <w:caps w:val="false"/>
          <w:smallCaps w:val="false"/>
          <w:sz w:val="20"/>
        </w:rPr>
        <w:t>”: that certain Forbearance and Sixth Amendment to Credit Agreement, dated as of the Sixth Amendment Effective Date, by and among the Borrower, Parent, the other Loan Parties thereto, the Significant Stakeholders party thereto, the Agent and the Lenders.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Section 6.17(a) of the Credit Agreement shall be amended and restated by deleting the text thereof in its entirety and replacing it with:</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Borrower shall not permit Unrestricted Cash, measured as of the close of business on Friday of each week, to be less than the Minimum Unrestricted Cash Amount as of such date of determination;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calculating compliance with this </w:t>
      </w:r>
      <w:r>
        <w:rPr>
          <w:rFonts w:ascii="Times New Roman;Times;Serif" w:hAnsi="Times New Roman;Times;Serif"/>
          <w:b w:val="false"/>
          <w:i w:val="false"/>
          <w:caps w:val="false"/>
          <w:smallCaps w:val="false"/>
          <w:sz w:val="20"/>
          <w:u w:val="single"/>
        </w:rPr>
        <w:t>Section 6.17(a)</w:t>
      </w:r>
      <w:r>
        <w:rPr>
          <w:rFonts w:ascii="Times New Roman;Times;Serif" w:hAnsi="Times New Roman;Times;Serif"/>
          <w:b w:val="false"/>
          <w:i w:val="false"/>
          <w:caps w:val="false"/>
          <w:smallCaps w:val="false"/>
          <w:sz w:val="20"/>
        </w:rPr>
        <w:t xml:space="preserve">, to the extent that as of any date the Cash Balance Report pursuant to </w:t>
      </w:r>
      <w:r>
        <w:rPr>
          <w:rFonts w:ascii="Times New Roman;Times;Serif" w:hAnsi="Times New Roman;Times;Serif"/>
          <w:b w:val="false"/>
          <w:i w:val="false"/>
          <w:caps w:val="false"/>
          <w:smallCaps w:val="false"/>
          <w:sz w:val="20"/>
          <w:u w:val="single"/>
        </w:rPr>
        <w:t>Section 5.1(i)</w:t>
      </w:r>
      <w:r>
        <w:rPr>
          <w:rFonts w:ascii="Times New Roman;Times;Serif" w:hAnsi="Times New Roman;Times;Serif"/>
          <w:b w:val="false"/>
          <w:i w:val="false"/>
          <w:caps w:val="false"/>
          <w:smallCaps w:val="false"/>
          <w:sz w:val="20"/>
        </w:rPr>
        <w:t> most recently due has not been delivered, until such time as the applicable report is delivered, the Borrower’s Unrestricted Cash shall be deemed to be $0 for the applicable period and date of determination.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Section 7.1(f) of the Credit Agreement shall be amended and restated by deleting the text thereof in its entirety and replacing it with:</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 the occurrence of any default or breach by Borrower or any Loan Party under the Nirvana Debt or any Subordinated Indebtedness, or any of the instruments or other documents executed in connection therewith and, in each case, such default or breach continues for more than any applicable grace period and permits the holder of any such indebtedness to accelerate the maturity thereof or cause a redemption thereof (whether or not the payment at maturity or upon such redemption is then permitted), (ii) the occurrence of any default or breach of any subordination agreements in respect of, or subordination provisions contained in, any Subordinated Indebtedness, (iii) any Person challenges any subordination agreement in respect of, or subordination provisions contained in, any Subordinated Indebtedness, or (iv) the January 2024 Parent Notes or the March 1 Bridge Note fail to constitute Parent Subordinated Indebtedness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Other Waivers; Reservation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Agent and Lenders have not waived, nor do they have any intention of waiving, any Events of Default or Unmatured Defaults which may be continuing on the Effective Date or any Events of Default or Unmatured Defaults which may occur after the Effective Date (whether the same or similar to the Forbearance Defaults or otherwise), and the Agent and Lenders have not agreed to forbear with respect to any of their respective rights or remedies concerning any other Events of Default or Unmatured Defaults (other than, during the Forbearance Period, the Forbearance Defaults to the extent expressly set forth herein), occurring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Section 7 above (solely with respect to the Forbearance Defaults during the Forbearance Period), the Agent and Lenders reserve the right, in their sole and absolute discretion, to exercise any or all of their respective rights and remedies under the Loan Documents as a result of any other Events of Default or Unmatured Defaults occurring at any time. The Agent and Lenders have not waived any of such rights or remedies, and nothing in this Agreement, and no delay on the Agent’s or any Lender’s part in exercising any such rights or remedies, should be construed as a waiver of or limitation on such rights or remedies. Each Loan Party shall continue to comply with all limitations, restrictions, covenants and prohibitions that would otherwise be effective or applicable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Additional Defaults.</w:t>
      </w:r>
      <w:r>
        <w:rPr>
          <w:rFonts w:ascii="Times New Roman;Times;Serif" w:hAnsi="Times New Roman;Times;Serif"/>
          <w:b w:val="false"/>
          <w:i w:val="false"/>
          <w:caps w:val="false"/>
          <w:smallCaps w:val="false"/>
          <w:sz w:val="20"/>
        </w:rPr>
        <w:t xml:space="preserve"> Each of the Loan Parties and Significant Stakeholders acknowledges, confirms, and agrees that any misrepresentation by any Loan Party or any Significant Stakeholder, or any failure of any Loan Party or any Significant Stakeholder to comply with the covenants, conditions, and agreements contained in this Agreement, any other Loan Document, or any other agreement, document, or instrument at any time executed and/or delivered by such Loan Party or Significant Stakeholder, as applicable, with, to or in favor of the Agent or the Lenders, shall constitute an immediate Event of Default under this Agreement and the other Loan Documents. In the event any person other than the Agent and the Lenders shall at any time, for any reason, exercise any of its rights or remedies against any Loan Party or such Loan Party’s property or assets which would in any way affect the Collateral or the Agent’s liens thereon on rights thereto, such event shall constitute an immediate Event of Default hereunder and an Event of Default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Capital Raise.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caps w:val="false"/>
          <w:smallCaps w:val="false"/>
          <w:sz w:val="20"/>
        </w:rPr>
        <w:t>Updates</w:t>
      </w:r>
      <w:r>
        <w:rPr>
          <w:rFonts w:ascii="Times New Roman;Times;Serif" w:hAnsi="Times New Roman;Times;Serif"/>
          <w:b w:val="false"/>
          <w:i w:val="false"/>
          <w:caps w:val="false"/>
          <w:smallCaps w:val="false"/>
          <w:sz w:val="20"/>
        </w:rPr>
        <w:t>. At such times reasonably requested by Agent, the Loan Parties and the Investment Banker in respect of the Capital Raise shall conduct a telephonic meeting, to be attended by management representatives of the Loan Parties, the Investment Banker, and Agent, during which the Loan Parties and the Investment Banker shall present to Agent on the work done and planned to be done by the Investment Banker and the Loan Parties in connection with each Capital Raise and the results and projected results of such 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caps w:val="false"/>
          <w:smallCaps w:val="false"/>
          <w:sz w:val="20"/>
        </w:rPr>
        <w:t xml:space="preserve">Cooperation. </w:t>
      </w:r>
      <w:r>
        <w:rPr>
          <w:rFonts w:ascii="Times New Roman;Times;Serif" w:hAnsi="Times New Roman;Times;Serif"/>
          <w:b w:val="false"/>
          <w:i w:val="false"/>
          <w:caps w:val="false"/>
          <w:smallCaps w:val="false"/>
          <w:sz w:val="20"/>
        </w:rPr>
        <w:t>During the Forbearance Period and at all times thereafter, the Loan Parties shall (i) maintain an independent committee of the Parent’s board of directors to work with the Agent and the Lenders on the development and execution of a strategic plan for the Loan Parties and the Obligations in the event that the Forbearance Period terminates (an “</w:t>
      </w:r>
      <w:r>
        <w:rPr>
          <w:rFonts w:ascii="Times New Roman;Times;Serif" w:hAnsi="Times New Roman;Times;Serif"/>
          <w:b/>
          <w:i/>
          <w:caps w:val="false"/>
          <w:smallCaps w:val="false"/>
          <w:sz w:val="20"/>
        </w:rPr>
        <w:t>Alternative Path</w:t>
      </w:r>
      <w:r>
        <w:rPr>
          <w:rFonts w:ascii="Times New Roman;Times;Serif" w:hAnsi="Times New Roman;Times;Serif"/>
          <w:b w:val="false"/>
          <w:i w:val="false"/>
          <w:caps w:val="false"/>
          <w:smallCaps w:val="false"/>
          <w:sz w:val="20"/>
        </w:rPr>
        <w:t>”) and (ii) direct Teneo and an Investment Banker (which shall not be the Investment Banker assisting the Loan Parties on the Capital Raise) to work with the Agent and the Lenders in the development and execution of the Alternative Path, including the identification and solicitation of additional financing sources for the Loan Parties. The Loan Parties shall fully cooperate with, and shall not impede, contest or otherwise interfere with such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caps w:val="false"/>
          <w:smallCaps w:val="false"/>
          <w:sz w:val="20"/>
        </w:rPr>
        <w:t>Access to Records</w:t>
      </w:r>
      <w:r>
        <w:rPr>
          <w:rFonts w:ascii="Times New Roman;Times;Serif" w:hAnsi="Times New Roman;Times;Serif"/>
          <w:b w:val="false"/>
          <w:i w:val="false"/>
          <w:caps w:val="false"/>
          <w:smallCaps w:val="false"/>
          <w:sz w:val="20"/>
        </w:rPr>
        <w:t>. The Loan Parties shall (i) provide access to their properties and systems (including remote access as may be requested) the Agent, the Lenders, Teneo and the applicable Investment Banker (Teneo and such Investment Banker collectively “</w:t>
      </w:r>
      <w:r>
        <w:rPr>
          <w:rFonts w:ascii="Times New Roman;Times;Serif" w:hAnsi="Times New Roman;Times;Serif"/>
          <w:b/>
          <w:i/>
          <w:caps w:val="false"/>
          <w:smallCaps w:val="false"/>
          <w:sz w:val="20"/>
        </w:rPr>
        <w:t>Loan Party Professionals</w:t>
      </w:r>
      <w:r>
        <w:rPr>
          <w:rFonts w:ascii="Times New Roman;Times;Serif" w:hAnsi="Times New Roman;Times;Serif"/>
          <w:b w:val="false"/>
          <w:i w:val="false"/>
          <w:caps w:val="false"/>
          <w:smallCaps w:val="false"/>
          <w:sz w:val="20"/>
        </w:rPr>
        <w:t>”), as well as professionals hired by the Agent or the Lenders (the “</w:t>
      </w:r>
      <w:r>
        <w:rPr>
          <w:rFonts w:ascii="Times New Roman;Times;Serif" w:hAnsi="Times New Roman;Times;Serif"/>
          <w:b/>
          <w:i/>
          <w:caps w:val="false"/>
          <w:smallCaps w:val="false"/>
          <w:sz w:val="20"/>
        </w:rPr>
        <w:t>Lender Professionals</w:t>
      </w:r>
      <w:r>
        <w:rPr>
          <w:rFonts w:ascii="Times New Roman;Times;Serif" w:hAnsi="Times New Roman;Times;Serif"/>
          <w:b w:val="false"/>
          <w:i w:val="false"/>
          <w:caps w:val="false"/>
          <w:smallCaps w:val="false"/>
          <w:sz w:val="20"/>
        </w:rPr>
        <w:t>” and, collectively with the Loan Party Professionals, the “</w:t>
      </w:r>
      <w:r>
        <w:rPr>
          <w:rFonts w:ascii="Times New Roman;Times;Serif" w:hAnsi="Times New Roman;Times;Serif"/>
          <w:b/>
          <w:i/>
          <w:caps w:val="false"/>
          <w:smallCaps w:val="false"/>
          <w:sz w:val="20"/>
        </w:rPr>
        <w:t>Professionals</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Professional</w:t>
      </w:r>
      <w:r>
        <w:rPr>
          <w:rFonts w:ascii="Times New Roman;Times;Serif" w:hAnsi="Times New Roman;Times;Serif"/>
          <w:b w:val="false"/>
          <w:i w:val="false"/>
          <w:caps w:val="false"/>
          <w:smallCaps w:val="false"/>
          <w:sz w:val="20"/>
        </w:rPr>
        <w:t>”) as frequently as any such Professional reasonably determines to be appropriate in order to perform the agreed scope of work under their respective engagements; (ii) make the Loan Parties’ directors, officers, employees and advisors available for meetings and discussions with Agent and/or the Professionals at such times as shall be reasonably requested; (iii) permit the Professionals to conduct monitoring and evaluations of the Loan Parties’ finances, financial condition, business and operations; (iv) furnish information when reasonably requested and permit Agent and the Professionals to inspect and obtain copies (including electronic data), as available, from the Loan Parties’ books and records; and (v) provide timely updates to the Agent and Professionals on any changes in the business or expected financial performance that could reasonably be expected to have a material effect on the affairs of the Loan Parties. The Lender Professionals are also entitled to meet with the Loan Party Professionals and the Loan Parties’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caps w:val="false"/>
          <w:smallCaps w:val="false"/>
          <w:sz w:val="20"/>
        </w:rPr>
        <w:t>Ordinary Course Operations</w:t>
      </w:r>
      <w:r>
        <w:rPr>
          <w:rFonts w:ascii="Times New Roman;Times;Serif" w:hAnsi="Times New Roman;Times;Serif"/>
          <w:b w:val="false"/>
          <w:i w:val="false"/>
          <w:caps w:val="false"/>
          <w:smallCaps w:val="false"/>
          <w:sz w:val="20"/>
        </w:rPr>
        <w:t>. Except as otherwise set forth in the Credit Agreement, the Loan Parties shall continue to operate in the ordinary course of business until all obligations to the Agent and Lenders are satisfied in full or as otherwise consented to by the Agent and Lender in their sole and absolute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caps w:val="false"/>
          <w:smallCaps w:val="false"/>
          <w:sz w:val="20"/>
        </w:rPr>
        <w:t>Additional funding</w:t>
      </w:r>
      <w:r>
        <w:rPr>
          <w:rFonts w:ascii="Times New Roman;Times;Serif" w:hAnsi="Times New Roman;Times;Serif"/>
          <w:b w:val="false"/>
          <w:i w:val="false"/>
          <w:caps w:val="false"/>
          <w:smallCaps w:val="false"/>
          <w:sz w:val="20"/>
        </w:rPr>
        <w:t>. During the Forbearance Period, but in contemplation of the termination of the Forbearance Period, Agent, the Lenders and the Loan Parties agree to explore and consider (1) an Alternative Path and (2) a potential new investment by Agent and/or the Lenders in the Loan Parties to bridge the Loan Parties’ liquidity needs towards such Alternative Path (together the “</w:t>
      </w:r>
      <w:r>
        <w:rPr>
          <w:rFonts w:ascii="Times New Roman;Times;Serif" w:hAnsi="Times New Roman;Times;Serif"/>
          <w:b/>
          <w:i/>
          <w:caps w:val="false"/>
          <w:smallCaps w:val="false"/>
          <w:sz w:val="20"/>
        </w:rPr>
        <w:t>New Transaction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that this section is not binding on the Agent, any Lender or Loan Parties, will not be construed to be an offer, agreement, agreement in principle, agreement to agree, or commitment to enter into a New Transaction, and no binding obligation of Agent or any Lender (with respect to a New Transaction or otherwise) will arise herefrom other than pursuant to the terms of mutually agreeable definitive documentation which is duly executed by all parties thereto. Agent and the Lenders may at any time decline any further consideration of financing or participating in a New Transaction. This section shall not be construed to create a fiduciary relationship or joint venture between Agent, any Lender and any Loan Party. Any New Transaction is subject to the consideration and approval of Agent, each Lender and their respective investment committees, in their sole and absolute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of the Loan Parties signatory hereto acknowledges, confirms, and agrees to provide the Agent with whatever additional documentation it may reasonably request or require, and to take all such actions and deliver such documents necessary or desirable, or reasonably requested by the Agent, to document, perfect, or continue the perfections of the Liens and security interests required under the Loan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of the Loan Parties acknowledges, confirms, and agrees that it will not pledge, mortgage, create a lien on, or allow a lien or encumbrance on the Collateral, other than a lien or encumbrance in favor of the Agent, for the ratable benefit of the Secured Parties, without the Lenders’ prior written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Conditions Precedent to Effectiveness of this Agreement.</w:t>
      </w:r>
      <w:r>
        <w:rPr>
          <w:rFonts w:ascii="Times New Roman;Times;Serif" w:hAnsi="Times New Roman;Times;Serif"/>
          <w:b w:val="false"/>
          <w:i w:val="false"/>
          <w:caps w:val="false"/>
          <w:smallCaps w:val="false"/>
          <w:sz w:val="20"/>
        </w:rPr>
        <w:t xml:space="preserve"> The effectiveness of the terms and provisions of this Agreement shall be subject to the following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Agent’s and each Lender’s receipt of this Agreement, duly authorized, executed, and delivered by each signatory hereto, together with such other documents, agreements and instruments as Agent or any Lender may require or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Fees and Expenses. The Loan Parties shall have paid in cash all fees due as set forth in the Fee Letter to Agent and the reasonable expenses of the Agent and the Lenders, including, without limitation, the fees, costs and expenses of K&amp;L Gates LLP, as counsel to the Agent and the Lenders, by wire transfer of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Agent’s receipt, for the benefit of the Lenders, of the Forbearance Fee as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certifications, representations and warranties set forth in this Agreement shall be true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Effective Agreement.</w:t>
      </w:r>
      <w:r>
        <w:rPr>
          <w:rFonts w:ascii="Times New Roman;Times;Serif" w:hAnsi="Times New Roman;Times;Serif"/>
          <w:b w:val="false"/>
          <w:i w:val="false"/>
          <w:caps w:val="false"/>
          <w:smallCaps w:val="false"/>
          <w:sz w:val="20"/>
        </w:rPr>
        <w:t xml:space="preserve"> Except as modified pursuant hereto, no other changes or modifications to the Loan Documents are intended or implied, and in all other respects the Loan Documents hereby are ratified and confirmed by each of the Loan Parties as of the Effective Date. To the extent of conflict between the terms of this Agreement and the other Loan Documents, the terms of this Agreement govern and control. Subject to the foregoing, the Loan Documents and this Agreement shall be read and construed as one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 xml:space="preserve">Costs and Expenses. </w:t>
      </w:r>
      <w:r>
        <w:rPr>
          <w:rFonts w:ascii="Times New Roman;Times;Serif" w:hAnsi="Times New Roman;Times;Serif"/>
          <w:b w:val="false"/>
          <w:i w:val="false"/>
          <w:caps w:val="false"/>
          <w:smallCaps w:val="false"/>
          <w:sz w:val="20"/>
        </w:rPr>
        <w:t>Each of the Loan Parties absolutely and unconditionally, jointly and severally, agrees to pay to the Agent and the Lenders, on demand at any time, all reasonable fees and disbursements, including, but not limited to, the fees of any counsel to the Agent and the Lenders arising out of or in connection with the Forbearance Defaults and any steps or activities taken in connection therewith in respect of the Loan Documents, evaluating and enforcing their rights and remedies thereunder, and the preparation, negotiation, execution, delivery, or enforcement of this Agreement or the Loan Documents, the exploration, development, preparation, negotiation, execution, delivery or enforcement of the Alternative Path, and any agreements contemplated hereby and expenses which shall be at any time incurred or sustained by the Agent or any Lender or any of their respective directors, officers, employees, or agents as a consequence of or in any way in connection with the preparation, negotiation, execution, or delivery of this Agreement and any documents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rPr>
        <w:t>Further Assurances.</w:t>
      </w:r>
      <w:r>
        <w:rPr>
          <w:rFonts w:ascii="Times New Roman;Times;Serif" w:hAnsi="Times New Roman;Times;Serif"/>
          <w:b w:val="false"/>
          <w:i w:val="false"/>
          <w:caps w:val="false"/>
          <w:smallCaps w:val="false"/>
          <w:sz w:val="20"/>
        </w:rPr>
        <w:t xml:space="preserve"> The Loan Parties shall execute and deliver such additional documents and take such further action as may be necessary or desirable to effectuate the provisions and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rPr>
        <w:t>Successors and Assigns.</w:t>
      </w:r>
      <w:r>
        <w:rPr>
          <w:rFonts w:ascii="Times New Roman;Times;Serif" w:hAnsi="Times New Roman;Times;Serif"/>
          <w:b w:val="false"/>
          <w:i w:val="false"/>
          <w:caps w:val="false"/>
          <w:smallCaps w:val="false"/>
          <w:sz w:val="20"/>
        </w:rPr>
        <w:t xml:space="preserve"> This Agreement shall be binding upon and inure to the benefit of the Loan Parties, the Agent, the Lenders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rPr>
        <w:t>Survival of Representations and Warranties.</w:t>
      </w:r>
      <w:r>
        <w:rPr>
          <w:rFonts w:ascii="Times New Roman;Times;Serif" w:hAnsi="Times New Roman;Times;Serif"/>
          <w:b w:val="false"/>
          <w:i w:val="false"/>
          <w:caps w:val="false"/>
          <w:smallCaps w:val="false"/>
          <w:sz w:val="20"/>
        </w:rPr>
        <w:t xml:space="preserve"> All representations and warranties made in this Agreement or any other document furnished in connection with this Agreement shall survive the execution and delivery of this Agreement and the other documents, and no investigation by the Agent or any Lender or any closing shall affect the representations and warranties or right of the Agent or any Lender to rely upon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i w:val="false"/>
          <w:caps w:val="false"/>
          <w:smallCaps w:val="false"/>
          <w:sz w:val="20"/>
        </w:rPr>
        <w:t>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consideration of the agreements of the Agent and Lenders contained herein, and for other good and valuable consideration, the receipt and sufficiency of which are hereby acknowledged, each Loan Party, on behalf of itself and its past, present and future Subsidiaries, successors, assigns, managers, members, officers, directors, agents, employees, professionals and other representatives (solely in their capacity as such and not in any other capacity) (the “</w:t>
      </w:r>
      <w:r>
        <w:rPr>
          <w:rFonts w:ascii="Times New Roman;Times;Serif" w:hAnsi="Times New Roman;Times;Serif"/>
          <w:b/>
          <w:i/>
          <w:caps w:val="false"/>
          <w:smallCaps w:val="false"/>
          <w:sz w:val="20"/>
        </w:rPr>
        <w:t>Loan Party Releasing Parties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Loan Party Releasing Party</w:t>
      </w:r>
      <w:r>
        <w:rPr>
          <w:rFonts w:ascii="Times New Roman;Times;Serif" w:hAnsi="Times New Roman;Times;Serif"/>
          <w:b w:val="false"/>
          <w:i w:val="false"/>
          <w:caps w:val="false"/>
          <w:smallCaps w:val="false"/>
          <w:sz w:val="20"/>
        </w:rPr>
        <w:t>”), and each Significant Stakeholder (as identified on the signature pages hereto), on behalf of itself and its past, present and future successors and assigns (the “</w:t>
      </w:r>
      <w:r>
        <w:rPr>
          <w:rFonts w:ascii="Times New Roman;Times;Serif" w:hAnsi="Times New Roman;Times;Serif"/>
          <w:b/>
          <w:i/>
          <w:caps w:val="false"/>
          <w:smallCaps w:val="false"/>
          <w:sz w:val="20"/>
        </w:rPr>
        <w:t>Stockholder Releasing Parties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Stockholder Releasing Party</w:t>
      </w:r>
      <w:r>
        <w:rPr>
          <w:rFonts w:ascii="Times New Roman;Times;Serif" w:hAnsi="Times New Roman;Times;Serif"/>
          <w:b w:val="false"/>
          <w:i w:val="false"/>
          <w:caps w:val="false"/>
          <w:smallCaps w:val="false"/>
          <w:sz w:val="20"/>
        </w:rPr>
        <w:t>,” and together with the Loan Party Releasing Parties, the “</w:t>
      </w:r>
      <w:r>
        <w:rPr>
          <w:rFonts w:ascii="Times New Roman;Times;Serif" w:hAnsi="Times New Roman;Times;Serif"/>
          <w:b/>
          <w:i/>
          <w:caps w:val="false"/>
          <w:smallCaps w:val="false"/>
          <w:sz w:val="20"/>
        </w:rPr>
        <w:t>Releasing Parties</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Releasing Party</w:t>
      </w:r>
      <w:r>
        <w:rPr>
          <w:rFonts w:ascii="Times New Roman;Times;Serif" w:hAnsi="Times New Roman;Times;Serif"/>
          <w:b w:val="false"/>
          <w:i w:val="false"/>
          <w:caps w:val="false"/>
          <w:smallCaps w:val="false"/>
          <w:sz w:val="20"/>
        </w:rPr>
        <w:t>”), hereby absolutely, unconditionally, and irrevocably releases, remises, and forever discharges the Agent and each Lender and each of their respective past, present and future stockholders, members, partners, managers, principals, affiliates, subsidiaries, divisions, predecessors, directors, officers, attorneys, employees, professionals, agents, and other representatives, and their respective successors and assigns (the “</w:t>
      </w:r>
      <w:r>
        <w:rPr>
          <w:rFonts w:ascii="Times New Roman;Times;Serif" w:hAnsi="Times New Roman;Times;Serif"/>
          <w:b/>
          <w:i/>
          <w:caps w:val="false"/>
          <w:smallCaps w:val="false"/>
          <w:sz w:val="20"/>
        </w:rPr>
        <w:t>Released Parties</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Released Party</w:t>
      </w:r>
      <w:r>
        <w:rPr>
          <w:rFonts w:ascii="Times New Roman;Times;Serif" w:hAnsi="Times New Roman;Times;Serif"/>
          <w:b w:val="false"/>
          <w:i w:val="false"/>
          <w:caps w:val="false"/>
          <w:smallCaps w:val="false"/>
          <w:sz w:val="20"/>
        </w:rPr>
        <w:t>”) of and from all demands, actions, causes of action, suits, covenants, contracts, controversies, agreements, promises, sums of money, accounts, bills, reckonings, damages, and any and all other claims, counterclaims, defenses, rights of set off, demands, and liabilities whatsoever (each, individually, a “</w:t>
      </w:r>
      <w:r>
        <w:rPr>
          <w:rFonts w:ascii="Times New Roman;Times;Serif" w:hAnsi="Times New Roman;Times;Serif"/>
          <w:b/>
          <w:i/>
          <w:caps w:val="false"/>
          <w:smallCaps w:val="false"/>
          <w:sz w:val="20"/>
        </w:rPr>
        <w:t>Claim</w:t>
      </w:r>
      <w:r>
        <w:rPr>
          <w:rFonts w:ascii="Times New Roman;Times;Serif" w:hAnsi="Times New Roman;Times;Serif"/>
          <w:b w:val="false"/>
          <w:i w:val="false"/>
          <w:caps w:val="false"/>
          <w:smallCaps w:val="false"/>
          <w:sz w:val="20"/>
        </w:rPr>
        <w:t>,” and collectively, “</w:t>
      </w:r>
      <w:r>
        <w:rPr>
          <w:rFonts w:ascii="Times New Roman;Times;Serif" w:hAnsi="Times New Roman;Times;Serif"/>
          <w:b/>
          <w:i/>
          <w:caps w:val="false"/>
          <w:smallCaps w:val="false"/>
          <w:sz w:val="20"/>
        </w:rPr>
        <w:t>Claims</w:t>
      </w:r>
      <w:r>
        <w:rPr>
          <w:rFonts w:ascii="Times New Roman;Times;Serif" w:hAnsi="Times New Roman;Times;Serif"/>
          <w:b w:val="false"/>
          <w:i w:val="false"/>
          <w:caps w:val="false"/>
          <w:smallCaps w:val="false"/>
          <w:sz w:val="20"/>
        </w:rPr>
        <w:t>”) of every kind and nature, known or unknown, at law or in equity,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Released Parties, whether held in a personal or representative capacity, which any such Releasing Party may now or hereafter own, hold, have, or claim to have against any Released Party for, upon, or by reason of any circumstance, action, cause, omission, event or thing whatsoever which arises at any time on or prior to the Effective Date, including, without limitation, for or on account of, or in relation to, or in any way in connection with this Agreement, the Loan Documents, or transactions contemplated hereunder or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Releasing Party understands, acknowledges, confirms, and agrees that the release set forth above may be pleaded as a full and complete defense and may be used as a basis for an injunction against any action, suit, or other proceeding which may be instituted, prosecuted, or attempted in breach of the provisions of such release. Each of the Loan Parties acknowledges and agrees that the foregoing release is a material inducement to the Agent’s and the Lenders’ execution of this Agreement and, but for the foregoing release, the Agent and the Lenders would not be willing to enter into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Releasing Party agrees that no fact, event, circumstance, evidence, or transaction which could now be asserted or which may hereafter be discovered shall affect, in any manner, the final, absolute, and unconditional nature of the release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Releasing Party covenants and agrees never to institute or cause to be instituted or continue prosecution of, or to support, cooperate with or induce any other Person in connection with, any suit or other form of action or proceeding of any kind or nature whatsoever against any Released Party by reason of or in connection with any of the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Each Releasing Party covenants and agrees that in any suit or other form of action or proceeding brought in violation of this Section 20, (a) the Released Parties shall be entitled to payment of all fees, costs and expenses (including fees, costs and expenses of attorneys) incurred in connection with such suit or other form of action or proceeding from the applicable Releasing Party, and (b) the Releasing Parties shall indemnify and hold harmless the Released Parties with respect thereto to the fullest extent provided to the Indemnitees under Section 8.5 of the Credit Agreement, which the signatories hereto each acknowledge and agree to be bound for purposes of this Agreement, as if fully set forth herein. Any such payments made pursuant to this Section 20(v) shall be made at the time such indemnified amounts are incurred, and in any event within ten (10) Business Days of written demand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i w:val="false"/>
          <w:caps w:val="false"/>
          <w:smallCaps w:val="false"/>
          <w:sz w:val="20"/>
        </w:rPr>
        <w:t xml:space="preserve">Severability. </w:t>
      </w:r>
      <w:r>
        <w:rPr>
          <w:rFonts w:ascii="Times New Roman;Times;Serif" w:hAnsi="Times New Roman;Times;Serif"/>
          <w:b w:val="false"/>
          <w:i w:val="false"/>
          <w:caps w:val="false"/>
          <w:smallCaps w:val="false"/>
          <w:sz w:val="20"/>
        </w:rPr>
        <w:t>The fact that any provision of this Agreement is held by a court of competent jurisdiction to be invalid or unenforceable as to any particular situation shall not impair or invalidate the remainder of this Agreement or the application of such provision to any other situation.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i w:val="false"/>
          <w:caps w:val="false"/>
          <w:smallCaps w:val="false"/>
          <w:sz w:val="20"/>
        </w:rPr>
        <w:t>Reviewed by Attorneys.</w:t>
      </w:r>
      <w:r>
        <w:rPr>
          <w:rFonts w:ascii="Times New Roman;Times;Serif" w:hAnsi="Times New Roman;Times;Serif"/>
          <w:b w:val="false"/>
          <w:i w:val="false"/>
          <w:caps w:val="false"/>
          <w:smallCaps w:val="false"/>
          <w:sz w:val="20"/>
        </w:rPr>
        <w:t xml:space="preserve"> Each Loan Party and each Significant Stakeholder represents and warrants to the Agent and each Lender that such Loan Party (i) understands fully the terms of this Agreement and the consequences of the execution and delivery of this Agreement, (ii) has been afforded the opportunity to discuss this Agreement with, and have this Agreement reviewed by, such attorneys and other persons as such Loan Party may wish, and (iii) has entered into this Agreement and executed and delivered all documents in connection here with of its own free will and accord and without threat, duress, or coercion of any kind by any person. Each Loan Party acknowledges and agrees that neither this Agreement nor the other documents executed pursuant hereto shall be construed more favorably in favor of one party than another based upon which party drafted the same, it being acknowledged that all the parties hereto contributed substantially to the negotiation and preparation of this Agreement and the other documents executed pursuant hereto or in connection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i w:val="false"/>
          <w:caps w:val="false"/>
          <w:smallCaps w:val="false"/>
          <w:sz w:val="20"/>
        </w:rPr>
        <w:t>Governing Law.</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color w:val="231F1F"/>
          <w:sz w:val="20"/>
        </w:rPr>
        <w:t xml:space="preserve">This Agreement shall be governed by and construed and enforced in accordance with the laws of the State of New York. The terms of </w:t>
      </w:r>
      <w:r>
        <w:rPr>
          <w:rFonts w:ascii="Times New Roman;Times;Serif" w:hAnsi="Times New Roman;Times;Serif"/>
          <w:b w:val="false"/>
          <w:i w:val="false"/>
          <w:caps w:val="false"/>
          <w:smallCaps w:val="false"/>
          <w:color w:val="231F1F"/>
          <w:sz w:val="20"/>
          <w:u w:val="single"/>
        </w:rPr>
        <w:t>Section 8.12</w:t>
      </w:r>
      <w:r>
        <w:rPr>
          <w:rFonts w:ascii="Times New Roman;Times;Serif" w:hAnsi="Times New Roman;Times;Serif"/>
          <w:b w:val="false"/>
          <w:i w:val="false"/>
          <w:caps w:val="false"/>
          <w:smallCaps w:val="false"/>
          <w:color w:val="231F1F"/>
          <w:sz w:val="20"/>
        </w:rPr>
        <w:t xml:space="preserve"> and </w:t>
      </w:r>
      <w:r>
        <w:rPr>
          <w:rFonts w:ascii="Times New Roman;Times;Serif" w:hAnsi="Times New Roman;Times;Serif"/>
          <w:b w:val="false"/>
          <w:i w:val="false"/>
          <w:caps w:val="false"/>
          <w:smallCaps w:val="false"/>
          <w:color w:val="231F1F"/>
          <w:sz w:val="20"/>
          <w:u w:val="single"/>
        </w:rPr>
        <w:t>Section 8.13</w:t>
      </w:r>
      <w:r>
        <w:rPr>
          <w:rFonts w:ascii="Times New Roman;Times;Serif" w:hAnsi="Times New Roman;Times;Serif"/>
          <w:b w:val="false"/>
          <w:i w:val="false"/>
          <w:caps w:val="false"/>
          <w:smallCaps w:val="false"/>
          <w:color w:val="231F1F"/>
          <w:sz w:val="20"/>
        </w:rPr>
        <w:t xml:space="preserve"> of the Credit Agreement are incorporated herein by reference, </w:t>
      </w:r>
      <w:r>
        <w:rPr>
          <w:rFonts w:ascii="Times New Roman;Times;Serif" w:hAnsi="Times New Roman;Times;Serif"/>
          <w:b w:val="false"/>
          <w:i/>
          <w:caps w:val="false"/>
          <w:smallCaps w:val="false"/>
          <w:color w:val="231F1F"/>
          <w:sz w:val="20"/>
        </w:rPr>
        <w:t>mutatis mutandis</w:t>
      </w:r>
      <w:r>
        <w:rPr>
          <w:rFonts w:ascii="Times New Roman;Times;Serif" w:hAnsi="Times New Roman;Times;Serif"/>
          <w:b w:val="false"/>
          <w:i w:val="false"/>
          <w:caps w:val="false"/>
          <w:smallCaps w:val="false"/>
          <w:color w:val="231F1F"/>
          <w:sz w:val="20"/>
        </w:rPr>
        <w:t>, and the parties hereto agree to such terms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i w:val="false"/>
          <w:caps w:val="false"/>
          <w:smallCaps w:val="false"/>
          <w:sz w:val="20"/>
        </w:rPr>
        <w:t xml:space="preserve">Counterparts. </w:t>
      </w:r>
      <w:r>
        <w:rPr>
          <w:rFonts w:ascii="Times New Roman;Times;Serif" w:hAnsi="Times New Roman;Times;Serif"/>
          <w:b w:val="false"/>
          <w:i w:val="false"/>
          <w:caps w:val="false"/>
          <w:smallCaps w:val="false"/>
          <w:sz w:val="20"/>
        </w:rPr>
        <w:t>This Agreement may be executed in any number of counterparts, and by each party on separate counterparts, but all of such counterparts shall together constitute but one and the same agreement. Delivery of an executed counterpart of a signature page to this Agreement by PDF shall be effective as delivery of a manually executed counterpart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i w:val="false"/>
          <w:caps w:val="false"/>
          <w:smallCaps w:val="false"/>
          <w:sz w:val="20"/>
        </w:rPr>
        <w:t>Amendments; Waivers; Consents.</w:t>
      </w:r>
      <w:r>
        <w:rPr>
          <w:rFonts w:ascii="Times New Roman;Times;Serif" w:hAnsi="Times New Roman;Times;Serif"/>
          <w:b w:val="false"/>
          <w:i w:val="false"/>
          <w:caps w:val="false"/>
          <w:smallCaps w:val="false"/>
          <w:sz w:val="20"/>
        </w:rPr>
        <w:t xml:space="preserve"> This Agreement may be amended, modified, supplemented or restated only by a written instrument executed by each of the parties hereto. The terms of this Agreement may be waived only by a written instrument executed by the party waiving compliance. The waiver by any party hereto of a breach of any provision of this Agreement shall not operate or be construed as a waiver of any subsequent or other breach, whether or not similar, and no such waiver shall operate or be construed as a continuing waiver unless so provided. No delay on the part of any party hereto in exercising any right, power, or privilege hereunder shall operate as a waiver thereof, and no single or partial exercise of any right, power or privilege hereunder shall preclude any other or further exercise thereof or the exercise of any other right, power or privilege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has executed this Agreement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4039" w:type="dxa"/>
        <w:jc w:val="left"/>
        <w:tblInd w:w="0" w:type="dxa"/>
        <w:tblLayout w:type="fixed"/>
        <w:tblCellMar>
          <w:top w:w="0" w:type="dxa"/>
          <w:left w:w="0" w:type="dxa"/>
          <w:bottom w:w="0" w:type="dxa"/>
          <w:right w:w="0" w:type="dxa"/>
        </w:tblCellMar>
      </w:tblPr>
      <w:tblGrid>
        <w:gridCol w:w="75"/>
        <w:gridCol w:w="645"/>
        <w:gridCol w:w="3319"/>
      </w:tblGrid>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b/>
                <w:sz w:val="20"/>
              </w:rPr>
            </w:pPr>
            <w:r>
              <w:rPr>
                <w:b/>
                <w:sz w:val="20"/>
              </w:rPr>
              <w:t>BORROWER:</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sz w:val="20"/>
              </w:rPr>
            </w:pPr>
            <w:r>
              <w:rPr>
                <w:sz w:val="20"/>
              </w:rPr>
              <w:t>PRESTO AUTOMATION LLC</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sz w:val="20"/>
              </w:rPr>
            </w:pPr>
            <w:r>
              <w:rPr>
                <w:sz w:val="20"/>
              </w:rPr>
              <w:t>(F/K/A E LA CARTE, LLC)</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sz w:val="20"/>
              </w:rPr>
            </w:pPr>
            <w:r>
              <w:rPr>
                <w:sz w:val="20"/>
              </w:rPr>
              <w:t>(F/K/A VENTOUX MERGER SUB II LLC)</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sz w:val="20"/>
              </w:rPr>
            </w:pPr>
            <w:r>
              <w:rPr>
                <w:sz w:val="20"/>
              </w:rPr>
              <w:t xml:space="preserve">By: </w:t>
            </w:r>
          </w:p>
        </w:tc>
        <w:tc>
          <w:tcPr>
            <w:tcW w:w="3319" w:type="dxa"/>
            <w:tcBorders>
              <w:bottom w:val="single" w:sz="8" w:space="0" w:color="000000"/>
            </w:tcBorders>
            <w:tcMar>
              <w:bottom w:w="28" w:type="dxa"/>
            </w:tcMar>
            <w:vAlign w:val="center"/>
          </w:tcPr>
          <w:p>
            <w:pPr>
              <w:pStyle w:val="TableContents"/>
              <w:bidi w:val="0"/>
              <w:spacing w:before="0" w:after="283"/>
              <w:jc w:val="left"/>
              <w:rPr/>
            </w:pPr>
            <w:r>
              <w:rPr/>
              <w:t>/s/ Gee Lefevre     </w:t>
            </w:r>
          </w:p>
        </w:tc>
      </w:tr>
      <w:tr>
        <w:trPr/>
        <w:tc>
          <w:tcPr>
            <w:tcW w:w="7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sz w:val="20"/>
              </w:rPr>
            </w:pPr>
            <w:r>
              <w:rPr>
                <w:sz w:val="20"/>
              </w:rPr>
              <w:t xml:space="preserve">Name: </w:t>
            </w:r>
          </w:p>
        </w:tc>
        <w:tc>
          <w:tcPr>
            <w:tcW w:w="3319" w:type="dxa"/>
            <w:tcBorders>
              <w:bottom w:val="single" w:sz="8" w:space="0" w:color="000000"/>
            </w:tcBorders>
            <w:tcMar>
              <w:bottom w:w="28" w:type="dxa"/>
            </w:tcMar>
            <w:vAlign w:val="center"/>
          </w:tcPr>
          <w:p>
            <w:pPr>
              <w:pStyle w:val="TableContents"/>
              <w:bidi w:val="0"/>
              <w:spacing w:before="0" w:after="283"/>
              <w:jc w:val="left"/>
              <w:rPr/>
            </w:pPr>
            <w:r>
              <w:rPr/>
              <w:t>Gee Lefevre</w:t>
            </w:r>
          </w:p>
        </w:tc>
      </w:tr>
      <w:tr>
        <w:trPr/>
        <w:tc>
          <w:tcPr>
            <w:tcW w:w="7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sz w:val="20"/>
              </w:rPr>
            </w:pPr>
            <w:r>
              <w:rPr>
                <w:sz w:val="20"/>
              </w:rPr>
              <w:t xml:space="preserve">Title: </w:t>
            </w:r>
          </w:p>
        </w:tc>
        <w:tc>
          <w:tcPr>
            <w:tcW w:w="3319" w:type="dxa"/>
            <w:tcBorders>
              <w:bottom w:val="single" w:sz="8" w:space="0" w:color="000000"/>
            </w:tcBorders>
            <w:tcMar>
              <w:bottom w:w="28" w:type="dxa"/>
            </w:tcMar>
            <w:vAlign w:val="center"/>
          </w:tcPr>
          <w:p>
            <w:pPr>
              <w:pStyle w:val="TableContents"/>
              <w:bidi w:val="0"/>
              <w:spacing w:before="0" w:after="283"/>
              <w:jc w:val="left"/>
              <w:rPr/>
            </w:pPr>
            <w:r>
              <w:rPr/>
              <w:t>Interim Chief Executive Officer</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b/>
                <w:sz w:val="20"/>
              </w:rPr>
            </w:pPr>
            <w:r>
              <w:rPr>
                <w:b/>
                <w:sz w:val="20"/>
              </w:rPr>
              <w:t>PARENT:</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sz w:val="20"/>
              </w:rPr>
            </w:pPr>
            <w:r>
              <w:rPr>
                <w:sz w:val="20"/>
              </w:rPr>
              <w:t>PRESTO AUTOMATION INC.</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sz w:val="20"/>
              </w:rPr>
            </w:pPr>
            <w:r>
              <w:rPr>
                <w:sz w:val="20"/>
              </w:rPr>
              <w:t>(F/K/A VENTOUX CCM ACQUISITION CORP.)</w:t>
            </w:r>
          </w:p>
        </w:tc>
      </w:tr>
      <w:tr>
        <w:trPr/>
        <w:tc>
          <w:tcPr>
            <w:tcW w:w="75" w:type="dxa"/>
            <w:tcBorders/>
            <w:vAlign w:val="center"/>
          </w:tcPr>
          <w:p>
            <w:pPr>
              <w:pStyle w:val="TableContents"/>
              <w:bidi w:val="0"/>
              <w:spacing w:before="0" w:after="283"/>
              <w:jc w:val="left"/>
              <w:rPr/>
            </w:pPr>
            <w:r>
              <w:rPr/>
              <w:t> </w:t>
            </w:r>
          </w:p>
        </w:tc>
        <w:tc>
          <w:tcPr>
            <w:tcW w:w="39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sz w:val="20"/>
              </w:rPr>
            </w:pPr>
            <w:r>
              <w:rPr>
                <w:sz w:val="20"/>
              </w:rPr>
              <w:t>By:</w:t>
            </w:r>
          </w:p>
        </w:tc>
        <w:tc>
          <w:tcPr>
            <w:tcW w:w="3319" w:type="dxa"/>
            <w:tcBorders>
              <w:bottom w:val="single" w:sz="8" w:space="0" w:color="000000"/>
            </w:tcBorders>
            <w:tcMar>
              <w:bottom w:w="28" w:type="dxa"/>
            </w:tcMar>
            <w:vAlign w:val="center"/>
          </w:tcPr>
          <w:p>
            <w:pPr>
              <w:pStyle w:val="TableContents"/>
              <w:bidi w:val="0"/>
              <w:spacing w:before="0" w:after="283"/>
              <w:jc w:val="left"/>
              <w:rPr/>
            </w:pPr>
            <w:r>
              <w:rPr/>
              <w:t>/s/ Gee Lefevre</w:t>
            </w:r>
          </w:p>
        </w:tc>
      </w:tr>
      <w:tr>
        <w:trPr/>
        <w:tc>
          <w:tcPr>
            <w:tcW w:w="7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sz w:val="20"/>
              </w:rPr>
            </w:pPr>
            <w:r>
              <w:rPr>
                <w:sz w:val="20"/>
              </w:rPr>
              <w:t>Name:</w:t>
            </w:r>
          </w:p>
        </w:tc>
        <w:tc>
          <w:tcPr>
            <w:tcW w:w="3319" w:type="dxa"/>
            <w:tcBorders>
              <w:bottom w:val="single" w:sz="8" w:space="0" w:color="000000"/>
            </w:tcBorders>
            <w:tcMar>
              <w:bottom w:w="28" w:type="dxa"/>
            </w:tcMar>
            <w:vAlign w:val="center"/>
          </w:tcPr>
          <w:p>
            <w:pPr>
              <w:pStyle w:val="TableContents"/>
              <w:bidi w:val="0"/>
              <w:spacing w:before="0" w:after="283"/>
              <w:jc w:val="left"/>
              <w:rPr/>
            </w:pPr>
            <w:r>
              <w:rPr/>
              <w:t>Gee Lefevre</w:t>
            </w:r>
          </w:p>
        </w:tc>
      </w:tr>
      <w:tr>
        <w:trPr/>
        <w:tc>
          <w:tcPr>
            <w:tcW w:w="7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sz w:val="20"/>
              </w:rPr>
            </w:pPr>
            <w:r>
              <w:rPr>
                <w:sz w:val="20"/>
              </w:rPr>
              <w:t>Title:</w:t>
            </w:r>
          </w:p>
        </w:tc>
        <w:tc>
          <w:tcPr>
            <w:tcW w:w="3319" w:type="dxa"/>
            <w:tcBorders>
              <w:bottom w:val="single" w:sz="8" w:space="0" w:color="000000"/>
            </w:tcBorders>
            <w:tcMar>
              <w:bottom w:w="28" w:type="dxa"/>
            </w:tcMar>
            <w:vAlign w:val="center"/>
          </w:tcPr>
          <w:p>
            <w:pPr>
              <w:pStyle w:val="TableContents"/>
              <w:bidi w:val="0"/>
              <w:spacing w:before="0" w:after="283"/>
              <w:jc w:val="left"/>
              <w:rPr/>
            </w:pPr>
            <w:r>
              <w:rPr/>
              <w:t>Interim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Forbearance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494" w:type="dxa"/>
        <w:jc w:val="left"/>
        <w:tblInd w:w="0" w:type="dxa"/>
        <w:tblLayout w:type="fixed"/>
        <w:tblCellMar>
          <w:top w:w="0" w:type="dxa"/>
          <w:left w:w="0" w:type="dxa"/>
          <w:bottom w:w="0" w:type="dxa"/>
          <w:right w:w="0" w:type="dxa"/>
        </w:tblCellMar>
      </w:tblPr>
      <w:tblGrid>
        <w:gridCol w:w="75"/>
        <w:gridCol w:w="1537"/>
        <w:gridCol w:w="3882"/>
      </w:tblGrid>
      <w:tr>
        <w:trPr/>
        <w:tc>
          <w:tcPr>
            <w:tcW w:w="7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b/>
                <w:sz w:val="20"/>
              </w:rPr>
            </w:pPr>
            <w:r>
              <w:rPr>
                <w:b/>
                <w:sz w:val="20"/>
              </w:rPr>
              <w:t>AGENT:</w:t>
            </w:r>
          </w:p>
        </w:tc>
      </w:tr>
      <w:tr>
        <w:trPr/>
        <w:tc>
          <w:tcPr>
            <w:tcW w:w="7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sz w:val="20"/>
              </w:rPr>
            </w:pPr>
            <w:r>
              <w:rPr>
                <w:sz w:val="20"/>
              </w:rPr>
              <w:t>METROPOLITAN PARTNERS GROUP ADMINISTRATION, LLC</w:t>
            </w:r>
          </w:p>
        </w:tc>
      </w:tr>
      <w:tr>
        <w:trPr/>
        <w:tc>
          <w:tcPr>
            <w:tcW w:w="75" w:type="dxa"/>
            <w:tcBorders/>
            <w:vAlign w:val="center"/>
          </w:tcPr>
          <w:p>
            <w:pPr>
              <w:pStyle w:val="TableContents"/>
              <w:bidi w:val="0"/>
              <w:spacing w:before="0" w:after="283"/>
              <w:jc w:val="left"/>
              <w:rPr/>
            </w:pPr>
            <w:r>
              <w:rPr/>
              <w:t> </w:t>
            </w:r>
          </w:p>
        </w:tc>
        <w:tc>
          <w:tcPr>
            <w:tcW w:w="541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sz w:val="20"/>
              </w:rPr>
            </w:pPr>
            <w:r>
              <w:rPr>
                <w:sz w:val="20"/>
              </w:rPr>
              <w:t>By:</w:t>
            </w:r>
          </w:p>
        </w:tc>
        <w:tc>
          <w:tcPr>
            <w:tcW w:w="3882" w:type="dxa"/>
            <w:tcBorders>
              <w:bottom w:val="single" w:sz="8" w:space="0" w:color="000000"/>
            </w:tcBorders>
            <w:tcMar>
              <w:bottom w:w="28" w:type="dxa"/>
            </w:tcMar>
            <w:vAlign w:val="center"/>
          </w:tcPr>
          <w:p>
            <w:pPr>
              <w:pStyle w:val="TableContents"/>
              <w:bidi w:val="0"/>
              <w:spacing w:before="0" w:after="283"/>
              <w:jc w:val="left"/>
              <w:rPr/>
            </w:pPr>
            <w:r>
              <w:rPr/>
              <w:t>/s/ Paul Lisak</w:t>
            </w:r>
          </w:p>
        </w:tc>
      </w:tr>
      <w:tr>
        <w:trPr/>
        <w:tc>
          <w:tcPr>
            <w:tcW w:w="75"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sz w:val="20"/>
              </w:rPr>
            </w:pPr>
            <w:r>
              <w:rPr>
                <w:sz w:val="20"/>
              </w:rPr>
              <w:t xml:space="preserve">Name: </w:t>
            </w:r>
          </w:p>
        </w:tc>
        <w:tc>
          <w:tcPr>
            <w:tcW w:w="3882" w:type="dxa"/>
            <w:tcBorders/>
            <w:vAlign w:val="center"/>
          </w:tcPr>
          <w:p>
            <w:pPr>
              <w:pStyle w:val="TableContents"/>
              <w:bidi w:val="0"/>
              <w:spacing w:before="0" w:after="283"/>
              <w:jc w:val="left"/>
              <w:rPr>
                <w:sz w:val="20"/>
              </w:rPr>
            </w:pPr>
            <w:r>
              <w:rPr>
                <w:sz w:val="20"/>
              </w:rPr>
              <w:t>Paul K. Lisiak</w:t>
            </w:r>
          </w:p>
        </w:tc>
      </w:tr>
      <w:tr>
        <w:trPr/>
        <w:tc>
          <w:tcPr>
            <w:tcW w:w="75" w:type="dxa"/>
            <w:tcBorders/>
            <w:vAlign w:val="center"/>
          </w:tcPr>
          <w:p>
            <w:pPr>
              <w:pStyle w:val="TableContents"/>
              <w:bidi w:val="0"/>
              <w:spacing w:before="0" w:after="283"/>
              <w:jc w:val="left"/>
              <w:rPr/>
            </w:pPr>
            <w:r>
              <w:rPr/>
              <w:t> </w:t>
            </w:r>
          </w:p>
        </w:tc>
        <w:tc>
          <w:tcPr>
            <w:tcW w:w="1537" w:type="dxa"/>
            <w:tcBorders/>
            <w:vAlign w:val="center"/>
          </w:tcPr>
          <w:p>
            <w:pPr>
              <w:pStyle w:val="TableContents"/>
              <w:bidi w:val="0"/>
              <w:spacing w:before="0" w:after="283"/>
              <w:jc w:val="left"/>
              <w:rPr>
                <w:sz w:val="20"/>
              </w:rPr>
            </w:pPr>
            <w:r>
              <w:rPr>
                <w:sz w:val="20"/>
              </w:rPr>
              <w:t xml:space="preserve">Title: </w:t>
            </w:r>
          </w:p>
        </w:tc>
        <w:tc>
          <w:tcPr>
            <w:tcW w:w="3882" w:type="dxa"/>
            <w:tcBorders/>
            <w:vAlign w:val="center"/>
          </w:tcPr>
          <w:p>
            <w:pPr>
              <w:pStyle w:val="TableContents"/>
              <w:bidi w:val="0"/>
              <w:spacing w:before="0" w:after="283"/>
              <w:jc w:val="left"/>
              <w:rPr>
                <w:sz w:val="20"/>
              </w:rPr>
            </w:pPr>
            <w:r>
              <w:rPr>
                <w:sz w:val="20"/>
              </w:rPr>
              <w:t>Managing Partner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Forbearance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539" w:type="dxa"/>
        <w:jc w:val="left"/>
        <w:tblInd w:w="0" w:type="dxa"/>
        <w:tblLayout w:type="fixed"/>
        <w:tblCellMar>
          <w:top w:w="0" w:type="dxa"/>
          <w:left w:w="0" w:type="dxa"/>
          <w:bottom w:w="0" w:type="dxa"/>
          <w:right w:w="0" w:type="dxa"/>
        </w:tblCellMar>
      </w:tblPr>
      <w:tblGrid>
        <w:gridCol w:w="75"/>
        <w:gridCol w:w="1296"/>
        <w:gridCol w:w="4168"/>
      </w:tblGrid>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b/>
                <w:sz w:val="20"/>
              </w:rPr>
            </w:pPr>
            <w:r>
              <w:rPr>
                <w:b/>
                <w:sz w:val="20"/>
              </w:rPr>
              <w:t>LENDERS:</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sz w:val="20"/>
              </w:rPr>
            </w:pPr>
            <w:r>
              <w:rPr>
                <w:sz w:val="20"/>
              </w:rPr>
              <w:t>METROPOLITAN LEVERED PARTNERS FUND VII, LP</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sz w:val="20"/>
              </w:rPr>
            </w:pPr>
            <w:r>
              <w:rPr>
                <w:sz w:val="20"/>
              </w:rPr>
              <w:t>By: MPF VII GP, LLC its General Partner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sz w:val="20"/>
              </w:rPr>
            </w:pPr>
            <w:r>
              <w:rPr>
                <w:sz w:val="20"/>
              </w:rPr>
              <w:t>By:</w:t>
            </w:r>
          </w:p>
        </w:tc>
        <w:tc>
          <w:tcPr>
            <w:tcW w:w="4168" w:type="dxa"/>
            <w:tcBorders>
              <w:bottom w:val="single" w:sz="8" w:space="0" w:color="000000"/>
            </w:tcBorders>
            <w:tcMar>
              <w:bottom w:w="28" w:type="dxa"/>
            </w:tcMar>
            <w:vAlign w:val="center"/>
          </w:tcPr>
          <w:p>
            <w:pPr>
              <w:pStyle w:val="TableContents"/>
              <w:bidi w:val="0"/>
              <w:spacing w:before="0" w:after="283"/>
              <w:jc w:val="left"/>
              <w:rPr/>
            </w:pPr>
            <w:r>
              <w:rPr/>
              <w:t>/s/ Paul Lisak</w:t>
            </w:r>
          </w:p>
        </w:tc>
      </w:tr>
      <w:tr>
        <w:trPr/>
        <w:tc>
          <w:tcPr>
            <w:tcW w:w="75"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sz w:val="20"/>
              </w:rPr>
            </w:pPr>
            <w:r>
              <w:rPr>
                <w:sz w:val="20"/>
              </w:rPr>
              <w:t xml:space="preserve">Name: </w:t>
            </w:r>
          </w:p>
        </w:tc>
        <w:tc>
          <w:tcPr>
            <w:tcW w:w="4168" w:type="dxa"/>
            <w:tcBorders/>
            <w:vAlign w:val="center"/>
          </w:tcPr>
          <w:p>
            <w:pPr>
              <w:pStyle w:val="TableContents"/>
              <w:bidi w:val="0"/>
              <w:spacing w:before="0" w:after="283"/>
              <w:jc w:val="left"/>
              <w:rPr>
                <w:sz w:val="20"/>
              </w:rPr>
            </w:pPr>
            <w:r>
              <w:rPr>
                <w:sz w:val="20"/>
              </w:rPr>
              <w:t>Paul K. Lisiak</w:t>
            </w:r>
          </w:p>
        </w:tc>
      </w:tr>
      <w:tr>
        <w:trPr/>
        <w:tc>
          <w:tcPr>
            <w:tcW w:w="75"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sz w:val="20"/>
              </w:rPr>
            </w:pPr>
            <w:r>
              <w:rPr>
                <w:sz w:val="20"/>
              </w:rPr>
              <w:t xml:space="preserve">Title: </w:t>
            </w:r>
          </w:p>
        </w:tc>
        <w:tc>
          <w:tcPr>
            <w:tcW w:w="4168" w:type="dxa"/>
            <w:tcBorders/>
            <w:vAlign w:val="center"/>
          </w:tcPr>
          <w:p>
            <w:pPr>
              <w:pStyle w:val="TableContents"/>
              <w:bidi w:val="0"/>
              <w:spacing w:before="0" w:after="283"/>
              <w:jc w:val="left"/>
              <w:rPr>
                <w:sz w:val="20"/>
              </w:rPr>
            </w:pPr>
            <w:r>
              <w:rPr>
                <w:sz w:val="20"/>
              </w:rPr>
              <w:t>Managing Partner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sz w:val="20"/>
              </w:rPr>
            </w:pPr>
            <w:r>
              <w:rPr>
                <w:sz w:val="20"/>
              </w:rPr>
              <w:t>METROPOLITAN PARTNERS FUND VII, LP</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sz w:val="20"/>
              </w:rPr>
            </w:pPr>
            <w:r>
              <w:rPr>
                <w:sz w:val="20"/>
              </w:rPr>
              <w:t>By: MPF VII GP, LLC its General Partner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sz w:val="20"/>
              </w:rPr>
            </w:pPr>
            <w:r>
              <w:rPr>
                <w:sz w:val="20"/>
              </w:rPr>
              <w:t>By:</w:t>
            </w:r>
          </w:p>
        </w:tc>
        <w:tc>
          <w:tcPr>
            <w:tcW w:w="4168" w:type="dxa"/>
            <w:tcBorders>
              <w:bottom w:val="single" w:sz="8" w:space="0" w:color="000000"/>
            </w:tcBorders>
            <w:tcMar>
              <w:bottom w:w="28" w:type="dxa"/>
            </w:tcMar>
            <w:vAlign w:val="center"/>
          </w:tcPr>
          <w:p>
            <w:pPr>
              <w:pStyle w:val="TableContents"/>
              <w:bidi w:val="0"/>
              <w:spacing w:before="0" w:after="283"/>
              <w:jc w:val="left"/>
              <w:rPr/>
            </w:pPr>
            <w:r>
              <w:rPr/>
              <w:t>/s/ Paul Lisak</w:t>
            </w:r>
          </w:p>
        </w:tc>
      </w:tr>
      <w:tr>
        <w:trPr/>
        <w:tc>
          <w:tcPr>
            <w:tcW w:w="75"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sz w:val="20"/>
              </w:rPr>
            </w:pPr>
            <w:r>
              <w:rPr>
                <w:sz w:val="20"/>
              </w:rPr>
              <w:t>Name:</w:t>
            </w:r>
          </w:p>
        </w:tc>
        <w:tc>
          <w:tcPr>
            <w:tcW w:w="4168" w:type="dxa"/>
            <w:tcBorders/>
            <w:vAlign w:val="center"/>
          </w:tcPr>
          <w:p>
            <w:pPr>
              <w:pStyle w:val="TableContents"/>
              <w:bidi w:val="0"/>
              <w:spacing w:before="0" w:after="283"/>
              <w:jc w:val="left"/>
              <w:rPr>
                <w:sz w:val="20"/>
              </w:rPr>
            </w:pPr>
            <w:r>
              <w:rPr>
                <w:sz w:val="20"/>
              </w:rPr>
              <w:t>Paul K. Lisiak</w:t>
            </w:r>
          </w:p>
        </w:tc>
      </w:tr>
      <w:tr>
        <w:trPr/>
        <w:tc>
          <w:tcPr>
            <w:tcW w:w="75"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sz w:val="20"/>
              </w:rPr>
            </w:pPr>
            <w:r>
              <w:rPr>
                <w:sz w:val="20"/>
              </w:rPr>
              <w:t xml:space="preserve">Title: </w:t>
            </w:r>
          </w:p>
        </w:tc>
        <w:tc>
          <w:tcPr>
            <w:tcW w:w="4168" w:type="dxa"/>
            <w:tcBorders/>
            <w:vAlign w:val="center"/>
          </w:tcPr>
          <w:p>
            <w:pPr>
              <w:pStyle w:val="TableContents"/>
              <w:bidi w:val="0"/>
              <w:spacing w:before="0" w:after="283"/>
              <w:jc w:val="left"/>
              <w:rPr>
                <w:sz w:val="20"/>
              </w:rPr>
            </w:pPr>
            <w:r>
              <w:rPr>
                <w:sz w:val="20"/>
              </w:rPr>
              <w:t>Managing Partner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sz w:val="20"/>
              </w:rPr>
            </w:pPr>
            <w:r>
              <w:rPr>
                <w:sz w:val="20"/>
              </w:rPr>
              <w:t>METROPOLITAN OFFSHORE PARTNERS FUND VII, LP</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sz w:val="20"/>
              </w:rPr>
            </w:pPr>
            <w:r>
              <w:rPr>
                <w:sz w:val="20"/>
              </w:rPr>
              <w:t>By: MPF VII GP, LLC its General Partner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sz w:val="20"/>
              </w:rPr>
            </w:pPr>
            <w:r>
              <w:rPr>
                <w:sz w:val="20"/>
              </w:rPr>
              <w:t>By:</w:t>
            </w:r>
          </w:p>
        </w:tc>
        <w:tc>
          <w:tcPr>
            <w:tcW w:w="4168" w:type="dxa"/>
            <w:tcBorders>
              <w:bottom w:val="single" w:sz="8" w:space="0" w:color="000000"/>
            </w:tcBorders>
            <w:tcMar>
              <w:bottom w:w="28" w:type="dxa"/>
            </w:tcMar>
            <w:vAlign w:val="center"/>
          </w:tcPr>
          <w:p>
            <w:pPr>
              <w:pStyle w:val="TableContents"/>
              <w:bidi w:val="0"/>
              <w:spacing w:before="0" w:after="283"/>
              <w:jc w:val="left"/>
              <w:rPr/>
            </w:pPr>
            <w:r>
              <w:rPr/>
              <w:t>/s/ Paul Lisak</w:t>
            </w:r>
          </w:p>
        </w:tc>
      </w:tr>
      <w:tr>
        <w:trPr/>
        <w:tc>
          <w:tcPr>
            <w:tcW w:w="75"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sz w:val="20"/>
              </w:rPr>
            </w:pPr>
            <w:r>
              <w:rPr>
                <w:sz w:val="20"/>
              </w:rPr>
              <w:t xml:space="preserve">Name: </w:t>
            </w:r>
          </w:p>
        </w:tc>
        <w:tc>
          <w:tcPr>
            <w:tcW w:w="4168" w:type="dxa"/>
            <w:tcBorders/>
            <w:vAlign w:val="center"/>
          </w:tcPr>
          <w:p>
            <w:pPr>
              <w:pStyle w:val="TableContents"/>
              <w:bidi w:val="0"/>
              <w:spacing w:before="0" w:after="283"/>
              <w:jc w:val="left"/>
              <w:rPr>
                <w:sz w:val="20"/>
              </w:rPr>
            </w:pPr>
            <w:r>
              <w:rPr>
                <w:sz w:val="20"/>
              </w:rPr>
              <w:t>Paul K. Lisiak</w:t>
            </w:r>
          </w:p>
        </w:tc>
      </w:tr>
      <w:tr>
        <w:trPr/>
        <w:tc>
          <w:tcPr>
            <w:tcW w:w="75"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sz w:val="20"/>
              </w:rPr>
            </w:pPr>
            <w:r>
              <w:rPr>
                <w:sz w:val="20"/>
              </w:rPr>
              <w:t xml:space="preserve">Title: </w:t>
            </w:r>
          </w:p>
        </w:tc>
        <w:tc>
          <w:tcPr>
            <w:tcW w:w="4168" w:type="dxa"/>
            <w:tcBorders/>
            <w:vAlign w:val="center"/>
          </w:tcPr>
          <w:p>
            <w:pPr>
              <w:pStyle w:val="TableContents"/>
              <w:bidi w:val="0"/>
              <w:spacing w:before="0" w:after="283"/>
              <w:jc w:val="left"/>
              <w:rPr>
                <w:sz w:val="20"/>
              </w:rPr>
            </w:pPr>
            <w:r>
              <w:rPr>
                <w:sz w:val="20"/>
              </w:rPr>
              <w:t>Managing Partner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sz w:val="20"/>
              </w:rPr>
            </w:pPr>
            <w:r>
              <w:rPr>
                <w:sz w:val="20"/>
              </w:rPr>
              <w:t>CEOF HOLDINGS LP</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sz w:val="20"/>
              </w:rPr>
            </w:pPr>
            <w:r>
              <w:rPr>
                <w:sz w:val="20"/>
              </w:rPr>
              <w:t>By: CORBIN CAPITAL PARTNERS, L.P., its Investment Manager:</w:t>
            </w:r>
          </w:p>
        </w:tc>
      </w:tr>
      <w:tr>
        <w:trPr/>
        <w:tc>
          <w:tcPr>
            <w:tcW w:w="75" w:type="dxa"/>
            <w:tcBorders/>
            <w:vAlign w:val="center"/>
          </w:tcPr>
          <w:p>
            <w:pPr>
              <w:pStyle w:val="TableContents"/>
              <w:bidi w:val="0"/>
              <w:spacing w:before="0" w:after="283"/>
              <w:jc w:val="left"/>
              <w:rPr/>
            </w:pPr>
            <w:r>
              <w:rPr/>
              <w:t> </w:t>
            </w:r>
          </w:p>
        </w:tc>
        <w:tc>
          <w:tcPr>
            <w:tcW w:w="546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sz w:val="20"/>
              </w:rPr>
            </w:pPr>
            <w:r>
              <w:rPr>
                <w:sz w:val="20"/>
              </w:rPr>
              <w:t>By:</w:t>
            </w:r>
          </w:p>
        </w:tc>
        <w:tc>
          <w:tcPr>
            <w:tcW w:w="4168" w:type="dxa"/>
            <w:tcBorders>
              <w:bottom w:val="single" w:sz="8" w:space="0" w:color="000000"/>
            </w:tcBorders>
            <w:tcMar>
              <w:bottom w:w="28" w:type="dxa"/>
            </w:tcMar>
            <w:vAlign w:val="center"/>
          </w:tcPr>
          <w:p>
            <w:pPr>
              <w:pStyle w:val="TableContents"/>
              <w:bidi w:val="0"/>
              <w:spacing w:before="0" w:after="283"/>
              <w:jc w:val="left"/>
              <w:rPr/>
            </w:pPr>
            <w:r>
              <w:rPr/>
              <w:t>/s/ Daniel Friedman</w:t>
            </w:r>
          </w:p>
        </w:tc>
      </w:tr>
      <w:tr>
        <w:trPr/>
        <w:tc>
          <w:tcPr>
            <w:tcW w:w="75"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sz w:val="20"/>
              </w:rPr>
            </w:pPr>
            <w:r>
              <w:rPr>
                <w:sz w:val="20"/>
              </w:rPr>
              <w:t>Name:</w:t>
            </w:r>
          </w:p>
        </w:tc>
        <w:tc>
          <w:tcPr>
            <w:tcW w:w="4168" w:type="dxa"/>
            <w:tcBorders/>
            <w:vAlign w:val="center"/>
          </w:tcPr>
          <w:p>
            <w:pPr>
              <w:pStyle w:val="TableContents"/>
              <w:bidi w:val="0"/>
              <w:spacing w:before="0" w:after="283"/>
              <w:jc w:val="left"/>
              <w:rPr/>
            </w:pPr>
            <w:r>
              <w:rPr/>
              <w:t>Daniel Friedman</w:t>
            </w:r>
          </w:p>
        </w:tc>
      </w:tr>
      <w:tr>
        <w:trPr/>
        <w:tc>
          <w:tcPr>
            <w:tcW w:w="75"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left"/>
              <w:rPr>
                <w:sz w:val="20"/>
              </w:rPr>
            </w:pPr>
            <w:r>
              <w:rPr>
                <w:sz w:val="20"/>
              </w:rPr>
              <w:t>Title:</w:t>
            </w:r>
          </w:p>
        </w:tc>
        <w:tc>
          <w:tcPr>
            <w:tcW w:w="4168" w:type="dxa"/>
            <w:tcBorders/>
            <w:vAlign w:val="center"/>
          </w:tcPr>
          <w:p>
            <w:pPr>
              <w:pStyle w:val="TableContents"/>
              <w:bidi w:val="0"/>
              <w:spacing w:before="0" w:after="283"/>
              <w:jc w:val="left"/>
              <w:rPr/>
            </w:pPr>
            <w:r>
              <w:rPr/>
              <w:t>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Forbearance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729" w:type="dxa"/>
        <w:jc w:val="left"/>
        <w:tblInd w:w="0" w:type="dxa"/>
        <w:tblLayout w:type="fixed"/>
        <w:tblCellMar>
          <w:top w:w="0" w:type="dxa"/>
          <w:left w:w="0" w:type="dxa"/>
          <w:bottom w:w="0" w:type="dxa"/>
          <w:right w:w="0" w:type="dxa"/>
        </w:tblCellMar>
      </w:tblPr>
      <w:tblGrid>
        <w:gridCol w:w="75"/>
        <w:gridCol w:w="1153"/>
        <w:gridCol w:w="3501"/>
      </w:tblGrid>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b/>
                <w:sz w:val="20"/>
              </w:rPr>
            </w:pPr>
            <w:r>
              <w:rPr>
                <w:b/>
                <w:sz w:val="20"/>
              </w:rPr>
              <w:t>SIGNIFICANT STAKEHOLDERS:</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sz w:val="20"/>
              </w:rPr>
            </w:pPr>
            <w:r>
              <w:rPr>
                <w:sz w:val="20"/>
              </w:rPr>
              <w:t>ROMULUS CAPITAL I, L.P.</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sz w:val="20"/>
              </w:rPr>
            </w:pPr>
            <w:r>
              <w:rPr>
                <w:sz w:val="20"/>
              </w:rPr>
              <w:t>By: Romulus Capital Partners I, LLC, its General Partner</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sz w:val="20"/>
              </w:rPr>
            </w:pPr>
            <w:r>
              <w:rPr>
                <w:sz w:val="20"/>
              </w:rPr>
              <w:t>By:</w:t>
            </w:r>
          </w:p>
        </w:tc>
        <w:tc>
          <w:tcPr>
            <w:tcW w:w="3501" w:type="dxa"/>
            <w:tcBorders>
              <w:bottom w:val="single" w:sz="8" w:space="0" w:color="000000"/>
            </w:tcBorders>
            <w:tcMar>
              <w:bottom w:w="28" w:type="dxa"/>
            </w:tcMar>
            <w:vAlign w:val="center"/>
          </w:tcPr>
          <w:p>
            <w:pPr>
              <w:pStyle w:val="TableContents"/>
              <w:bidi w:val="0"/>
              <w:spacing w:before="0" w:after="283"/>
              <w:jc w:val="left"/>
              <w:rPr/>
            </w:pPr>
            <w:r>
              <w:rPr/>
              <w:t>/s/ Krishna Gupta</w:t>
            </w:r>
          </w:p>
        </w:tc>
      </w:tr>
      <w:tr>
        <w:trPr/>
        <w:tc>
          <w:tcPr>
            <w:tcW w:w="75"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sz w:val="20"/>
              </w:rPr>
            </w:pPr>
            <w:r>
              <w:rPr>
                <w:sz w:val="20"/>
              </w:rPr>
              <w:t>Name:</w:t>
            </w:r>
          </w:p>
        </w:tc>
        <w:tc>
          <w:tcPr>
            <w:tcW w:w="3501" w:type="dxa"/>
            <w:tcBorders/>
            <w:vAlign w:val="center"/>
          </w:tcPr>
          <w:p>
            <w:pPr>
              <w:pStyle w:val="TableContents"/>
              <w:bidi w:val="0"/>
              <w:spacing w:before="0" w:after="283"/>
              <w:jc w:val="left"/>
              <w:rPr>
                <w:sz w:val="20"/>
              </w:rPr>
            </w:pPr>
            <w:r>
              <w:rPr>
                <w:sz w:val="20"/>
              </w:rPr>
              <w:t>Krishna Gupta</w:t>
            </w:r>
          </w:p>
        </w:tc>
      </w:tr>
      <w:tr>
        <w:trPr/>
        <w:tc>
          <w:tcPr>
            <w:tcW w:w="75"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sz w:val="20"/>
              </w:rPr>
            </w:pPr>
            <w:r>
              <w:rPr>
                <w:sz w:val="20"/>
              </w:rPr>
              <w:t xml:space="preserve">Title: </w:t>
            </w:r>
          </w:p>
        </w:tc>
        <w:tc>
          <w:tcPr>
            <w:tcW w:w="3501" w:type="dxa"/>
            <w:tcBorders/>
            <w:vAlign w:val="center"/>
          </w:tcPr>
          <w:p>
            <w:pPr>
              <w:pStyle w:val="TableContents"/>
              <w:bidi w:val="0"/>
              <w:spacing w:before="0" w:after="283"/>
              <w:jc w:val="left"/>
              <w:rPr>
                <w:sz w:val="20"/>
              </w:rPr>
            </w:pPr>
            <w:r>
              <w:rPr>
                <w:sz w:val="20"/>
              </w:rPr>
              <w:t>Authorized Signatory</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sz w:val="20"/>
              </w:rPr>
            </w:pPr>
            <w:r>
              <w:rPr>
                <w:sz w:val="20"/>
              </w:rPr>
              <w:t>ROMULUS CAPITAL II, L.P.</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sz w:val="20"/>
              </w:rPr>
            </w:pPr>
            <w:r>
              <w:rPr>
                <w:sz w:val="20"/>
              </w:rPr>
              <w:t>By: Romulus Capital Partners II, LLC, its General Partner</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sz w:val="20"/>
              </w:rPr>
            </w:pPr>
            <w:r>
              <w:rPr>
                <w:sz w:val="20"/>
              </w:rPr>
              <w:t>By:</w:t>
            </w:r>
          </w:p>
        </w:tc>
        <w:tc>
          <w:tcPr>
            <w:tcW w:w="3501" w:type="dxa"/>
            <w:tcBorders>
              <w:bottom w:val="single" w:sz="8" w:space="0" w:color="000000"/>
            </w:tcBorders>
            <w:tcMar>
              <w:bottom w:w="28" w:type="dxa"/>
            </w:tcMar>
            <w:vAlign w:val="center"/>
          </w:tcPr>
          <w:p>
            <w:pPr>
              <w:pStyle w:val="TableContents"/>
              <w:bidi w:val="0"/>
              <w:spacing w:before="0" w:after="283"/>
              <w:jc w:val="left"/>
              <w:rPr/>
            </w:pPr>
            <w:r>
              <w:rPr/>
              <w:t>/s/ Krishna Gupta</w:t>
            </w:r>
          </w:p>
        </w:tc>
      </w:tr>
      <w:tr>
        <w:trPr/>
        <w:tc>
          <w:tcPr>
            <w:tcW w:w="75"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sz w:val="20"/>
              </w:rPr>
            </w:pPr>
            <w:r>
              <w:rPr>
                <w:sz w:val="20"/>
              </w:rPr>
              <w:t xml:space="preserve">Name: </w:t>
            </w:r>
          </w:p>
        </w:tc>
        <w:tc>
          <w:tcPr>
            <w:tcW w:w="3501" w:type="dxa"/>
            <w:tcBorders/>
            <w:vAlign w:val="center"/>
          </w:tcPr>
          <w:p>
            <w:pPr>
              <w:pStyle w:val="TableContents"/>
              <w:bidi w:val="0"/>
              <w:spacing w:before="0" w:after="283"/>
              <w:jc w:val="left"/>
              <w:rPr>
                <w:sz w:val="20"/>
              </w:rPr>
            </w:pPr>
            <w:r>
              <w:rPr>
                <w:sz w:val="20"/>
              </w:rPr>
              <w:t>Krishna Gupta</w:t>
            </w:r>
          </w:p>
        </w:tc>
      </w:tr>
      <w:tr>
        <w:trPr/>
        <w:tc>
          <w:tcPr>
            <w:tcW w:w="75"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sz w:val="20"/>
              </w:rPr>
            </w:pPr>
            <w:r>
              <w:rPr>
                <w:sz w:val="20"/>
              </w:rPr>
              <w:t xml:space="preserve">Title: </w:t>
            </w:r>
          </w:p>
        </w:tc>
        <w:tc>
          <w:tcPr>
            <w:tcW w:w="3501" w:type="dxa"/>
            <w:tcBorders/>
            <w:vAlign w:val="center"/>
          </w:tcPr>
          <w:p>
            <w:pPr>
              <w:pStyle w:val="TableContents"/>
              <w:bidi w:val="0"/>
              <w:spacing w:before="0" w:after="283"/>
              <w:jc w:val="left"/>
              <w:rPr>
                <w:sz w:val="20"/>
              </w:rPr>
            </w:pPr>
            <w:r>
              <w:rPr>
                <w:sz w:val="20"/>
              </w:rPr>
              <w:t>Authorized Signatory</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sz w:val="20"/>
              </w:rPr>
            </w:pPr>
            <w:r>
              <w:rPr>
                <w:sz w:val="20"/>
              </w:rPr>
              <w:t>ROMULUS CAPITAL III, L.P.</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sz w:val="20"/>
              </w:rPr>
            </w:pPr>
            <w:r>
              <w:rPr>
                <w:sz w:val="20"/>
              </w:rPr>
              <w:t>By: Romulus Capital Partners II, LLC, its General Partner</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sz w:val="20"/>
              </w:rPr>
            </w:pPr>
            <w:r>
              <w:rPr>
                <w:sz w:val="20"/>
              </w:rPr>
              <w:t>By:</w:t>
            </w:r>
          </w:p>
        </w:tc>
        <w:tc>
          <w:tcPr>
            <w:tcW w:w="3501" w:type="dxa"/>
            <w:tcBorders>
              <w:bottom w:val="single" w:sz="8" w:space="0" w:color="000000"/>
            </w:tcBorders>
            <w:tcMar>
              <w:bottom w:w="28" w:type="dxa"/>
            </w:tcMar>
            <w:vAlign w:val="center"/>
          </w:tcPr>
          <w:p>
            <w:pPr>
              <w:pStyle w:val="TableContents"/>
              <w:bidi w:val="0"/>
              <w:spacing w:before="0" w:after="283"/>
              <w:jc w:val="left"/>
              <w:rPr/>
            </w:pPr>
            <w:r>
              <w:rPr/>
              <w:t>/s/ Krishna Gupta</w:t>
            </w:r>
          </w:p>
        </w:tc>
      </w:tr>
      <w:tr>
        <w:trPr/>
        <w:tc>
          <w:tcPr>
            <w:tcW w:w="75"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sz w:val="20"/>
              </w:rPr>
            </w:pPr>
            <w:r>
              <w:rPr>
                <w:sz w:val="20"/>
              </w:rPr>
              <w:t xml:space="preserve">Name: </w:t>
            </w:r>
          </w:p>
        </w:tc>
        <w:tc>
          <w:tcPr>
            <w:tcW w:w="3501" w:type="dxa"/>
            <w:tcBorders/>
            <w:vAlign w:val="center"/>
          </w:tcPr>
          <w:p>
            <w:pPr>
              <w:pStyle w:val="TableContents"/>
              <w:bidi w:val="0"/>
              <w:spacing w:before="0" w:after="283"/>
              <w:jc w:val="left"/>
              <w:rPr>
                <w:sz w:val="20"/>
              </w:rPr>
            </w:pPr>
            <w:r>
              <w:rPr>
                <w:sz w:val="20"/>
              </w:rPr>
              <w:t>Krishna Gupta</w:t>
            </w:r>
          </w:p>
        </w:tc>
      </w:tr>
      <w:tr>
        <w:trPr/>
        <w:tc>
          <w:tcPr>
            <w:tcW w:w="75"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sz w:val="20"/>
              </w:rPr>
            </w:pPr>
            <w:r>
              <w:rPr>
                <w:sz w:val="20"/>
              </w:rPr>
              <w:t xml:space="preserve">Title: </w:t>
            </w:r>
          </w:p>
        </w:tc>
        <w:tc>
          <w:tcPr>
            <w:tcW w:w="3501" w:type="dxa"/>
            <w:tcBorders/>
            <w:vAlign w:val="center"/>
          </w:tcPr>
          <w:p>
            <w:pPr>
              <w:pStyle w:val="TableContents"/>
              <w:bidi w:val="0"/>
              <w:spacing w:before="0" w:after="283"/>
              <w:jc w:val="left"/>
              <w:rPr>
                <w:sz w:val="20"/>
              </w:rPr>
            </w:pPr>
            <w:r>
              <w:rPr>
                <w:sz w:val="20"/>
              </w:rPr>
              <w:t>Authorized Signatory</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sz w:val="20"/>
              </w:rPr>
            </w:pPr>
            <w:r>
              <w:rPr>
                <w:sz w:val="20"/>
              </w:rPr>
              <w:t>REMUS CAPITAL IV, L.P.</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sz w:val="20"/>
              </w:rPr>
            </w:pPr>
            <w:r>
              <w:rPr>
                <w:sz w:val="20"/>
              </w:rPr>
              <w:t>By: Remus Capital IV GP, LLC</w:t>
            </w:r>
          </w:p>
        </w:tc>
      </w:tr>
      <w:tr>
        <w:trPr/>
        <w:tc>
          <w:tcPr>
            <w:tcW w:w="75" w:type="dxa"/>
            <w:tcBorders/>
            <w:vAlign w:val="center"/>
          </w:tcPr>
          <w:p>
            <w:pPr>
              <w:pStyle w:val="TableContents"/>
              <w:bidi w:val="0"/>
              <w:spacing w:before="0" w:after="283"/>
              <w:jc w:val="left"/>
              <w:rPr/>
            </w:pPr>
            <w:r>
              <w:rPr/>
              <w:t> </w:t>
            </w:r>
          </w:p>
        </w:tc>
        <w:tc>
          <w:tcPr>
            <w:tcW w:w="465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sz w:val="20"/>
              </w:rPr>
            </w:pPr>
            <w:r>
              <w:rPr>
                <w:sz w:val="20"/>
              </w:rPr>
              <w:t>By:</w:t>
            </w:r>
          </w:p>
        </w:tc>
        <w:tc>
          <w:tcPr>
            <w:tcW w:w="3501" w:type="dxa"/>
            <w:tcBorders>
              <w:bottom w:val="single" w:sz="8" w:space="0" w:color="000000"/>
            </w:tcBorders>
            <w:tcMar>
              <w:bottom w:w="28" w:type="dxa"/>
            </w:tcMar>
            <w:vAlign w:val="center"/>
          </w:tcPr>
          <w:p>
            <w:pPr>
              <w:pStyle w:val="TableContents"/>
              <w:bidi w:val="0"/>
              <w:spacing w:before="0" w:after="283"/>
              <w:jc w:val="left"/>
              <w:rPr/>
            </w:pPr>
            <w:r>
              <w:rPr/>
              <w:t>/s/ Krishna Gupta</w:t>
            </w:r>
          </w:p>
        </w:tc>
      </w:tr>
      <w:tr>
        <w:trPr/>
        <w:tc>
          <w:tcPr>
            <w:tcW w:w="75"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sz w:val="20"/>
              </w:rPr>
            </w:pPr>
            <w:r>
              <w:rPr>
                <w:sz w:val="20"/>
              </w:rPr>
              <w:t xml:space="preserve">Name: </w:t>
            </w:r>
          </w:p>
        </w:tc>
        <w:tc>
          <w:tcPr>
            <w:tcW w:w="3501" w:type="dxa"/>
            <w:tcBorders/>
            <w:vAlign w:val="center"/>
          </w:tcPr>
          <w:p>
            <w:pPr>
              <w:pStyle w:val="TableContents"/>
              <w:bidi w:val="0"/>
              <w:spacing w:before="0" w:after="283"/>
              <w:jc w:val="left"/>
              <w:rPr>
                <w:sz w:val="20"/>
              </w:rPr>
            </w:pPr>
            <w:r>
              <w:rPr>
                <w:sz w:val="20"/>
              </w:rPr>
              <w:t>Krishna K. Gupta</w:t>
            </w:r>
          </w:p>
        </w:tc>
      </w:tr>
      <w:tr>
        <w:trPr/>
        <w:tc>
          <w:tcPr>
            <w:tcW w:w="75" w:type="dxa"/>
            <w:tcBorders/>
            <w:vAlign w:val="center"/>
          </w:tcPr>
          <w:p>
            <w:pPr>
              <w:pStyle w:val="TableContents"/>
              <w:bidi w:val="0"/>
              <w:spacing w:before="0" w:after="283"/>
              <w:jc w:val="left"/>
              <w:rPr/>
            </w:pPr>
            <w:r>
              <w:rPr/>
              <w:t> </w:t>
            </w:r>
          </w:p>
        </w:tc>
        <w:tc>
          <w:tcPr>
            <w:tcW w:w="1153" w:type="dxa"/>
            <w:tcBorders/>
            <w:vAlign w:val="center"/>
          </w:tcPr>
          <w:p>
            <w:pPr>
              <w:pStyle w:val="TableContents"/>
              <w:bidi w:val="0"/>
              <w:spacing w:before="0" w:after="283"/>
              <w:jc w:val="left"/>
              <w:rPr>
                <w:sz w:val="20"/>
              </w:rPr>
            </w:pPr>
            <w:r>
              <w:rPr>
                <w:sz w:val="20"/>
              </w:rPr>
              <w:t xml:space="preserve">Title: </w:t>
            </w:r>
          </w:p>
        </w:tc>
        <w:tc>
          <w:tcPr>
            <w:tcW w:w="3501"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Forbearance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354" w:type="dxa"/>
        <w:jc w:val="left"/>
        <w:tblInd w:w="0" w:type="dxa"/>
        <w:tblLayout w:type="fixed"/>
        <w:tblCellMar>
          <w:top w:w="0" w:type="dxa"/>
          <w:left w:w="0" w:type="dxa"/>
          <w:bottom w:w="0" w:type="dxa"/>
          <w:right w:w="0" w:type="dxa"/>
        </w:tblCellMar>
      </w:tblPr>
      <w:tblGrid>
        <w:gridCol w:w="75"/>
        <w:gridCol w:w="1061"/>
        <w:gridCol w:w="3218"/>
      </w:tblGrid>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sz w:val="20"/>
              </w:rPr>
            </w:pPr>
            <w:r>
              <w:rPr>
                <w:sz w:val="20"/>
              </w:rPr>
              <w:t>ROMULUS ELC B3 SPECIAL OPPORTUNITY, L.P.</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sz w:val="20"/>
              </w:rPr>
            </w:pPr>
            <w:r>
              <w:rPr>
                <w:sz w:val="20"/>
              </w:rPr>
              <w:t>By: Romulus GP, its General Partner</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sz w:val="20"/>
              </w:rPr>
            </w:pPr>
            <w:r>
              <w:rPr>
                <w:sz w:val="20"/>
              </w:rPr>
              <w:t>By:</w:t>
            </w:r>
          </w:p>
        </w:tc>
        <w:tc>
          <w:tcPr>
            <w:tcW w:w="3218" w:type="dxa"/>
            <w:tcBorders>
              <w:bottom w:val="single" w:sz="8" w:space="0" w:color="000000"/>
            </w:tcBorders>
            <w:tcMar>
              <w:bottom w:w="28" w:type="dxa"/>
            </w:tcMar>
            <w:vAlign w:val="center"/>
          </w:tcPr>
          <w:p>
            <w:pPr>
              <w:pStyle w:val="TableContents"/>
              <w:bidi w:val="0"/>
              <w:spacing w:before="0" w:after="283"/>
              <w:jc w:val="left"/>
              <w:rPr/>
            </w:pPr>
            <w:r>
              <w:rPr/>
              <w:t>/s/ Krishna Gupta</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sz w:val="20"/>
              </w:rPr>
            </w:pPr>
            <w:r>
              <w:rPr>
                <w:sz w:val="20"/>
              </w:rPr>
              <w:t xml:space="preserve">Name: </w:t>
            </w:r>
          </w:p>
        </w:tc>
        <w:tc>
          <w:tcPr>
            <w:tcW w:w="3218" w:type="dxa"/>
            <w:tcBorders/>
            <w:vAlign w:val="center"/>
          </w:tcPr>
          <w:p>
            <w:pPr>
              <w:pStyle w:val="TableContents"/>
              <w:bidi w:val="0"/>
              <w:spacing w:before="0" w:after="283"/>
              <w:jc w:val="left"/>
              <w:rPr>
                <w:sz w:val="20"/>
              </w:rPr>
            </w:pPr>
            <w:r>
              <w:rPr>
                <w:sz w:val="20"/>
              </w:rPr>
              <w:t>Krishna Gupta</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sz w:val="20"/>
              </w:rPr>
            </w:pPr>
            <w:r>
              <w:rPr>
                <w:sz w:val="20"/>
              </w:rPr>
              <w:t xml:space="preserve">Title: </w:t>
            </w:r>
          </w:p>
        </w:tc>
        <w:tc>
          <w:tcPr>
            <w:tcW w:w="3218" w:type="dxa"/>
            <w:tcBorders/>
            <w:vAlign w:val="center"/>
          </w:tcPr>
          <w:p>
            <w:pPr>
              <w:pStyle w:val="TableContents"/>
              <w:bidi w:val="0"/>
              <w:spacing w:before="0" w:after="283"/>
              <w:jc w:val="left"/>
              <w:rPr>
                <w:sz w:val="20"/>
              </w:rPr>
            </w:pPr>
            <w:r>
              <w:rPr>
                <w:sz w:val="20"/>
              </w:rPr>
              <w:t>Authorized Signatory</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sz w:val="20"/>
              </w:rPr>
            </w:pPr>
            <w:r>
              <w:rPr>
                <w:sz w:val="20"/>
              </w:rPr>
              <w:t>ZAFFRAN SPECIAL OPPORTUNITIES LLC</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sz w:val="20"/>
              </w:rPr>
            </w:pPr>
            <w:r>
              <w:rPr>
                <w:sz w:val="20"/>
              </w:rPr>
              <w:t>By:</w:t>
            </w:r>
          </w:p>
        </w:tc>
        <w:tc>
          <w:tcPr>
            <w:tcW w:w="3218" w:type="dxa"/>
            <w:tcBorders>
              <w:bottom w:val="single" w:sz="8" w:space="0" w:color="000000"/>
            </w:tcBorders>
            <w:tcMar>
              <w:bottom w:w="28" w:type="dxa"/>
            </w:tcMar>
            <w:vAlign w:val="center"/>
          </w:tcPr>
          <w:p>
            <w:pPr>
              <w:pStyle w:val="TableContents"/>
              <w:bidi w:val="0"/>
              <w:spacing w:before="0" w:after="283"/>
              <w:jc w:val="left"/>
              <w:rPr/>
            </w:pPr>
            <w:r>
              <w:rPr/>
              <w:t>/s/ Krishna Gupta</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sz w:val="20"/>
              </w:rPr>
            </w:pPr>
            <w:r>
              <w:rPr>
                <w:sz w:val="20"/>
              </w:rPr>
              <w:t xml:space="preserve">Name: </w:t>
            </w:r>
          </w:p>
        </w:tc>
        <w:tc>
          <w:tcPr>
            <w:tcW w:w="3218" w:type="dxa"/>
            <w:tcBorders/>
            <w:vAlign w:val="center"/>
          </w:tcPr>
          <w:p>
            <w:pPr>
              <w:pStyle w:val="TableContents"/>
              <w:bidi w:val="0"/>
              <w:spacing w:before="0" w:after="283"/>
              <w:jc w:val="left"/>
              <w:rPr>
                <w:sz w:val="20"/>
              </w:rPr>
            </w:pPr>
            <w:r>
              <w:rPr>
                <w:sz w:val="20"/>
              </w:rPr>
              <w:t>Krishna Gupta</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sz w:val="20"/>
              </w:rPr>
            </w:pPr>
            <w:r>
              <w:rPr>
                <w:sz w:val="20"/>
              </w:rPr>
              <w:t xml:space="preserve">Title: </w:t>
            </w:r>
          </w:p>
        </w:tc>
        <w:tc>
          <w:tcPr>
            <w:tcW w:w="3218" w:type="dxa"/>
            <w:tcBorders/>
            <w:vAlign w:val="center"/>
          </w:tcPr>
          <w:p>
            <w:pPr>
              <w:pStyle w:val="TableContents"/>
              <w:bidi w:val="0"/>
              <w:spacing w:before="0" w:after="283"/>
              <w:jc w:val="left"/>
              <w:rPr>
                <w:sz w:val="20"/>
              </w:rPr>
            </w:pPr>
            <w:r>
              <w:rPr>
                <w:sz w:val="20"/>
              </w:rPr>
              <w:t>Authorized Signatory</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sz w:val="20"/>
              </w:rPr>
            </w:pPr>
            <w:r>
              <w:rPr>
                <w:sz w:val="20"/>
              </w:rPr>
              <w:t>KKG ENTERPRISES LLC</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pPr>
            <w:r>
              <w:rPr/>
              <w:t> </w:t>
            </w:r>
          </w:p>
        </w:tc>
        <w:tc>
          <w:tcPr>
            <w:tcW w:w="32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sz w:val="20"/>
              </w:rPr>
            </w:pPr>
            <w:r>
              <w:rPr>
                <w:sz w:val="20"/>
              </w:rPr>
              <w:t>By:</w:t>
            </w:r>
          </w:p>
        </w:tc>
        <w:tc>
          <w:tcPr>
            <w:tcW w:w="3218" w:type="dxa"/>
            <w:tcBorders>
              <w:bottom w:val="single" w:sz="8" w:space="0" w:color="000000"/>
            </w:tcBorders>
            <w:tcMar>
              <w:bottom w:w="28" w:type="dxa"/>
            </w:tcMar>
            <w:vAlign w:val="center"/>
          </w:tcPr>
          <w:p>
            <w:pPr>
              <w:pStyle w:val="TableContents"/>
              <w:bidi w:val="0"/>
              <w:spacing w:before="0" w:after="283"/>
              <w:jc w:val="left"/>
              <w:rPr/>
            </w:pPr>
            <w:r>
              <w:rPr/>
              <w:t>/s/ Krishna Gupta</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sz w:val="20"/>
              </w:rPr>
            </w:pPr>
            <w:r>
              <w:rPr>
                <w:sz w:val="20"/>
              </w:rPr>
              <w:t xml:space="preserve">Name: </w:t>
            </w:r>
          </w:p>
        </w:tc>
        <w:tc>
          <w:tcPr>
            <w:tcW w:w="3218" w:type="dxa"/>
            <w:tcBorders/>
            <w:vAlign w:val="center"/>
          </w:tcPr>
          <w:p>
            <w:pPr>
              <w:pStyle w:val="TableContents"/>
              <w:bidi w:val="0"/>
              <w:spacing w:before="0" w:after="283"/>
              <w:jc w:val="left"/>
              <w:rPr>
                <w:sz w:val="20"/>
              </w:rPr>
            </w:pPr>
            <w:r>
              <w:rPr>
                <w:sz w:val="20"/>
              </w:rPr>
              <w:t>Krishna Gupta</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sz w:val="20"/>
              </w:rPr>
            </w:pPr>
            <w:r>
              <w:rPr>
                <w:sz w:val="20"/>
              </w:rPr>
              <w:t xml:space="preserve">Title: </w:t>
            </w:r>
          </w:p>
        </w:tc>
        <w:tc>
          <w:tcPr>
            <w:tcW w:w="3218" w:type="dxa"/>
            <w:tcBorders/>
            <w:vAlign w:val="center"/>
          </w:tcPr>
          <w:p>
            <w:pPr>
              <w:pStyle w:val="TableContents"/>
              <w:bidi w:val="0"/>
              <w:spacing w:before="0" w:after="283"/>
              <w:jc w:val="left"/>
              <w:rPr>
                <w:sz w:val="20"/>
              </w:rPr>
            </w:pPr>
            <w:r>
              <w:rPr>
                <w:sz w:val="20"/>
              </w:rPr>
              <w:t>Authorized Signatory</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sz w:val="20"/>
              </w:rPr>
            </w:pPr>
            <w:r>
              <w:rPr>
                <w:sz w:val="20"/>
              </w:rPr>
              <w:t>PRESTO CA LLC</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sz w:val="20"/>
              </w:rPr>
            </w:pPr>
            <w:r>
              <w:rPr>
                <w:sz w:val="20"/>
              </w:rPr>
              <w:t>By:</w:t>
            </w:r>
          </w:p>
        </w:tc>
        <w:tc>
          <w:tcPr>
            <w:tcW w:w="3218" w:type="dxa"/>
            <w:tcBorders>
              <w:bottom w:val="single" w:sz="8" w:space="0" w:color="000000"/>
            </w:tcBorders>
            <w:tcMar>
              <w:bottom w:w="28" w:type="dxa"/>
            </w:tcMar>
            <w:vAlign w:val="center"/>
          </w:tcPr>
          <w:p>
            <w:pPr>
              <w:pStyle w:val="TableContents"/>
              <w:bidi w:val="0"/>
              <w:spacing w:before="0" w:after="283"/>
              <w:jc w:val="left"/>
              <w:rPr/>
            </w:pPr>
            <w:r>
              <w:rPr/>
              <w:t>/s/ Joseph McCoy</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sz w:val="20"/>
              </w:rPr>
            </w:pPr>
            <w:r>
              <w:rPr>
                <w:sz w:val="20"/>
              </w:rPr>
              <w:t xml:space="preserve">Name: </w:t>
            </w:r>
          </w:p>
        </w:tc>
        <w:tc>
          <w:tcPr>
            <w:tcW w:w="3218" w:type="dxa"/>
            <w:tcBorders/>
            <w:vAlign w:val="center"/>
          </w:tcPr>
          <w:p>
            <w:pPr>
              <w:pStyle w:val="TableContents"/>
              <w:bidi w:val="0"/>
              <w:spacing w:before="0" w:after="283"/>
              <w:jc w:val="left"/>
              <w:rPr>
                <w:sz w:val="20"/>
              </w:rPr>
            </w:pPr>
            <w:r>
              <w:rPr>
                <w:sz w:val="20"/>
              </w:rPr>
              <w:t>Joseph McCoy</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sz w:val="20"/>
              </w:rPr>
            </w:pPr>
            <w:r>
              <w:rPr>
                <w:sz w:val="20"/>
              </w:rPr>
              <w:t xml:space="preserve">Title: </w:t>
            </w:r>
          </w:p>
        </w:tc>
        <w:tc>
          <w:tcPr>
            <w:tcW w:w="3218" w:type="dxa"/>
            <w:tcBorders/>
            <w:vAlign w:val="center"/>
          </w:tcPr>
          <w:p>
            <w:pPr>
              <w:pStyle w:val="TableContents"/>
              <w:bidi w:val="0"/>
              <w:spacing w:before="0" w:after="283"/>
              <w:jc w:val="left"/>
              <w:rPr>
                <w:sz w:val="20"/>
              </w:rPr>
            </w:pPr>
            <w:r>
              <w:rPr>
                <w:sz w:val="20"/>
              </w:rPr>
              <w:t>Authorized Signatory</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sz w:val="20"/>
              </w:rPr>
            </w:pPr>
            <w:r>
              <w:rPr>
                <w:sz w:val="20"/>
              </w:rPr>
              <w:t>REMUS CAPITAL SERIES B II, L.P.</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sz w:val="20"/>
              </w:rPr>
            </w:pPr>
            <w:r>
              <w:rPr>
                <w:sz w:val="20"/>
              </w:rPr>
              <w:t>By: Remus Capital IV GP, LLC</w:t>
            </w:r>
          </w:p>
        </w:tc>
      </w:tr>
      <w:tr>
        <w:trPr/>
        <w:tc>
          <w:tcPr>
            <w:tcW w:w="75" w:type="dxa"/>
            <w:tcBorders/>
            <w:vAlign w:val="center"/>
          </w:tcPr>
          <w:p>
            <w:pPr>
              <w:pStyle w:val="TableContents"/>
              <w:bidi w:val="0"/>
              <w:spacing w:before="0" w:after="283"/>
              <w:jc w:val="left"/>
              <w:rPr/>
            </w:pPr>
            <w:r>
              <w:rPr/>
              <w:t> </w:t>
            </w:r>
          </w:p>
        </w:tc>
        <w:tc>
          <w:tcPr>
            <w:tcW w:w="42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sz w:val="20"/>
              </w:rPr>
            </w:pPr>
            <w:r>
              <w:rPr>
                <w:sz w:val="20"/>
              </w:rPr>
              <w:t>By:</w:t>
            </w:r>
          </w:p>
        </w:tc>
        <w:tc>
          <w:tcPr>
            <w:tcW w:w="3218" w:type="dxa"/>
            <w:tcBorders>
              <w:bottom w:val="single" w:sz="8" w:space="0" w:color="000000"/>
            </w:tcBorders>
            <w:tcMar>
              <w:bottom w:w="28" w:type="dxa"/>
            </w:tcMar>
            <w:vAlign w:val="center"/>
          </w:tcPr>
          <w:p>
            <w:pPr>
              <w:pStyle w:val="TableContents"/>
              <w:bidi w:val="0"/>
              <w:spacing w:before="0" w:after="283"/>
              <w:jc w:val="left"/>
              <w:rPr/>
            </w:pPr>
            <w:r>
              <w:rPr/>
              <w:t>/s/ Krishna Gupta</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sz w:val="20"/>
              </w:rPr>
            </w:pPr>
            <w:r>
              <w:rPr>
                <w:sz w:val="20"/>
              </w:rPr>
              <w:t xml:space="preserve">Name: </w:t>
            </w:r>
          </w:p>
        </w:tc>
        <w:tc>
          <w:tcPr>
            <w:tcW w:w="3218" w:type="dxa"/>
            <w:tcBorders/>
            <w:vAlign w:val="center"/>
          </w:tcPr>
          <w:p>
            <w:pPr>
              <w:pStyle w:val="TableContents"/>
              <w:bidi w:val="0"/>
              <w:spacing w:before="0" w:after="283"/>
              <w:jc w:val="left"/>
              <w:rPr>
                <w:sz w:val="20"/>
              </w:rPr>
            </w:pPr>
            <w:r>
              <w:rPr>
                <w:sz w:val="20"/>
              </w:rPr>
              <w:t>Krishna Gupta</w:t>
            </w:r>
          </w:p>
        </w:tc>
      </w:tr>
      <w:tr>
        <w:trPr/>
        <w:tc>
          <w:tcPr>
            <w:tcW w:w="75" w:type="dxa"/>
            <w:tcBorders/>
            <w:vAlign w:val="center"/>
          </w:tcPr>
          <w:p>
            <w:pPr>
              <w:pStyle w:val="TableContents"/>
              <w:bidi w:val="0"/>
              <w:spacing w:before="0" w:after="283"/>
              <w:jc w:val="left"/>
              <w:rPr/>
            </w:pPr>
            <w:r>
              <w:rPr/>
              <w:t> </w:t>
            </w:r>
          </w:p>
        </w:tc>
        <w:tc>
          <w:tcPr>
            <w:tcW w:w="1061" w:type="dxa"/>
            <w:tcBorders/>
            <w:vAlign w:val="center"/>
          </w:tcPr>
          <w:p>
            <w:pPr>
              <w:pStyle w:val="TableContents"/>
              <w:bidi w:val="0"/>
              <w:spacing w:before="0" w:after="283"/>
              <w:jc w:val="left"/>
              <w:rPr>
                <w:sz w:val="20"/>
              </w:rPr>
            </w:pPr>
            <w:r>
              <w:rPr>
                <w:sz w:val="20"/>
              </w:rPr>
              <w:t xml:space="preserve">Title: </w:t>
            </w:r>
          </w:p>
        </w:tc>
        <w:tc>
          <w:tcPr>
            <w:tcW w:w="3218" w:type="dxa"/>
            <w:tcBorders/>
            <w:vAlign w:val="center"/>
          </w:tcPr>
          <w:p>
            <w:pPr>
              <w:pStyle w:val="TableContents"/>
              <w:bidi w:val="0"/>
              <w:spacing w:before="0" w:after="283"/>
              <w:jc w:val="left"/>
              <w:rPr>
                <w:sz w:val="20"/>
              </w:rPr>
            </w:pPr>
            <w:r>
              <w:rPr>
                <w:sz w:val="20"/>
              </w:rPr>
              <w:t>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Forbearance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rPr>
      </w:pPr>
      <w:bookmarkStart w:id="34" w:name="tm246736d5_ex10-4.htm"/>
      <w:bookmarkStart w:id="35" w:name="kstm246736d5_ex104"/>
      <w:bookmarkEnd w:id="34"/>
      <w:bookmarkEnd w:id="35"/>
      <w:r>
        <w:rPr>
          <w:b/>
        </w:rPr>
        <w:t>Exhibit 10.4</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March 1, 2024, by and between Presto Automation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Remus Capital Series B II, L.P. (the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made pursuant to the Securities Purchase Agreement, dated as of the date hereof, between the Company and the Buyer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Buyer hereby agrees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sz w:val="20"/>
        </w:rPr>
      </w:pPr>
      <w:r>
        <w:rPr>
          <w:rFonts w:ascii="Times New Roman;Times;Serif" w:hAnsi="Times New Roman;Times;Serif"/>
          <w:b/>
          <w:i w:val="false"/>
          <w:caps/>
          <w:sz w:val="20"/>
        </w:rPr>
        <w:t>1.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and not otherwise defined herein that are defined in the Purchase Agreement shall have the meanings given such terms in the Purchase Agreement. As used in this Agreement,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Advice</w:t>
      </w:r>
      <w:r>
        <w:rPr>
          <w:rFonts w:ascii="Times New Roman;Times;Serif" w:hAnsi="Times New Roman;Times;Serif"/>
          <w:b w:val="false"/>
          <w:i w:val="false"/>
          <w:caps w:val="false"/>
          <w:smallCaps w:val="false"/>
          <w:sz w:val="20"/>
        </w:rPr>
        <w:t>” shall have the meaning set forth in Section 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Effectiveness Date</w:t>
      </w:r>
      <w:r>
        <w:rPr>
          <w:rFonts w:ascii="Times New Roman;Times;Serif" w:hAnsi="Times New Roman;Times;Serif"/>
          <w:b w:val="false"/>
          <w:i w:val="false"/>
          <w:caps w:val="false"/>
          <w:smallCaps w:val="false"/>
          <w:sz w:val="20"/>
        </w:rPr>
        <w:t xml:space="preserve">” means, with respect to the Initial Registration Statement required to be filed hereunder, the 150th calendar day following the date hereof and with respect to any additional Registration Statements which may be required pursuant to Section 2(c) or Section 3(c), the 30th calendar day following the date on which an additional Registration Statement is required to be filed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the Company is notified by the SEC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 shall have the meaning set forth in Section 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w:t>
      </w:r>
      <w:r>
        <w:rPr>
          <w:rFonts w:ascii="Times New Roman;Times;Serif" w:hAnsi="Times New Roman;Times;Serif"/>
          <w:b w:val="false"/>
          <w:i w:val="false"/>
          <w:caps w:val="false"/>
          <w:smallCaps w:val="false"/>
          <w:sz w:val="20"/>
        </w:rPr>
        <w:t>” shall have the meaning set forth in Section 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Date</w:t>
      </w:r>
      <w:r>
        <w:rPr>
          <w:rFonts w:ascii="Times New Roman;Times;Serif" w:hAnsi="Times New Roman;Times;Serif"/>
          <w:b w:val="false"/>
          <w:i w:val="false"/>
          <w:caps w:val="false"/>
          <w:smallCaps w:val="false"/>
          <w:sz w:val="20"/>
        </w:rPr>
        <w:t>” shall have the meaning set forth in Section 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Filing Date</w:t>
      </w:r>
      <w:r>
        <w:rPr>
          <w:rFonts w:ascii="Times New Roman;Times;Serif" w:hAnsi="Times New Roman;Times;Serif"/>
          <w:b w:val="false"/>
          <w:i w:val="false"/>
          <w:caps w:val="false"/>
          <w:smallCaps w:val="false"/>
          <w:sz w:val="20"/>
        </w:rPr>
        <w:t>” means the 90th calendar day following the Closing Date (as such term is defined in the Purchase Agreement), and (2) with respect to any additional Registration Statements which may be required pursuant to Section 2(c) or Section 3(c), the earliest practical date on which the Company is permitted by SEC Guidance to file such additional Registration Statement related to the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means the holder or holders, as the case may be, from time to time of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shall have the meaning set forth in Section 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shall have the meaning set forth in Section 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Registration Statement</w:t>
      </w:r>
      <w:r>
        <w:rPr>
          <w:rFonts w:ascii="Times New Roman;Times;Serif" w:hAnsi="Times New Roman;Times;Serif"/>
          <w:b w:val="false"/>
          <w:i w:val="false"/>
          <w:caps w:val="false"/>
          <w:smallCaps w:val="false"/>
          <w:sz w:val="20"/>
        </w:rPr>
        <w:t>” means the initial Registration Statement filed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shall have the meaning set forth in Section 5(a).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shall have the meaning set forth in Section 2(a).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prospectus included in a Registration Statement (including, without limitation, a prospectus that includes any information previously omitted from a prospectus filed as part of an effective registration statement in reliance upon Rule 430A promulgated by the SEC pursuant to the 1933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 “</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xml:space="preserve">” means, as of any date of determination, all Conversion Shares, and (b) any securities issued or then issuable upon any stock split, dividend or other distribution, recapitalization or similar event with respect to the foregoing;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SEC under the 1933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 effective amendments, all exhibits thereto, and all material incorporated by reference or deemed to be incorporated by reference in any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means Rule 415 promulgated by the SEC pursuant to the 1933 Act, as such Rule may be amended or interpreted from time to time, or any similar rule or regulation hereafter adopted by the SEC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SEC pursuant to the 1933 Act, as such Rule may be amended or interpreted from time to time, or any similar rule or regulation hereafter adopted by the SEC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Selling Stockholder Questionnaire</w:t>
      </w:r>
      <w:r>
        <w:rPr>
          <w:rFonts w:ascii="Times New Roman;Times;Serif" w:hAnsi="Times New Roman;Times;Serif"/>
          <w:b w:val="false"/>
          <w:i w:val="false"/>
          <w:caps w:val="false"/>
          <w:smallCaps w:val="false"/>
          <w:sz w:val="20"/>
        </w:rPr>
        <w:t>” shall have the meaning set forth in Section 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Guidance</w:t>
      </w:r>
      <w:r>
        <w:rPr>
          <w:rFonts w:ascii="Times New Roman;Times;Serif" w:hAnsi="Times New Roman;Times;Serif"/>
          <w:b w:val="false"/>
          <w:i w:val="false"/>
          <w:caps w:val="false"/>
          <w:smallCaps w:val="false"/>
          <w:sz w:val="20"/>
        </w:rPr>
        <w:t>” means (i) any publicly-available written or oral guidance of the SEC staff, or any comments, requirements or requests of the SEC staff and (ii)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sz w:val="20"/>
        </w:rPr>
      </w:pPr>
      <w:r>
        <w:rPr>
          <w:rFonts w:ascii="Times New Roman;Times;Serif" w:hAnsi="Times New Roman;Times;Serif"/>
          <w:b/>
          <w:i w:val="false"/>
          <w:caps/>
          <w:sz w:val="20"/>
        </w:rPr>
        <w:t>2.              Shelf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each Filing Date, the Company shall prepare and file with the SEC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2(d)) and shall contain (unless otherwise directed by at least 50% in interest of the Holders) substantially the “</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xml:space="preserve">” attached hereto as </w:t>
      </w:r>
      <w:r>
        <w:rPr>
          <w:rFonts w:ascii="Times New Roman;Times;Serif" w:hAnsi="Times New Roman;Times;Serif"/>
          <w:b w:val="false"/>
          <w:i w:val="false"/>
          <w:caps w:val="false"/>
          <w:smallCaps w:val="false"/>
          <w:sz w:val="20"/>
          <w:u w:val="single"/>
        </w:rPr>
        <w:t xml:space="preserve">Annex A </w:t>
      </w:r>
      <w:r>
        <w:rPr>
          <w:rFonts w:ascii="Times New Roman;Times;Serif" w:hAnsi="Times New Roman;Times;Serif"/>
          <w:b w:val="false"/>
          <w:i w:val="false"/>
          <w:caps w:val="false"/>
          <w:smallCaps w:val="false"/>
          <w:sz w:val="20"/>
        </w:rPr>
        <w:t>and substantially the “</w:t>
      </w:r>
      <w:r>
        <w:rPr>
          <w:rFonts w:ascii="Times New Roman;Times;Serif" w:hAnsi="Times New Roman;Times;Serif"/>
          <w:b w:val="false"/>
          <w:i w:val="false"/>
          <w:caps w:val="false"/>
          <w:smallCaps w:val="false"/>
          <w:sz w:val="20"/>
          <w:u w:val="single"/>
        </w:rPr>
        <w:t>Selling Stockholder</w:t>
      </w:r>
      <w:r>
        <w:rPr>
          <w:rFonts w:ascii="Times New Roman;Times;Serif" w:hAnsi="Times New Roman;Times;Serif"/>
          <w:b w:val="false"/>
          <w:i w:val="false"/>
          <w:caps w:val="false"/>
          <w:smallCaps w:val="false"/>
          <w:sz w:val="20"/>
        </w:rPr>
        <w:t xml:space="preserve">” section attached hereto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Holder shall be required to be named as an “underwriter” without such Holder’s express prior written consent. Subject to the terms of this Agreement, the Company shall use its reasonable best efforts to cause a Registration Statement filed under this Agreement (including, without limitation, under Section 3(c)) to be declared effective under the 1933 Act as promptly as possible after the filing thereof, but in any event no later than the applicable Effectiveness Date, and shall use its reasonable best efforts to keep such Registration Statement continuously effective under the 1933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 The Company shall telephonically request effectiveness of a Registration Statement as of 5:00 p.m. (New York City time) on a Trading Day. The Company shall promptly notify the Holders via e-mail of the effectiveness of a Registration Statement on the same Trading Day that the Company telephonically confirms effectiveness with the SEC. The Company shall, by 9:30 a.m. (New York City time) on the Trading Day after the effective date of such Registration Statement, file a final Prospectus with the SEC as required by Rule 424. Failure to so notify the Holder within one (1) Trading Day of such notification of effectiveness or failure to file a final Prospectus as foresaid shall be deemed an Event under Section 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registration obligations set forth in Section 2(a), if the SEC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SEC, covering the maximum number of Registrable Securities permitted to be registered by the SEC, on Form S-3 or such other form available to register for resale the Registrable Securities as a secondary offering; with respect to filing on Form S-3 or other appropriate form, and subject to the provisions of Section 2(d) with respect to the payment of liquidated damages;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prior to filing such amendment, the Company shall be obligated to use diligent efforts to advocate with the SEC for the registration of all of the Registrable Securities in accordance with the SEC Guidance, including without limitation, Compliance and Disclosure Interpretation 612.09.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of this Agreement and subject to the payment of liquidated damages pursuant to Section 2(d), if the SEC or any SEC Guidance sets forth a limitation on the number of Registrable Securities permitted to be registered on a particular Registration Statement as a secondary offering (and notwithstanding that the Company used diligent efforts to advocate with the SEC for the registration of all or a greater portion of Registrable Securities), unless otherwise directed in writing by a Holder as to its Registrable Securities, the number of Registrable Securities to be registered on such Registration Statement will be reduced by the Company reducing or eliminating any securities to be included other than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reasonable best efforts to file with the SEC, as promptly as allowed by SEC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contained herein, in no event shall the Company be permitted to name any Holder or affiliate of a Holder as any Underwriter without the prior written consent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3.             Registration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registration obligations hereunder, the Company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 less than three (3)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furnish to each Holder copies of all such documents proposed to be filed, which documents (other than those incorporated or deemed to be incorporated by reference) will be subject to the review of such Holders.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two (2)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Times;Serif" w:hAnsi="Times New Roman;Times;Serif"/>
          <w:b w:val="false"/>
          <w:i w:val="false"/>
          <w:caps w:val="false"/>
          <w:smallCaps w:val="false"/>
          <w:sz w:val="20"/>
          <w:u w:val="single"/>
        </w:rPr>
        <w:t xml:space="preserve">Annex C </w:t>
      </w: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Selling Stockholder Questionnaire</w:t>
      </w:r>
      <w:r>
        <w:rPr>
          <w:rFonts w:ascii="Times New Roman;Times;Serif" w:hAnsi="Times New Roman;Times;Serif"/>
          <w:b w:val="false"/>
          <w:i w:val="false"/>
          <w:caps w:val="false"/>
          <w:smallCaps w:val="false"/>
          <w:sz w:val="20"/>
        </w:rPr>
        <w:t>”) on a date that is not less than two (2) Trading Days prior to the Filing Date or by the end of the second (2nd) Trading Day following the date on which such Holder receives draft materials in accordance with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Prepare and file with the SEC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SEC such additional Registration Statements in order to register for resale under the 1933 Act all of the Registrable Securities,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SEC with respect to a Registration Statement or any amendment thereto and provide as promptly as reasonably possible to the Holders true and complete copies of all correspondence from and to the SEC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1933 Act and the 1934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clause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SEC notifies the Company whether there will be a “review” of such Registration Statement and whenever the SEC comments in writing on such Registration Statement, and (C) with respect to a Registration Statement or any post-effective amendment, when the same has become effective, (ii) of any request by the SEC or any other federal or state governmental authority for amendments or supplements to a Registration Statement or Prospectus or for additional information, (iii) of the issuance by the SEC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any such notice contain any information which would constitute material, non-public information regarding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Use its reasonable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SEC, provided that any such item which is available on the EDGAR system (or successor thereto) need not be furnished in physical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requested by a Holder, cooperate with such Holder to facilitate the timely preparation and delivery of book entry notifications setting out the ownership of the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reasonable best efforts to ensure that the use of the Prospectus may be resumed as promptly as is practicable. The Company shall be entitled to exercise its right under this Section 3(j) to suspend the availability of a Registration Statement and Prospectus for a period not to exceed an aggregate of 90 calendar days (which need not be consecutive days) in any 12- 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Otherwise use commercially reasonable efforts to comply with all applicable rules and regulations of the SEC under the 1933 Act and the 1934 Act, including, without limitation, Rule 172 under the 1933 Act, file any final Prospectus, including any supplement or amendment thereof, with the SEC pursuant to Rule 424 under the 1933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may require each selling Holder to furnish to the Company a certified statement as to the number of shares of Common Stock beneficially owned by such Holder and, if required by the SEC,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sz w:val="20"/>
        </w:rPr>
      </w:pPr>
      <w:r>
        <w:rPr>
          <w:rFonts w:ascii="Times New Roman;Times;Serif" w:hAnsi="Times New Roman;Times;Serif"/>
          <w:b/>
          <w:i w:val="false"/>
          <w:caps/>
          <w:sz w:val="20"/>
        </w:rPr>
        <w:t>4.              Registration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SEC, (B) with respect to filings required to be made with any Eligible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1933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5.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1933 Act or Section 20 of the 1934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“Losses”),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1933 Act, the 1934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Indemnification by Holders</w:t>
      </w:r>
      <w:r>
        <w:rPr>
          <w:rFonts w:ascii="Times New Roman;Times;Serif" w:hAnsi="Times New Roman;Times;Serif"/>
          <w:b w:val="false"/>
          <w:i w:val="false"/>
          <w:caps w:val="false"/>
          <w:smallCaps w:val="false"/>
          <w:sz w:val="20"/>
        </w:rPr>
        <w:t>. Each Holder shall, severally and not jointly, indemnify and hold harmless the Company, its directors, officers, agents and employees, each Person who controls the Company (within the meaning of Section 15 of the 1933 Act and Section 20 of the 1934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Conduct of Indemnification Proceedings</w:t>
      </w:r>
      <w:r>
        <w:rPr>
          <w:rFonts w:ascii="Times New Roman;Times;Serif" w:hAnsi="Times New Roman;Times;Serif"/>
          <w:b w:val="false"/>
          <w:i w:val="false"/>
          <w:caps w:val="false"/>
          <w:smallCaps w:val="false"/>
          <w:sz w:val="20"/>
        </w:rPr>
        <w:t>. If any Proceeding shall be brought or asserted against any Person entitled to indemnity hereunder (an “Indemnified Party”), such Indemnified Party shall promptly notify the Person from whom indemnity is sought (the “Indemnifying Party”)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thirty (30)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indemnity and contribution agreements contained in this Section are in addition to any liability that the Indemnifying Parties may have to the Indemnified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sz w:val="20"/>
        </w:rPr>
      </w:pPr>
      <w:r>
        <w:rPr>
          <w:rFonts w:ascii="Times New Roman;Times;Serif" w:hAnsi="Times New Roman;Times;Serif"/>
          <w:b/>
          <w:i w:val="false"/>
          <w:caps/>
          <w:sz w:val="20"/>
        </w:rPr>
        <w:t>6.              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Discontinued Disposition</w:t>
      </w:r>
      <w:r>
        <w:rPr>
          <w:rFonts w:ascii="Times New Roman;Times;Serif" w:hAnsi="Times New Roman;Times;Serif"/>
          <w:b w:val="false"/>
          <w:i w:val="false"/>
          <w:caps w:val="false"/>
          <w:smallCaps w:val="false"/>
          <w:sz w:val="20"/>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“Advice”) by the Company that the use of the applicable Prospectus (as it may have been supplemented or amended) may be resumed. The Company will use its reasonable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provisions of this sentence may not be amended, modified, or supplemented except in accordance with the provisions of the first sentence of this Section 6(c). No consideration shall be offered or paid to any Person to amend or consent to a waiver or modification of any provision of this Agreement unless the same consideration also is offered to all of the parties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delivered as set forth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2(g)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 Inconsistent Agreements</w:t>
      </w:r>
      <w:r>
        <w:rPr>
          <w:rFonts w:ascii="Times New Roman;Times;Serif" w:hAnsi="Times New Roman;Times;Serif"/>
          <w:b w:val="false"/>
          <w:i w:val="false"/>
          <w:caps w:val="false"/>
          <w:smallCaps w:val="false"/>
          <w:sz w:val="20"/>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Execution and Counterparts</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Agreement shall be determined in accordance with the applicable provisions of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The remedies provided herein are cumulative and not exclusive of any other remedies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in this Agreement are for convenience only, do not constitute a part of the Agreement and shall not be deemed to limit or affect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Independent Nature of Holders’ Obligations and Rights</w:t>
      </w:r>
      <w:r>
        <w:rPr>
          <w:rFonts w:ascii="Times New Roman;Times;Serif" w:hAnsi="Times New Roman;Times;Serif"/>
          <w:b w:val="false"/>
          <w:i w:val="false"/>
          <w:caps w:val="false"/>
          <w:smallCaps w:val="false"/>
          <w:sz w:val="20"/>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Registration Rights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left"/>
        <w:rPr>
          <w:caps w:val="false"/>
          <w:smallCaps w:val="false"/>
        </w:rPr>
      </w:pPr>
      <w:r>
        <w:rPr>
          <w:caps w:val="false"/>
          <w:smallCaps w:val="false"/>
        </w:rPr>
        <w:t> </w:t>
      </w:r>
    </w:p>
    <w:tbl>
      <w:tblPr>
        <w:tblW w:w="574" w:type="dxa"/>
        <w:jc w:val="left"/>
        <w:tblInd w:w="0" w:type="dxa"/>
        <w:tblLayout w:type="fixed"/>
        <w:tblCellMar>
          <w:top w:w="0" w:type="dxa"/>
          <w:left w:w="0" w:type="dxa"/>
          <w:bottom w:w="0" w:type="dxa"/>
          <w:right w:w="0" w:type="dxa"/>
        </w:tblCellMar>
      </w:tblPr>
      <w:tblGrid>
        <w:gridCol w:w="385"/>
        <w:gridCol w:w="83"/>
        <w:gridCol w:w="106"/>
      </w:tblGrid>
      <w:tr>
        <w:trPr/>
        <w:tc>
          <w:tcPr>
            <w:tcW w:w="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3" w:type="dxa"/>
            <w:tcBorders>
              <w:bottom w:val="single" w:sz="8" w:space="0" w:color="000000"/>
            </w:tcBorders>
            <w:tcMar>
              <w:bottom w:w="28" w:type="dxa"/>
            </w:tcMar>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r>
      <w:tr>
        <w:trPr/>
        <w:tc>
          <w:tcPr>
            <w:tcW w:w="57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574"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of Holders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of Holders to Presto Automation Inc. RRA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70" w:type="dxa"/>
        <w:jc w:val="left"/>
        <w:tblInd w:w="0" w:type="dxa"/>
        <w:tblLayout w:type="fixed"/>
        <w:tblCellMar>
          <w:top w:w="0" w:type="dxa"/>
          <w:left w:w="0" w:type="dxa"/>
          <w:bottom w:w="0" w:type="dxa"/>
          <w:right w:w="0" w:type="dxa"/>
        </w:tblCellMar>
      </w:tblPr>
      <w:tblGrid>
        <w:gridCol w:w="3695"/>
        <w:gridCol w:w="75"/>
      </w:tblGrid>
      <w:tr>
        <w:trPr/>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Holder:</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Remus Capital Series B II, L.P.</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of Authorized Signatory of Holder:</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9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Authorized Signatory:</w:t>
            </w:r>
          </w:p>
        </w:tc>
        <w:tc>
          <w:tcPr>
            <w:tcW w:w="7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1853"/>
        <w:gridCol w:w="1856"/>
      </w:tblGrid>
      <w:tr>
        <w:trPr/>
        <w:tc>
          <w:tcPr>
            <w:tcW w:w="37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of Authorized Signatory of Holder:</w:t>
            </w:r>
          </w:p>
        </w:tc>
      </w:tr>
      <w:tr>
        <w:trPr/>
        <w:tc>
          <w:tcPr>
            <w:tcW w:w="3709" w:type="dxa"/>
            <w:gridSpan w:val="2"/>
            <w:tcBorders/>
            <w:vAlign w:val="center"/>
          </w:tcPr>
          <w:p>
            <w:pPr>
              <w:pStyle w:val="TableContents"/>
              <w:bidi w:val="0"/>
              <w:spacing w:before="0" w:after="283"/>
              <w:jc w:val="left"/>
              <w:rPr/>
            </w:pPr>
            <w:r>
              <w:rPr/>
              <w:t> </w:t>
            </w:r>
          </w:p>
        </w:tc>
      </w:tr>
      <w:tr>
        <w:trPr/>
        <w:tc>
          <w:tcPr>
            <w:tcW w:w="1853" w:type="dxa"/>
            <w:tcBorders>
              <w:bottom w:val="single" w:sz="8" w:space="0" w:color="000000"/>
            </w:tcBorders>
            <w:tcMar>
              <w:bottom w:w="28" w:type="dxa"/>
            </w:tcMar>
            <w:vAlign w:val="center"/>
          </w:tcPr>
          <w:p>
            <w:pPr>
              <w:pStyle w:val="TableContents"/>
              <w:bidi w:val="0"/>
              <w:spacing w:before="0" w:after="283"/>
              <w:jc w:val="left"/>
              <w:rPr/>
            </w:pPr>
            <w:r>
              <w:rPr/>
              <w:t> </w:t>
            </w:r>
          </w:p>
        </w:tc>
        <w:tc>
          <w:tcPr>
            <w:tcW w:w="1856" w:type="dxa"/>
            <w:tcBorders>
              <w:bottom w:val="single" w:sz="8" w:space="0" w:color="FFFFFF"/>
            </w:tcBorders>
            <w:tcMar>
              <w:bottom w:w="28" w:type="dxa"/>
            </w:tcMar>
            <w:vAlign w:val="center"/>
          </w:tcPr>
          <w:p>
            <w:pPr>
              <w:pStyle w:val="TableContents"/>
              <w:bidi w:val="0"/>
              <w:spacing w:before="0" w:after="283"/>
              <w:jc w:val="left"/>
              <w:rPr/>
            </w:pPr>
            <w:r>
              <w:rPr/>
              <w:t> </w:t>
            </w:r>
          </w:p>
        </w:tc>
      </w:tr>
      <w:tr>
        <w:trPr/>
        <w:tc>
          <w:tcPr>
            <w:tcW w:w="37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Authorized Signatory:</w:t>
            </w:r>
          </w:p>
        </w:tc>
      </w:tr>
      <w:tr>
        <w:trPr/>
        <w:tc>
          <w:tcPr>
            <w:tcW w:w="37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of Authorized Signatory: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of Holders to Presto Automation Inc. RRA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(the “</w:t>
      </w:r>
      <w:r>
        <w:rPr>
          <w:rFonts w:ascii="Times New Roman;Times;Serif" w:hAnsi="Times New Roman;Times;Serif"/>
          <w:b w:val="false"/>
          <w:i w:val="false"/>
          <w:caps w:val="false"/>
          <w:smallCaps w:val="false"/>
          <w:sz w:val="20"/>
          <w:u w:val="single"/>
        </w:rPr>
        <w:t>Selling Stockholders</w:t>
      </w:r>
      <w:r>
        <w:rPr>
          <w:rFonts w:ascii="Times New Roman;Times;Serif" w:hAnsi="Times New Roman;Times;Serif"/>
          <w:b w:val="false"/>
          <w:i w:val="false"/>
          <w:caps w:val="false"/>
          <w:smallCaps w:val="false"/>
          <w:sz w:val="20"/>
        </w:rPr>
        <w:t>”) of the securities and any of their pledgees, assignees and successors-in-interest may, from time to time, sell any or all of their securities covered hereby on the Principal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pStyle w:val="TextBody"/>
        <w:bidi w:val="0"/>
        <w:spacing w:before="0" w:after="0"/>
        <w:ind w:left="0" w:right="0" w:hanging="0"/>
        <w:jc w:val="left"/>
        <w:rPr>
          <w:caps w:val="false"/>
          <w:smallCaps w:val="false"/>
        </w:rPr>
      </w:pPr>
      <w:r>
        <w:rPr>
          <w:caps w:val="false"/>
          <w:smallCaps w:val="false"/>
        </w:rPr>
        <w:t> </w:t>
      </w:r>
    </w:p>
    <w:tbl>
      <w:tblPr>
        <w:tblW w:w="7915" w:type="dxa"/>
        <w:jc w:val="left"/>
        <w:tblInd w:w="0" w:type="dxa"/>
        <w:tblLayout w:type="fixed"/>
        <w:tblCellMar>
          <w:top w:w="0" w:type="dxa"/>
          <w:left w:w="0" w:type="dxa"/>
          <w:bottom w:w="0" w:type="dxa"/>
          <w:right w:w="0" w:type="dxa"/>
        </w:tblCellMar>
      </w:tblPr>
      <w:tblGrid>
        <w:gridCol w:w="75"/>
        <w:gridCol w:w="110"/>
        <w:gridCol w:w="77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block trades in which the broker-dealer will attempt to sell the securities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5"/>
        <w:gridCol w:w="110"/>
        <w:gridCol w:w="71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75"/>
        <w:gridCol w:w="110"/>
        <w:gridCol w:w="66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6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exchange distribution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75"/>
        <w:gridCol w:w="110"/>
        <w:gridCol w:w="27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2215" w:type="dxa"/>
        <w:jc w:val="left"/>
        <w:tblInd w:w="0" w:type="dxa"/>
        <w:tblLayout w:type="fixed"/>
        <w:tblCellMar>
          <w:top w:w="0" w:type="dxa"/>
          <w:left w:w="0" w:type="dxa"/>
          <w:bottom w:w="0" w:type="dxa"/>
          <w:right w:w="0" w:type="dxa"/>
        </w:tblCellMar>
      </w:tblPr>
      <w:tblGrid>
        <w:gridCol w:w="75"/>
        <w:gridCol w:w="110"/>
        <w:gridCol w:w="2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settlement of short sales;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transactions through broker-dealers that agree with the Selling Stockholders to sell a specified number of such securities at a stipulated price per security;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through the writing or settlement of options or other hedging transactions, whether through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110"/>
        <w:gridCol w:w="3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combination of any such methods of sale; or</w:t>
            </w:r>
          </w:p>
        </w:tc>
      </w:tr>
    </w:tbl>
    <w:p>
      <w:pPr>
        <w:pStyle w:val="TextBody"/>
        <w:bidi w:val="0"/>
        <w:spacing w:before="0" w:after="0"/>
        <w:ind w:left="0" w:right="0" w:hanging="0"/>
        <w:jc w:val="left"/>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75"/>
        <w:gridCol w:w="110"/>
        <w:gridCol w:w="45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4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or any other exemption from registration under the Securities Act of 1933, as amended (the “</w:t>
      </w:r>
      <w:r>
        <w:rPr>
          <w:rFonts w:ascii="Times New Roman;Times;Serif" w:hAnsi="Times New Roman;Times;Serif"/>
          <w:b w:val="false"/>
          <w:i w:val="false"/>
          <w:caps w:val="false"/>
          <w:smallCaps w:val="false"/>
          <w:sz w:val="20"/>
          <w:u w:val="single"/>
        </w:rPr>
        <w:t>1933 Act</w:t>
      </w:r>
      <w:r>
        <w:rPr>
          <w:rFonts w:ascii="Times New Roman;Times;Serif" w:hAnsi="Times New Roman;Times;Serif"/>
          <w:b w:val="false"/>
          <w:i w:val="false"/>
          <w:caps w:val="false"/>
          <w:smallCaps w:val="false"/>
          <w:sz w:val="20"/>
        </w:rPr>
        <w:t>”), if available, rather than under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securities may be deemed to be “underwriters” within the meaning of the 1933 Act in connection with such sales. In such event, any commissions received by such broker-dealers or agents and any profit on the resale of the securities purchased by them may be deemed to be underwriting commissions or discounts under the 1933 Act. Each Selling Stockholder has informed the Company that it does not have any written or oral agreement or understanding, directly or indirectly, with any person to distribute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1933 Act or any other rule of similar effect or (ii) all of the securities have been sold pursuant to this prospectus or Rule 144 under the 1933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1934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1934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1933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Annex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being offered by the selling shareholders are those issuable to the selling shareholders pursuant to the terms of certain of the Company’s promissory notes. For additional information regarding the issuances of those notes, see “Private Placement of Notes” above. We are registering the shares of common stock in order to permit the selling shareholders to offer the shares for resale from time to time. Except for the ownership of the notes, the selling shareholders have not had any material relationship with us within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shareholders and other information regarding the beneficial ownership of our shares of common stock by each of the selling shareholders. The second column lists the number of shares of common stock beneficially owned by each selling shareholder, based on its ownership of the notes, as of [●], 2024, assuming the conversion of the notes held by the selling shareholders on that date, without regard to any limitations on exercises.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shares of common stock being offered by this prospectus by the selling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a registration rights agreement with the selling shareholders, this prospectus generally covers the resale of the maximum number of shares of common stock issuable pursuant to the notes, determined as if the notes were converted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conversion or exercise, as applicable, in the notes. The fourth column assumes the sale of all of the shares offered by the selling shareholders pursuant to this prospectus.</w:t>
      </w:r>
    </w:p>
    <w:p>
      <w:pPr>
        <w:pStyle w:val="TextBody"/>
        <w:bidi w:val="0"/>
        <w:spacing w:before="0" w:after="0"/>
        <w:ind w:left="0" w:right="0" w:hanging="0"/>
        <w:jc w:val="left"/>
        <w:rPr>
          <w:caps w:val="false"/>
          <w:smallCaps w:val="false"/>
        </w:rPr>
      </w:pPr>
      <w:r>
        <w:rPr>
          <w:caps w:val="false"/>
          <w:smallCaps w:val="false"/>
        </w:rPr>
        <w:t> </w:t>
      </w:r>
    </w:p>
    <w:tbl>
      <w:tblPr>
        <w:tblW w:w="6770" w:type="dxa"/>
        <w:jc w:val="left"/>
        <w:tblInd w:w="0" w:type="dxa"/>
        <w:tblLayout w:type="fixed"/>
        <w:tblCellMar>
          <w:top w:w="0" w:type="dxa"/>
          <w:left w:w="0" w:type="dxa"/>
          <w:bottom w:w="0" w:type="dxa"/>
          <w:right w:w="0" w:type="dxa"/>
        </w:tblCellMar>
      </w:tblPr>
      <w:tblGrid>
        <w:gridCol w:w="1385"/>
        <w:gridCol w:w="1670"/>
        <w:gridCol w:w="1805"/>
        <w:gridCol w:w="1910"/>
      </w:tblGrid>
      <w:tr>
        <w:trPr/>
        <w:tc>
          <w:tcPr>
            <w:tcW w:w="1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of Selling </w:t>
              <w:br/>
              <w:t>Shareholder</w:t>
            </w:r>
          </w:p>
        </w:tc>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Number of shares of </w:t>
              <w:br/>
              <w:t>Common Stock</w:t>
              <w:br/>
              <w:t xml:space="preserve">Owned Prior to </w:t>
              <w:br/>
              <w:t>Offering</w:t>
            </w:r>
          </w:p>
        </w:tc>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Maximum Number of </w:t>
              <w:br/>
              <w:t xml:space="preserve">shares of Common </w:t>
              <w:br/>
              <w:t>Stock to be Sold</w:t>
              <w:br/>
              <w:t>Pursuant to this</w:t>
              <w:br/>
              <w:t>Prospectus</w:t>
            </w:r>
          </w:p>
        </w:tc>
        <w:tc>
          <w:tcPr>
            <w:tcW w:w="1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Number of shares of </w:t>
              <w:br/>
              <w:t>Common Stock Owned</w:t>
              <w:br/>
              <w:t>After Offering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Annex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br/>
        <w:t>SELLING STOCKHOLDER NOTICE AND QUESTIONNAIRE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beneficial owner of common stock (the “</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of Presto Automation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understands that the Company has filed or intends to file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 registration statement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for the registration and resale under Rule 415 of the Securities Act of 1933, as amended (the “</w:t>
      </w:r>
      <w:r>
        <w:rPr>
          <w:rFonts w:ascii="Times New Roman;Times;Serif" w:hAnsi="Times New Roman;Times;Serif"/>
          <w:b w:val="false"/>
          <w:i w:val="false"/>
          <w:caps w:val="false"/>
          <w:smallCaps w:val="false"/>
          <w:sz w:val="20"/>
          <w:u w:val="single"/>
        </w:rPr>
        <w:t>1933 Act</w:t>
      </w:r>
      <w:r>
        <w:rPr>
          <w:rFonts w:ascii="Times New Roman;Times;Serif" w:hAnsi="Times New Roman;Times;Serif"/>
          <w:b w:val="false"/>
          <w:i w:val="false"/>
          <w:caps w:val="false"/>
          <w:smallCaps w:val="false"/>
          <w:sz w:val="20"/>
        </w:rPr>
        <w:t>”), of the Registrable Securities, in accordance with the terms of the Registration Rights Agreement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beneficial owner (the “</w:t>
      </w:r>
      <w:r>
        <w:rPr>
          <w:rFonts w:ascii="Times New Roman;Times;Serif" w:hAnsi="Times New Roman;Times;Serif"/>
          <w:b w:val="false"/>
          <w:i w:val="false"/>
          <w:caps w:val="false"/>
          <w:smallCaps w:val="false"/>
          <w:sz w:val="20"/>
          <w:u w:val="single"/>
        </w:rPr>
        <w:t>Selling Stockholder</w:t>
      </w:r>
      <w:r>
        <w:rPr>
          <w:rFonts w:ascii="Times New Roman;Times;Serif" w:hAnsi="Times New Roman;Times;Serif"/>
          <w:b w:val="false"/>
          <w:i w:val="false"/>
          <w:caps w:val="false"/>
          <w:smallCaps w:val="false"/>
          <w:sz w:val="20"/>
        </w:rPr>
        <w:t>”) of Registrable Securities hereby elects to include the Registrable Securities owned by it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provides the following information to the Company and represents and warrants that such information is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QUESTIONNAIRE</w:t>
      </w:r>
    </w:p>
    <w:p>
      <w:pPr>
        <w:pStyle w:val="TextBody"/>
        <w:bidi w:val="0"/>
        <w:spacing w:before="0" w:after="0"/>
        <w:ind w:left="0" w:right="0" w:hanging="0"/>
        <w:jc w:val="left"/>
        <w:rPr>
          <w:caps w:val="false"/>
          <w:smallCaps w:val="false"/>
        </w:rPr>
      </w:pPr>
      <w:r>
        <w:rPr>
          <w:caps w:val="false"/>
          <w:smallCaps w:val="false"/>
        </w:rPr>
        <w:t> </w:t>
      </w:r>
    </w:p>
    <w:tbl>
      <w:tblPr>
        <w:tblW w:w="790" w:type="dxa"/>
        <w:jc w:val="left"/>
        <w:tblInd w:w="0" w:type="dxa"/>
        <w:tblLayout w:type="fixed"/>
        <w:tblCellMar>
          <w:top w:w="0" w:type="dxa"/>
          <w:left w:w="0" w:type="dxa"/>
          <w:bottom w:w="0" w:type="dxa"/>
          <w:right w:w="0" w:type="dxa"/>
        </w:tblCellMar>
      </w:tblPr>
      <w:tblGrid>
        <w:gridCol w:w="75"/>
        <w:gridCol w:w="170"/>
        <w:gridCol w:w="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r>
    </w:tbl>
    <w:p>
      <w:pPr>
        <w:pStyle w:val="TextBody"/>
        <w:bidi w:val="0"/>
        <w:spacing w:before="0" w:after="0"/>
        <w:ind w:left="0" w:right="0" w:hanging="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75"/>
        <w:gridCol w:w="230"/>
        <w:gridCol w:w="332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Full Legal Name of Selling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245"/>
        <w:gridCol w:w="926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2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Full Legal Name of Registered Holder (if not the same as (a) above) through which Registrable Securities are held: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Full Legal Name of Natural Control Person (which means a natural person who directly or indirectly alone or with others has power to vote or dispose of the securities covered by this Questionnaire):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75"/>
        <w:gridCol w:w="170"/>
        <w:gridCol w:w="35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5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 for Notices to Selling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Person: [●]</w:t>
      </w:r>
    </w:p>
    <w:p>
      <w:pPr>
        <w:pStyle w:val="TextBody"/>
        <w:bidi w:val="0"/>
        <w:spacing w:before="0" w:after="0"/>
        <w:ind w:left="0" w:right="0" w:hanging="0"/>
        <w:jc w:val="left"/>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75"/>
        <w:gridCol w:w="170"/>
        <w:gridCol w:w="17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7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Broker-Dealer Status:</w:t>
            </w:r>
          </w:p>
        </w:tc>
      </w:tr>
    </w:tbl>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230"/>
        <w:gridCol w:w="203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you a broker-dealer?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sz w:val="20"/>
        </w:rPr>
        <w:t xml:space="preserve"> No </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9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“yes” to Section 3(a), did you receive your Registrable Securities as compensation for investment banking services to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sz w:val="20"/>
        </w:rPr>
        <w:t xml:space="preserve"> No </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If “no” to Section 3(b), the SEC’s staff has indicated that you should be identified as an underwriter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75"/>
        <w:gridCol w:w="230"/>
        <w:gridCol w:w="31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3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you an affiliate of a broker-dealer?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sz w:val="20"/>
        </w:rPr>
        <w:t xml:space="preserve"> No </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Yes </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sz w:val="20"/>
        </w:rPr>
        <w:t xml:space="preserve"> No </w:t>
      </w:r>
      <w:r>
        <w:rPr>
          <w:rFonts w:ascii="Times New Roman;Times;Serif" w:hAnsi="Times New Roman;Times;Serif"/>
          <w:b w:val="false"/>
          <w:i w:val="false"/>
          <w:caps w:val="false"/>
          <w:smallCaps w:val="false"/>
          <w:color w:val="000000"/>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If “no” to Section 3(d), the SEC’s staff has indicated that you should be identified as an underwriter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75"/>
        <w:gridCol w:w="170"/>
        <w:gridCol w:w="70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Beneficial Ownership of Securities of the Company Owned by the Selling Stockholder.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in this Item 4, the undersigned is not the beneficial or registered owner of any securities of the Company other than the securities issuable pursuant to the Purchase Agreement.</w:t>
      </w:r>
    </w:p>
    <w:p>
      <w:pPr>
        <w:pStyle w:val="TextBody"/>
        <w:bidi w:val="0"/>
        <w:spacing w:before="0" w:after="0"/>
        <w:ind w:left="0" w:right="0" w:hanging="0"/>
        <w:jc w:val="left"/>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75"/>
        <w:gridCol w:w="230"/>
        <w:gridCol w:w="68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Type and Amount of other securities beneficially owned by the Selling Stockholder:</w:t>
            </w:r>
          </w:p>
        </w:tc>
      </w:tr>
    </w:tbl>
    <w:p>
      <w:pPr>
        <w:pStyle w:val="TextBody"/>
        <w:bidi w:val="0"/>
        <w:spacing w:before="0" w:after="0"/>
        <w:ind w:left="0" w:right="0" w:hanging="0"/>
        <w:jc w:val="left"/>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75"/>
        <w:gridCol w:w="170"/>
        <w:gridCol w:w="27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27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Relationships with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any exceptions here: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by authority duly given, has caused this Notice and Questionnaire to be executed and delivered either in person or by its duly authorized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w:t>
        <w:br/>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34" w:type="dxa"/>
        <w:jc w:val="left"/>
        <w:tblInd w:w="0" w:type="dxa"/>
        <w:tblLayout w:type="fixed"/>
        <w:tblCellMar>
          <w:top w:w="0" w:type="dxa"/>
          <w:left w:w="0" w:type="dxa"/>
          <w:bottom w:w="0" w:type="dxa"/>
          <w:right w:w="0" w:type="dxa"/>
        </w:tblCellMar>
      </w:tblPr>
      <w:tblGrid>
        <w:gridCol w:w="459"/>
        <w:gridCol w:w="100"/>
        <w:gridCol w:w="75"/>
      </w:tblGrid>
      <w:tr>
        <w:trPr/>
        <w:tc>
          <w:tcPr>
            <w:tcW w:w="4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0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55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EMAIL A COPY OF THE COMPLETED AND EXECUTED NOTICE AND QUESTIONNAIRE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52447</Words>
  <Characters>276758</Characters>
  <CharactersWithSpaces>333056</CharactersWithSpaces>
  <Paragraphs>2296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