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26, 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333-263516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Scheetz: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After reviewing 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information you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provide in response to 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3 to Form S-4 Filed July 26,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PIPE Investments, page 35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the purchase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price that each set of investors paid for their securities.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clear and quantified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about the significant portion of the combined 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outstanding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 that may be sold into the market following the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combination. Identify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set of investors that will have certain registration rights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specify the 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they will be able to sell pursuant to future resale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registration statements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combined company will be required to file. Highlight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certain investors may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an incentive to sell even if the trading price at that time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below Ventoux's IPO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price. Discuss the negative pressure potential sales of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could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the trading price of the combined company.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Edward Scheetz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Scheetz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LastNameEdward</w:t>
            </w: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Ventoux CCM</w:t>
            </w:r>
          </w:p>
        </w:tc>
        <w:tc>
          <w:tcPr>
            <w:tcW w:w="71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NameVentoux CCM Acquisition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right"/>
              <w:ind w:right="1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identify the Note Investor and discuss with specificity the negative covenants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will place restrictions on the combined company. Additionally, file the Convertible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Subscription Agreement as an exhibit to the registration statement.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154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Presto Common Stock Exchange Ratio in the introduction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related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footnotes.</w:t>
      </w:r>
    </w:p>
    <w:p>
      <w:pPr>
        <w:ind w:right="2759" w:firstLine="8"/>
        <w:spacing w:after="0" w:line="30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Presto preferred stock conversion, disclose the conversion ratio stipulated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conversion of the Presto stock options and RSUs, clarify here and in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footnotes if the unvested options and unvested RSUs will be converted into similar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unvested options and unvested RSUs.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Balance Sheet, page 156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 separate adjustment column following the VTAQ (historical) balance sheet, provide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 forma adjustments to give effect to the common stock redemptions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$163.1 million which were paid out of the Trust Account on June 16, 2022. This should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followed by a subtotal column to reflect the VTAQ balance sheet on a pro forma basis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to the transaction accounting adjustments. Refer to 11-02(b)(4) of Regulation S-X.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Results of Financial Condition and Results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of VTAQ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183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going concern discussion is through June 30, 2022. Please update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disclosure and your going concern discussion to the date of the filing. Also,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move the going concern discussion to the forefront of your Liquidity and Capital Resource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Obligations, page 185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in quantified detail the total dollar value of all estimated fees payable to your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 providers and advisors upon completion of a business combination.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Financial Statements of VTAQ as of and for quarters ended March 31, 2022 and 2021</w:t>
      </w:r>
    </w:p>
    <w:p>
      <w:pPr>
        <w:ind w:right="46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Consolidated Financial Statements Note 10 - Subsequent Events, page F-47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Update your subsequent event footnote to disclose all the information that occurred up to</w:t>
      </w:r>
    </w:p>
    <w:p>
      <w:pPr>
        <w:jc w:val="right"/>
        <w:ind w:left="1380" w:right="211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date of the filing, including but not limited to the following: Information regarding the new amendment to the Merger Agreement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occurred on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25, 2022.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the June 16, 2022 special meeting of stockholders, including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1700" w:right="223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and payment to your shareholders of $163,148,816. Disclose the current balance in the trust account after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redemption.</w:t>
      </w:r>
    </w:p>
    <w:p>
      <w:pPr>
        <w:ind w:right="24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regarding new equity and or debt transactions including modifications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entered post balance sheet date.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regarding any stock compensation issued post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date.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"As of July 22, 2022, the Sponsors own 75.8% of the issued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outstanding shares of VTAQ Common Stock. The Sponsors and the directors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 of VTAQ have agreed to vote any shares of VTAQ Common Stock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them in favor of the Business Combination Proposal." Please include this disclosure 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forefront of your Management's Discussion and Analysis and in the Subsequent Event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of your financial statements.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tell us whether your sponsor is, is controlled by, or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substantial ties with a non-U.S. person. Please also tell us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anyone or any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associated with or otherwise involved in the transaction, is, is controlled by, or has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ties with a non-U.S. person. If so, also include risk factor disclosure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addresses how this fact could impact your ability to complete your initial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For instance, discuss the risk to investors that you may not be able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 initial business combination with a U.S. target company should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be subject to review by a U.S. government entity, such as the Committee 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Investment in the United States (CFIUS), or ultimately prohibited. Further,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the time necessary for government review of the transaction or a decision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prohibit the transaction could prevent you from completing an initial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require you to liquidate. Disclose the consequences of liquidation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such as the losses of the investment opportunity in a target company, any price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appreciation in the combined company, and the warrants, which would expire worthless.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Inessa Kessman,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551-3371 or Robert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 551-3361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Derby,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551-3334 or Joshua Shainess,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551-7951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LastNameEdward Scheetz</w:t>
            </w:r>
          </w:p>
        </w:tc>
        <w:tc>
          <w:tcPr>
            <w:tcW w:w="232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NameVentoux CCM Acquisition Corp.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9, 2022 Page 3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Technology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2022-09-15T23:07:59Z</dcterms:created>
  <dcterms:modified xsi:type="dcterms:W3CDTF">2022-09-15T23:07:59Z</dcterms:modified>
</cp:coreProperties>
</file>